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D8801" w14:textId="1F2F2F78" w:rsidR="00BC6798" w:rsidRPr="00306807" w:rsidRDefault="00BC6798" w:rsidP="00BC6798">
      <w:pPr>
        <w:spacing w:line="480" w:lineRule="auto"/>
        <w:rPr>
          <w:rFonts w:asciiTheme="majorHAnsi" w:hAnsiTheme="majorHAnsi"/>
        </w:rPr>
      </w:pPr>
      <w:bookmarkStart w:id="0" w:name="_GoBack"/>
      <w:bookmarkEnd w:id="0"/>
    </w:p>
    <w:p w14:paraId="00D74870" w14:textId="73055C46" w:rsidR="00BC6798" w:rsidRPr="00306807" w:rsidRDefault="00C45384" w:rsidP="00BC6798">
      <w:pPr>
        <w:spacing w:after="0" w:line="480" w:lineRule="auto"/>
        <w:jc w:val="center"/>
        <w:rPr>
          <w:rFonts w:asciiTheme="majorHAnsi" w:hAnsiTheme="majorHAnsi"/>
        </w:rPr>
      </w:pPr>
      <w:r>
        <w:rPr>
          <w:rFonts w:asciiTheme="majorHAnsi" w:hAnsiTheme="majorHAnsi"/>
          <w:b/>
        </w:rPr>
        <w:t>Let’s call it quits</w:t>
      </w:r>
      <w:r w:rsidR="00442CCE" w:rsidRPr="00306807">
        <w:rPr>
          <w:rFonts w:asciiTheme="majorHAnsi" w:hAnsiTheme="majorHAnsi"/>
          <w:b/>
        </w:rPr>
        <w:t>:</w:t>
      </w:r>
      <w:r w:rsidR="00292CDF" w:rsidRPr="00306807">
        <w:rPr>
          <w:rFonts w:asciiTheme="majorHAnsi" w:hAnsiTheme="majorHAnsi"/>
          <w:b/>
        </w:rPr>
        <w:t xml:space="preserve"> </w:t>
      </w:r>
      <w:r w:rsidR="00C9492E">
        <w:rPr>
          <w:rFonts w:asciiTheme="majorHAnsi" w:hAnsiTheme="majorHAnsi"/>
          <w:b/>
        </w:rPr>
        <w:t>Break</w:t>
      </w:r>
      <w:r w:rsidR="0079794A">
        <w:rPr>
          <w:rFonts w:asciiTheme="majorHAnsi" w:hAnsiTheme="majorHAnsi"/>
          <w:b/>
        </w:rPr>
        <w:t>-even</w:t>
      </w:r>
      <w:r w:rsidR="00E12DCB">
        <w:rPr>
          <w:rFonts w:asciiTheme="majorHAnsi" w:hAnsiTheme="majorHAnsi"/>
          <w:b/>
        </w:rPr>
        <w:t xml:space="preserve"> effects in</w:t>
      </w:r>
      <w:r w:rsidR="00BC6798" w:rsidRPr="00306807">
        <w:rPr>
          <w:rFonts w:asciiTheme="majorHAnsi" w:hAnsiTheme="majorHAnsi"/>
          <w:b/>
        </w:rPr>
        <w:t xml:space="preserve"> the decision to stop </w:t>
      </w:r>
      <w:r w:rsidR="00B57CB8" w:rsidRPr="00306807">
        <w:rPr>
          <w:rFonts w:asciiTheme="majorHAnsi" w:hAnsiTheme="majorHAnsi"/>
          <w:b/>
        </w:rPr>
        <w:t>taking risks</w:t>
      </w:r>
    </w:p>
    <w:p w14:paraId="791589E2" w14:textId="77777777" w:rsidR="00BC6798" w:rsidRPr="00306807" w:rsidRDefault="00BC6798" w:rsidP="00BC6798">
      <w:pPr>
        <w:spacing w:after="0" w:line="480" w:lineRule="auto"/>
        <w:jc w:val="center"/>
        <w:rPr>
          <w:rFonts w:asciiTheme="majorHAnsi" w:hAnsiTheme="majorHAnsi" w:cs="Times New Roman"/>
        </w:rPr>
      </w:pPr>
    </w:p>
    <w:p w14:paraId="4A57A135" w14:textId="070D8558" w:rsidR="00BC6798" w:rsidRPr="00306807" w:rsidRDefault="00BC6798" w:rsidP="00BC6798">
      <w:pPr>
        <w:pStyle w:val="phone"/>
        <w:spacing w:after="0" w:line="480" w:lineRule="auto"/>
        <w:jc w:val="center"/>
        <w:rPr>
          <w:rFonts w:asciiTheme="majorHAnsi" w:hAnsiTheme="majorHAnsi" w:cs="Times New Roman"/>
          <w:sz w:val="22"/>
          <w:lang w:val="en-GB"/>
        </w:rPr>
      </w:pPr>
    </w:p>
    <w:p w14:paraId="35B5A60D" w14:textId="77777777" w:rsidR="00BC6798" w:rsidRPr="00306807" w:rsidRDefault="00BC6798" w:rsidP="00BC6798">
      <w:pPr>
        <w:spacing w:after="0" w:line="480" w:lineRule="auto"/>
        <w:ind w:firstLine="709"/>
        <w:rPr>
          <w:rFonts w:asciiTheme="majorHAnsi" w:hAnsiTheme="majorHAnsi"/>
          <w:b/>
        </w:rPr>
      </w:pPr>
    </w:p>
    <w:p w14:paraId="14B00057" w14:textId="77777777" w:rsidR="00BC6798" w:rsidRPr="00306807" w:rsidRDefault="00BC6798">
      <w:pPr>
        <w:rPr>
          <w:rFonts w:asciiTheme="majorHAnsi" w:hAnsiTheme="majorHAnsi"/>
        </w:rPr>
      </w:pPr>
      <w:r w:rsidRPr="00306807">
        <w:rPr>
          <w:rFonts w:asciiTheme="majorHAnsi" w:hAnsiTheme="majorHAnsi"/>
        </w:rPr>
        <w:br w:type="page"/>
      </w:r>
    </w:p>
    <w:p w14:paraId="3F09C540" w14:textId="77777777" w:rsidR="00D80F55" w:rsidRDefault="00D80F55" w:rsidP="00D80F55">
      <w:pPr>
        <w:spacing w:line="480" w:lineRule="auto"/>
        <w:rPr>
          <w:rFonts w:asciiTheme="majorHAnsi" w:hAnsiTheme="majorHAnsi"/>
          <w:b/>
        </w:rPr>
      </w:pPr>
    </w:p>
    <w:p w14:paraId="74E0F234" w14:textId="77777777" w:rsidR="00D80F55" w:rsidRPr="00306807" w:rsidRDefault="00D80F55" w:rsidP="00F42439">
      <w:pPr>
        <w:spacing w:line="480" w:lineRule="auto"/>
        <w:jc w:val="center"/>
        <w:rPr>
          <w:rFonts w:asciiTheme="majorHAnsi" w:hAnsiTheme="majorHAnsi"/>
          <w:b/>
        </w:rPr>
      </w:pPr>
      <w:r>
        <w:rPr>
          <w:rFonts w:asciiTheme="majorHAnsi" w:hAnsiTheme="majorHAnsi"/>
          <w:b/>
        </w:rPr>
        <w:t>ABSTRACT</w:t>
      </w:r>
    </w:p>
    <w:p w14:paraId="6960B7C5" w14:textId="19F05B40" w:rsidR="006C45C1" w:rsidRDefault="000D66D2" w:rsidP="000579B7">
      <w:pPr>
        <w:spacing w:after="0" w:line="480" w:lineRule="auto"/>
        <w:rPr>
          <w:rFonts w:asciiTheme="majorHAnsi" w:hAnsiTheme="majorHAnsi" w:cs="Helvetica"/>
        </w:rPr>
      </w:pPr>
      <w:r>
        <w:rPr>
          <w:rFonts w:asciiTheme="majorHAnsi" w:hAnsiTheme="majorHAnsi"/>
        </w:rPr>
        <w:t>'</w:t>
      </w:r>
      <w:r w:rsidR="00C9492E">
        <w:rPr>
          <w:rFonts w:asciiTheme="majorHAnsi" w:hAnsiTheme="majorHAnsi"/>
        </w:rPr>
        <w:t>C</w:t>
      </w:r>
      <w:r>
        <w:rPr>
          <w:rFonts w:asciiTheme="majorHAnsi" w:hAnsiTheme="majorHAnsi"/>
        </w:rPr>
        <w:t>hasing' behavior</w:t>
      </w:r>
      <w:r w:rsidR="00C9492E">
        <w:rPr>
          <w:rFonts w:asciiTheme="majorHAnsi" w:hAnsiTheme="majorHAnsi"/>
        </w:rPr>
        <w:t>,</w:t>
      </w:r>
      <w:r>
        <w:rPr>
          <w:rFonts w:asciiTheme="majorHAnsi" w:hAnsiTheme="majorHAnsi"/>
        </w:rPr>
        <w:t xml:space="preserve"> whereby </w:t>
      </w:r>
      <w:r w:rsidR="00C9492E">
        <w:rPr>
          <w:rFonts w:asciiTheme="majorHAnsi" w:hAnsiTheme="majorHAnsi"/>
        </w:rPr>
        <w:t>individuals,</w:t>
      </w:r>
      <w:r w:rsidR="00C9492E" w:rsidRPr="00C9492E">
        <w:rPr>
          <w:rFonts w:asciiTheme="majorHAnsi" w:hAnsiTheme="majorHAnsi"/>
        </w:rPr>
        <w:t xml:space="preserve"> </w:t>
      </w:r>
      <w:r w:rsidR="00C9492E">
        <w:rPr>
          <w:rFonts w:asciiTheme="majorHAnsi" w:hAnsiTheme="majorHAnsi"/>
        </w:rPr>
        <w:t xml:space="preserve">driven by a desire to </w:t>
      </w:r>
      <w:r w:rsidR="00717900">
        <w:rPr>
          <w:rFonts w:asciiTheme="majorHAnsi" w:hAnsiTheme="majorHAnsi"/>
        </w:rPr>
        <w:t>break-even</w:t>
      </w:r>
      <w:r w:rsidR="00C9492E">
        <w:rPr>
          <w:rFonts w:asciiTheme="majorHAnsi" w:hAnsiTheme="majorHAnsi"/>
        </w:rPr>
        <w:t xml:space="preserve">, </w:t>
      </w:r>
      <w:r>
        <w:rPr>
          <w:rFonts w:asciiTheme="majorHAnsi" w:hAnsiTheme="majorHAnsi"/>
        </w:rPr>
        <w:t xml:space="preserve">continue a </w:t>
      </w:r>
      <w:r w:rsidR="00C25299">
        <w:rPr>
          <w:rFonts w:asciiTheme="majorHAnsi" w:hAnsiTheme="majorHAnsi"/>
        </w:rPr>
        <w:t>risky</w:t>
      </w:r>
      <w:r>
        <w:rPr>
          <w:rFonts w:asciiTheme="majorHAnsi" w:hAnsiTheme="majorHAnsi"/>
        </w:rPr>
        <w:t xml:space="preserve"> activity</w:t>
      </w:r>
      <w:r w:rsidR="00C25299">
        <w:rPr>
          <w:rFonts w:asciiTheme="majorHAnsi" w:hAnsiTheme="majorHAnsi"/>
        </w:rPr>
        <w:t xml:space="preserve"> (RA)</w:t>
      </w:r>
      <w:r>
        <w:rPr>
          <w:rFonts w:asciiTheme="majorHAnsi" w:hAnsiTheme="majorHAnsi"/>
        </w:rPr>
        <w:t xml:space="preserve"> despite incurring large losses, </w:t>
      </w:r>
      <w:r w:rsidR="00C9492E">
        <w:rPr>
          <w:rFonts w:asciiTheme="majorHAnsi" w:hAnsiTheme="majorHAnsi"/>
        </w:rPr>
        <w:t>is a commonly observed phenomenon</w:t>
      </w:r>
      <w:r>
        <w:rPr>
          <w:rFonts w:asciiTheme="majorHAnsi" w:hAnsiTheme="majorHAnsi"/>
        </w:rPr>
        <w:t xml:space="preserve">. We examine whether the desire to break-even plays a </w:t>
      </w:r>
      <w:r w:rsidR="00C9492E">
        <w:rPr>
          <w:rFonts w:asciiTheme="majorHAnsi" w:hAnsiTheme="majorHAnsi"/>
        </w:rPr>
        <w:t xml:space="preserve">wider </w:t>
      </w:r>
      <w:r>
        <w:rPr>
          <w:rFonts w:asciiTheme="majorHAnsi" w:hAnsiTheme="majorHAnsi"/>
        </w:rPr>
        <w:t xml:space="preserve">role in </w:t>
      </w:r>
      <w:r w:rsidR="00225FC9">
        <w:rPr>
          <w:rFonts w:asciiTheme="majorHAnsi" w:hAnsiTheme="majorHAnsi" w:cs="Helvetica"/>
          <w:lang w:val="en-US"/>
        </w:rPr>
        <w:t>decision</w:t>
      </w:r>
      <w:r w:rsidR="00C9492E">
        <w:rPr>
          <w:rFonts w:asciiTheme="majorHAnsi" w:hAnsiTheme="majorHAnsi" w:cs="Helvetica"/>
          <w:lang w:val="en-US"/>
        </w:rPr>
        <w:t>s</w:t>
      </w:r>
      <w:r w:rsidR="00225FC9">
        <w:rPr>
          <w:rFonts w:asciiTheme="majorHAnsi" w:hAnsiTheme="majorHAnsi" w:cs="Helvetica"/>
          <w:lang w:val="en-US"/>
        </w:rPr>
        <w:t xml:space="preserve"> to stop engaging in </w:t>
      </w:r>
      <w:r w:rsidR="00E66CC8">
        <w:rPr>
          <w:rFonts w:asciiTheme="majorHAnsi" w:hAnsiTheme="majorHAnsi" w:cs="Helvetica"/>
          <w:lang w:val="en-US"/>
        </w:rPr>
        <w:t xml:space="preserve">financially motivated </w:t>
      </w:r>
      <w:r w:rsidR="00446911">
        <w:rPr>
          <w:rFonts w:asciiTheme="majorHAnsi" w:hAnsiTheme="majorHAnsi" w:cs="Helvetica"/>
          <w:lang w:val="en-US"/>
        </w:rPr>
        <w:t>RA</w:t>
      </w:r>
      <w:r w:rsidR="003D6A38">
        <w:rPr>
          <w:rFonts w:asciiTheme="majorHAnsi" w:hAnsiTheme="majorHAnsi" w:cs="Helvetica"/>
          <w:lang w:val="en-US"/>
        </w:rPr>
        <w:t xml:space="preserve"> </w:t>
      </w:r>
      <w:r>
        <w:rPr>
          <w:rFonts w:asciiTheme="majorHAnsi" w:hAnsiTheme="majorHAnsi" w:cs="Helvetica"/>
          <w:lang w:val="en-US"/>
        </w:rPr>
        <w:t>in a naturalistic setting</w:t>
      </w:r>
      <w:r w:rsidR="00225FC9">
        <w:rPr>
          <w:rFonts w:asciiTheme="majorHAnsi" w:hAnsiTheme="majorHAnsi" w:cs="Helvetica"/>
          <w:lang w:val="en-US"/>
        </w:rPr>
        <w:t xml:space="preserve">. </w:t>
      </w:r>
      <w:r w:rsidR="004F4CED">
        <w:rPr>
          <w:rFonts w:asciiTheme="majorHAnsi" w:hAnsiTheme="majorHAnsi" w:cs="Helvetica"/>
          <w:lang w:val="en-US"/>
        </w:rPr>
        <w:t xml:space="preserve">We test </w:t>
      </w:r>
      <w:r w:rsidR="00CD41B4">
        <w:rPr>
          <w:rFonts w:asciiTheme="majorHAnsi" w:hAnsiTheme="majorHAnsi" w:cs="Helvetica"/>
          <w:lang w:val="en-US"/>
        </w:rPr>
        <w:t>hypotheses</w:t>
      </w:r>
      <w:r w:rsidR="00B57948">
        <w:rPr>
          <w:rFonts w:asciiTheme="majorHAnsi" w:hAnsiTheme="majorHAnsi" w:cs="Helvetica"/>
          <w:lang w:val="en-US"/>
        </w:rPr>
        <w:t>,</w:t>
      </w:r>
      <w:r w:rsidR="00CD41B4">
        <w:rPr>
          <w:rFonts w:asciiTheme="majorHAnsi" w:hAnsiTheme="majorHAnsi" w:cs="Helvetica"/>
          <w:lang w:val="en-US"/>
        </w:rPr>
        <w:t xml:space="preserve"> </w:t>
      </w:r>
      <w:r w:rsidR="006B20E7">
        <w:rPr>
          <w:rFonts w:asciiTheme="majorHAnsi" w:hAnsiTheme="majorHAnsi" w:cs="Helvetica"/>
          <w:lang w:val="en-US"/>
        </w:rPr>
        <w:t>motivated by this research question</w:t>
      </w:r>
      <w:r w:rsidR="00B57948">
        <w:rPr>
          <w:rFonts w:asciiTheme="majorHAnsi" w:hAnsiTheme="majorHAnsi" w:cs="Helvetica"/>
          <w:lang w:val="en-US"/>
        </w:rPr>
        <w:t>,</w:t>
      </w:r>
      <w:r w:rsidR="006B20E7">
        <w:rPr>
          <w:rFonts w:asciiTheme="majorHAnsi" w:hAnsiTheme="majorHAnsi" w:cs="Helvetica"/>
          <w:lang w:val="en-US"/>
        </w:rPr>
        <w:t xml:space="preserve"> </w:t>
      </w:r>
      <w:r w:rsidR="004F4CED">
        <w:rPr>
          <w:rFonts w:asciiTheme="majorHAnsi" w:hAnsiTheme="majorHAnsi" w:cs="Helvetica"/>
          <w:lang w:val="en-US"/>
        </w:rPr>
        <w:t>using a large dataset</w:t>
      </w:r>
      <w:r w:rsidR="0032382A">
        <w:rPr>
          <w:rFonts w:asciiTheme="majorHAnsi" w:hAnsiTheme="majorHAnsi" w:cs="Helvetica"/>
          <w:lang w:val="en-US"/>
        </w:rPr>
        <w:t>:</w:t>
      </w:r>
      <w:r w:rsidR="004F4CED">
        <w:rPr>
          <w:rFonts w:asciiTheme="majorHAnsi" w:hAnsiTheme="majorHAnsi" w:cs="Helvetica"/>
          <w:lang w:val="en-US"/>
        </w:rPr>
        <w:t xml:space="preserve"> </w:t>
      </w:r>
      <w:r w:rsidR="004F4CED">
        <w:rPr>
          <w:rFonts w:asciiTheme="majorHAnsi" w:hAnsiTheme="majorHAnsi"/>
          <w:lang w:val="en-US"/>
        </w:rPr>
        <w:t xml:space="preserve">707,152 </w:t>
      </w:r>
      <w:r w:rsidR="004F4CED">
        <w:rPr>
          <w:rFonts w:asciiTheme="majorHAnsi" w:hAnsiTheme="majorHAnsi" w:cs="Helvetica"/>
          <w:lang w:val="en-US"/>
        </w:rPr>
        <w:t>transactions</w:t>
      </w:r>
      <w:r w:rsidR="00653C45" w:rsidRPr="00653C45">
        <w:rPr>
          <w:rFonts w:asciiTheme="majorHAnsi" w:hAnsiTheme="majorHAnsi"/>
          <w:lang w:val="en-US"/>
        </w:rPr>
        <w:t xml:space="preserve"> </w:t>
      </w:r>
      <w:r w:rsidR="004F4CED">
        <w:rPr>
          <w:rFonts w:asciiTheme="majorHAnsi" w:hAnsiTheme="majorHAnsi" w:cs="Helvetica"/>
          <w:lang w:val="en-US"/>
        </w:rPr>
        <w:t xml:space="preserve">of </w:t>
      </w:r>
      <w:r w:rsidR="004F4CED">
        <w:rPr>
          <w:rFonts w:asciiTheme="majorHAnsi" w:hAnsiTheme="majorHAnsi"/>
          <w:lang w:val="en-US"/>
        </w:rPr>
        <w:t xml:space="preserve">5,379 individual </w:t>
      </w:r>
      <w:r w:rsidR="00653C45">
        <w:rPr>
          <w:rFonts w:asciiTheme="majorHAnsi" w:hAnsiTheme="majorHAnsi"/>
          <w:lang w:val="en-US"/>
        </w:rPr>
        <w:t xml:space="preserve">financial market </w:t>
      </w:r>
      <w:r w:rsidR="004F4CED">
        <w:rPr>
          <w:rFonts w:asciiTheme="majorHAnsi" w:hAnsiTheme="majorHAnsi"/>
          <w:lang w:val="en-US"/>
        </w:rPr>
        <w:t>spread traders</w:t>
      </w:r>
      <w:r w:rsidR="000D336D" w:rsidRPr="000D336D">
        <w:rPr>
          <w:rFonts w:asciiTheme="majorHAnsi" w:hAnsiTheme="majorHAnsi"/>
          <w:lang w:val="en-US"/>
        </w:rPr>
        <w:t xml:space="preserve"> </w:t>
      </w:r>
      <w:r w:rsidR="000D336D">
        <w:rPr>
          <w:rFonts w:asciiTheme="majorHAnsi" w:hAnsiTheme="majorHAnsi"/>
          <w:lang w:val="en-US"/>
        </w:rPr>
        <w:t>between September 2004 and April 2013</w:t>
      </w:r>
      <w:r w:rsidR="000579B7">
        <w:rPr>
          <w:rFonts w:asciiTheme="majorHAnsi" w:hAnsiTheme="majorHAnsi"/>
          <w:lang w:val="en-US"/>
        </w:rPr>
        <w:t>.</w:t>
      </w:r>
      <w:r w:rsidR="004F4CED">
        <w:rPr>
          <w:rFonts w:asciiTheme="majorHAnsi" w:hAnsiTheme="majorHAnsi"/>
          <w:lang w:val="en-US"/>
        </w:rPr>
        <w:t xml:space="preserve"> </w:t>
      </w:r>
      <w:bookmarkStart w:id="1" w:name="OLE_LINK3"/>
      <w:r w:rsidR="001E5962">
        <w:rPr>
          <w:rFonts w:asciiTheme="majorHAnsi" w:hAnsiTheme="majorHAnsi" w:cs="Helvetica"/>
        </w:rPr>
        <w:t>T</w:t>
      </w:r>
      <w:r w:rsidR="001E5962" w:rsidRPr="00306807">
        <w:rPr>
          <w:rFonts w:asciiTheme="majorHAnsi" w:hAnsiTheme="majorHAnsi" w:cs="Helvetica"/>
        </w:rPr>
        <w:t xml:space="preserve">he results </w:t>
      </w:r>
      <w:r w:rsidR="001E5962">
        <w:rPr>
          <w:rFonts w:asciiTheme="majorHAnsi" w:hAnsiTheme="majorHAnsi" w:cs="Helvetica"/>
        </w:rPr>
        <w:t xml:space="preserve">indicate </w:t>
      </w:r>
      <w:r w:rsidR="00307394">
        <w:rPr>
          <w:rFonts w:asciiTheme="majorHAnsi" w:hAnsiTheme="majorHAnsi" w:cs="Helvetica"/>
        </w:rPr>
        <w:t xml:space="preserve">strong effects of changes in wealth around the break-even point on the decision to cease </w:t>
      </w:r>
      <w:r w:rsidR="00AD6BB4">
        <w:rPr>
          <w:rFonts w:asciiTheme="majorHAnsi" w:hAnsiTheme="majorHAnsi" w:cs="Helvetica"/>
        </w:rPr>
        <w:t>a</w:t>
      </w:r>
      <w:r w:rsidR="00307394">
        <w:rPr>
          <w:rFonts w:asciiTheme="majorHAnsi" w:hAnsiTheme="majorHAnsi" w:cs="Helvetica"/>
        </w:rPr>
        <w:t xml:space="preserve"> RA.</w:t>
      </w:r>
      <w:r w:rsidR="00653C45">
        <w:rPr>
          <w:rFonts w:asciiTheme="majorHAnsi" w:hAnsiTheme="majorHAnsi" w:cs="Helvetica"/>
        </w:rPr>
        <w:t xml:space="preserve"> </w:t>
      </w:r>
      <w:r w:rsidR="001E5962" w:rsidRPr="00306807">
        <w:rPr>
          <w:rFonts w:asciiTheme="majorHAnsi" w:hAnsiTheme="majorHAnsi" w:cs="Helvetica"/>
        </w:rPr>
        <w:t xml:space="preserve">An important mediating factor was the </w:t>
      </w:r>
      <w:r w:rsidR="001E5962">
        <w:rPr>
          <w:rFonts w:asciiTheme="majorHAnsi" w:hAnsiTheme="majorHAnsi" w:cs="Helvetica"/>
        </w:rPr>
        <w:t>individual</w:t>
      </w:r>
      <w:r w:rsidR="001E5962" w:rsidRPr="00306807">
        <w:rPr>
          <w:rFonts w:asciiTheme="majorHAnsi" w:hAnsiTheme="majorHAnsi" w:cs="Helvetica"/>
        </w:rPr>
        <w:t>'s</w:t>
      </w:r>
      <w:r w:rsidR="00307394">
        <w:rPr>
          <w:rFonts w:asciiTheme="majorHAnsi" w:hAnsiTheme="majorHAnsi" w:cs="Helvetica"/>
        </w:rPr>
        <w:t xml:space="preserve"> </w:t>
      </w:r>
      <w:r w:rsidR="00653C45">
        <w:rPr>
          <w:rFonts w:asciiTheme="majorHAnsi" w:hAnsiTheme="majorHAnsi" w:cs="Helvetica"/>
        </w:rPr>
        <w:t>historical</w:t>
      </w:r>
      <w:r w:rsidR="001E5962">
        <w:rPr>
          <w:rFonts w:asciiTheme="majorHAnsi" w:hAnsiTheme="majorHAnsi" w:cs="Helvetica"/>
        </w:rPr>
        <w:t xml:space="preserve"> </w:t>
      </w:r>
      <w:r w:rsidR="00C25299">
        <w:rPr>
          <w:rFonts w:asciiTheme="majorHAnsi" w:hAnsiTheme="majorHAnsi" w:cs="Helvetica"/>
        </w:rPr>
        <w:t>long</w:t>
      </w:r>
      <w:r w:rsidR="001E5962">
        <w:rPr>
          <w:rFonts w:asciiTheme="majorHAnsi" w:hAnsiTheme="majorHAnsi" w:cs="Helvetica"/>
        </w:rPr>
        <w:t>-</w:t>
      </w:r>
      <w:r w:rsidR="001E5962" w:rsidRPr="00306807">
        <w:rPr>
          <w:rFonts w:asciiTheme="majorHAnsi" w:hAnsiTheme="majorHAnsi" w:cs="Helvetica"/>
        </w:rPr>
        <w:t>term</w:t>
      </w:r>
      <w:r w:rsidR="00C25299">
        <w:rPr>
          <w:rFonts w:asciiTheme="majorHAnsi" w:hAnsiTheme="majorHAnsi" w:cs="Helvetica"/>
        </w:rPr>
        <w:t xml:space="preserve"> </w:t>
      </w:r>
      <w:r w:rsidR="00307394">
        <w:rPr>
          <w:rFonts w:asciiTheme="majorHAnsi" w:hAnsiTheme="majorHAnsi" w:cs="Helvetica"/>
        </w:rPr>
        <w:t>performance</w:t>
      </w:r>
      <w:r w:rsidR="001E5962" w:rsidRPr="00306807">
        <w:rPr>
          <w:rFonts w:asciiTheme="majorHAnsi" w:hAnsiTheme="majorHAnsi" w:cs="Helvetica"/>
        </w:rPr>
        <w:t xml:space="preserve">. Those </w:t>
      </w:r>
      <w:r w:rsidR="001E5962">
        <w:rPr>
          <w:rFonts w:asciiTheme="majorHAnsi" w:hAnsiTheme="majorHAnsi" w:cs="Helvetica"/>
        </w:rPr>
        <w:t xml:space="preserve">with a more profitable trading history </w:t>
      </w:r>
      <w:r w:rsidR="001E5962" w:rsidRPr="00306807">
        <w:rPr>
          <w:rFonts w:asciiTheme="majorHAnsi" w:hAnsiTheme="majorHAnsi" w:cs="Helvetica"/>
        </w:rPr>
        <w:t xml:space="preserve">were less affected by a fall in cash-balance below the break-even point compared to those </w:t>
      </w:r>
      <w:r w:rsidR="001E5962">
        <w:rPr>
          <w:rFonts w:asciiTheme="majorHAnsi" w:hAnsiTheme="majorHAnsi" w:cs="Helvetica"/>
        </w:rPr>
        <w:t>who had been less profitable</w:t>
      </w:r>
      <w:r w:rsidR="001E5962" w:rsidRPr="00306807">
        <w:rPr>
          <w:rFonts w:asciiTheme="majorHAnsi" w:hAnsiTheme="majorHAnsi" w:cs="Helvetica"/>
        </w:rPr>
        <w:t>.</w:t>
      </w:r>
      <w:r w:rsidR="001E5962">
        <w:rPr>
          <w:rFonts w:asciiTheme="majorHAnsi" w:hAnsiTheme="majorHAnsi" w:cs="Helvetica"/>
        </w:rPr>
        <w:t xml:space="preserve"> </w:t>
      </w:r>
      <w:r w:rsidR="000579B7">
        <w:rPr>
          <w:rFonts w:asciiTheme="majorHAnsi" w:hAnsiTheme="majorHAnsi" w:cs="Helvetica"/>
        </w:rPr>
        <w:t xml:space="preserve">We observe that </w:t>
      </w:r>
      <w:r w:rsidR="00554F17">
        <w:rPr>
          <w:rFonts w:asciiTheme="majorHAnsi" w:hAnsiTheme="majorHAnsi" w:cs="Helvetica"/>
        </w:rPr>
        <w:t>break-even points</w:t>
      </w:r>
      <w:r w:rsidR="000579B7">
        <w:rPr>
          <w:rFonts w:asciiTheme="majorHAnsi" w:hAnsiTheme="majorHAnsi" w:cs="Helvetica"/>
        </w:rPr>
        <w:t xml:space="preserve"> play an important</w:t>
      </w:r>
      <w:r w:rsidR="00554F17">
        <w:rPr>
          <w:rFonts w:asciiTheme="majorHAnsi" w:hAnsiTheme="majorHAnsi" w:cs="Helvetica"/>
        </w:rPr>
        <w:t xml:space="preserve"> </w:t>
      </w:r>
      <w:r w:rsidR="000579B7">
        <w:rPr>
          <w:rFonts w:asciiTheme="majorHAnsi" w:hAnsiTheme="majorHAnsi" w:cs="Helvetica"/>
        </w:rPr>
        <w:t xml:space="preserve">role in the decision </w:t>
      </w:r>
      <w:r w:rsidR="002F24A0">
        <w:rPr>
          <w:rFonts w:asciiTheme="majorHAnsi" w:hAnsiTheme="majorHAnsi" w:cs="Helvetica"/>
        </w:rPr>
        <w:t xml:space="preserve">of non-pathological risk-takers </w:t>
      </w:r>
      <w:r w:rsidR="000579B7">
        <w:rPr>
          <w:rFonts w:asciiTheme="majorHAnsi" w:hAnsiTheme="majorHAnsi" w:cs="Helvetica"/>
        </w:rPr>
        <w:t xml:space="preserve">to stop RAs. It is possible, therefore, that </w:t>
      </w:r>
      <w:r w:rsidR="00B53647">
        <w:rPr>
          <w:rFonts w:asciiTheme="majorHAnsi" w:hAnsiTheme="majorHAnsi" w:cs="Helvetica"/>
        </w:rPr>
        <w:t>these non</w:t>
      </w:r>
      <w:r w:rsidR="00C25299">
        <w:rPr>
          <w:rFonts w:asciiTheme="majorHAnsi" w:hAnsiTheme="majorHAnsi" w:cs="Helvetica"/>
        </w:rPr>
        <w:t>-pathological cognitive processes,</w:t>
      </w:r>
      <w:r w:rsidR="00446911">
        <w:rPr>
          <w:rFonts w:asciiTheme="majorHAnsi" w:hAnsiTheme="majorHAnsi" w:cs="Helvetica"/>
        </w:rPr>
        <w:t xml:space="preserve"> when occurring in </w:t>
      </w:r>
      <w:r w:rsidR="00C25299">
        <w:rPr>
          <w:rFonts w:asciiTheme="majorHAnsi" w:hAnsiTheme="majorHAnsi" w:cs="Helvetica"/>
        </w:rPr>
        <w:t xml:space="preserve">extrema, </w:t>
      </w:r>
      <w:r w:rsidR="00446911">
        <w:rPr>
          <w:rFonts w:asciiTheme="majorHAnsi" w:hAnsiTheme="majorHAnsi" w:cs="Helvetica"/>
        </w:rPr>
        <w:t>may</w:t>
      </w:r>
      <w:r w:rsidR="00C25299">
        <w:rPr>
          <w:rFonts w:asciiTheme="majorHAnsi" w:hAnsiTheme="majorHAnsi" w:cs="Helvetica"/>
        </w:rPr>
        <w:t xml:space="preserve"> </w:t>
      </w:r>
      <w:r w:rsidR="000579B7">
        <w:rPr>
          <w:rFonts w:asciiTheme="majorHAnsi" w:hAnsiTheme="majorHAnsi" w:cs="Helvetica"/>
        </w:rPr>
        <w:t xml:space="preserve">result in </w:t>
      </w:r>
      <w:r w:rsidR="00C25299">
        <w:rPr>
          <w:rFonts w:asciiTheme="majorHAnsi" w:hAnsiTheme="majorHAnsi" w:cs="Helvetica"/>
        </w:rPr>
        <w:t xml:space="preserve">pathological gambling </w:t>
      </w:r>
      <w:r w:rsidR="000579B7">
        <w:rPr>
          <w:rFonts w:asciiTheme="majorHAnsi" w:hAnsiTheme="majorHAnsi" w:cs="Helvetica"/>
        </w:rPr>
        <w:t>behavior such as ‘chasing’</w:t>
      </w:r>
      <w:r w:rsidR="00C25299">
        <w:rPr>
          <w:rFonts w:asciiTheme="majorHAnsi" w:hAnsiTheme="majorHAnsi" w:cs="Helvetica"/>
        </w:rPr>
        <w:t>.</w:t>
      </w:r>
      <w:r w:rsidR="00D41683">
        <w:rPr>
          <w:rFonts w:asciiTheme="majorHAnsi" w:hAnsiTheme="majorHAnsi" w:cs="Helvetica"/>
        </w:rPr>
        <w:t xml:space="preserve"> </w:t>
      </w:r>
      <w:r w:rsidR="001E5D87">
        <w:rPr>
          <w:rFonts w:asciiTheme="majorHAnsi" w:hAnsiTheme="majorHAnsi" w:cs="Helvetica"/>
        </w:rPr>
        <w:t>O</w:t>
      </w:r>
      <w:r w:rsidR="00D41683">
        <w:rPr>
          <w:rFonts w:asciiTheme="majorHAnsi" w:hAnsiTheme="majorHAnsi" w:cs="Helvetica"/>
        </w:rPr>
        <w:t xml:space="preserve">ur dataset focuses on </w:t>
      </w:r>
      <w:r w:rsidR="0032382A">
        <w:rPr>
          <w:rFonts w:asciiTheme="majorHAnsi" w:hAnsiTheme="majorHAnsi" w:cs="Helvetica"/>
        </w:rPr>
        <w:t xml:space="preserve">RAs </w:t>
      </w:r>
      <w:r w:rsidR="00D41683">
        <w:rPr>
          <w:rFonts w:asciiTheme="majorHAnsi" w:hAnsiTheme="majorHAnsi" w:cs="Helvetica"/>
        </w:rPr>
        <w:t>in financial markets</w:t>
      </w:r>
      <w:r w:rsidR="001E5D87">
        <w:rPr>
          <w:rFonts w:asciiTheme="majorHAnsi" w:hAnsiTheme="majorHAnsi" w:cs="Helvetica"/>
        </w:rPr>
        <w:t xml:space="preserve"> and, consequently,</w:t>
      </w:r>
      <w:r w:rsidR="00D41683">
        <w:rPr>
          <w:rFonts w:asciiTheme="majorHAnsi" w:hAnsiTheme="majorHAnsi" w:cs="Helvetica"/>
        </w:rPr>
        <w:t xml:space="preserve"> </w:t>
      </w:r>
      <w:r w:rsidR="00C25299">
        <w:rPr>
          <w:rFonts w:asciiTheme="majorHAnsi" w:hAnsiTheme="majorHAnsi" w:cs="Helvetica"/>
        </w:rPr>
        <w:t>we discuss the</w:t>
      </w:r>
      <w:r w:rsidR="00D41683">
        <w:rPr>
          <w:rFonts w:asciiTheme="majorHAnsi" w:hAnsiTheme="majorHAnsi" w:cs="Helvetica"/>
        </w:rPr>
        <w:t xml:space="preserve"> implications for</w:t>
      </w:r>
      <w:r w:rsidR="001E7B95">
        <w:rPr>
          <w:rFonts w:asciiTheme="majorHAnsi" w:hAnsiTheme="majorHAnsi" w:cs="Helvetica"/>
        </w:rPr>
        <w:t xml:space="preserve"> institutions and regulators in</w:t>
      </w:r>
      <w:r w:rsidR="00D41683">
        <w:rPr>
          <w:rFonts w:asciiTheme="majorHAnsi" w:hAnsiTheme="majorHAnsi" w:cs="Helvetica"/>
        </w:rPr>
        <w:t xml:space="preserve"> the </w:t>
      </w:r>
      <w:r w:rsidR="0032382A">
        <w:rPr>
          <w:rFonts w:asciiTheme="majorHAnsi" w:hAnsiTheme="majorHAnsi" w:cs="Helvetica"/>
        </w:rPr>
        <w:t>effective management</w:t>
      </w:r>
      <w:r w:rsidR="00EB161F">
        <w:rPr>
          <w:rFonts w:asciiTheme="majorHAnsi" w:hAnsiTheme="majorHAnsi" w:cs="Helvetica"/>
        </w:rPr>
        <w:t xml:space="preserve"> of </w:t>
      </w:r>
      <w:r w:rsidR="0032382A">
        <w:rPr>
          <w:rFonts w:asciiTheme="majorHAnsi" w:hAnsiTheme="majorHAnsi" w:cs="Helvetica"/>
        </w:rPr>
        <w:t xml:space="preserve">risk taking in </w:t>
      </w:r>
      <w:r w:rsidR="00EB161F">
        <w:rPr>
          <w:rFonts w:asciiTheme="majorHAnsi" w:hAnsiTheme="majorHAnsi" w:cs="Helvetica"/>
        </w:rPr>
        <w:t xml:space="preserve">markets. </w:t>
      </w:r>
      <w:r w:rsidR="001E5D87">
        <w:rPr>
          <w:rFonts w:asciiTheme="majorHAnsi" w:hAnsiTheme="majorHAnsi" w:cs="Helvetica"/>
        </w:rPr>
        <w:t>We also suggest</w:t>
      </w:r>
      <w:r w:rsidR="00A84F6C">
        <w:rPr>
          <w:rFonts w:asciiTheme="majorHAnsi" w:hAnsiTheme="majorHAnsi" w:cs="Helvetica"/>
        </w:rPr>
        <w:t xml:space="preserve"> that there may be a</w:t>
      </w:r>
      <w:r w:rsidR="001E5D87">
        <w:rPr>
          <w:rFonts w:asciiTheme="majorHAnsi" w:hAnsiTheme="majorHAnsi" w:cs="Helvetica"/>
        </w:rPr>
        <w:t xml:space="preserve"> need to consider carefully the</w:t>
      </w:r>
      <w:r w:rsidR="008803C5">
        <w:rPr>
          <w:rFonts w:asciiTheme="majorHAnsi" w:hAnsiTheme="majorHAnsi" w:cs="Helvetica"/>
        </w:rPr>
        <w:t xml:space="preserve"> nature and</w:t>
      </w:r>
      <w:r w:rsidR="001E5D87">
        <w:rPr>
          <w:rFonts w:asciiTheme="majorHAnsi" w:hAnsiTheme="majorHAnsi" w:cs="Helvetica"/>
        </w:rPr>
        <w:t xml:space="preserve"> role of ‘break-even points’ associated with a </w:t>
      </w:r>
      <w:r w:rsidR="008803C5">
        <w:rPr>
          <w:rFonts w:asciiTheme="majorHAnsi" w:hAnsiTheme="majorHAnsi" w:cs="Helvetica"/>
        </w:rPr>
        <w:t xml:space="preserve">broader </w:t>
      </w:r>
      <w:r w:rsidR="001E5D87">
        <w:rPr>
          <w:rFonts w:asciiTheme="majorHAnsi" w:hAnsiTheme="majorHAnsi" w:cs="Helvetica"/>
        </w:rPr>
        <w:t xml:space="preserve">range of </w:t>
      </w:r>
      <w:r w:rsidR="00A84F6C">
        <w:rPr>
          <w:rFonts w:asciiTheme="majorHAnsi" w:hAnsiTheme="majorHAnsi" w:cs="Helvetica"/>
        </w:rPr>
        <w:t xml:space="preserve">non-financially-focussed </w:t>
      </w:r>
      <w:r w:rsidR="001E5D87">
        <w:rPr>
          <w:rFonts w:asciiTheme="majorHAnsi" w:hAnsiTheme="majorHAnsi" w:cs="Helvetica"/>
        </w:rPr>
        <w:t>risk taking activities</w:t>
      </w:r>
      <w:r w:rsidR="008803C5">
        <w:rPr>
          <w:rFonts w:asciiTheme="majorHAnsi" w:hAnsiTheme="majorHAnsi" w:cs="Helvetica"/>
        </w:rPr>
        <w:t>, such as smoking and substance abuse.</w:t>
      </w:r>
      <w:r w:rsidR="001E5D87">
        <w:rPr>
          <w:rFonts w:asciiTheme="majorHAnsi" w:hAnsiTheme="majorHAnsi" w:cs="Helvetica"/>
        </w:rPr>
        <w:t xml:space="preserve"> </w:t>
      </w:r>
    </w:p>
    <w:bookmarkEnd w:id="1"/>
    <w:p w14:paraId="4DFBEA92" w14:textId="77777777" w:rsidR="00E40148" w:rsidRDefault="00E40148">
      <w:pPr>
        <w:rPr>
          <w:rFonts w:asciiTheme="majorHAnsi" w:hAnsiTheme="majorHAnsi"/>
          <w:b/>
        </w:rPr>
      </w:pPr>
    </w:p>
    <w:p w14:paraId="51577C92" w14:textId="77777777" w:rsidR="00E40148" w:rsidRDefault="00E40148">
      <w:pPr>
        <w:rPr>
          <w:rFonts w:asciiTheme="majorHAnsi" w:hAnsiTheme="majorHAnsi"/>
          <w:b/>
        </w:rPr>
      </w:pPr>
    </w:p>
    <w:p w14:paraId="1C796ED1" w14:textId="556C3229" w:rsidR="00B57948" w:rsidRDefault="00EE5149">
      <w:pPr>
        <w:rPr>
          <w:rFonts w:asciiTheme="majorHAnsi" w:hAnsiTheme="majorHAnsi"/>
          <w:b/>
        </w:rPr>
      </w:pPr>
      <w:r>
        <w:rPr>
          <w:rFonts w:asciiTheme="majorHAnsi" w:hAnsiTheme="majorHAnsi"/>
          <w:b/>
        </w:rPr>
        <w:t>Key words:</w:t>
      </w:r>
      <w:r>
        <w:rPr>
          <w:rFonts w:asciiTheme="majorHAnsi" w:hAnsiTheme="majorHAnsi"/>
        </w:rPr>
        <w:t xml:space="preserve"> Break-even effects, ceasing a risky activity, mental models</w:t>
      </w:r>
      <w:r w:rsidR="00B57948">
        <w:rPr>
          <w:rFonts w:asciiTheme="majorHAnsi" w:hAnsiTheme="majorHAnsi"/>
          <w:b/>
        </w:rPr>
        <w:br w:type="page"/>
      </w:r>
    </w:p>
    <w:p w14:paraId="79FC92E0" w14:textId="77777777" w:rsidR="00BC6798" w:rsidRDefault="00BC6798" w:rsidP="00BC6798">
      <w:pPr>
        <w:spacing w:line="480" w:lineRule="auto"/>
        <w:rPr>
          <w:rFonts w:asciiTheme="majorHAnsi" w:hAnsiTheme="majorHAnsi"/>
          <w:b/>
        </w:rPr>
      </w:pPr>
      <w:r w:rsidRPr="00306807">
        <w:rPr>
          <w:rFonts w:asciiTheme="majorHAnsi" w:hAnsiTheme="majorHAnsi"/>
          <w:b/>
        </w:rPr>
        <w:lastRenderedPageBreak/>
        <w:t>1 INTRODUCTION</w:t>
      </w:r>
    </w:p>
    <w:p w14:paraId="0BED1A15" w14:textId="319EA2CD" w:rsidR="00711728" w:rsidRDefault="009856D1" w:rsidP="00B6139B">
      <w:pPr>
        <w:spacing w:after="0" w:line="480" w:lineRule="auto"/>
        <w:rPr>
          <w:rFonts w:asciiTheme="majorHAnsi" w:hAnsiTheme="majorHAnsi"/>
        </w:rPr>
      </w:pPr>
      <w:r>
        <w:rPr>
          <w:rFonts w:asciiTheme="majorHAnsi" w:hAnsiTheme="majorHAnsi"/>
        </w:rPr>
        <w:t>Engag</w:t>
      </w:r>
      <w:r w:rsidR="00B0338F">
        <w:rPr>
          <w:rFonts w:asciiTheme="majorHAnsi" w:hAnsiTheme="majorHAnsi"/>
        </w:rPr>
        <w:t>ing</w:t>
      </w:r>
      <w:r>
        <w:rPr>
          <w:rFonts w:asciiTheme="majorHAnsi" w:hAnsiTheme="majorHAnsi"/>
        </w:rPr>
        <w:t xml:space="preserve"> in </w:t>
      </w:r>
      <w:r>
        <w:rPr>
          <w:rFonts w:asciiTheme="majorHAnsi" w:hAnsiTheme="majorHAnsi" w:cs="Helvetica"/>
          <w:lang w:val="en-US"/>
        </w:rPr>
        <w:t>risky activities (</w:t>
      </w:r>
      <w:r>
        <w:rPr>
          <w:rFonts w:asciiTheme="majorHAnsi" w:hAnsiTheme="majorHAnsi"/>
        </w:rPr>
        <w:t xml:space="preserve">RAs) is </w:t>
      </w:r>
      <w:r w:rsidR="00B0338F">
        <w:rPr>
          <w:rFonts w:asciiTheme="majorHAnsi" w:hAnsiTheme="majorHAnsi"/>
        </w:rPr>
        <w:t xml:space="preserve">vital </w:t>
      </w:r>
      <w:r w:rsidR="00AD6BB4">
        <w:rPr>
          <w:rFonts w:asciiTheme="majorHAnsi" w:hAnsiTheme="majorHAnsi"/>
        </w:rPr>
        <w:t xml:space="preserve">to success in many </w:t>
      </w:r>
      <w:r w:rsidR="00A10E20">
        <w:rPr>
          <w:rFonts w:asciiTheme="majorHAnsi" w:hAnsiTheme="majorHAnsi"/>
        </w:rPr>
        <w:t>spheres</w:t>
      </w:r>
      <w:r>
        <w:rPr>
          <w:rFonts w:asciiTheme="majorHAnsi" w:hAnsiTheme="majorHAnsi"/>
        </w:rPr>
        <w:t xml:space="preserve">. </w:t>
      </w:r>
      <w:r w:rsidR="00B0338F">
        <w:rPr>
          <w:rFonts w:asciiTheme="majorHAnsi" w:hAnsiTheme="majorHAnsi"/>
        </w:rPr>
        <w:t xml:space="preserve">However, where behaviour related to </w:t>
      </w:r>
      <w:r>
        <w:rPr>
          <w:rFonts w:asciiTheme="majorHAnsi" w:hAnsiTheme="majorHAnsi"/>
        </w:rPr>
        <w:t>R</w:t>
      </w:r>
      <w:r w:rsidR="00B0338F">
        <w:rPr>
          <w:rFonts w:asciiTheme="majorHAnsi" w:hAnsiTheme="majorHAnsi"/>
        </w:rPr>
        <w:t>A</w:t>
      </w:r>
      <w:r>
        <w:rPr>
          <w:rFonts w:asciiTheme="majorHAnsi" w:hAnsiTheme="majorHAnsi"/>
        </w:rPr>
        <w:t>s</w:t>
      </w:r>
      <w:r w:rsidR="00B0338F">
        <w:rPr>
          <w:rFonts w:asciiTheme="majorHAnsi" w:hAnsiTheme="majorHAnsi"/>
        </w:rPr>
        <w:t xml:space="preserve"> has been scrutinised</w:t>
      </w:r>
      <w:r w:rsidR="0032382A">
        <w:rPr>
          <w:rFonts w:asciiTheme="majorHAnsi" w:hAnsiTheme="majorHAnsi"/>
        </w:rPr>
        <w:t xml:space="preserve"> (e.g., </w:t>
      </w:r>
      <w:r w:rsidR="00AD6BB4">
        <w:rPr>
          <w:rFonts w:asciiTheme="majorHAnsi" w:hAnsiTheme="majorHAnsi"/>
        </w:rPr>
        <w:t xml:space="preserve">in </w:t>
      </w:r>
      <w:r w:rsidR="00B0338F" w:rsidRPr="00306807">
        <w:rPr>
          <w:rFonts w:asciiTheme="majorHAnsi" w:hAnsiTheme="majorHAnsi"/>
        </w:rPr>
        <w:t>financial market</w:t>
      </w:r>
      <w:r w:rsidR="00B0338F">
        <w:rPr>
          <w:rFonts w:asciiTheme="majorHAnsi" w:hAnsiTheme="majorHAnsi"/>
        </w:rPr>
        <w:t xml:space="preserve"> </w:t>
      </w:r>
      <w:r w:rsidR="006B20E7">
        <w:rPr>
          <w:rFonts w:asciiTheme="majorHAnsi" w:hAnsiTheme="majorHAnsi"/>
        </w:rPr>
        <w:t xml:space="preserve">trading </w:t>
      </w:r>
      <w:r w:rsidR="00335032">
        <w:rPr>
          <w:rFonts w:asciiTheme="majorHAnsi" w:hAnsiTheme="majorHAnsi"/>
        </w:rPr>
        <w:t xml:space="preserve">or </w:t>
      </w:r>
      <w:r w:rsidR="00335032" w:rsidRPr="00306807">
        <w:rPr>
          <w:rFonts w:asciiTheme="majorHAnsi" w:hAnsiTheme="majorHAnsi"/>
        </w:rPr>
        <w:t xml:space="preserve">gambling </w:t>
      </w:r>
      <w:r w:rsidR="0032382A">
        <w:rPr>
          <w:rFonts w:asciiTheme="majorHAnsi" w:hAnsiTheme="majorHAnsi"/>
        </w:rPr>
        <w:t>activity)</w:t>
      </w:r>
      <w:r w:rsidR="00604DF9">
        <w:rPr>
          <w:rFonts w:asciiTheme="majorHAnsi" w:hAnsiTheme="majorHAnsi"/>
        </w:rPr>
        <w:t xml:space="preserve">, </w:t>
      </w:r>
      <w:r w:rsidR="00335032" w:rsidRPr="00306807">
        <w:rPr>
          <w:rFonts w:asciiTheme="majorHAnsi" w:hAnsiTheme="majorHAnsi"/>
        </w:rPr>
        <w:t>rogue traders</w:t>
      </w:r>
      <w:r w:rsidR="00335032">
        <w:rPr>
          <w:rFonts w:asciiTheme="majorHAnsi" w:hAnsiTheme="majorHAnsi"/>
        </w:rPr>
        <w:t xml:space="preserve"> or </w:t>
      </w:r>
      <w:r w:rsidR="00EE29A2" w:rsidRPr="00306807">
        <w:rPr>
          <w:rFonts w:asciiTheme="majorHAnsi" w:hAnsiTheme="majorHAnsi"/>
        </w:rPr>
        <w:t xml:space="preserve">pathological gamblers </w:t>
      </w:r>
      <w:r w:rsidR="00AC6229">
        <w:rPr>
          <w:rFonts w:asciiTheme="majorHAnsi" w:hAnsiTheme="majorHAnsi"/>
        </w:rPr>
        <w:t>are found to</w:t>
      </w:r>
      <w:r w:rsidR="00EE29A2" w:rsidRPr="00306807">
        <w:rPr>
          <w:rFonts w:asciiTheme="majorHAnsi" w:hAnsiTheme="majorHAnsi"/>
        </w:rPr>
        <w:t xml:space="preserve"> continue taking large risks despite incurring </w:t>
      </w:r>
      <w:r w:rsidR="009D1579">
        <w:rPr>
          <w:rFonts w:asciiTheme="majorHAnsi" w:hAnsiTheme="majorHAnsi"/>
        </w:rPr>
        <w:t>heavy</w:t>
      </w:r>
      <w:r w:rsidR="009D1579" w:rsidRPr="00306807">
        <w:rPr>
          <w:rFonts w:asciiTheme="majorHAnsi" w:hAnsiTheme="majorHAnsi"/>
        </w:rPr>
        <w:t xml:space="preserve"> </w:t>
      </w:r>
      <w:r w:rsidR="00EE29A2" w:rsidRPr="00306807">
        <w:rPr>
          <w:rFonts w:asciiTheme="majorHAnsi" w:hAnsiTheme="majorHAnsi"/>
        </w:rPr>
        <w:t>losses</w:t>
      </w:r>
      <w:r w:rsidR="003B7556">
        <w:rPr>
          <w:rFonts w:asciiTheme="majorHAnsi" w:hAnsiTheme="majorHAnsi"/>
        </w:rPr>
        <w:t>, often with devastating outcomes</w:t>
      </w:r>
      <w:r w:rsidR="00AC6229">
        <w:rPr>
          <w:rFonts w:asciiTheme="majorHAnsi" w:hAnsiTheme="majorHAnsi"/>
        </w:rPr>
        <w:t xml:space="preserve">. </w:t>
      </w:r>
      <w:r w:rsidR="0032382A">
        <w:rPr>
          <w:rFonts w:asciiTheme="majorHAnsi" w:hAnsiTheme="majorHAnsi"/>
        </w:rPr>
        <w:t>For example</w:t>
      </w:r>
      <w:r w:rsidR="00332B3F">
        <w:rPr>
          <w:rFonts w:asciiTheme="majorHAnsi" w:hAnsiTheme="majorHAnsi"/>
        </w:rPr>
        <w:t xml:space="preserve">, </w:t>
      </w:r>
      <w:r w:rsidR="000579B7">
        <w:rPr>
          <w:rFonts w:asciiTheme="majorHAnsi" w:hAnsiTheme="majorHAnsi"/>
        </w:rPr>
        <w:t>Nick Leason bankrupt</w:t>
      </w:r>
      <w:r w:rsidR="00332B3F">
        <w:rPr>
          <w:rFonts w:asciiTheme="majorHAnsi" w:hAnsiTheme="majorHAnsi"/>
        </w:rPr>
        <w:t>ed</w:t>
      </w:r>
      <w:r w:rsidR="000579B7">
        <w:rPr>
          <w:rFonts w:asciiTheme="majorHAnsi" w:hAnsiTheme="majorHAnsi"/>
        </w:rPr>
        <w:t xml:space="preserve"> Barings Banks </w:t>
      </w:r>
      <w:r w:rsidR="00AD6BB4">
        <w:rPr>
          <w:rFonts w:asciiTheme="majorHAnsi" w:hAnsiTheme="majorHAnsi"/>
        </w:rPr>
        <w:t>by losing</w:t>
      </w:r>
      <w:r w:rsidR="000579B7">
        <w:rPr>
          <w:rFonts w:asciiTheme="majorHAnsi" w:hAnsiTheme="majorHAnsi"/>
        </w:rPr>
        <w:t xml:space="preserve"> </w:t>
      </w:r>
      <w:r w:rsidR="00BD5BB6">
        <w:rPr>
          <w:rFonts w:asciiTheme="majorHAnsi" w:hAnsiTheme="majorHAnsi"/>
        </w:rPr>
        <w:t>$</w:t>
      </w:r>
      <w:r w:rsidR="00966368">
        <w:rPr>
          <w:rFonts w:asciiTheme="majorHAnsi" w:hAnsiTheme="majorHAnsi"/>
        </w:rPr>
        <w:t>1,074m</w:t>
      </w:r>
      <w:r w:rsidR="00332B3F">
        <w:rPr>
          <w:rFonts w:asciiTheme="majorHAnsi" w:hAnsiTheme="majorHAnsi"/>
        </w:rPr>
        <w:t xml:space="preserve">, </w:t>
      </w:r>
      <w:r w:rsidR="00D26FC4">
        <w:rPr>
          <w:rFonts w:asciiTheme="majorHAnsi" w:hAnsiTheme="majorHAnsi"/>
        </w:rPr>
        <w:t xml:space="preserve">Kwenku </w:t>
      </w:r>
      <w:r w:rsidR="000579B7">
        <w:rPr>
          <w:rFonts w:asciiTheme="majorHAnsi" w:hAnsiTheme="majorHAnsi"/>
        </w:rPr>
        <w:t>Adeboli</w:t>
      </w:r>
      <w:r w:rsidR="00F72414">
        <w:rPr>
          <w:rFonts w:asciiTheme="majorHAnsi" w:hAnsiTheme="majorHAnsi"/>
        </w:rPr>
        <w:t xml:space="preserve"> </w:t>
      </w:r>
      <w:r w:rsidR="00D26FC4">
        <w:rPr>
          <w:rFonts w:asciiTheme="majorHAnsi" w:hAnsiTheme="majorHAnsi"/>
        </w:rPr>
        <w:t>los</w:t>
      </w:r>
      <w:r w:rsidR="00332B3F">
        <w:rPr>
          <w:rFonts w:asciiTheme="majorHAnsi" w:hAnsiTheme="majorHAnsi"/>
        </w:rPr>
        <w:t>t</w:t>
      </w:r>
      <w:r w:rsidR="00D26FC4">
        <w:rPr>
          <w:rFonts w:asciiTheme="majorHAnsi" w:hAnsiTheme="majorHAnsi"/>
        </w:rPr>
        <w:t xml:space="preserve"> UBS </w:t>
      </w:r>
      <w:r w:rsidR="00BD5BB6">
        <w:rPr>
          <w:rFonts w:asciiTheme="majorHAnsi" w:hAnsiTheme="majorHAnsi"/>
        </w:rPr>
        <w:t>$</w:t>
      </w:r>
      <w:r w:rsidR="00966368">
        <w:rPr>
          <w:rFonts w:asciiTheme="majorHAnsi" w:hAnsiTheme="majorHAnsi"/>
        </w:rPr>
        <w:t xml:space="preserve">1.82bn </w:t>
      </w:r>
      <w:r w:rsidR="00D26FC4">
        <w:rPr>
          <w:rFonts w:asciiTheme="majorHAnsi" w:hAnsiTheme="majorHAnsi"/>
        </w:rPr>
        <w:t>and Jerome Kerviel</w:t>
      </w:r>
      <w:r w:rsidR="00332B3F">
        <w:rPr>
          <w:rFonts w:asciiTheme="majorHAnsi" w:hAnsiTheme="majorHAnsi"/>
        </w:rPr>
        <w:t xml:space="preserve"> </w:t>
      </w:r>
      <w:r w:rsidR="00D26FC4">
        <w:rPr>
          <w:rFonts w:asciiTheme="majorHAnsi" w:hAnsiTheme="majorHAnsi"/>
        </w:rPr>
        <w:t>los</w:t>
      </w:r>
      <w:r w:rsidR="00332B3F">
        <w:rPr>
          <w:rFonts w:asciiTheme="majorHAnsi" w:hAnsiTheme="majorHAnsi"/>
        </w:rPr>
        <w:t xml:space="preserve">t </w:t>
      </w:r>
      <w:r w:rsidR="00D26FC4">
        <w:rPr>
          <w:rFonts w:asciiTheme="majorHAnsi" w:hAnsiTheme="majorHAnsi"/>
        </w:rPr>
        <w:t>Soci</w:t>
      </w:r>
      <w:r w:rsidR="00EF1C91">
        <w:rPr>
          <w:rFonts w:asciiTheme="majorHAnsi" w:hAnsiTheme="majorHAnsi"/>
        </w:rPr>
        <w:t>é</w:t>
      </w:r>
      <w:r w:rsidR="00D26FC4">
        <w:rPr>
          <w:rFonts w:asciiTheme="majorHAnsi" w:hAnsiTheme="majorHAnsi"/>
        </w:rPr>
        <w:t>t</w:t>
      </w:r>
      <w:r w:rsidR="00EF1C91">
        <w:rPr>
          <w:rFonts w:asciiTheme="majorHAnsi" w:hAnsiTheme="majorHAnsi"/>
        </w:rPr>
        <w:t xml:space="preserve">é </w:t>
      </w:r>
      <w:r w:rsidR="00D26FC4">
        <w:rPr>
          <w:rFonts w:asciiTheme="majorHAnsi" w:hAnsiTheme="majorHAnsi"/>
        </w:rPr>
        <w:t>G</w:t>
      </w:r>
      <w:r w:rsidR="00EF1C91">
        <w:rPr>
          <w:rFonts w:asciiTheme="majorHAnsi" w:hAnsiTheme="majorHAnsi"/>
        </w:rPr>
        <w:t>é</w:t>
      </w:r>
      <w:r w:rsidR="00D26FC4">
        <w:rPr>
          <w:rFonts w:asciiTheme="majorHAnsi" w:hAnsiTheme="majorHAnsi"/>
        </w:rPr>
        <w:t>n</w:t>
      </w:r>
      <w:r w:rsidR="00EF1C91">
        <w:rPr>
          <w:rFonts w:asciiTheme="majorHAnsi" w:hAnsiTheme="majorHAnsi"/>
        </w:rPr>
        <w:t>é</w:t>
      </w:r>
      <w:r w:rsidR="00D26FC4">
        <w:rPr>
          <w:rFonts w:asciiTheme="majorHAnsi" w:hAnsiTheme="majorHAnsi"/>
        </w:rPr>
        <w:t>ral</w:t>
      </w:r>
      <w:r w:rsidR="00EF1C91">
        <w:rPr>
          <w:rFonts w:asciiTheme="majorHAnsi" w:hAnsiTheme="majorHAnsi"/>
        </w:rPr>
        <w:t>e</w:t>
      </w:r>
      <w:r w:rsidR="00D26FC4">
        <w:rPr>
          <w:rFonts w:asciiTheme="majorHAnsi" w:hAnsiTheme="majorHAnsi"/>
        </w:rPr>
        <w:t xml:space="preserve"> approximately </w:t>
      </w:r>
      <w:r w:rsidR="00966368">
        <w:rPr>
          <w:rFonts w:asciiTheme="majorHAnsi" w:hAnsiTheme="majorHAnsi"/>
        </w:rPr>
        <w:t>$5.75bn</w:t>
      </w:r>
      <w:r w:rsidR="00BD5BB6">
        <w:rPr>
          <w:rFonts w:asciiTheme="majorHAnsi" w:hAnsiTheme="majorHAnsi"/>
        </w:rPr>
        <w:t>.</w:t>
      </w:r>
      <w:r w:rsidR="00966368">
        <w:rPr>
          <w:rFonts w:asciiTheme="majorHAnsi" w:hAnsiTheme="majorHAnsi"/>
        </w:rPr>
        <w:t xml:space="preserve"> </w:t>
      </w:r>
      <w:r w:rsidR="00D66FE3">
        <w:rPr>
          <w:rFonts w:asciiTheme="majorHAnsi" w:hAnsiTheme="majorHAnsi"/>
        </w:rPr>
        <w:t xml:space="preserve"> </w:t>
      </w:r>
      <w:r w:rsidR="004348B2">
        <w:rPr>
          <w:rFonts w:asciiTheme="majorHAnsi" w:hAnsiTheme="majorHAnsi"/>
        </w:rPr>
        <w:t>'</w:t>
      </w:r>
      <w:r w:rsidR="00332B3F">
        <w:rPr>
          <w:rFonts w:asciiTheme="majorHAnsi" w:hAnsiTheme="majorHAnsi"/>
        </w:rPr>
        <w:t>Ch</w:t>
      </w:r>
      <w:r w:rsidR="004348B2">
        <w:rPr>
          <w:rFonts w:asciiTheme="majorHAnsi" w:hAnsiTheme="majorHAnsi"/>
        </w:rPr>
        <w:t xml:space="preserve">asing losses' is </w:t>
      </w:r>
      <w:r w:rsidR="00332B3F">
        <w:rPr>
          <w:rFonts w:asciiTheme="majorHAnsi" w:hAnsiTheme="majorHAnsi"/>
        </w:rPr>
        <w:t xml:space="preserve">also </w:t>
      </w:r>
      <w:r w:rsidR="006550D6">
        <w:rPr>
          <w:rFonts w:asciiTheme="majorHAnsi" w:hAnsiTheme="majorHAnsi"/>
        </w:rPr>
        <w:t>a</w:t>
      </w:r>
      <w:r w:rsidR="00711728">
        <w:rPr>
          <w:rFonts w:asciiTheme="majorHAnsi" w:hAnsiTheme="majorHAnsi"/>
        </w:rPr>
        <w:t xml:space="preserve"> characteristic behavior</w:t>
      </w:r>
      <w:r w:rsidR="006550D6">
        <w:rPr>
          <w:rFonts w:asciiTheme="majorHAnsi" w:hAnsiTheme="majorHAnsi"/>
        </w:rPr>
        <w:t xml:space="preserve"> in problem gambl</w:t>
      </w:r>
      <w:r w:rsidR="00711728">
        <w:rPr>
          <w:rFonts w:asciiTheme="majorHAnsi" w:hAnsiTheme="majorHAnsi"/>
        </w:rPr>
        <w:t>er</w:t>
      </w:r>
      <w:r w:rsidR="00857EE3">
        <w:rPr>
          <w:rFonts w:asciiTheme="majorHAnsi" w:hAnsiTheme="majorHAnsi"/>
        </w:rPr>
        <w:t>s and</w:t>
      </w:r>
      <w:r w:rsidR="006550D6">
        <w:rPr>
          <w:rFonts w:asciiTheme="majorHAnsi" w:hAnsiTheme="majorHAnsi"/>
        </w:rPr>
        <w:t xml:space="preserve"> </w:t>
      </w:r>
      <w:r w:rsidR="00414C39">
        <w:rPr>
          <w:rFonts w:asciiTheme="majorHAnsi" w:hAnsiTheme="majorHAnsi"/>
        </w:rPr>
        <w:t>is a clinical criterion for diagnosing gambling disorders</w:t>
      </w:r>
      <w:r w:rsidR="00E94344">
        <w:rPr>
          <w:rFonts w:asciiTheme="majorHAnsi" w:hAnsiTheme="majorHAnsi"/>
        </w:rPr>
        <w:t>.</w:t>
      </w:r>
      <w:r w:rsidR="00E94344" w:rsidRPr="00275768">
        <w:rPr>
          <w:rFonts w:asciiTheme="majorHAnsi" w:hAnsiTheme="majorHAnsi"/>
          <w:vertAlign w:val="superscript"/>
        </w:rPr>
        <w:t>(1)</w:t>
      </w:r>
      <w:r w:rsidR="00414C39" w:rsidRPr="00275768">
        <w:rPr>
          <w:rFonts w:asciiTheme="majorHAnsi" w:hAnsiTheme="majorHAnsi"/>
          <w:vertAlign w:val="superscript"/>
        </w:rPr>
        <w:t xml:space="preserve"> </w:t>
      </w:r>
      <w:r w:rsidR="00E94344">
        <w:rPr>
          <w:rFonts w:asciiTheme="majorHAnsi" w:hAnsiTheme="majorHAnsi"/>
        </w:rPr>
        <w:t xml:space="preserve"> </w:t>
      </w:r>
      <w:r w:rsidR="00857EE3">
        <w:rPr>
          <w:rFonts w:asciiTheme="majorHAnsi" w:hAnsiTheme="majorHAnsi"/>
        </w:rPr>
        <w:t xml:space="preserve">Thus, at least in problem gamblers, there is a resistance to stopping the RA and this resistance appears to be connected to a desire to break-even </w:t>
      </w:r>
      <w:r w:rsidR="006550D6" w:rsidRPr="00275768">
        <w:rPr>
          <w:rFonts w:asciiTheme="majorHAnsi" w:hAnsiTheme="majorHAnsi"/>
          <w:vertAlign w:val="superscript"/>
        </w:rPr>
        <w:t>(</w:t>
      </w:r>
      <w:r w:rsidR="00E94344">
        <w:rPr>
          <w:rFonts w:asciiTheme="majorHAnsi" w:hAnsiTheme="majorHAnsi"/>
          <w:vertAlign w:val="superscript"/>
        </w:rPr>
        <w:t>2</w:t>
      </w:r>
      <w:r w:rsidR="000B57A7">
        <w:rPr>
          <w:rFonts w:asciiTheme="majorHAnsi" w:hAnsiTheme="majorHAnsi"/>
          <w:vertAlign w:val="superscript"/>
        </w:rPr>
        <w:t>-</w:t>
      </w:r>
      <w:r w:rsidR="00E94344">
        <w:rPr>
          <w:rFonts w:asciiTheme="majorHAnsi" w:hAnsiTheme="majorHAnsi"/>
          <w:vertAlign w:val="superscript"/>
        </w:rPr>
        <w:t>6</w:t>
      </w:r>
      <w:r w:rsidR="006550D6" w:rsidRPr="00275768">
        <w:rPr>
          <w:rFonts w:asciiTheme="majorHAnsi" w:hAnsiTheme="majorHAnsi"/>
          <w:vertAlign w:val="superscript"/>
        </w:rPr>
        <w:t>)</w:t>
      </w:r>
      <w:r w:rsidR="00711728">
        <w:rPr>
          <w:rFonts w:asciiTheme="majorHAnsi" w:hAnsiTheme="majorHAnsi"/>
        </w:rPr>
        <w:t>.</w:t>
      </w:r>
      <w:r w:rsidR="00AD6BB4">
        <w:rPr>
          <w:rFonts w:asciiTheme="majorHAnsi" w:hAnsiTheme="majorHAnsi"/>
        </w:rPr>
        <w:t xml:space="preserve"> Given the importance of successful engagement in </w:t>
      </w:r>
      <w:r w:rsidR="0032382A">
        <w:rPr>
          <w:rFonts w:asciiTheme="majorHAnsi" w:hAnsiTheme="majorHAnsi"/>
        </w:rPr>
        <w:t xml:space="preserve">a broad range of </w:t>
      </w:r>
      <w:r w:rsidR="00AD6BB4">
        <w:rPr>
          <w:rFonts w:asciiTheme="majorHAnsi" w:hAnsiTheme="majorHAnsi"/>
        </w:rPr>
        <w:t xml:space="preserve">RAs, </w:t>
      </w:r>
      <w:r w:rsidR="00DA423C">
        <w:rPr>
          <w:rFonts w:asciiTheme="majorHAnsi" w:hAnsiTheme="majorHAnsi"/>
        </w:rPr>
        <w:t xml:space="preserve">greater understanding of the </w:t>
      </w:r>
      <w:r w:rsidR="00857EE3">
        <w:rPr>
          <w:rFonts w:asciiTheme="majorHAnsi" w:hAnsiTheme="majorHAnsi"/>
        </w:rPr>
        <w:t xml:space="preserve">wider </w:t>
      </w:r>
      <w:r w:rsidR="00DA423C">
        <w:rPr>
          <w:rFonts w:asciiTheme="majorHAnsi" w:hAnsiTheme="majorHAnsi"/>
        </w:rPr>
        <w:t>impact of break-even points is needed.</w:t>
      </w:r>
    </w:p>
    <w:p w14:paraId="0C86CCD0" w14:textId="04134429" w:rsidR="0092161A" w:rsidRPr="00FC6DF5" w:rsidRDefault="00857EE3" w:rsidP="007057AF">
      <w:pPr>
        <w:spacing w:after="0" w:line="480" w:lineRule="auto"/>
        <w:ind w:firstLine="720"/>
        <w:rPr>
          <w:rFonts w:asciiTheme="majorHAnsi" w:eastAsia="Calibri" w:hAnsiTheme="majorHAnsi" w:cs="Cordia New"/>
          <w:lang w:bidi="th-TH"/>
        </w:rPr>
      </w:pPr>
      <w:r>
        <w:rPr>
          <w:rFonts w:asciiTheme="majorHAnsi" w:hAnsiTheme="majorHAnsi"/>
        </w:rPr>
        <w:t>R</w:t>
      </w:r>
      <w:r w:rsidR="00711728">
        <w:rPr>
          <w:rFonts w:asciiTheme="majorHAnsi" w:hAnsiTheme="majorHAnsi"/>
        </w:rPr>
        <w:t>esist</w:t>
      </w:r>
      <w:r w:rsidR="004B7C09">
        <w:rPr>
          <w:rFonts w:asciiTheme="majorHAnsi" w:hAnsiTheme="majorHAnsi"/>
        </w:rPr>
        <w:t>ance to</w:t>
      </w:r>
      <w:r w:rsidR="00711728">
        <w:rPr>
          <w:rFonts w:asciiTheme="majorHAnsi" w:hAnsiTheme="majorHAnsi"/>
        </w:rPr>
        <w:t xml:space="preserve"> </w:t>
      </w:r>
      <w:r w:rsidR="004348B2">
        <w:rPr>
          <w:rFonts w:asciiTheme="majorHAnsi" w:hAnsiTheme="majorHAnsi"/>
        </w:rPr>
        <w:t xml:space="preserve">ceasing </w:t>
      </w:r>
      <w:r w:rsidR="00711728">
        <w:rPr>
          <w:rFonts w:asciiTheme="majorHAnsi" w:hAnsiTheme="majorHAnsi"/>
        </w:rPr>
        <w:t>a RA</w:t>
      </w:r>
      <w:r w:rsidR="00382212">
        <w:rPr>
          <w:rFonts w:asciiTheme="majorHAnsi" w:hAnsiTheme="majorHAnsi"/>
        </w:rPr>
        <w:t>,</w:t>
      </w:r>
      <w:r w:rsidR="00711728">
        <w:rPr>
          <w:rFonts w:asciiTheme="majorHAnsi" w:hAnsiTheme="majorHAnsi"/>
        </w:rPr>
        <w:t xml:space="preserve"> based </w:t>
      </w:r>
      <w:r w:rsidR="00382212">
        <w:rPr>
          <w:rFonts w:asciiTheme="majorHAnsi" w:hAnsiTheme="majorHAnsi"/>
        </w:rPr>
        <w:t xml:space="preserve">on </w:t>
      </w:r>
      <w:r w:rsidR="004B7C09">
        <w:rPr>
          <w:rFonts w:asciiTheme="majorHAnsi" w:hAnsiTheme="majorHAnsi"/>
        </w:rPr>
        <w:t xml:space="preserve">wealth </w:t>
      </w:r>
      <w:r w:rsidR="00711728">
        <w:rPr>
          <w:rFonts w:asciiTheme="majorHAnsi" w:hAnsiTheme="majorHAnsi"/>
        </w:rPr>
        <w:t>changes around the break-even point</w:t>
      </w:r>
      <w:r w:rsidR="004B7C09">
        <w:rPr>
          <w:rFonts w:asciiTheme="majorHAnsi" w:hAnsiTheme="majorHAnsi"/>
        </w:rPr>
        <w:t>,</w:t>
      </w:r>
      <w:r w:rsidR="0092161A">
        <w:rPr>
          <w:rFonts w:asciiTheme="majorHAnsi" w:hAnsiTheme="majorHAnsi"/>
        </w:rPr>
        <w:t xml:space="preserve"> has clear parallels with</w:t>
      </w:r>
      <w:r w:rsidR="002F24A0">
        <w:rPr>
          <w:rFonts w:asciiTheme="majorHAnsi" w:hAnsiTheme="majorHAnsi"/>
        </w:rPr>
        <w:t xml:space="preserve"> the observation, drawn from</w:t>
      </w:r>
      <w:r w:rsidR="0092161A">
        <w:rPr>
          <w:rFonts w:asciiTheme="majorHAnsi" w:hAnsiTheme="majorHAnsi"/>
        </w:rPr>
        <w:t xml:space="preserve"> cognitive psychological research</w:t>
      </w:r>
      <w:r w:rsidR="002F24A0">
        <w:rPr>
          <w:rFonts w:asciiTheme="majorHAnsi" w:hAnsiTheme="majorHAnsi"/>
        </w:rPr>
        <w:t>,</w:t>
      </w:r>
      <w:r w:rsidR="00AD6BB4">
        <w:rPr>
          <w:rFonts w:asciiTheme="majorHAnsi" w:hAnsiTheme="majorHAnsi"/>
        </w:rPr>
        <w:t xml:space="preserve"> that </w:t>
      </w:r>
      <w:r w:rsidR="0092161A">
        <w:rPr>
          <w:rFonts w:asciiTheme="majorHAnsi" w:hAnsiTheme="majorHAnsi"/>
        </w:rPr>
        <w:t xml:space="preserve">changes in wealth around psychological reference points </w:t>
      </w:r>
      <w:r w:rsidR="004348B2">
        <w:rPr>
          <w:rFonts w:asciiTheme="majorHAnsi" w:hAnsiTheme="majorHAnsi"/>
        </w:rPr>
        <w:t xml:space="preserve">have </w:t>
      </w:r>
      <w:r>
        <w:rPr>
          <w:rFonts w:asciiTheme="majorHAnsi" w:hAnsiTheme="majorHAnsi"/>
        </w:rPr>
        <w:t>a special role in</w:t>
      </w:r>
      <w:r w:rsidR="0092161A">
        <w:rPr>
          <w:rFonts w:asciiTheme="majorHAnsi" w:hAnsiTheme="majorHAnsi"/>
        </w:rPr>
        <w:t xml:space="preserve"> the perception of risk and reward.</w:t>
      </w:r>
      <w:r w:rsidR="00FE79DD" w:rsidRPr="00275768">
        <w:rPr>
          <w:rFonts w:asciiTheme="majorHAnsi" w:hAnsiTheme="majorHAnsi"/>
          <w:vertAlign w:val="superscript"/>
        </w:rPr>
        <w:t>(7</w:t>
      </w:r>
      <w:r w:rsidR="000B57A7">
        <w:rPr>
          <w:rFonts w:asciiTheme="majorHAnsi" w:hAnsiTheme="majorHAnsi"/>
          <w:vertAlign w:val="superscript"/>
        </w:rPr>
        <w:t>-</w:t>
      </w:r>
      <w:r w:rsidR="00FE79DD" w:rsidRPr="00275768">
        <w:rPr>
          <w:rFonts w:asciiTheme="majorHAnsi" w:hAnsiTheme="majorHAnsi"/>
          <w:vertAlign w:val="superscript"/>
        </w:rPr>
        <w:t>9)</w:t>
      </w:r>
      <w:r w:rsidR="007057AF">
        <w:rPr>
          <w:rFonts w:asciiTheme="majorHAnsi" w:hAnsiTheme="majorHAnsi"/>
        </w:rPr>
        <w:t xml:space="preserve"> </w:t>
      </w:r>
      <w:r w:rsidR="0092161A">
        <w:rPr>
          <w:rFonts w:asciiTheme="majorHAnsi" w:hAnsiTheme="majorHAnsi"/>
        </w:rPr>
        <w:t xml:space="preserve">However, </w:t>
      </w:r>
      <w:r w:rsidR="00040F84">
        <w:rPr>
          <w:rFonts w:asciiTheme="majorHAnsi" w:hAnsiTheme="majorHAnsi"/>
        </w:rPr>
        <w:t xml:space="preserve">reference point effects are usually examined </w:t>
      </w:r>
      <w:r w:rsidR="00CF2547">
        <w:rPr>
          <w:rFonts w:asciiTheme="majorHAnsi" w:hAnsiTheme="majorHAnsi"/>
        </w:rPr>
        <w:t xml:space="preserve">in relation to </w:t>
      </w:r>
      <w:r w:rsidR="00040F84">
        <w:rPr>
          <w:rFonts w:asciiTheme="majorHAnsi" w:hAnsiTheme="majorHAnsi"/>
        </w:rPr>
        <w:t>decision</w:t>
      </w:r>
      <w:r w:rsidR="00B0799D">
        <w:rPr>
          <w:rFonts w:asciiTheme="majorHAnsi" w:hAnsiTheme="majorHAnsi"/>
        </w:rPr>
        <w:t>s made during a</w:t>
      </w:r>
      <w:r w:rsidR="00040F84">
        <w:rPr>
          <w:rFonts w:asciiTheme="majorHAnsi" w:hAnsiTheme="majorHAnsi"/>
        </w:rPr>
        <w:t xml:space="preserve"> RA (e.g. whether to opt for risk</w:t>
      </w:r>
      <w:r w:rsidR="00CF2547">
        <w:rPr>
          <w:rFonts w:asciiTheme="majorHAnsi" w:hAnsiTheme="majorHAnsi"/>
        </w:rPr>
        <w:t>y vs.</w:t>
      </w:r>
      <w:r w:rsidR="00040F84">
        <w:rPr>
          <w:rFonts w:asciiTheme="majorHAnsi" w:hAnsiTheme="majorHAnsi"/>
        </w:rPr>
        <w:t xml:space="preserve"> </w:t>
      </w:r>
      <w:r w:rsidR="00CF2547">
        <w:rPr>
          <w:rFonts w:asciiTheme="majorHAnsi" w:hAnsiTheme="majorHAnsi"/>
        </w:rPr>
        <w:t>certain</w:t>
      </w:r>
      <w:r w:rsidR="00040F84">
        <w:rPr>
          <w:rFonts w:asciiTheme="majorHAnsi" w:hAnsiTheme="majorHAnsi"/>
        </w:rPr>
        <w:t xml:space="preserve"> alternative</w:t>
      </w:r>
      <w:r w:rsidR="00B12702">
        <w:rPr>
          <w:rFonts w:asciiTheme="majorHAnsi" w:hAnsiTheme="majorHAnsi"/>
        </w:rPr>
        <w:t>s</w:t>
      </w:r>
      <w:r w:rsidR="00040F84">
        <w:rPr>
          <w:rFonts w:asciiTheme="majorHAnsi" w:hAnsiTheme="majorHAnsi"/>
        </w:rPr>
        <w:t>)</w:t>
      </w:r>
      <w:r w:rsidR="00B0799D">
        <w:rPr>
          <w:rFonts w:asciiTheme="majorHAnsi" w:hAnsiTheme="majorHAnsi"/>
        </w:rPr>
        <w:t>,</w:t>
      </w:r>
      <w:r w:rsidR="00040F84">
        <w:rPr>
          <w:rFonts w:asciiTheme="majorHAnsi" w:hAnsiTheme="majorHAnsi"/>
        </w:rPr>
        <w:t xml:space="preserve"> rather than </w:t>
      </w:r>
      <w:r w:rsidR="00B0799D">
        <w:rPr>
          <w:rFonts w:asciiTheme="majorHAnsi" w:hAnsiTheme="majorHAnsi"/>
        </w:rPr>
        <w:t xml:space="preserve">in relation to the </w:t>
      </w:r>
      <w:r w:rsidR="00040F84">
        <w:rPr>
          <w:rFonts w:asciiTheme="majorHAnsi" w:hAnsiTheme="majorHAnsi"/>
        </w:rPr>
        <w:t xml:space="preserve">decision </w:t>
      </w:r>
      <w:r w:rsidR="00B0799D">
        <w:rPr>
          <w:rFonts w:asciiTheme="majorHAnsi" w:hAnsiTheme="majorHAnsi"/>
        </w:rPr>
        <w:t>to cease</w:t>
      </w:r>
      <w:r w:rsidR="00934B90">
        <w:rPr>
          <w:rFonts w:asciiTheme="majorHAnsi" w:hAnsiTheme="majorHAnsi"/>
        </w:rPr>
        <w:t xml:space="preserve"> </w:t>
      </w:r>
      <w:r w:rsidR="00B12702">
        <w:rPr>
          <w:rFonts w:asciiTheme="majorHAnsi" w:hAnsiTheme="majorHAnsi"/>
        </w:rPr>
        <w:t>a</w:t>
      </w:r>
      <w:r w:rsidR="00934B90">
        <w:rPr>
          <w:rFonts w:asciiTheme="majorHAnsi" w:hAnsiTheme="majorHAnsi"/>
        </w:rPr>
        <w:t xml:space="preserve"> RA. Perhaps for this reason</w:t>
      </w:r>
      <w:r w:rsidR="00335032">
        <w:rPr>
          <w:rFonts w:asciiTheme="majorHAnsi" w:hAnsiTheme="majorHAnsi"/>
        </w:rPr>
        <w:t>,</w:t>
      </w:r>
      <w:r w:rsidR="00934B90">
        <w:rPr>
          <w:rFonts w:asciiTheme="majorHAnsi" w:hAnsiTheme="majorHAnsi"/>
        </w:rPr>
        <w:t xml:space="preserve"> the subject of reference points has tended to focus on "local" reference points</w:t>
      </w:r>
      <w:r w:rsidR="00B0799D">
        <w:rPr>
          <w:rFonts w:asciiTheme="majorHAnsi" w:hAnsiTheme="majorHAnsi"/>
        </w:rPr>
        <w:t>,</w:t>
      </w:r>
      <w:r w:rsidR="00040F84">
        <w:rPr>
          <w:rFonts w:asciiTheme="majorHAnsi" w:hAnsiTheme="majorHAnsi"/>
        </w:rPr>
        <w:t xml:space="preserve"> </w:t>
      </w:r>
      <w:r w:rsidR="00B0799D">
        <w:rPr>
          <w:rFonts w:asciiTheme="majorHAnsi" w:hAnsiTheme="majorHAnsi"/>
        </w:rPr>
        <w:t xml:space="preserve">such </w:t>
      </w:r>
      <w:r w:rsidR="00CF2547">
        <w:rPr>
          <w:rFonts w:asciiTheme="majorHAnsi" w:hAnsiTheme="majorHAnsi"/>
        </w:rPr>
        <w:t xml:space="preserve">as the current wealth. </w:t>
      </w:r>
      <w:r w:rsidR="00B0799D">
        <w:rPr>
          <w:rFonts w:asciiTheme="majorHAnsi" w:hAnsiTheme="majorHAnsi"/>
        </w:rPr>
        <w:t>However, t</w:t>
      </w:r>
      <w:r w:rsidR="00CF2547">
        <w:rPr>
          <w:rFonts w:asciiTheme="majorHAnsi" w:hAnsiTheme="majorHAnsi"/>
        </w:rPr>
        <w:t xml:space="preserve">he break-even point refers to </w:t>
      </w:r>
      <w:r w:rsidR="00A27DC0">
        <w:rPr>
          <w:rFonts w:asciiTheme="majorHAnsi" w:hAnsiTheme="majorHAnsi"/>
        </w:rPr>
        <w:t>a "global" reference</w:t>
      </w:r>
      <w:r w:rsidR="00CF2547">
        <w:rPr>
          <w:rFonts w:asciiTheme="majorHAnsi" w:hAnsiTheme="majorHAnsi"/>
        </w:rPr>
        <w:t xml:space="preserve"> point</w:t>
      </w:r>
      <w:r w:rsidR="00B0799D">
        <w:rPr>
          <w:rFonts w:asciiTheme="majorHAnsi" w:hAnsiTheme="majorHAnsi"/>
        </w:rPr>
        <w:t>,</w:t>
      </w:r>
      <w:r w:rsidR="00CF2547">
        <w:rPr>
          <w:rFonts w:asciiTheme="majorHAnsi" w:hAnsiTheme="majorHAnsi"/>
        </w:rPr>
        <w:t xml:space="preserve"> </w:t>
      </w:r>
      <w:r w:rsidR="004348B2">
        <w:rPr>
          <w:rFonts w:asciiTheme="majorHAnsi" w:hAnsiTheme="majorHAnsi"/>
        </w:rPr>
        <w:t>where</w:t>
      </w:r>
      <w:r w:rsidR="00B0799D">
        <w:rPr>
          <w:rFonts w:asciiTheme="majorHAnsi" w:hAnsiTheme="majorHAnsi"/>
        </w:rPr>
        <w:t xml:space="preserve"> the individual</w:t>
      </w:r>
      <w:r w:rsidR="009D5DCD">
        <w:rPr>
          <w:rFonts w:asciiTheme="majorHAnsi" w:hAnsiTheme="majorHAnsi"/>
        </w:rPr>
        <w:t>’s accumulated return</w:t>
      </w:r>
      <w:r w:rsidR="00B0799D">
        <w:rPr>
          <w:rFonts w:asciiTheme="majorHAnsi" w:hAnsiTheme="majorHAnsi"/>
        </w:rPr>
        <w:t xml:space="preserve"> </w:t>
      </w:r>
      <w:r w:rsidR="009D5DCD" w:rsidRPr="005A06E9">
        <w:rPr>
          <w:rFonts w:asciiTheme="majorHAnsi" w:hAnsiTheme="majorHAnsi"/>
          <w:i/>
        </w:rPr>
        <w:t>since commencing the RA</w:t>
      </w:r>
      <w:r w:rsidR="009D5DCD" w:rsidDel="004348B2">
        <w:rPr>
          <w:rFonts w:asciiTheme="majorHAnsi" w:hAnsiTheme="majorHAnsi"/>
        </w:rPr>
        <w:t xml:space="preserve"> </w:t>
      </w:r>
      <w:r w:rsidR="00CF2547">
        <w:rPr>
          <w:rFonts w:asciiTheme="majorHAnsi" w:hAnsiTheme="majorHAnsi"/>
        </w:rPr>
        <w:t>change</w:t>
      </w:r>
      <w:r w:rsidR="004348B2">
        <w:rPr>
          <w:rFonts w:asciiTheme="majorHAnsi" w:hAnsiTheme="majorHAnsi"/>
        </w:rPr>
        <w:t>s</w:t>
      </w:r>
      <w:r w:rsidR="00CF2547">
        <w:rPr>
          <w:rFonts w:asciiTheme="majorHAnsi" w:hAnsiTheme="majorHAnsi"/>
        </w:rPr>
        <w:t xml:space="preserve"> from loss to</w:t>
      </w:r>
      <w:r w:rsidR="00A27DC0">
        <w:rPr>
          <w:rFonts w:asciiTheme="majorHAnsi" w:hAnsiTheme="majorHAnsi"/>
        </w:rPr>
        <w:t xml:space="preserve"> </w:t>
      </w:r>
      <w:r w:rsidR="00CF2547">
        <w:rPr>
          <w:rFonts w:asciiTheme="majorHAnsi" w:hAnsiTheme="majorHAnsi"/>
        </w:rPr>
        <w:t>profit (and vice versa</w:t>
      </w:r>
      <w:r w:rsidR="004348B2">
        <w:rPr>
          <w:rFonts w:asciiTheme="majorHAnsi" w:hAnsiTheme="majorHAnsi"/>
        </w:rPr>
        <w:t>)</w:t>
      </w:r>
      <w:r w:rsidR="00CF2547">
        <w:rPr>
          <w:rFonts w:asciiTheme="majorHAnsi" w:hAnsiTheme="majorHAnsi"/>
        </w:rPr>
        <w:t xml:space="preserve">. </w:t>
      </w:r>
      <w:r>
        <w:rPr>
          <w:rFonts w:asciiTheme="majorHAnsi" w:hAnsiTheme="majorHAnsi"/>
        </w:rPr>
        <w:t>An individual’s</w:t>
      </w:r>
      <w:r w:rsidR="00CF2547">
        <w:rPr>
          <w:rFonts w:asciiTheme="majorHAnsi" w:hAnsiTheme="majorHAnsi"/>
        </w:rPr>
        <w:t xml:space="preserve"> decision to </w:t>
      </w:r>
      <w:r w:rsidR="009D5DCD">
        <w:rPr>
          <w:rFonts w:asciiTheme="majorHAnsi" w:hAnsiTheme="majorHAnsi"/>
        </w:rPr>
        <w:t xml:space="preserve">cease </w:t>
      </w:r>
      <w:r w:rsidR="00CF2547">
        <w:rPr>
          <w:rFonts w:asciiTheme="majorHAnsi" w:hAnsiTheme="majorHAnsi"/>
        </w:rPr>
        <w:t xml:space="preserve">a RA </w:t>
      </w:r>
      <w:r w:rsidR="00B0799D">
        <w:rPr>
          <w:rFonts w:asciiTheme="majorHAnsi" w:hAnsiTheme="majorHAnsi"/>
        </w:rPr>
        <w:t xml:space="preserve">generally </w:t>
      </w:r>
      <w:r w:rsidR="00CF2547">
        <w:rPr>
          <w:rFonts w:asciiTheme="majorHAnsi" w:hAnsiTheme="majorHAnsi"/>
        </w:rPr>
        <w:t xml:space="preserve">has </w:t>
      </w:r>
      <w:r w:rsidR="00B0799D">
        <w:rPr>
          <w:rFonts w:asciiTheme="majorHAnsi" w:hAnsiTheme="majorHAnsi"/>
        </w:rPr>
        <w:t xml:space="preserve">greater and </w:t>
      </w:r>
      <w:r w:rsidR="00CF2547">
        <w:rPr>
          <w:rFonts w:asciiTheme="majorHAnsi" w:hAnsiTheme="majorHAnsi"/>
        </w:rPr>
        <w:t>longer</w:t>
      </w:r>
      <w:r w:rsidR="00F41001">
        <w:rPr>
          <w:rFonts w:asciiTheme="majorHAnsi" w:hAnsiTheme="majorHAnsi"/>
        </w:rPr>
        <w:t>-</w:t>
      </w:r>
      <w:r w:rsidR="00CF2547">
        <w:rPr>
          <w:rFonts w:asciiTheme="majorHAnsi" w:hAnsiTheme="majorHAnsi"/>
        </w:rPr>
        <w:t>term implications</w:t>
      </w:r>
      <w:r>
        <w:rPr>
          <w:rFonts w:asciiTheme="majorHAnsi" w:hAnsiTheme="majorHAnsi"/>
        </w:rPr>
        <w:t xml:space="preserve"> than</w:t>
      </w:r>
      <w:r w:rsidR="00CF2547">
        <w:rPr>
          <w:rFonts w:asciiTheme="majorHAnsi" w:hAnsiTheme="majorHAnsi"/>
        </w:rPr>
        <w:t xml:space="preserve"> the risky choices </w:t>
      </w:r>
      <w:r w:rsidR="00F41001">
        <w:rPr>
          <w:rFonts w:asciiTheme="majorHAnsi" w:hAnsiTheme="majorHAnsi"/>
        </w:rPr>
        <w:t xml:space="preserve">made </w:t>
      </w:r>
      <w:r w:rsidR="004B7C09">
        <w:rPr>
          <w:rFonts w:asciiTheme="majorHAnsi" w:hAnsiTheme="majorHAnsi"/>
        </w:rPr>
        <w:t>during</w:t>
      </w:r>
      <w:r w:rsidR="00CF2547">
        <w:rPr>
          <w:rFonts w:asciiTheme="majorHAnsi" w:hAnsiTheme="majorHAnsi"/>
        </w:rPr>
        <w:t xml:space="preserve"> a RA</w:t>
      </w:r>
      <w:r w:rsidR="00F41001">
        <w:rPr>
          <w:rFonts w:asciiTheme="majorHAnsi" w:hAnsiTheme="majorHAnsi"/>
        </w:rPr>
        <w:t xml:space="preserve">. Consequently, </w:t>
      </w:r>
      <w:r w:rsidR="00CF2547">
        <w:rPr>
          <w:rFonts w:asciiTheme="majorHAnsi" w:hAnsiTheme="majorHAnsi"/>
        </w:rPr>
        <w:t>it seems likely that global reference points play an important role. Indeed, as discuss</w:t>
      </w:r>
      <w:r w:rsidR="00B12702">
        <w:rPr>
          <w:rFonts w:asciiTheme="majorHAnsi" w:hAnsiTheme="majorHAnsi"/>
        </w:rPr>
        <w:t>ed</w:t>
      </w:r>
      <w:r w:rsidR="00CF2547">
        <w:rPr>
          <w:rFonts w:asciiTheme="majorHAnsi" w:hAnsiTheme="majorHAnsi"/>
        </w:rPr>
        <w:t xml:space="preserve"> later, even </w:t>
      </w:r>
      <w:r w:rsidR="00A27DC0">
        <w:rPr>
          <w:rFonts w:asciiTheme="majorHAnsi" w:hAnsiTheme="majorHAnsi"/>
        </w:rPr>
        <w:t xml:space="preserve">the risky </w:t>
      </w:r>
      <w:r w:rsidR="00CF2547">
        <w:rPr>
          <w:rFonts w:asciiTheme="majorHAnsi" w:hAnsiTheme="majorHAnsi"/>
        </w:rPr>
        <w:t>choices within a RA can involve consideration of both shorter and longer-term reference point</w:t>
      </w:r>
      <w:r w:rsidR="00F41001">
        <w:rPr>
          <w:rFonts w:asciiTheme="majorHAnsi" w:hAnsiTheme="majorHAnsi"/>
        </w:rPr>
        <w:t>s</w:t>
      </w:r>
      <w:r w:rsidR="00CF2547">
        <w:rPr>
          <w:rFonts w:asciiTheme="majorHAnsi" w:hAnsiTheme="majorHAnsi"/>
        </w:rPr>
        <w:t>.</w:t>
      </w:r>
      <w:r w:rsidR="00ED2752" w:rsidRPr="00275768">
        <w:rPr>
          <w:rFonts w:asciiTheme="majorHAnsi" w:hAnsiTheme="majorHAnsi"/>
          <w:vertAlign w:val="superscript"/>
        </w:rPr>
        <w:t>(10)</w:t>
      </w:r>
      <w:r w:rsidR="007057AF" w:rsidRPr="00275768">
        <w:rPr>
          <w:rFonts w:asciiTheme="majorHAnsi" w:hAnsiTheme="majorHAnsi"/>
          <w:vertAlign w:val="superscript"/>
        </w:rPr>
        <w:t xml:space="preserve"> </w:t>
      </w:r>
      <w:r w:rsidR="007057AF">
        <w:rPr>
          <w:rFonts w:asciiTheme="majorHAnsi" w:hAnsiTheme="majorHAnsi"/>
        </w:rPr>
        <w:t xml:space="preserve">These effects are not just </w:t>
      </w:r>
      <w:r w:rsidR="006B785C">
        <w:rPr>
          <w:rFonts w:asciiTheme="majorHAnsi" w:hAnsiTheme="majorHAnsi"/>
        </w:rPr>
        <w:t>restricted to financial decision</w:t>
      </w:r>
      <w:r w:rsidR="00332B3F">
        <w:rPr>
          <w:rFonts w:asciiTheme="majorHAnsi" w:hAnsiTheme="majorHAnsi"/>
        </w:rPr>
        <w:t>s</w:t>
      </w:r>
      <w:r w:rsidR="006B785C">
        <w:rPr>
          <w:rFonts w:asciiTheme="majorHAnsi" w:hAnsiTheme="majorHAnsi"/>
        </w:rPr>
        <w:t>.</w:t>
      </w:r>
      <w:r w:rsidR="007057AF">
        <w:rPr>
          <w:rFonts w:asciiTheme="majorHAnsi" w:hAnsiTheme="majorHAnsi"/>
        </w:rPr>
        <w:t xml:space="preserve"> </w:t>
      </w:r>
      <w:r w:rsidR="00332B3F">
        <w:rPr>
          <w:rFonts w:asciiTheme="majorHAnsi" w:hAnsiTheme="majorHAnsi"/>
        </w:rPr>
        <w:t xml:space="preserve">For example, </w:t>
      </w:r>
      <w:r w:rsidR="006B785C">
        <w:rPr>
          <w:rFonts w:asciiTheme="majorHAnsi" w:eastAsiaTheme="minorEastAsia" w:hAnsiTheme="majorHAnsi" w:cs="Arial"/>
          <w:color w:val="1A1A1A"/>
          <w:lang w:val="en-US"/>
        </w:rPr>
        <w:t xml:space="preserve">American </w:t>
      </w:r>
      <w:r w:rsidR="005074D5">
        <w:rPr>
          <w:rFonts w:asciiTheme="majorHAnsi" w:eastAsiaTheme="minorEastAsia" w:hAnsiTheme="majorHAnsi" w:cs="Arial"/>
          <w:color w:val="1A1A1A"/>
          <w:lang w:val="en-US"/>
        </w:rPr>
        <w:t>f</w:t>
      </w:r>
      <w:r w:rsidR="006B785C">
        <w:rPr>
          <w:rFonts w:asciiTheme="majorHAnsi" w:eastAsiaTheme="minorEastAsia" w:hAnsiTheme="majorHAnsi" w:cs="Arial"/>
          <w:color w:val="1A1A1A"/>
          <w:lang w:val="en-US"/>
        </w:rPr>
        <w:t>ootball teams</w:t>
      </w:r>
      <w:r>
        <w:rPr>
          <w:rFonts w:asciiTheme="majorHAnsi" w:eastAsiaTheme="minorEastAsia" w:hAnsiTheme="majorHAnsi" w:cs="Arial"/>
          <w:color w:val="1A1A1A"/>
          <w:lang w:val="en-US"/>
        </w:rPr>
        <w:t xml:space="preserve"> have been shown to</w:t>
      </w:r>
      <w:r w:rsidR="006B785C">
        <w:rPr>
          <w:rFonts w:asciiTheme="majorHAnsi" w:eastAsiaTheme="minorEastAsia" w:hAnsiTheme="majorHAnsi" w:cs="Arial"/>
          <w:color w:val="1A1A1A"/>
          <w:lang w:val="en-US"/>
        </w:rPr>
        <w:t xml:space="preserve"> make risk sensitive decisions for attaining first downs (short-term goals) and reaching parity (long-term goals).</w:t>
      </w:r>
      <w:r w:rsidR="00ED2752" w:rsidRPr="00275768">
        <w:rPr>
          <w:rFonts w:asciiTheme="majorHAnsi" w:eastAsiaTheme="minorEastAsia" w:hAnsiTheme="majorHAnsi" w:cs="Arial"/>
          <w:color w:val="1A1A1A"/>
          <w:vertAlign w:val="superscript"/>
          <w:lang w:val="en-US"/>
        </w:rPr>
        <w:t>(11)</w:t>
      </w:r>
    </w:p>
    <w:p w14:paraId="299F812A" w14:textId="36733144" w:rsidR="00170D85" w:rsidRPr="00306807" w:rsidRDefault="005074D5" w:rsidP="00DB42EF">
      <w:pPr>
        <w:spacing w:after="0" w:line="480" w:lineRule="auto"/>
        <w:ind w:firstLine="720"/>
        <w:rPr>
          <w:rFonts w:asciiTheme="majorHAnsi" w:hAnsiTheme="majorHAnsi"/>
        </w:rPr>
      </w:pPr>
      <w:r>
        <w:rPr>
          <w:rFonts w:asciiTheme="majorHAnsi" w:hAnsiTheme="majorHAnsi"/>
        </w:rPr>
        <w:lastRenderedPageBreak/>
        <w:t>T</w:t>
      </w:r>
      <w:r w:rsidR="00633799">
        <w:rPr>
          <w:rFonts w:asciiTheme="majorHAnsi" w:hAnsiTheme="majorHAnsi"/>
        </w:rPr>
        <w:t xml:space="preserve">o </w:t>
      </w:r>
      <w:r>
        <w:rPr>
          <w:rFonts w:asciiTheme="majorHAnsi" w:hAnsiTheme="majorHAnsi"/>
        </w:rPr>
        <w:t xml:space="preserve">explore </w:t>
      </w:r>
      <w:r w:rsidR="00633799">
        <w:rPr>
          <w:rFonts w:asciiTheme="majorHAnsi" w:hAnsiTheme="majorHAnsi"/>
        </w:rPr>
        <w:t xml:space="preserve">the role that </w:t>
      </w:r>
      <w:r>
        <w:rPr>
          <w:rFonts w:asciiTheme="majorHAnsi" w:hAnsiTheme="majorHAnsi"/>
        </w:rPr>
        <w:t xml:space="preserve">the </w:t>
      </w:r>
      <w:r w:rsidR="00633799">
        <w:rPr>
          <w:rFonts w:asciiTheme="majorHAnsi" w:hAnsiTheme="majorHAnsi"/>
        </w:rPr>
        <w:t xml:space="preserve">break-even point plays </w:t>
      </w:r>
      <w:r>
        <w:rPr>
          <w:rFonts w:asciiTheme="majorHAnsi" w:hAnsiTheme="majorHAnsi"/>
        </w:rPr>
        <w:t>i</w:t>
      </w:r>
      <w:r w:rsidR="00633799">
        <w:rPr>
          <w:rFonts w:asciiTheme="majorHAnsi" w:hAnsiTheme="majorHAnsi"/>
        </w:rPr>
        <w:t xml:space="preserve">n </w:t>
      </w:r>
      <w:r w:rsidR="00316A42">
        <w:rPr>
          <w:rFonts w:asciiTheme="majorHAnsi" w:hAnsiTheme="majorHAnsi"/>
        </w:rPr>
        <w:t xml:space="preserve">the decision to stop </w:t>
      </w:r>
      <w:r w:rsidR="00B12702">
        <w:rPr>
          <w:rFonts w:asciiTheme="majorHAnsi" w:hAnsiTheme="majorHAnsi"/>
        </w:rPr>
        <w:t>a</w:t>
      </w:r>
      <w:r w:rsidR="00316A42">
        <w:rPr>
          <w:rFonts w:asciiTheme="majorHAnsi" w:hAnsiTheme="majorHAnsi"/>
        </w:rPr>
        <w:t xml:space="preserve"> RA</w:t>
      </w:r>
      <w:r w:rsidR="009D5DCD">
        <w:rPr>
          <w:rFonts w:asciiTheme="majorHAnsi" w:hAnsiTheme="majorHAnsi"/>
        </w:rPr>
        <w:t>,</w:t>
      </w:r>
      <w:r w:rsidR="00316A42">
        <w:rPr>
          <w:rFonts w:asciiTheme="majorHAnsi" w:hAnsiTheme="majorHAnsi"/>
        </w:rPr>
        <w:t xml:space="preserve"> we analyse </w:t>
      </w:r>
      <w:r w:rsidR="00F41001">
        <w:rPr>
          <w:rFonts w:asciiTheme="majorHAnsi" w:hAnsiTheme="majorHAnsi"/>
        </w:rPr>
        <w:t xml:space="preserve">the decisions of </w:t>
      </w:r>
      <w:r w:rsidR="00316A42">
        <w:rPr>
          <w:rFonts w:asciiTheme="majorHAnsi" w:hAnsiTheme="majorHAnsi"/>
        </w:rPr>
        <w:t xml:space="preserve">individuals who engage in trading on financial markets. </w:t>
      </w:r>
      <w:r w:rsidR="00B57948">
        <w:rPr>
          <w:rFonts w:asciiTheme="majorHAnsi" w:hAnsiTheme="majorHAnsi"/>
        </w:rPr>
        <w:t xml:space="preserve">By </w:t>
      </w:r>
      <w:r w:rsidR="00170D85">
        <w:rPr>
          <w:rFonts w:asciiTheme="majorHAnsi" w:hAnsiTheme="majorHAnsi"/>
        </w:rPr>
        <w:t xml:space="preserve">understanding the cognitive biases associated with </w:t>
      </w:r>
      <w:r w:rsidR="0037379E">
        <w:rPr>
          <w:rFonts w:asciiTheme="majorHAnsi" w:hAnsiTheme="majorHAnsi"/>
        </w:rPr>
        <w:t xml:space="preserve">a </w:t>
      </w:r>
      <w:r w:rsidR="00170D85">
        <w:rPr>
          <w:rFonts w:asciiTheme="majorHAnsi" w:hAnsiTheme="majorHAnsi"/>
        </w:rPr>
        <w:t xml:space="preserve">decision to stop a </w:t>
      </w:r>
      <w:r w:rsidR="003E5177">
        <w:rPr>
          <w:rFonts w:asciiTheme="majorHAnsi" w:hAnsiTheme="majorHAnsi"/>
        </w:rPr>
        <w:t>RA</w:t>
      </w:r>
      <w:r w:rsidR="00170D85">
        <w:rPr>
          <w:rFonts w:asciiTheme="majorHAnsi" w:hAnsiTheme="majorHAnsi"/>
        </w:rPr>
        <w:t xml:space="preserve">, we can better understand the general cognitive processes that guide such decisions. </w:t>
      </w:r>
      <w:r w:rsidR="00170D85" w:rsidRPr="004F6804">
        <w:rPr>
          <w:rFonts w:asciiTheme="majorHAnsi" w:hAnsiTheme="majorHAnsi"/>
        </w:rPr>
        <w:t xml:space="preserve">This is </w:t>
      </w:r>
      <w:r w:rsidR="00170D85">
        <w:rPr>
          <w:rFonts w:asciiTheme="majorHAnsi" w:hAnsiTheme="majorHAnsi"/>
        </w:rPr>
        <w:t>valuable</w:t>
      </w:r>
      <w:r w:rsidR="009D5DCD">
        <w:rPr>
          <w:rFonts w:asciiTheme="majorHAnsi" w:hAnsiTheme="majorHAnsi"/>
        </w:rPr>
        <w:t>,</w:t>
      </w:r>
      <w:r w:rsidR="00170D85" w:rsidRPr="004F6804">
        <w:rPr>
          <w:rFonts w:asciiTheme="majorHAnsi" w:hAnsiTheme="majorHAnsi"/>
        </w:rPr>
        <w:t xml:space="preserve"> since pathological </w:t>
      </w:r>
      <w:r w:rsidR="00170D85">
        <w:rPr>
          <w:rFonts w:asciiTheme="majorHAnsi" w:hAnsiTheme="majorHAnsi"/>
        </w:rPr>
        <w:t>cognitive processes may well be rooted in the tail</w:t>
      </w:r>
      <w:r w:rsidR="009D5DCD">
        <w:rPr>
          <w:rFonts w:asciiTheme="majorHAnsi" w:hAnsiTheme="majorHAnsi"/>
        </w:rPr>
        <w:t>s</w:t>
      </w:r>
      <w:r w:rsidR="00170D85">
        <w:rPr>
          <w:rFonts w:asciiTheme="majorHAnsi" w:hAnsiTheme="majorHAnsi"/>
        </w:rPr>
        <w:t xml:space="preserve"> of the distribution of what we observe as</w:t>
      </w:r>
      <w:r w:rsidR="006443DD">
        <w:rPr>
          <w:rFonts w:asciiTheme="majorHAnsi" w:hAnsiTheme="majorHAnsi"/>
        </w:rPr>
        <w:t xml:space="preserve"> normal cognitive processing. </w:t>
      </w:r>
      <w:r w:rsidR="00ED2752" w:rsidRPr="00275768">
        <w:rPr>
          <w:rFonts w:asciiTheme="majorHAnsi" w:hAnsiTheme="majorHAnsi" w:cs="Arial"/>
          <w:color w:val="262626"/>
          <w:vertAlign w:val="superscript"/>
          <w:lang w:val="en-US"/>
        </w:rPr>
        <w:t>(12)</w:t>
      </w:r>
      <w:r w:rsidR="00170D85">
        <w:rPr>
          <w:rFonts w:asciiTheme="majorHAnsi" w:hAnsiTheme="majorHAnsi" w:cs="Arial"/>
          <w:color w:val="262626"/>
          <w:lang w:val="en-US"/>
        </w:rPr>
        <w:t xml:space="preserve"> </w:t>
      </w:r>
      <w:r w:rsidR="009D5DCD">
        <w:rPr>
          <w:rFonts w:asciiTheme="majorHAnsi" w:hAnsiTheme="majorHAnsi" w:cs="Arial"/>
          <w:color w:val="262626"/>
          <w:lang w:val="en-US"/>
        </w:rPr>
        <w:t>Consequently</w:t>
      </w:r>
      <w:r w:rsidR="006443DD">
        <w:rPr>
          <w:rFonts w:asciiTheme="majorHAnsi" w:hAnsiTheme="majorHAnsi" w:cs="Arial"/>
          <w:color w:val="262626"/>
          <w:lang w:val="en-US"/>
        </w:rPr>
        <w:t xml:space="preserve">, </w:t>
      </w:r>
      <w:r w:rsidR="0037379E">
        <w:rPr>
          <w:rFonts w:asciiTheme="majorHAnsi" w:hAnsiTheme="majorHAnsi" w:cs="Arial"/>
          <w:color w:val="262626"/>
          <w:lang w:val="en-US"/>
        </w:rPr>
        <w:t xml:space="preserve">we expect </w:t>
      </w:r>
      <w:r w:rsidR="006443DD">
        <w:rPr>
          <w:rFonts w:asciiTheme="majorHAnsi" w:hAnsiTheme="majorHAnsi" w:cs="Arial"/>
          <w:color w:val="262626"/>
          <w:lang w:val="en-US"/>
        </w:rPr>
        <w:t xml:space="preserve">our analysis of </w:t>
      </w:r>
      <w:r w:rsidR="006443DD">
        <w:rPr>
          <w:rFonts w:asciiTheme="majorHAnsi" w:hAnsiTheme="majorHAnsi"/>
        </w:rPr>
        <w:t>trader</w:t>
      </w:r>
      <w:r w:rsidR="0037379E">
        <w:rPr>
          <w:rFonts w:asciiTheme="majorHAnsi" w:hAnsiTheme="majorHAnsi"/>
        </w:rPr>
        <w:t>s</w:t>
      </w:r>
      <w:r w:rsidR="009D5DCD">
        <w:rPr>
          <w:rFonts w:asciiTheme="majorHAnsi" w:hAnsiTheme="majorHAnsi"/>
        </w:rPr>
        <w:t>’ decisions</w:t>
      </w:r>
      <w:r w:rsidR="0037379E">
        <w:rPr>
          <w:rFonts w:asciiTheme="majorHAnsi" w:hAnsiTheme="majorHAnsi"/>
        </w:rPr>
        <w:t xml:space="preserve"> to </w:t>
      </w:r>
      <w:r w:rsidR="006443DD">
        <w:rPr>
          <w:rFonts w:asciiTheme="majorHAnsi" w:hAnsiTheme="majorHAnsi"/>
        </w:rPr>
        <w:t>shed</w:t>
      </w:r>
      <w:r w:rsidR="009D5DCD">
        <w:rPr>
          <w:rFonts w:asciiTheme="majorHAnsi" w:hAnsiTheme="majorHAnsi"/>
        </w:rPr>
        <w:t xml:space="preserve"> l</w:t>
      </w:r>
      <w:r w:rsidR="006443DD">
        <w:rPr>
          <w:rFonts w:asciiTheme="majorHAnsi" w:hAnsiTheme="majorHAnsi"/>
        </w:rPr>
        <w:t xml:space="preserve">ight on the normal cognitive processes that could, in </w:t>
      </w:r>
      <w:r w:rsidR="003700FE">
        <w:rPr>
          <w:rFonts w:asciiTheme="majorHAnsi" w:hAnsiTheme="majorHAnsi"/>
        </w:rPr>
        <w:t>certain individuals</w:t>
      </w:r>
      <w:r w:rsidR="006443DD">
        <w:rPr>
          <w:rFonts w:asciiTheme="majorHAnsi" w:hAnsiTheme="majorHAnsi"/>
        </w:rPr>
        <w:t>,</w:t>
      </w:r>
      <w:r w:rsidR="00170D85" w:rsidRPr="00306807">
        <w:rPr>
          <w:rFonts w:asciiTheme="majorHAnsi" w:hAnsiTheme="majorHAnsi"/>
        </w:rPr>
        <w:t xml:space="preserve"> encourage </w:t>
      </w:r>
      <w:r w:rsidR="00170D85">
        <w:rPr>
          <w:rFonts w:asciiTheme="majorHAnsi" w:hAnsiTheme="majorHAnsi"/>
        </w:rPr>
        <w:t>extreme</w:t>
      </w:r>
      <w:r w:rsidR="00170D85" w:rsidRPr="00306807">
        <w:rPr>
          <w:rFonts w:asciiTheme="majorHAnsi" w:hAnsiTheme="majorHAnsi"/>
        </w:rPr>
        <w:t xml:space="preserve"> </w:t>
      </w:r>
      <w:r w:rsidR="0037379E">
        <w:rPr>
          <w:rFonts w:asciiTheme="majorHAnsi" w:hAnsiTheme="majorHAnsi"/>
        </w:rPr>
        <w:t xml:space="preserve">risk-taking activity (e.g., </w:t>
      </w:r>
      <w:r w:rsidR="00170D85">
        <w:rPr>
          <w:rFonts w:asciiTheme="majorHAnsi" w:hAnsiTheme="majorHAnsi"/>
        </w:rPr>
        <w:t>rogue trading</w:t>
      </w:r>
      <w:r w:rsidR="0037379E">
        <w:rPr>
          <w:rFonts w:asciiTheme="majorHAnsi" w:hAnsiTheme="majorHAnsi"/>
        </w:rPr>
        <w:t>)</w:t>
      </w:r>
      <w:r w:rsidR="00170D85">
        <w:rPr>
          <w:rFonts w:asciiTheme="majorHAnsi" w:hAnsiTheme="majorHAnsi"/>
        </w:rPr>
        <w:t>. This is important</w:t>
      </w:r>
      <w:r w:rsidR="009D5DCD">
        <w:rPr>
          <w:rFonts w:asciiTheme="majorHAnsi" w:hAnsiTheme="majorHAnsi"/>
        </w:rPr>
        <w:t>,</w:t>
      </w:r>
      <w:r w:rsidR="00170D85">
        <w:rPr>
          <w:rFonts w:asciiTheme="majorHAnsi" w:hAnsiTheme="majorHAnsi"/>
        </w:rPr>
        <w:t xml:space="preserve"> since</w:t>
      </w:r>
      <w:r w:rsidR="00170D85" w:rsidRPr="00306807">
        <w:rPr>
          <w:rFonts w:asciiTheme="majorHAnsi" w:hAnsiTheme="majorHAnsi"/>
        </w:rPr>
        <w:t xml:space="preserve"> </w:t>
      </w:r>
      <w:r w:rsidR="0037379E">
        <w:rPr>
          <w:rFonts w:asciiTheme="majorHAnsi" w:hAnsiTheme="majorHAnsi"/>
        </w:rPr>
        <w:t xml:space="preserve">rogue trading alone </w:t>
      </w:r>
      <w:r w:rsidR="00170D85" w:rsidRPr="00306807">
        <w:rPr>
          <w:rFonts w:asciiTheme="majorHAnsi" w:hAnsiTheme="majorHAnsi"/>
        </w:rPr>
        <w:t xml:space="preserve">cost leading banks </w:t>
      </w:r>
      <w:r w:rsidR="0032382A">
        <w:rPr>
          <w:rFonts w:asciiTheme="majorHAnsi" w:hAnsiTheme="majorHAnsi"/>
        </w:rPr>
        <w:t>$194.8</w:t>
      </w:r>
      <w:r w:rsidR="00170D85">
        <w:rPr>
          <w:rFonts w:asciiTheme="majorHAnsi" w:hAnsiTheme="majorHAnsi"/>
        </w:rPr>
        <w:t xml:space="preserve"> </w:t>
      </w:r>
      <w:r w:rsidR="00170D85" w:rsidRPr="00306807">
        <w:rPr>
          <w:rFonts w:asciiTheme="majorHAnsi" w:hAnsiTheme="majorHAnsi"/>
        </w:rPr>
        <w:t>billion in fines and provisions between 200</w:t>
      </w:r>
      <w:r w:rsidR="00365B62">
        <w:rPr>
          <w:rFonts w:asciiTheme="majorHAnsi" w:hAnsiTheme="majorHAnsi"/>
        </w:rPr>
        <w:t>8</w:t>
      </w:r>
      <w:r w:rsidR="00170D85" w:rsidRPr="00306807">
        <w:rPr>
          <w:rFonts w:asciiTheme="majorHAnsi" w:hAnsiTheme="majorHAnsi"/>
        </w:rPr>
        <w:t>-201</w:t>
      </w:r>
      <w:r w:rsidR="00365B62">
        <w:rPr>
          <w:rFonts w:asciiTheme="majorHAnsi" w:hAnsiTheme="majorHAnsi"/>
        </w:rPr>
        <w:t>2</w:t>
      </w:r>
      <w:r w:rsidR="00ED2752">
        <w:rPr>
          <w:rFonts w:asciiTheme="majorHAnsi" w:hAnsiTheme="majorHAnsi"/>
        </w:rPr>
        <w:t>,</w:t>
      </w:r>
      <w:r w:rsidR="00170D85" w:rsidRPr="00306807">
        <w:rPr>
          <w:rFonts w:asciiTheme="majorHAnsi" w:hAnsiTheme="majorHAnsi"/>
        </w:rPr>
        <w:t xml:space="preserve"> </w:t>
      </w:r>
      <w:r w:rsidR="00490B2E">
        <w:rPr>
          <w:rFonts w:asciiTheme="majorHAnsi" w:hAnsiTheme="majorHAnsi"/>
        </w:rPr>
        <w:t xml:space="preserve">rising to </w:t>
      </w:r>
      <w:r w:rsidR="0032382A">
        <w:rPr>
          <w:rFonts w:asciiTheme="majorHAnsi" w:hAnsiTheme="majorHAnsi"/>
        </w:rPr>
        <w:t>$267.5</w:t>
      </w:r>
      <w:r w:rsidR="00490B2E">
        <w:rPr>
          <w:rFonts w:asciiTheme="majorHAnsi" w:hAnsiTheme="majorHAnsi"/>
        </w:rPr>
        <w:t xml:space="preserve"> billion </w:t>
      </w:r>
      <w:r w:rsidR="0037379E">
        <w:rPr>
          <w:rFonts w:asciiTheme="majorHAnsi" w:hAnsiTheme="majorHAnsi"/>
        </w:rPr>
        <w:t xml:space="preserve">between </w:t>
      </w:r>
      <w:r w:rsidR="00490B2E">
        <w:rPr>
          <w:rFonts w:asciiTheme="majorHAnsi" w:hAnsiTheme="majorHAnsi"/>
        </w:rPr>
        <w:t>2010-2014</w:t>
      </w:r>
      <w:r w:rsidR="00170D85" w:rsidRPr="00306807">
        <w:rPr>
          <w:rFonts w:asciiTheme="majorHAnsi" w:hAnsiTheme="majorHAnsi"/>
        </w:rPr>
        <w:t>.</w:t>
      </w:r>
      <w:r w:rsidR="00ED2752" w:rsidRPr="00275768">
        <w:rPr>
          <w:rFonts w:asciiTheme="majorHAnsi" w:hAnsiTheme="majorHAnsi"/>
          <w:vertAlign w:val="superscript"/>
        </w:rPr>
        <w:t>(</w:t>
      </w:r>
      <w:r w:rsidR="00ED2752">
        <w:rPr>
          <w:rFonts w:asciiTheme="majorHAnsi" w:hAnsiTheme="majorHAnsi"/>
          <w:vertAlign w:val="superscript"/>
        </w:rPr>
        <w:t>13,</w:t>
      </w:r>
      <w:r w:rsidR="00ED2752" w:rsidRPr="00275768">
        <w:rPr>
          <w:rFonts w:asciiTheme="majorHAnsi" w:hAnsiTheme="majorHAnsi"/>
          <w:vertAlign w:val="superscript"/>
        </w:rPr>
        <w:t>1</w:t>
      </w:r>
      <w:r w:rsidR="00ED2752">
        <w:rPr>
          <w:rFonts w:asciiTheme="majorHAnsi" w:hAnsiTheme="majorHAnsi"/>
          <w:vertAlign w:val="superscript"/>
        </w:rPr>
        <w:t>4</w:t>
      </w:r>
      <w:r w:rsidR="00ED2752" w:rsidRPr="00275768">
        <w:rPr>
          <w:rFonts w:asciiTheme="majorHAnsi" w:hAnsiTheme="majorHAnsi"/>
          <w:vertAlign w:val="superscript"/>
        </w:rPr>
        <w:t>)</w:t>
      </w:r>
      <w:r w:rsidR="00170D85" w:rsidRPr="00306807">
        <w:rPr>
          <w:rFonts w:asciiTheme="majorHAnsi" w:hAnsiTheme="majorHAnsi"/>
        </w:rPr>
        <w:t xml:space="preserve"> </w:t>
      </w:r>
    </w:p>
    <w:p w14:paraId="6566EC57" w14:textId="76F0F839" w:rsidR="003700FE" w:rsidRPr="00306807" w:rsidRDefault="00AD70C4" w:rsidP="003700FE">
      <w:pPr>
        <w:spacing w:after="0" w:line="480" w:lineRule="auto"/>
        <w:ind w:firstLine="720"/>
        <w:rPr>
          <w:rFonts w:asciiTheme="majorHAnsi" w:hAnsiTheme="majorHAnsi"/>
        </w:rPr>
      </w:pPr>
      <w:r>
        <w:rPr>
          <w:rFonts w:asciiTheme="majorHAnsi" w:hAnsiTheme="majorHAnsi"/>
        </w:rPr>
        <w:t>W</w:t>
      </w:r>
      <w:r w:rsidR="003700FE" w:rsidRPr="00314D0E">
        <w:rPr>
          <w:rFonts w:asciiTheme="majorHAnsi" w:hAnsiTheme="majorHAnsi"/>
        </w:rPr>
        <w:t xml:space="preserve">e undertake a large, longitudinal study, employing the </w:t>
      </w:r>
      <w:r w:rsidR="003700FE" w:rsidRPr="00314D0E">
        <w:rPr>
          <w:rFonts w:asciiTheme="majorHAnsi" w:hAnsiTheme="majorHAnsi"/>
          <w:lang w:val="en-US"/>
        </w:rPr>
        <w:t xml:space="preserve">707,152 transactions of 5,379 </w:t>
      </w:r>
      <w:r w:rsidR="003700FE" w:rsidRPr="00314D0E">
        <w:rPr>
          <w:rFonts w:asciiTheme="majorHAnsi" w:hAnsiTheme="majorHAnsi"/>
        </w:rPr>
        <w:t>individuals in a UK spread-trading market between September 2004 and April 2013.</w:t>
      </w:r>
      <w:r w:rsidR="003700FE">
        <w:rPr>
          <w:rFonts w:asciiTheme="majorHAnsi" w:hAnsiTheme="majorHAnsi"/>
        </w:rPr>
        <w:t xml:space="preserve"> </w:t>
      </w:r>
      <w:r w:rsidR="00CE673E">
        <w:rPr>
          <w:rFonts w:asciiTheme="majorHAnsi" w:hAnsiTheme="majorHAnsi"/>
        </w:rPr>
        <w:t>W</w:t>
      </w:r>
      <w:r w:rsidR="005D6233">
        <w:rPr>
          <w:rFonts w:asciiTheme="majorHAnsi" w:hAnsiTheme="majorHAnsi"/>
        </w:rPr>
        <w:t>e use</w:t>
      </w:r>
      <w:r w:rsidR="003700FE" w:rsidRPr="00306807">
        <w:rPr>
          <w:rFonts w:asciiTheme="majorHAnsi" w:hAnsiTheme="majorHAnsi"/>
        </w:rPr>
        <w:t xml:space="preserve"> survival analysis</w:t>
      </w:r>
      <w:r w:rsidR="005D6233">
        <w:rPr>
          <w:rFonts w:asciiTheme="majorHAnsi" w:hAnsiTheme="majorHAnsi"/>
        </w:rPr>
        <w:t xml:space="preserve"> to</w:t>
      </w:r>
      <w:r w:rsidR="003700FE" w:rsidRPr="00306807">
        <w:rPr>
          <w:rFonts w:asciiTheme="majorHAnsi" w:hAnsiTheme="majorHAnsi"/>
        </w:rPr>
        <w:t xml:space="preserve"> control for the exogenous factors</w:t>
      </w:r>
      <w:r w:rsidR="00CC6C96">
        <w:rPr>
          <w:rFonts w:asciiTheme="majorHAnsi" w:hAnsiTheme="majorHAnsi"/>
        </w:rPr>
        <w:t xml:space="preserve"> </w:t>
      </w:r>
      <w:r w:rsidR="003700FE" w:rsidRPr="00306807">
        <w:rPr>
          <w:rFonts w:asciiTheme="majorHAnsi" w:hAnsiTheme="majorHAnsi"/>
        </w:rPr>
        <w:t>that could impact the</w:t>
      </w:r>
      <w:r w:rsidR="003700FE">
        <w:rPr>
          <w:rFonts w:asciiTheme="majorHAnsi" w:hAnsiTheme="majorHAnsi"/>
        </w:rPr>
        <w:t>ir</w:t>
      </w:r>
      <w:r w:rsidR="003700FE" w:rsidRPr="00306807">
        <w:rPr>
          <w:rFonts w:asciiTheme="majorHAnsi" w:hAnsiTheme="majorHAnsi"/>
        </w:rPr>
        <w:t xml:space="preserve"> decision</w:t>
      </w:r>
      <w:r w:rsidR="00BB25C5">
        <w:rPr>
          <w:rFonts w:asciiTheme="majorHAnsi" w:hAnsiTheme="majorHAnsi"/>
        </w:rPr>
        <w:t>s</w:t>
      </w:r>
      <w:r w:rsidR="003700FE" w:rsidRPr="00306807">
        <w:rPr>
          <w:rFonts w:asciiTheme="majorHAnsi" w:hAnsiTheme="majorHAnsi"/>
        </w:rPr>
        <w:t xml:space="preserve"> to </w:t>
      </w:r>
      <w:r w:rsidR="00172A71">
        <w:rPr>
          <w:rFonts w:asciiTheme="majorHAnsi" w:hAnsiTheme="majorHAnsi"/>
        </w:rPr>
        <w:t>cease</w:t>
      </w:r>
      <w:r w:rsidR="00172A71" w:rsidRPr="00306807">
        <w:rPr>
          <w:rFonts w:asciiTheme="majorHAnsi" w:hAnsiTheme="majorHAnsi"/>
        </w:rPr>
        <w:t xml:space="preserve"> </w:t>
      </w:r>
      <w:r w:rsidR="00CE673E">
        <w:rPr>
          <w:rFonts w:asciiTheme="majorHAnsi" w:hAnsiTheme="majorHAnsi"/>
        </w:rPr>
        <w:t>trading</w:t>
      </w:r>
      <w:r w:rsidR="003700FE">
        <w:rPr>
          <w:rFonts w:asciiTheme="majorHAnsi" w:hAnsiTheme="majorHAnsi"/>
        </w:rPr>
        <w:t xml:space="preserve">. </w:t>
      </w:r>
      <w:r w:rsidR="00D3700F">
        <w:rPr>
          <w:rFonts w:asciiTheme="majorHAnsi" w:hAnsiTheme="majorHAnsi"/>
        </w:rPr>
        <w:t xml:space="preserve">Our methodology </w:t>
      </w:r>
      <w:r w:rsidR="003700FE">
        <w:rPr>
          <w:rFonts w:asciiTheme="majorHAnsi" w:hAnsiTheme="majorHAnsi"/>
        </w:rPr>
        <w:t>allow</w:t>
      </w:r>
      <w:r w:rsidR="00D3700F">
        <w:rPr>
          <w:rFonts w:asciiTheme="majorHAnsi" w:hAnsiTheme="majorHAnsi"/>
        </w:rPr>
        <w:t>s</w:t>
      </w:r>
      <w:r w:rsidR="003700FE">
        <w:rPr>
          <w:rFonts w:asciiTheme="majorHAnsi" w:hAnsiTheme="majorHAnsi"/>
        </w:rPr>
        <w:t xml:space="preserve"> us </w:t>
      </w:r>
      <w:r w:rsidR="003700FE" w:rsidRPr="00306807">
        <w:rPr>
          <w:rFonts w:asciiTheme="majorHAnsi" w:hAnsiTheme="majorHAnsi"/>
        </w:rPr>
        <w:t>to isolate and measure the impact of break-even effects</w:t>
      </w:r>
      <w:r w:rsidR="003700FE">
        <w:rPr>
          <w:rFonts w:asciiTheme="majorHAnsi" w:hAnsiTheme="majorHAnsi"/>
        </w:rPr>
        <w:t>.</w:t>
      </w:r>
      <w:r w:rsidR="003700FE" w:rsidRPr="00306807">
        <w:rPr>
          <w:rFonts w:asciiTheme="majorHAnsi" w:hAnsiTheme="majorHAnsi"/>
        </w:rPr>
        <w:t xml:space="preserve"> </w:t>
      </w:r>
      <w:r w:rsidR="00CE673E">
        <w:rPr>
          <w:rFonts w:asciiTheme="majorHAnsi" w:hAnsiTheme="majorHAnsi"/>
        </w:rPr>
        <w:t>W</w:t>
      </w:r>
      <w:r w:rsidR="003700FE">
        <w:rPr>
          <w:rFonts w:asciiTheme="majorHAnsi" w:hAnsiTheme="majorHAnsi"/>
        </w:rPr>
        <w:t xml:space="preserve">e </w:t>
      </w:r>
      <w:r w:rsidR="00CE673E">
        <w:rPr>
          <w:rFonts w:asciiTheme="majorHAnsi" w:hAnsiTheme="majorHAnsi"/>
        </w:rPr>
        <w:t xml:space="preserve">also </w:t>
      </w:r>
      <w:r w:rsidR="003700FE">
        <w:rPr>
          <w:rFonts w:asciiTheme="majorHAnsi" w:hAnsiTheme="majorHAnsi"/>
        </w:rPr>
        <w:t>control for long-</w:t>
      </w:r>
      <w:r w:rsidR="003700FE" w:rsidRPr="00306807">
        <w:rPr>
          <w:rFonts w:asciiTheme="majorHAnsi" w:hAnsiTheme="majorHAnsi"/>
        </w:rPr>
        <w:t>term performance feedback</w:t>
      </w:r>
      <w:r w:rsidR="00B12702">
        <w:rPr>
          <w:rFonts w:asciiTheme="majorHAnsi" w:hAnsiTheme="majorHAnsi"/>
        </w:rPr>
        <w:t xml:space="preserve"> and other trading characteristics</w:t>
      </w:r>
      <w:r w:rsidR="00B57948">
        <w:rPr>
          <w:rFonts w:asciiTheme="majorHAnsi" w:hAnsiTheme="majorHAnsi"/>
        </w:rPr>
        <w:t xml:space="preserve"> </w:t>
      </w:r>
      <w:r w:rsidR="00B12702">
        <w:rPr>
          <w:rFonts w:asciiTheme="majorHAnsi" w:hAnsiTheme="majorHAnsi"/>
        </w:rPr>
        <w:t>(e.g., trading frequency)</w:t>
      </w:r>
      <w:r w:rsidR="00B57948">
        <w:rPr>
          <w:rFonts w:asciiTheme="majorHAnsi" w:hAnsiTheme="majorHAnsi"/>
        </w:rPr>
        <w:t>, as these may</w:t>
      </w:r>
      <w:r w:rsidR="00B57948" w:rsidDel="00B57948">
        <w:rPr>
          <w:rFonts w:asciiTheme="majorHAnsi" w:hAnsiTheme="majorHAnsi"/>
        </w:rPr>
        <w:t xml:space="preserve"> </w:t>
      </w:r>
      <w:r w:rsidR="003700FE" w:rsidRPr="00306807">
        <w:rPr>
          <w:rFonts w:asciiTheme="majorHAnsi" w:hAnsiTheme="majorHAnsi"/>
        </w:rPr>
        <w:t>mediate the effect of more recent performance and the</w:t>
      </w:r>
      <w:r w:rsidR="003700FE">
        <w:rPr>
          <w:rFonts w:asciiTheme="majorHAnsi" w:hAnsiTheme="majorHAnsi"/>
        </w:rPr>
        <w:t xml:space="preserve"> effect of changes in wealth around the</w:t>
      </w:r>
      <w:r w:rsidR="003700FE" w:rsidRPr="00306807">
        <w:rPr>
          <w:rFonts w:asciiTheme="majorHAnsi" w:hAnsiTheme="majorHAnsi"/>
        </w:rPr>
        <w:t xml:space="preserve"> break-even </w:t>
      </w:r>
      <w:r w:rsidR="003700FE">
        <w:rPr>
          <w:rFonts w:asciiTheme="majorHAnsi" w:hAnsiTheme="majorHAnsi"/>
        </w:rPr>
        <w:t>point</w:t>
      </w:r>
      <w:r w:rsidR="003700FE" w:rsidRPr="00306807">
        <w:rPr>
          <w:rFonts w:asciiTheme="majorHAnsi" w:hAnsiTheme="majorHAnsi"/>
        </w:rPr>
        <w:t xml:space="preserve">. </w:t>
      </w:r>
    </w:p>
    <w:p w14:paraId="3885ACC8" w14:textId="53A9118F" w:rsidR="003700FE" w:rsidRPr="00306807" w:rsidRDefault="003700FE" w:rsidP="003700FE">
      <w:pPr>
        <w:spacing w:after="0" w:line="480" w:lineRule="auto"/>
        <w:ind w:firstLine="720"/>
        <w:rPr>
          <w:rFonts w:asciiTheme="majorHAnsi" w:hAnsiTheme="majorHAnsi"/>
          <w:sz w:val="20"/>
        </w:rPr>
      </w:pPr>
      <w:r w:rsidRPr="00306807">
        <w:rPr>
          <w:rFonts w:asciiTheme="majorHAnsi" w:hAnsiTheme="majorHAnsi" w:cs="Helvetica"/>
        </w:rPr>
        <w:t xml:space="preserve">Our results </w:t>
      </w:r>
      <w:r w:rsidR="00172A71">
        <w:rPr>
          <w:rFonts w:asciiTheme="majorHAnsi" w:hAnsiTheme="majorHAnsi" w:cs="Helvetica"/>
        </w:rPr>
        <w:t>confirm, not surprisingly,</w:t>
      </w:r>
      <w:r w:rsidR="00172A71" w:rsidRPr="00306807">
        <w:rPr>
          <w:rFonts w:asciiTheme="majorHAnsi" w:hAnsiTheme="majorHAnsi" w:cs="Helvetica"/>
        </w:rPr>
        <w:t xml:space="preserve"> </w:t>
      </w:r>
      <w:r w:rsidRPr="00306807">
        <w:rPr>
          <w:rFonts w:asciiTheme="majorHAnsi" w:hAnsiTheme="majorHAnsi" w:cs="Helvetica"/>
        </w:rPr>
        <w:t>that</w:t>
      </w:r>
      <w:r>
        <w:rPr>
          <w:rFonts w:asciiTheme="majorHAnsi" w:hAnsiTheme="majorHAnsi" w:cs="Helvetica"/>
        </w:rPr>
        <w:t xml:space="preserve"> an individual’s decision to cease </w:t>
      </w:r>
      <w:r w:rsidR="00B12702">
        <w:rPr>
          <w:rFonts w:asciiTheme="majorHAnsi" w:hAnsiTheme="majorHAnsi" w:cs="Helvetica"/>
        </w:rPr>
        <w:t xml:space="preserve">a </w:t>
      </w:r>
      <w:r w:rsidR="0015251B">
        <w:rPr>
          <w:rFonts w:asciiTheme="majorHAnsi" w:hAnsiTheme="majorHAnsi" w:cs="Helvetica"/>
        </w:rPr>
        <w:t>RA</w:t>
      </w:r>
      <w:r>
        <w:rPr>
          <w:rFonts w:asciiTheme="majorHAnsi" w:hAnsiTheme="majorHAnsi" w:cs="Helvetica"/>
        </w:rPr>
        <w:t xml:space="preserve">, </w:t>
      </w:r>
      <w:r w:rsidR="00172A71">
        <w:rPr>
          <w:rFonts w:asciiTheme="majorHAnsi" w:hAnsiTheme="majorHAnsi" w:cs="Helvetica"/>
        </w:rPr>
        <w:t xml:space="preserve">is </w:t>
      </w:r>
      <w:r>
        <w:rPr>
          <w:rFonts w:asciiTheme="majorHAnsi" w:hAnsiTheme="majorHAnsi" w:cs="Helvetica"/>
        </w:rPr>
        <w:t xml:space="preserve">linked to losing </w:t>
      </w:r>
      <w:r w:rsidRPr="00306807">
        <w:rPr>
          <w:rFonts w:asciiTheme="majorHAnsi" w:hAnsiTheme="majorHAnsi" w:cs="Helvetica"/>
        </w:rPr>
        <w:t>money</w:t>
      </w:r>
      <w:r>
        <w:rPr>
          <w:rFonts w:asciiTheme="majorHAnsi" w:hAnsiTheme="majorHAnsi" w:cs="Helvetica"/>
        </w:rPr>
        <w:t xml:space="preserve">. </w:t>
      </w:r>
      <w:r w:rsidR="00D3700F">
        <w:rPr>
          <w:rFonts w:asciiTheme="majorHAnsi" w:hAnsiTheme="majorHAnsi" w:cs="Helvetica"/>
        </w:rPr>
        <w:t>M</w:t>
      </w:r>
      <w:r>
        <w:rPr>
          <w:rFonts w:asciiTheme="majorHAnsi" w:hAnsiTheme="majorHAnsi" w:cs="Helvetica"/>
        </w:rPr>
        <w:t>ore interestingly</w:t>
      </w:r>
      <w:r w:rsidRPr="00306807">
        <w:rPr>
          <w:rFonts w:asciiTheme="majorHAnsi" w:hAnsiTheme="majorHAnsi" w:cs="Helvetica"/>
        </w:rPr>
        <w:t>, t</w:t>
      </w:r>
      <w:r>
        <w:rPr>
          <w:rFonts w:asciiTheme="majorHAnsi" w:hAnsiTheme="majorHAnsi" w:cs="Helvetica"/>
        </w:rPr>
        <w:t>he decision is</w:t>
      </w:r>
      <w:r w:rsidRPr="00306807">
        <w:rPr>
          <w:rFonts w:asciiTheme="majorHAnsi" w:hAnsiTheme="majorHAnsi" w:cs="Helvetica"/>
        </w:rPr>
        <w:t xml:space="preserve"> significantly affected by cognitive bias.</w:t>
      </w:r>
      <w:r>
        <w:rPr>
          <w:rFonts w:asciiTheme="majorHAnsi" w:hAnsiTheme="majorHAnsi" w:cs="Helvetica"/>
        </w:rPr>
        <w:t xml:space="preserve"> In particular, fear </w:t>
      </w:r>
      <w:r w:rsidRPr="00306807">
        <w:rPr>
          <w:rFonts w:asciiTheme="majorHAnsi" w:hAnsiTheme="majorHAnsi" w:cs="Helvetica"/>
        </w:rPr>
        <w:t xml:space="preserve">of </w:t>
      </w:r>
      <w:r w:rsidR="005D6233">
        <w:rPr>
          <w:rFonts w:asciiTheme="majorHAnsi" w:hAnsiTheme="majorHAnsi" w:cs="Helvetica"/>
        </w:rPr>
        <w:t xml:space="preserve">either remaining </w:t>
      </w:r>
      <w:r w:rsidR="005B6A35">
        <w:rPr>
          <w:rFonts w:asciiTheme="majorHAnsi" w:hAnsiTheme="majorHAnsi" w:cs="Helvetica"/>
        </w:rPr>
        <w:t xml:space="preserve">in loss </w:t>
      </w:r>
      <w:r w:rsidR="005D6233">
        <w:rPr>
          <w:rFonts w:asciiTheme="majorHAnsi" w:hAnsiTheme="majorHAnsi" w:cs="Helvetica"/>
        </w:rPr>
        <w:t>or falling</w:t>
      </w:r>
      <w:r w:rsidRPr="00306807">
        <w:rPr>
          <w:rFonts w:asciiTheme="majorHAnsi" w:hAnsiTheme="majorHAnsi" w:cs="Helvetica"/>
        </w:rPr>
        <w:t xml:space="preserve"> below the break-even point, rather </w:t>
      </w:r>
      <w:r w:rsidR="009F226C">
        <w:rPr>
          <w:rFonts w:asciiTheme="majorHAnsi" w:hAnsiTheme="majorHAnsi" w:cs="Helvetica"/>
        </w:rPr>
        <w:t xml:space="preserve">than </w:t>
      </w:r>
      <w:r w:rsidRPr="00306807">
        <w:rPr>
          <w:rFonts w:asciiTheme="majorHAnsi" w:hAnsiTheme="majorHAnsi" w:cs="Helvetica"/>
        </w:rPr>
        <w:t xml:space="preserve">the magnitude of actual loss, </w:t>
      </w:r>
      <w:r w:rsidR="00CE673E">
        <w:rPr>
          <w:rFonts w:asciiTheme="majorHAnsi" w:hAnsiTheme="majorHAnsi" w:cs="Helvetica"/>
        </w:rPr>
        <w:t xml:space="preserve">appears to </w:t>
      </w:r>
      <w:r w:rsidRPr="00306807">
        <w:rPr>
          <w:rFonts w:asciiTheme="majorHAnsi" w:hAnsiTheme="majorHAnsi" w:cs="Helvetica"/>
        </w:rPr>
        <w:t xml:space="preserve">best predict the decision to stop trading. An important mediating factor </w:t>
      </w:r>
      <w:r>
        <w:rPr>
          <w:rFonts w:asciiTheme="majorHAnsi" w:hAnsiTheme="majorHAnsi" w:cs="Helvetica"/>
        </w:rPr>
        <w:t>o</w:t>
      </w:r>
      <w:r w:rsidRPr="00306807">
        <w:rPr>
          <w:rFonts w:asciiTheme="majorHAnsi" w:hAnsiTheme="majorHAnsi" w:cs="Helvetica"/>
        </w:rPr>
        <w:t xml:space="preserve">n the effect of falling into loss or breaking even was the </w:t>
      </w:r>
      <w:r>
        <w:rPr>
          <w:rFonts w:asciiTheme="majorHAnsi" w:hAnsiTheme="majorHAnsi" w:cs="Helvetica"/>
        </w:rPr>
        <w:t>individual</w:t>
      </w:r>
      <w:r w:rsidRPr="00306807">
        <w:rPr>
          <w:rFonts w:asciiTheme="majorHAnsi" w:hAnsiTheme="majorHAnsi" w:cs="Helvetica"/>
        </w:rPr>
        <w:t>'s</w:t>
      </w:r>
      <w:r w:rsidR="00807CB8">
        <w:rPr>
          <w:rFonts w:asciiTheme="majorHAnsi" w:hAnsiTheme="majorHAnsi" w:cs="Helvetica"/>
        </w:rPr>
        <w:t xml:space="preserve"> </w:t>
      </w:r>
      <w:r w:rsidRPr="00306807">
        <w:rPr>
          <w:rFonts w:asciiTheme="majorHAnsi" w:hAnsiTheme="majorHAnsi" w:cs="Helvetica"/>
        </w:rPr>
        <w:t>longer</w:t>
      </w:r>
      <w:r>
        <w:rPr>
          <w:rFonts w:asciiTheme="majorHAnsi" w:hAnsiTheme="majorHAnsi" w:cs="Helvetica"/>
        </w:rPr>
        <w:t>-</w:t>
      </w:r>
      <w:r w:rsidRPr="00306807">
        <w:rPr>
          <w:rFonts w:asciiTheme="majorHAnsi" w:hAnsiTheme="majorHAnsi" w:cs="Helvetica"/>
        </w:rPr>
        <w:t>term performance</w:t>
      </w:r>
      <w:r>
        <w:rPr>
          <w:rFonts w:asciiTheme="majorHAnsi" w:hAnsiTheme="majorHAnsi" w:cs="Helvetica"/>
        </w:rPr>
        <w:t xml:space="preserve"> (</w:t>
      </w:r>
      <w:r w:rsidR="009F226C">
        <w:rPr>
          <w:rFonts w:asciiTheme="majorHAnsi" w:hAnsiTheme="majorHAnsi" w:cs="Helvetica"/>
        </w:rPr>
        <w:t xml:space="preserve">i.e. </w:t>
      </w:r>
      <w:r>
        <w:rPr>
          <w:rFonts w:asciiTheme="majorHAnsi" w:hAnsiTheme="majorHAnsi" w:cs="Helvetica"/>
        </w:rPr>
        <w:t>profitability)</w:t>
      </w:r>
      <w:r w:rsidR="00697ACB">
        <w:rPr>
          <w:rFonts w:asciiTheme="majorHAnsi" w:hAnsiTheme="majorHAnsi" w:cs="Helvetica"/>
        </w:rPr>
        <w:t>, which we argue</w:t>
      </w:r>
      <w:r>
        <w:rPr>
          <w:rFonts w:asciiTheme="majorHAnsi" w:hAnsiTheme="majorHAnsi" w:cs="Helvetica"/>
        </w:rPr>
        <w:t xml:space="preserve"> may </w:t>
      </w:r>
      <w:r w:rsidR="005B6A35">
        <w:rPr>
          <w:rFonts w:asciiTheme="majorHAnsi" w:hAnsiTheme="majorHAnsi" w:cs="Helvetica"/>
        </w:rPr>
        <w:t>influence</w:t>
      </w:r>
      <w:r w:rsidRPr="00306807">
        <w:rPr>
          <w:rFonts w:asciiTheme="majorHAnsi" w:hAnsiTheme="majorHAnsi" w:cs="Helvetica"/>
        </w:rPr>
        <w:t xml:space="preserve"> their self-confidence. Those who</w:t>
      </w:r>
      <w:r w:rsidR="009F226C">
        <w:rPr>
          <w:rFonts w:asciiTheme="majorHAnsi" w:hAnsiTheme="majorHAnsi" w:cs="Helvetica"/>
        </w:rPr>
        <w:t>se trading</w:t>
      </w:r>
      <w:r w:rsidRPr="00306807">
        <w:rPr>
          <w:rFonts w:asciiTheme="majorHAnsi" w:hAnsiTheme="majorHAnsi" w:cs="Helvetica"/>
        </w:rPr>
        <w:t xml:space="preserve"> had generally be</w:t>
      </w:r>
      <w:r w:rsidR="00807CB8">
        <w:rPr>
          <w:rFonts w:asciiTheme="majorHAnsi" w:hAnsiTheme="majorHAnsi" w:cs="Helvetica"/>
        </w:rPr>
        <w:t xml:space="preserve">en profitable </w:t>
      </w:r>
      <w:r w:rsidR="005B6A35">
        <w:rPr>
          <w:rFonts w:asciiTheme="majorHAnsi" w:hAnsiTheme="majorHAnsi" w:cs="Helvetica"/>
        </w:rPr>
        <w:t>(</w:t>
      </w:r>
      <w:r w:rsidR="00DB42EF">
        <w:rPr>
          <w:rFonts w:asciiTheme="majorHAnsi" w:hAnsiTheme="majorHAnsi" w:cs="Helvetica"/>
        </w:rPr>
        <w:t xml:space="preserve">i.e. more </w:t>
      </w:r>
      <w:r w:rsidR="005B6A35">
        <w:rPr>
          <w:rFonts w:asciiTheme="majorHAnsi" w:hAnsiTheme="majorHAnsi" w:cs="Helvetica"/>
        </w:rPr>
        <w:t>confident in the</w:t>
      </w:r>
      <w:r w:rsidR="00172A71">
        <w:rPr>
          <w:rFonts w:asciiTheme="majorHAnsi" w:hAnsiTheme="majorHAnsi" w:cs="Helvetica"/>
        </w:rPr>
        <w:t>ir</w:t>
      </w:r>
      <w:r w:rsidR="005B6A35">
        <w:rPr>
          <w:rFonts w:asciiTheme="majorHAnsi" w:hAnsiTheme="majorHAnsi" w:cs="Helvetica"/>
        </w:rPr>
        <w:t xml:space="preserve"> profit-making ability) </w:t>
      </w:r>
      <w:r w:rsidRPr="00306807">
        <w:rPr>
          <w:rFonts w:asciiTheme="majorHAnsi" w:hAnsiTheme="majorHAnsi" w:cs="Helvetica"/>
        </w:rPr>
        <w:t xml:space="preserve">were less affected by a fall in </w:t>
      </w:r>
      <w:r w:rsidR="00024C8F">
        <w:rPr>
          <w:rFonts w:asciiTheme="majorHAnsi" w:hAnsiTheme="majorHAnsi" w:cs="Helvetica"/>
        </w:rPr>
        <w:t xml:space="preserve">their </w:t>
      </w:r>
      <w:r w:rsidRPr="00306807">
        <w:rPr>
          <w:rFonts w:asciiTheme="majorHAnsi" w:hAnsiTheme="majorHAnsi" w:cs="Helvetica"/>
        </w:rPr>
        <w:t xml:space="preserve">cash-balance below the break-even point </w:t>
      </w:r>
      <w:r w:rsidR="00DB42EF">
        <w:rPr>
          <w:rFonts w:asciiTheme="majorHAnsi" w:hAnsiTheme="majorHAnsi" w:cs="Helvetica"/>
        </w:rPr>
        <w:t xml:space="preserve">when compared </w:t>
      </w:r>
      <w:r w:rsidR="00024C8F">
        <w:rPr>
          <w:rFonts w:asciiTheme="majorHAnsi" w:hAnsiTheme="majorHAnsi" w:cs="Helvetica"/>
        </w:rPr>
        <w:t xml:space="preserve">to </w:t>
      </w:r>
      <w:r w:rsidRPr="00306807">
        <w:rPr>
          <w:rFonts w:asciiTheme="majorHAnsi" w:hAnsiTheme="majorHAnsi" w:cs="Helvetica"/>
        </w:rPr>
        <w:t>those who had more frequently been in net loss</w:t>
      </w:r>
      <w:r w:rsidR="009F226C">
        <w:rPr>
          <w:rFonts w:asciiTheme="majorHAnsi" w:hAnsiTheme="majorHAnsi" w:cs="Helvetica"/>
        </w:rPr>
        <w:t>.</w:t>
      </w:r>
      <w:r w:rsidR="00807CB8">
        <w:rPr>
          <w:rFonts w:asciiTheme="majorHAnsi" w:hAnsiTheme="majorHAnsi" w:cs="Helvetica"/>
        </w:rPr>
        <w:t xml:space="preserve"> Additionally, t</w:t>
      </w:r>
      <w:r>
        <w:rPr>
          <w:rFonts w:asciiTheme="majorHAnsi" w:hAnsiTheme="majorHAnsi" w:cs="Helvetica"/>
        </w:rPr>
        <w:t>hose</w:t>
      </w:r>
      <w:r w:rsidRPr="00306807">
        <w:rPr>
          <w:rFonts w:asciiTheme="majorHAnsi" w:hAnsiTheme="majorHAnsi" w:cs="Helvetica"/>
        </w:rPr>
        <w:t xml:space="preserve"> </w:t>
      </w:r>
      <w:r>
        <w:rPr>
          <w:rFonts w:asciiTheme="majorHAnsi" w:hAnsiTheme="majorHAnsi" w:cs="Helvetica"/>
        </w:rPr>
        <w:t xml:space="preserve">who had a history of </w:t>
      </w:r>
      <w:r w:rsidR="005B6A35">
        <w:rPr>
          <w:rFonts w:asciiTheme="majorHAnsi" w:hAnsiTheme="majorHAnsi" w:cs="Helvetica"/>
        </w:rPr>
        <w:t>losses</w:t>
      </w:r>
      <w:r>
        <w:rPr>
          <w:rFonts w:asciiTheme="majorHAnsi" w:hAnsiTheme="majorHAnsi" w:cs="Helvetica"/>
        </w:rPr>
        <w:t xml:space="preserve"> </w:t>
      </w:r>
      <w:r w:rsidRPr="00306807">
        <w:rPr>
          <w:rFonts w:asciiTheme="majorHAnsi" w:hAnsiTheme="majorHAnsi" w:cs="Helvetica"/>
        </w:rPr>
        <w:t xml:space="preserve">were more likely to stop trading having recently broken even </w:t>
      </w:r>
      <w:r>
        <w:rPr>
          <w:rFonts w:asciiTheme="majorHAnsi" w:hAnsiTheme="majorHAnsi" w:cs="Helvetica"/>
        </w:rPr>
        <w:t>(cf.</w:t>
      </w:r>
      <w:r w:rsidRPr="00306807">
        <w:rPr>
          <w:rFonts w:asciiTheme="majorHAnsi" w:hAnsiTheme="majorHAnsi" w:cs="Helvetica"/>
        </w:rPr>
        <w:t xml:space="preserve"> those who </w:t>
      </w:r>
      <w:r>
        <w:rPr>
          <w:rFonts w:asciiTheme="majorHAnsi" w:hAnsiTheme="majorHAnsi" w:cs="Helvetica"/>
        </w:rPr>
        <w:lastRenderedPageBreak/>
        <w:t xml:space="preserve">had </w:t>
      </w:r>
      <w:r w:rsidRPr="00306807">
        <w:rPr>
          <w:rFonts w:asciiTheme="majorHAnsi" w:hAnsiTheme="majorHAnsi" w:cs="Helvetica"/>
        </w:rPr>
        <w:t>generally been profitable</w:t>
      </w:r>
      <w:r>
        <w:rPr>
          <w:rFonts w:asciiTheme="majorHAnsi" w:hAnsiTheme="majorHAnsi" w:cs="Helvetica"/>
        </w:rPr>
        <w:t>)</w:t>
      </w:r>
      <w:r w:rsidR="00807CB8">
        <w:rPr>
          <w:rFonts w:asciiTheme="majorHAnsi" w:hAnsiTheme="majorHAnsi" w:cs="Helvetica"/>
        </w:rPr>
        <w:t>.</w:t>
      </w:r>
      <w:r w:rsidR="001A7BAF">
        <w:rPr>
          <w:rFonts w:asciiTheme="majorHAnsi" w:hAnsiTheme="majorHAnsi" w:cs="Helvetica"/>
        </w:rPr>
        <w:t xml:space="preserve"> This reveals that in certain situations individuals may be more likely to stop trading having recently made a profit.</w:t>
      </w:r>
      <w:r w:rsidR="00807CB8">
        <w:rPr>
          <w:rFonts w:asciiTheme="majorHAnsi" w:hAnsiTheme="majorHAnsi" w:cs="Helvetica"/>
        </w:rPr>
        <w:t xml:space="preserve">  </w:t>
      </w:r>
    </w:p>
    <w:p w14:paraId="2401558B" w14:textId="722A80D4" w:rsidR="003700FE" w:rsidRPr="003700FE" w:rsidRDefault="003700FE" w:rsidP="00BB25C5">
      <w:pPr>
        <w:spacing w:after="0" w:line="480" w:lineRule="auto"/>
        <w:ind w:firstLine="720"/>
        <w:rPr>
          <w:rFonts w:asciiTheme="majorHAnsi" w:hAnsiTheme="majorHAnsi" w:cs="Helvetica"/>
        </w:rPr>
      </w:pPr>
      <w:r>
        <w:rPr>
          <w:rFonts w:asciiTheme="majorHAnsi" w:hAnsiTheme="majorHAnsi" w:cs="Helvetica"/>
        </w:rPr>
        <w:t>Our findings have</w:t>
      </w:r>
      <w:r w:rsidRPr="00306807">
        <w:rPr>
          <w:rFonts w:asciiTheme="majorHAnsi" w:hAnsiTheme="majorHAnsi" w:cs="Helvetica"/>
        </w:rPr>
        <w:t xml:space="preserve"> broad implications for our understanding of the nature and impact of </w:t>
      </w:r>
      <w:r>
        <w:rPr>
          <w:rFonts w:asciiTheme="majorHAnsi" w:hAnsiTheme="majorHAnsi" w:cs="Helvetica"/>
        </w:rPr>
        <w:t xml:space="preserve"> </w:t>
      </w:r>
      <w:r w:rsidRPr="00306807">
        <w:rPr>
          <w:rFonts w:asciiTheme="majorHAnsi" w:hAnsiTheme="majorHAnsi" w:cs="Helvetica"/>
        </w:rPr>
        <w:t xml:space="preserve">break-even </w:t>
      </w:r>
      <w:r>
        <w:rPr>
          <w:rFonts w:asciiTheme="majorHAnsi" w:hAnsiTheme="majorHAnsi" w:cs="Helvetica"/>
        </w:rPr>
        <w:t>points on risk-taking behavior</w:t>
      </w:r>
      <w:r w:rsidRPr="00306807">
        <w:rPr>
          <w:rFonts w:asciiTheme="majorHAnsi" w:hAnsiTheme="majorHAnsi" w:cs="Helvetica"/>
        </w:rPr>
        <w:t xml:space="preserve"> and how </w:t>
      </w:r>
      <w:r>
        <w:rPr>
          <w:rFonts w:asciiTheme="majorHAnsi" w:hAnsiTheme="majorHAnsi" w:cs="Helvetica"/>
        </w:rPr>
        <w:t xml:space="preserve">cognitive bias can impact the decision to </w:t>
      </w:r>
      <w:r w:rsidR="009F226C">
        <w:rPr>
          <w:rFonts w:asciiTheme="majorHAnsi" w:hAnsiTheme="majorHAnsi" w:cs="Helvetica"/>
        </w:rPr>
        <w:t>cease</w:t>
      </w:r>
      <w:r>
        <w:rPr>
          <w:rFonts w:asciiTheme="majorHAnsi" w:hAnsiTheme="majorHAnsi" w:cs="Helvetica"/>
        </w:rPr>
        <w:t xml:space="preserve"> a</w:t>
      </w:r>
      <w:r w:rsidRPr="00306807">
        <w:rPr>
          <w:rFonts w:asciiTheme="majorHAnsi" w:hAnsiTheme="majorHAnsi" w:cs="Helvetica"/>
        </w:rPr>
        <w:t xml:space="preserve"> </w:t>
      </w:r>
      <w:r w:rsidR="0015251B">
        <w:rPr>
          <w:rFonts w:asciiTheme="majorHAnsi" w:hAnsiTheme="majorHAnsi" w:cs="Helvetica"/>
        </w:rPr>
        <w:t>RA</w:t>
      </w:r>
      <w:r>
        <w:rPr>
          <w:rFonts w:asciiTheme="majorHAnsi" w:hAnsiTheme="majorHAnsi" w:cs="Helvetica"/>
        </w:rPr>
        <w:t>. The results also aid our</w:t>
      </w:r>
      <w:r w:rsidRPr="00306807">
        <w:rPr>
          <w:rFonts w:asciiTheme="majorHAnsi" w:hAnsiTheme="majorHAnsi" w:cs="Helvetica"/>
        </w:rPr>
        <w:t xml:space="preserve"> understanding</w:t>
      </w:r>
      <w:r>
        <w:rPr>
          <w:rFonts w:asciiTheme="majorHAnsi" w:hAnsiTheme="majorHAnsi" w:cs="Helvetica"/>
        </w:rPr>
        <w:t xml:space="preserve"> of some of the</w:t>
      </w:r>
      <w:r w:rsidRPr="00306807">
        <w:rPr>
          <w:rFonts w:asciiTheme="majorHAnsi" w:hAnsiTheme="majorHAnsi" w:cs="Helvetica"/>
        </w:rPr>
        <w:t xml:space="preserve"> non-pathological cognitive factors that could impact</w:t>
      </w:r>
      <w:r>
        <w:rPr>
          <w:rFonts w:asciiTheme="majorHAnsi" w:hAnsiTheme="majorHAnsi" w:cs="Helvetica"/>
        </w:rPr>
        <w:t>, and possibly interact with</w:t>
      </w:r>
      <w:r w:rsidR="00EB161F" w:rsidRPr="00EB161F">
        <w:rPr>
          <w:rFonts w:asciiTheme="majorHAnsi" w:hAnsiTheme="majorHAnsi" w:cs="Helvetica"/>
        </w:rPr>
        <w:t xml:space="preserve"> </w:t>
      </w:r>
      <w:r w:rsidR="00EB161F" w:rsidRPr="00306807">
        <w:rPr>
          <w:rFonts w:asciiTheme="majorHAnsi" w:hAnsiTheme="majorHAnsi" w:cs="Helvetica"/>
        </w:rPr>
        <w:t>rogue trader</w:t>
      </w:r>
      <w:r w:rsidR="00EB161F">
        <w:rPr>
          <w:rFonts w:asciiTheme="majorHAnsi" w:hAnsiTheme="majorHAnsi" w:cs="Helvetica"/>
        </w:rPr>
        <w:t xml:space="preserve"> behavior and</w:t>
      </w:r>
      <w:r w:rsidRPr="00306807">
        <w:rPr>
          <w:rFonts w:asciiTheme="majorHAnsi" w:hAnsiTheme="majorHAnsi" w:cs="Helvetica"/>
        </w:rPr>
        <w:t xml:space="preserve"> pathological gambling behavior</w:t>
      </w:r>
      <w:r>
        <w:rPr>
          <w:rFonts w:asciiTheme="majorHAnsi" w:hAnsiTheme="majorHAnsi" w:cs="Helvetica"/>
        </w:rPr>
        <w:t>s</w:t>
      </w:r>
      <w:r w:rsidR="00443E4C">
        <w:rPr>
          <w:rFonts w:asciiTheme="majorHAnsi" w:hAnsiTheme="majorHAnsi" w:cs="Helvetica"/>
        </w:rPr>
        <w:t>.</w:t>
      </w:r>
      <w:r>
        <w:rPr>
          <w:rFonts w:asciiTheme="majorHAnsi" w:hAnsiTheme="majorHAnsi" w:cs="Helvetica"/>
        </w:rPr>
        <w:t xml:space="preserve"> We discuss the important</w:t>
      </w:r>
      <w:r w:rsidRPr="00312794">
        <w:rPr>
          <w:rFonts w:asciiTheme="majorHAnsi" w:hAnsiTheme="majorHAnsi" w:cs="Helvetica"/>
        </w:rPr>
        <w:t xml:space="preserve"> </w:t>
      </w:r>
      <w:r>
        <w:rPr>
          <w:rFonts w:asciiTheme="majorHAnsi" w:hAnsiTheme="majorHAnsi" w:cs="Helvetica"/>
        </w:rPr>
        <w:t xml:space="preserve">implications for those engaged in </w:t>
      </w:r>
      <w:r w:rsidR="0015251B">
        <w:rPr>
          <w:rFonts w:asciiTheme="majorHAnsi" w:hAnsiTheme="majorHAnsi" w:cs="Helvetica"/>
        </w:rPr>
        <w:t>RA</w:t>
      </w:r>
      <w:r w:rsidR="005B6A35">
        <w:rPr>
          <w:rFonts w:asciiTheme="majorHAnsi" w:hAnsiTheme="majorHAnsi" w:cs="Helvetica"/>
        </w:rPr>
        <w:t>s</w:t>
      </w:r>
      <w:r>
        <w:rPr>
          <w:rFonts w:asciiTheme="majorHAnsi" w:hAnsiTheme="majorHAnsi" w:cs="Helvetica"/>
        </w:rPr>
        <w:t>, for those involved in regulating these activities</w:t>
      </w:r>
      <w:r w:rsidR="00443E4C">
        <w:rPr>
          <w:rFonts w:asciiTheme="majorHAnsi" w:hAnsiTheme="majorHAnsi" w:cs="Helvetica"/>
        </w:rPr>
        <w:t xml:space="preserve"> and </w:t>
      </w:r>
      <w:r w:rsidR="004272CD">
        <w:rPr>
          <w:rFonts w:asciiTheme="majorHAnsi" w:hAnsiTheme="majorHAnsi" w:cs="Helvetica"/>
        </w:rPr>
        <w:t xml:space="preserve">for the </w:t>
      </w:r>
      <w:r w:rsidR="00BD5BB6">
        <w:rPr>
          <w:rFonts w:asciiTheme="majorHAnsi" w:hAnsiTheme="majorHAnsi" w:cs="Helvetica"/>
        </w:rPr>
        <w:t>effective management of risk taking in</w:t>
      </w:r>
      <w:r w:rsidR="004272CD">
        <w:rPr>
          <w:rFonts w:asciiTheme="majorHAnsi" w:hAnsiTheme="majorHAnsi" w:cs="Helvetica"/>
        </w:rPr>
        <w:t xml:space="preserve"> markets</w:t>
      </w:r>
      <w:r w:rsidR="00443E4C">
        <w:rPr>
          <w:rFonts w:asciiTheme="majorHAnsi" w:hAnsiTheme="majorHAnsi" w:cs="Helvetica"/>
        </w:rPr>
        <w:t>.</w:t>
      </w:r>
      <w:r>
        <w:rPr>
          <w:rFonts w:asciiTheme="majorHAnsi" w:hAnsiTheme="majorHAnsi" w:cs="Helvetica"/>
        </w:rPr>
        <w:t xml:space="preserve"> </w:t>
      </w:r>
    </w:p>
    <w:p w14:paraId="33D0EF88" w14:textId="77119C9B" w:rsidR="00CD1581" w:rsidRDefault="00CD1581" w:rsidP="00314D0E">
      <w:pPr>
        <w:spacing w:after="0" w:line="480" w:lineRule="auto"/>
        <w:ind w:firstLine="720"/>
        <w:rPr>
          <w:rFonts w:asciiTheme="majorHAnsi" w:hAnsiTheme="majorHAnsi" w:cs="Helvetica"/>
        </w:rPr>
      </w:pPr>
    </w:p>
    <w:p w14:paraId="7FE2A517" w14:textId="31F72D02" w:rsidR="003700FE" w:rsidRPr="00E363DA" w:rsidRDefault="003700FE" w:rsidP="00314D0E">
      <w:pPr>
        <w:spacing w:after="0" w:line="480" w:lineRule="auto"/>
        <w:rPr>
          <w:rFonts w:asciiTheme="majorHAnsi" w:hAnsiTheme="majorHAnsi" w:cs="Helvetica"/>
          <w:b/>
        </w:rPr>
      </w:pPr>
      <w:r w:rsidRPr="00E363DA">
        <w:rPr>
          <w:rFonts w:asciiTheme="majorHAnsi" w:hAnsiTheme="majorHAnsi" w:cs="Helvetica"/>
          <w:b/>
        </w:rPr>
        <w:t xml:space="preserve">1.1 </w:t>
      </w:r>
      <w:r w:rsidR="002B66D1" w:rsidRPr="00E363DA">
        <w:rPr>
          <w:rFonts w:asciiTheme="majorHAnsi" w:hAnsiTheme="majorHAnsi" w:cs="Helvetica"/>
          <w:b/>
        </w:rPr>
        <w:t>Break-Even and House Money Effects</w:t>
      </w:r>
    </w:p>
    <w:p w14:paraId="3E3BB520" w14:textId="0B9C7987" w:rsidR="003700FE" w:rsidRDefault="00BD2B71" w:rsidP="00177D83">
      <w:pPr>
        <w:spacing w:after="0" w:line="480" w:lineRule="auto"/>
        <w:ind w:firstLine="720"/>
        <w:jc w:val="both"/>
        <w:rPr>
          <w:rFonts w:asciiTheme="majorHAnsi" w:hAnsiTheme="majorHAnsi"/>
        </w:rPr>
      </w:pPr>
      <w:r w:rsidRPr="00E363DA">
        <w:rPr>
          <w:rFonts w:asciiTheme="majorHAnsi" w:hAnsiTheme="majorHAnsi"/>
        </w:rPr>
        <w:t xml:space="preserve">We follow common practice in </w:t>
      </w:r>
      <w:r w:rsidR="00A0111F" w:rsidRPr="00E363DA">
        <w:rPr>
          <w:rFonts w:asciiTheme="majorHAnsi" w:hAnsiTheme="majorHAnsi"/>
        </w:rPr>
        <w:t>defin</w:t>
      </w:r>
      <w:r w:rsidRPr="00E363DA">
        <w:rPr>
          <w:rFonts w:asciiTheme="majorHAnsi" w:hAnsiTheme="majorHAnsi"/>
        </w:rPr>
        <w:t>ing</w:t>
      </w:r>
      <w:r w:rsidR="00A0111F" w:rsidRPr="00E363DA">
        <w:rPr>
          <w:rFonts w:asciiTheme="majorHAnsi" w:hAnsiTheme="majorHAnsi"/>
        </w:rPr>
        <w:t xml:space="preserve"> the break-even point as the point of balance between </w:t>
      </w:r>
      <w:r w:rsidR="003D585D" w:rsidRPr="00E363DA">
        <w:rPr>
          <w:rFonts w:asciiTheme="majorHAnsi" w:hAnsiTheme="majorHAnsi"/>
        </w:rPr>
        <w:t>accumulated</w:t>
      </w:r>
      <w:r w:rsidR="00E13040">
        <w:rPr>
          <w:rFonts w:asciiTheme="majorHAnsi" w:hAnsiTheme="majorHAnsi"/>
        </w:rPr>
        <w:t xml:space="preserve"> loss and profit since </w:t>
      </w:r>
      <w:r w:rsidR="001B348F" w:rsidRPr="00E363DA">
        <w:rPr>
          <w:rFonts w:asciiTheme="majorHAnsi" w:hAnsiTheme="majorHAnsi"/>
        </w:rPr>
        <w:t>beginning a RA.</w:t>
      </w:r>
      <w:r w:rsidR="001B348F" w:rsidRPr="00E363DA">
        <w:rPr>
          <w:rFonts w:asciiTheme="majorHAnsi" w:hAnsiTheme="majorHAnsi"/>
          <w:vertAlign w:val="superscript"/>
        </w:rPr>
        <w:t>(15</w:t>
      </w:r>
      <w:r w:rsidR="001B348F">
        <w:rPr>
          <w:rFonts w:asciiTheme="majorHAnsi" w:hAnsiTheme="majorHAnsi"/>
          <w:vertAlign w:val="superscript"/>
        </w:rPr>
        <w:t>)</w:t>
      </w:r>
      <w:r w:rsidR="00E13040">
        <w:rPr>
          <w:rFonts w:asciiTheme="majorHAnsi" w:hAnsiTheme="majorHAnsi"/>
        </w:rPr>
        <w:t xml:space="preserve">, which we refer to as </w:t>
      </w:r>
      <w:r w:rsidR="003D585D" w:rsidRPr="00E363DA">
        <w:rPr>
          <w:rFonts w:asciiTheme="majorHAnsi" w:hAnsiTheme="majorHAnsi"/>
        </w:rPr>
        <w:t xml:space="preserve"> </w:t>
      </w:r>
      <w:r w:rsidR="001B348F">
        <w:rPr>
          <w:rFonts w:asciiTheme="majorHAnsi" w:hAnsiTheme="majorHAnsi"/>
        </w:rPr>
        <w:t xml:space="preserve">accumulated </w:t>
      </w:r>
      <w:r w:rsidR="00A0111F" w:rsidRPr="00E363DA">
        <w:rPr>
          <w:rFonts w:asciiTheme="majorHAnsi" w:hAnsiTheme="majorHAnsi"/>
        </w:rPr>
        <w:t>net loss and net profit</w:t>
      </w:r>
      <w:r w:rsidR="001B348F">
        <w:rPr>
          <w:rFonts w:asciiTheme="majorHAnsi" w:hAnsiTheme="majorHAnsi"/>
        </w:rPr>
        <w:t>.</w:t>
      </w:r>
      <w:r w:rsidR="00A0111F" w:rsidRPr="00E363DA">
        <w:rPr>
          <w:rFonts w:asciiTheme="majorHAnsi" w:hAnsiTheme="majorHAnsi"/>
        </w:rPr>
        <w:t xml:space="preserve"> </w:t>
      </w:r>
      <w:r w:rsidR="003700FE" w:rsidRPr="00E363DA">
        <w:rPr>
          <w:rFonts w:asciiTheme="majorHAnsi" w:hAnsiTheme="majorHAnsi"/>
        </w:rPr>
        <w:t>‘</w:t>
      </w:r>
      <w:r w:rsidR="003D585D" w:rsidRPr="00E363DA">
        <w:rPr>
          <w:rFonts w:asciiTheme="majorHAnsi" w:hAnsiTheme="majorHAnsi"/>
        </w:rPr>
        <w:t xml:space="preserve">Reference </w:t>
      </w:r>
      <w:r w:rsidR="003700FE" w:rsidRPr="00E363DA">
        <w:rPr>
          <w:rFonts w:asciiTheme="majorHAnsi" w:hAnsiTheme="majorHAnsi"/>
        </w:rPr>
        <w:t>points’ have been observed to play an important role in decision-making</w:t>
      </w:r>
      <w:r w:rsidR="00ED2752" w:rsidRPr="00E363DA">
        <w:rPr>
          <w:rFonts w:asciiTheme="majorHAnsi" w:hAnsiTheme="majorHAnsi"/>
        </w:rPr>
        <w:t>.</w:t>
      </w:r>
      <w:r w:rsidR="00ED2752" w:rsidRPr="00E363DA">
        <w:rPr>
          <w:rFonts w:asciiTheme="majorHAnsi" w:hAnsiTheme="majorHAnsi"/>
          <w:vertAlign w:val="superscript"/>
        </w:rPr>
        <w:t>(9)</w:t>
      </w:r>
      <w:r w:rsidR="003700FE" w:rsidRPr="00E363DA">
        <w:rPr>
          <w:rFonts w:asciiTheme="majorHAnsi" w:hAnsiTheme="majorHAnsi"/>
        </w:rPr>
        <w:t xml:space="preserve"> </w:t>
      </w:r>
      <w:r w:rsidR="00A0111F" w:rsidRPr="00E363DA">
        <w:rPr>
          <w:rFonts w:asciiTheme="majorHAnsi" w:hAnsiTheme="majorHAnsi"/>
        </w:rPr>
        <w:t>These reference points are usually defined by the current wealth</w:t>
      </w:r>
      <w:r w:rsidR="003D585D" w:rsidRPr="00E363DA">
        <w:rPr>
          <w:rFonts w:asciiTheme="majorHAnsi" w:hAnsiTheme="majorHAnsi"/>
        </w:rPr>
        <w:t>,</w:t>
      </w:r>
      <w:r w:rsidR="00A0111F" w:rsidRPr="00E363DA">
        <w:rPr>
          <w:rFonts w:asciiTheme="majorHAnsi" w:hAnsiTheme="majorHAnsi"/>
        </w:rPr>
        <w:t xml:space="preserve"> with no memory of the past. In other words, </w:t>
      </w:r>
      <w:r w:rsidR="003700FE" w:rsidRPr="00E363DA">
        <w:rPr>
          <w:rFonts w:asciiTheme="majorHAnsi" w:hAnsiTheme="majorHAnsi"/>
        </w:rPr>
        <w:t>having made a profit</w:t>
      </w:r>
      <w:r w:rsidR="003700FE">
        <w:rPr>
          <w:rFonts w:asciiTheme="majorHAnsi" w:hAnsiTheme="majorHAnsi"/>
        </w:rPr>
        <w:t xml:space="preserve"> (or loss) through a </w:t>
      </w:r>
      <w:r w:rsidR="003F73A7">
        <w:rPr>
          <w:rFonts w:asciiTheme="majorHAnsi" w:hAnsiTheme="majorHAnsi"/>
        </w:rPr>
        <w:t>RA</w:t>
      </w:r>
      <w:r w:rsidR="003700FE">
        <w:rPr>
          <w:rFonts w:asciiTheme="majorHAnsi" w:hAnsiTheme="majorHAnsi"/>
        </w:rPr>
        <w:t xml:space="preserve">, an individual’s new, greater (or lower), wealth </w:t>
      </w:r>
      <w:r w:rsidR="003D585D">
        <w:rPr>
          <w:rFonts w:asciiTheme="majorHAnsi" w:hAnsiTheme="majorHAnsi"/>
        </w:rPr>
        <w:t xml:space="preserve">following a particular decision </w:t>
      </w:r>
      <w:r w:rsidR="003700FE">
        <w:rPr>
          <w:rFonts w:asciiTheme="majorHAnsi" w:hAnsiTheme="majorHAnsi"/>
        </w:rPr>
        <w:t>can become a new ‘reference point’ from which gains and losses are subsequently measured. These</w:t>
      </w:r>
      <w:r w:rsidR="00177D83">
        <w:rPr>
          <w:rFonts w:asciiTheme="majorHAnsi" w:hAnsiTheme="majorHAnsi"/>
        </w:rPr>
        <w:t xml:space="preserve"> </w:t>
      </w:r>
      <w:r w:rsidR="003700FE">
        <w:rPr>
          <w:rFonts w:asciiTheme="majorHAnsi" w:hAnsiTheme="majorHAnsi"/>
        </w:rPr>
        <w:t xml:space="preserve">points appear to be important since reductions in wealth from such reference points </w:t>
      </w:r>
      <w:r w:rsidR="003700FE" w:rsidRPr="00306807">
        <w:rPr>
          <w:rFonts w:asciiTheme="majorHAnsi" w:hAnsiTheme="majorHAnsi"/>
        </w:rPr>
        <w:t>are perceived differently</w:t>
      </w:r>
      <w:r w:rsidR="003700FE">
        <w:rPr>
          <w:rFonts w:asciiTheme="majorHAnsi" w:hAnsiTheme="majorHAnsi"/>
        </w:rPr>
        <w:t xml:space="preserve"> to increases of similar magnitude; a phenomenon known as loss aversion.</w:t>
      </w:r>
      <w:r w:rsidR="003700FE" w:rsidRPr="00306807">
        <w:rPr>
          <w:rFonts w:asciiTheme="majorHAnsi" w:hAnsiTheme="majorHAnsi"/>
        </w:rPr>
        <w:t xml:space="preserve"> </w:t>
      </w:r>
      <w:r w:rsidR="003700FE">
        <w:rPr>
          <w:rFonts w:asciiTheme="majorHAnsi" w:hAnsiTheme="majorHAnsi"/>
        </w:rPr>
        <w:t xml:space="preserve">Kahneman and Tversky developed prospect theory based on this idea, </w:t>
      </w:r>
      <w:r w:rsidR="003D585D">
        <w:rPr>
          <w:rFonts w:asciiTheme="majorHAnsi" w:hAnsiTheme="majorHAnsi"/>
        </w:rPr>
        <w:t>identif</w:t>
      </w:r>
      <w:r w:rsidR="00737D6A">
        <w:rPr>
          <w:rFonts w:asciiTheme="majorHAnsi" w:hAnsiTheme="majorHAnsi"/>
        </w:rPr>
        <w:t>ying</w:t>
      </w:r>
      <w:r w:rsidR="003700FE">
        <w:rPr>
          <w:rFonts w:asciiTheme="majorHAnsi" w:hAnsiTheme="majorHAnsi"/>
        </w:rPr>
        <w:t xml:space="preserve"> different shape</w:t>
      </w:r>
      <w:r>
        <w:rPr>
          <w:rFonts w:asciiTheme="majorHAnsi" w:hAnsiTheme="majorHAnsi"/>
        </w:rPr>
        <w:t>d</w:t>
      </w:r>
      <w:r w:rsidR="003700FE">
        <w:rPr>
          <w:rFonts w:asciiTheme="majorHAnsi" w:hAnsiTheme="majorHAnsi"/>
        </w:rPr>
        <w:t xml:space="preserve"> value function</w:t>
      </w:r>
      <w:r>
        <w:rPr>
          <w:rFonts w:asciiTheme="majorHAnsi" w:hAnsiTheme="majorHAnsi"/>
        </w:rPr>
        <w:t>s</w:t>
      </w:r>
      <w:r w:rsidR="003700FE">
        <w:rPr>
          <w:rFonts w:asciiTheme="majorHAnsi" w:hAnsiTheme="majorHAnsi"/>
        </w:rPr>
        <w:t xml:space="preserve"> for gains above </w:t>
      </w:r>
      <w:r>
        <w:rPr>
          <w:rFonts w:asciiTheme="majorHAnsi" w:hAnsiTheme="majorHAnsi"/>
        </w:rPr>
        <w:t xml:space="preserve">and losses below </w:t>
      </w:r>
      <w:r w:rsidR="003700FE">
        <w:rPr>
          <w:rFonts w:asciiTheme="majorHAnsi" w:hAnsiTheme="majorHAnsi"/>
        </w:rPr>
        <w:t>this reference point.</w:t>
      </w:r>
      <w:r w:rsidR="00ED2752" w:rsidRPr="00275768">
        <w:rPr>
          <w:rFonts w:asciiTheme="majorHAnsi" w:hAnsiTheme="majorHAnsi"/>
          <w:vertAlign w:val="superscript"/>
        </w:rPr>
        <w:t>(</w:t>
      </w:r>
      <w:r w:rsidR="000B57A7">
        <w:rPr>
          <w:rFonts w:asciiTheme="majorHAnsi" w:hAnsiTheme="majorHAnsi"/>
          <w:vertAlign w:val="superscript"/>
        </w:rPr>
        <w:t>7-9)</w:t>
      </w:r>
      <w:r w:rsidR="003700FE">
        <w:rPr>
          <w:rFonts w:asciiTheme="majorHAnsi" w:hAnsiTheme="majorHAnsi"/>
        </w:rPr>
        <w:t xml:space="preserve"> These value function</w:t>
      </w:r>
      <w:r>
        <w:rPr>
          <w:rFonts w:asciiTheme="majorHAnsi" w:hAnsiTheme="majorHAnsi"/>
        </w:rPr>
        <w:t>s</w:t>
      </w:r>
      <w:r w:rsidR="003700FE">
        <w:rPr>
          <w:rFonts w:asciiTheme="majorHAnsi" w:hAnsiTheme="majorHAnsi"/>
        </w:rPr>
        <w:t xml:space="preserve"> </w:t>
      </w:r>
      <w:r w:rsidR="003D585D">
        <w:rPr>
          <w:rFonts w:asciiTheme="majorHAnsi" w:hAnsiTheme="majorHAnsi"/>
        </w:rPr>
        <w:t>reflect</w:t>
      </w:r>
      <w:r w:rsidR="003700FE">
        <w:rPr>
          <w:rFonts w:asciiTheme="majorHAnsi" w:hAnsiTheme="majorHAnsi"/>
        </w:rPr>
        <w:t xml:space="preserve"> </w:t>
      </w:r>
      <w:r w:rsidR="00757CB0">
        <w:rPr>
          <w:rFonts w:asciiTheme="majorHAnsi" w:hAnsiTheme="majorHAnsi"/>
        </w:rPr>
        <w:t xml:space="preserve">different </w:t>
      </w:r>
      <w:r w:rsidR="003700FE">
        <w:rPr>
          <w:rFonts w:asciiTheme="majorHAnsi" w:hAnsiTheme="majorHAnsi"/>
        </w:rPr>
        <w:t>risk</w:t>
      </w:r>
      <w:r w:rsidR="00D32FF4">
        <w:rPr>
          <w:rFonts w:asciiTheme="majorHAnsi" w:hAnsiTheme="majorHAnsi"/>
        </w:rPr>
        <w:t>-</w:t>
      </w:r>
      <w:r w:rsidR="003700FE">
        <w:rPr>
          <w:rFonts w:asciiTheme="majorHAnsi" w:hAnsiTheme="majorHAnsi"/>
        </w:rPr>
        <w:t>seeking</w:t>
      </w:r>
      <w:r w:rsidR="00D73F0E">
        <w:rPr>
          <w:rFonts w:asciiTheme="majorHAnsi" w:hAnsiTheme="majorHAnsi"/>
        </w:rPr>
        <w:t>/aversion</w:t>
      </w:r>
      <w:r w:rsidR="003700FE">
        <w:rPr>
          <w:rFonts w:asciiTheme="majorHAnsi" w:hAnsiTheme="majorHAnsi"/>
        </w:rPr>
        <w:t xml:space="preserve"> behavior</w:t>
      </w:r>
      <w:r w:rsidR="001B348F">
        <w:rPr>
          <w:rFonts w:asciiTheme="majorHAnsi" w:hAnsiTheme="majorHAnsi"/>
        </w:rPr>
        <w:t>s</w:t>
      </w:r>
      <w:r w:rsidR="003700FE">
        <w:rPr>
          <w:rFonts w:asciiTheme="majorHAnsi" w:hAnsiTheme="majorHAnsi"/>
        </w:rPr>
        <w:t xml:space="preserve"> when comparing risky </w:t>
      </w:r>
      <w:r w:rsidR="00757CB0">
        <w:rPr>
          <w:rFonts w:asciiTheme="majorHAnsi" w:hAnsiTheme="majorHAnsi"/>
        </w:rPr>
        <w:t>gains and losses</w:t>
      </w:r>
      <w:r w:rsidR="003700FE">
        <w:rPr>
          <w:rFonts w:asciiTheme="majorHAnsi" w:hAnsiTheme="majorHAnsi"/>
        </w:rPr>
        <w:t xml:space="preserve">. </w:t>
      </w:r>
    </w:p>
    <w:p w14:paraId="5448642C" w14:textId="70D3A27B" w:rsidR="00443E4C" w:rsidRDefault="001E4185" w:rsidP="003700FE">
      <w:pPr>
        <w:spacing w:after="0" w:line="480" w:lineRule="auto"/>
        <w:ind w:firstLine="720"/>
        <w:jc w:val="both"/>
        <w:rPr>
          <w:rFonts w:asciiTheme="majorHAnsi" w:hAnsiTheme="majorHAnsi"/>
        </w:rPr>
      </w:pPr>
      <w:r>
        <w:rPr>
          <w:rFonts w:asciiTheme="majorHAnsi" w:hAnsiTheme="majorHAnsi"/>
        </w:rPr>
        <w:t>P</w:t>
      </w:r>
      <w:r w:rsidR="003700FE">
        <w:rPr>
          <w:rFonts w:asciiTheme="majorHAnsi" w:hAnsiTheme="majorHAnsi"/>
        </w:rPr>
        <w:t xml:space="preserve">rospect theory </w:t>
      </w:r>
      <w:r>
        <w:rPr>
          <w:rFonts w:asciiTheme="majorHAnsi" w:hAnsiTheme="majorHAnsi"/>
        </w:rPr>
        <w:t xml:space="preserve">assumes </w:t>
      </w:r>
      <w:r w:rsidR="003700FE">
        <w:rPr>
          <w:rFonts w:asciiTheme="majorHAnsi" w:hAnsiTheme="majorHAnsi"/>
        </w:rPr>
        <w:t>that</w:t>
      </w:r>
      <w:r w:rsidR="0042627A">
        <w:rPr>
          <w:rFonts w:asciiTheme="majorHAnsi" w:hAnsiTheme="majorHAnsi"/>
        </w:rPr>
        <w:t>,</w:t>
      </w:r>
      <w:r w:rsidR="003700FE">
        <w:rPr>
          <w:rFonts w:asciiTheme="majorHAnsi" w:hAnsiTheme="majorHAnsi"/>
        </w:rPr>
        <w:t xml:space="preserve"> when making a decision</w:t>
      </w:r>
      <w:r w:rsidR="0042627A">
        <w:rPr>
          <w:rFonts w:asciiTheme="majorHAnsi" w:hAnsiTheme="majorHAnsi"/>
        </w:rPr>
        <w:t>,</w:t>
      </w:r>
      <w:r w:rsidR="003700FE">
        <w:rPr>
          <w:rFonts w:asciiTheme="majorHAnsi" w:hAnsiTheme="majorHAnsi"/>
        </w:rPr>
        <w:t xml:space="preserve"> choice information go</w:t>
      </w:r>
      <w:r>
        <w:rPr>
          <w:rFonts w:asciiTheme="majorHAnsi" w:hAnsiTheme="majorHAnsi"/>
        </w:rPr>
        <w:t>es</w:t>
      </w:r>
      <w:r w:rsidR="003700FE">
        <w:rPr>
          <w:rFonts w:asciiTheme="majorHAnsi" w:hAnsiTheme="majorHAnsi"/>
        </w:rPr>
        <w:t xml:space="preserve"> through an ‘editing phase’. </w:t>
      </w:r>
      <w:bookmarkStart w:id="2" w:name="OLE_LINK4"/>
      <w:bookmarkStart w:id="3" w:name="OLE_LINK5"/>
      <w:r w:rsidR="003700FE">
        <w:rPr>
          <w:rFonts w:asciiTheme="majorHAnsi" w:hAnsiTheme="majorHAnsi"/>
        </w:rPr>
        <w:t xml:space="preserve">Thaler and Johnson </w:t>
      </w:r>
      <w:bookmarkEnd w:id="2"/>
      <w:bookmarkEnd w:id="3"/>
      <w:r w:rsidR="003700FE">
        <w:rPr>
          <w:rFonts w:asciiTheme="majorHAnsi" w:hAnsiTheme="majorHAnsi"/>
        </w:rPr>
        <w:t xml:space="preserve">proposed that </w:t>
      </w:r>
      <w:r>
        <w:rPr>
          <w:rFonts w:asciiTheme="majorHAnsi" w:hAnsiTheme="majorHAnsi"/>
        </w:rPr>
        <w:t>in this phase,</w:t>
      </w:r>
      <w:r w:rsidR="003700FE">
        <w:rPr>
          <w:rFonts w:asciiTheme="majorHAnsi" w:hAnsiTheme="majorHAnsi"/>
        </w:rPr>
        <w:t xml:space="preserve"> the experience of past losses could heighten the perception of the value associated with future gains that could eliminate those previous losses; a so-called ‘break-even effect’.</w:t>
      </w:r>
      <w:r w:rsidR="00ED2752" w:rsidRPr="00275768">
        <w:rPr>
          <w:rFonts w:asciiTheme="majorHAnsi" w:hAnsiTheme="majorHAnsi"/>
          <w:vertAlign w:val="superscript"/>
        </w:rPr>
        <w:t>(10)</w:t>
      </w:r>
      <w:r w:rsidR="003700FE">
        <w:rPr>
          <w:rFonts w:asciiTheme="majorHAnsi" w:hAnsiTheme="majorHAnsi"/>
        </w:rPr>
        <w:t xml:space="preserve"> </w:t>
      </w:r>
      <w:r>
        <w:rPr>
          <w:rFonts w:asciiTheme="majorHAnsi" w:hAnsiTheme="majorHAnsi"/>
        </w:rPr>
        <w:t>Equally</w:t>
      </w:r>
      <w:r w:rsidR="003700FE">
        <w:rPr>
          <w:rFonts w:asciiTheme="majorHAnsi" w:hAnsiTheme="majorHAnsi"/>
        </w:rPr>
        <w:t xml:space="preserve">, the perception of the </w:t>
      </w:r>
      <w:r w:rsidR="003D585D">
        <w:rPr>
          <w:rFonts w:asciiTheme="majorHAnsi" w:hAnsiTheme="majorHAnsi"/>
        </w:rPr>
        <w:t>(negative) ‘</w:t>
      </w:r>
      <w:r w:rsidR="003700FE">
        <w:rPr>
          <w:rFonts w:asciiTheme="majorHAnsi" w:hAnsiTheme="majorHAnsi"/>
        </w:rPr>
        <w:t>value</w:t>
      </w:r>
      <w:r w:rsidR="003D585D">
        <w:rPr>
          <w:rFonts w:asciiTheme="majorHAnsi" w:hAnsiTheme="majorHAnsi"/>
        </w:rPr>
        <w:t>’</w:t>
      </w:r>
      <w:r w:rsidR="003700FE">
        <w:rPr>
          <w:rFonts w:asciiTheme="majorHAnsi" w:hAnsiTheme="majorHAnsi"/>
        </w:rPr>
        <w:t xml:space="preserve"> of future losses may be diminished if the individual has experienced previous gains</w:t>
      </w:r>
      <w:r>
        <w:rPr>
          <w:rFonts w:asciiTheme="majorHAnsi" w:hAnsiTheme="majorHAnsi"/>
        </w:rPr>
        <w:t>,</w:t>
      </w:r>
      <w:r w:rsidR="003D585D">
        <w:rPr>
          <w:rFonts w:asciiTheme="majorHAnsi" w:hAnsiTheme="majorHAnsi"/>
        </w:rPr>
        <w:t xml:space="preserve"> because the ‘losses’ would be covered by </w:t>
      </w:r>
      <w:r w:rsidR="003700FE">
        <w:rPr>
          <w:rFonts w:asciiTheme="majorHAnsi" w:hAnsiTheme="majorHAnsi"/>
        </w:rPr>
        <w:t>previous winning</w:t>
      </w:r>
      <w:r w:rsidR="005B2E74">
        <w:rPr>
          <w:rFonts w:asciiTheme="majorHAnsi" w:hAnsiTheme="majorHAnsi"/>
        </w:rPr>
        <w:t>s</w:t>
      </w:r>
      <w:r w:rsidR="003700FE">
        <w:rPr>
          <w:rFonts w:asciiTheme="majorHAnsi" w:hAnsiTheme="majorHAnsi"/>
        </w:rPr>
        <w:t xml:space="preserve">; a so-called ‘house-money effect’ </w:t>
      </w:r>
    </w:p>
    <w:p w14:paraId="362D8CBF" w14:textId="7AEA359B" w:rsidR="00E140F5" w:rsidRPr="00237B59" w:rsidRDefault="00443E4C" w:rsidP="00237B59">
      <w:pPr>
        <w:spacing w:after="0" w:line="480" w:lineRule="auto"/>
        <w:ind w:firstLine="720"/>
        <w:jc w:val="both"/>
        <w:rPr>
          <w:rFonts w:asciiTheme="majorHAnsi" w:hAnsiTheme="majorHAnsi"/>
        </w:rPr>
      </w:pPr>
      <w:r>
        <w:rPr>
          <w:rFonts w:asciiTheme="majorHAnsi" w:hAnsiTheme="majorHAnsi"/>
        </w:rPr>
        <w:t xml:space="preserve">Both </w:t>
      </w:r>
      <w:r w:rsidR="00507EFB">
        <w:rPr>
          <w:rFonts w:asciiTheme="majorHAnsi" w:hAnsiTheme="majorHAnsi"/>
        </w:rPr>
        <w:t xml:space="preserve">these effects </w:t>
      </w:r>
      <w:r>
        <w:rPr>
          <w:rFonts w:asciiTheme="majorHAnsi" w:hAnsiTheme="majorHAnsi"/>
        </w:rPr>
        <w:t>have</w:t>
      </w:r>
      <w:r w:rsidR="008C075D">
        <w:rPr>
          <w:rFonts w:asciiTheme="majorHAnsi" w:hAnsiTheme="majorHAnsi"/>
        </w:rPr>
        <w:t xml:space="preserve"> </w:t>
      </w:r>
      <w:r>
        <w:rPr>
          <w:rFonts w:asciiTheme="majorHAnsi" w:hAnsiTheme="majorHAnsi"/>
        </w:rPr>
        <w:t xml:space="preserve">been demonstrated </w:t>
      </w:r>
      <w:r w:rsidR="00737D6A">
        <w:rPr>
          <w:rFonts w:asciiTheme="majorHAnsi" w:hAnsiTheme="majorHAnsi"/>
        </w:rPr>
        <w:t>in</w:t>
      </w:r>
      <w:r w:rsidR="00507EFB">
        <w:rPr>
          <w:rFonts w:asciiTheme="majorHAnsi" w:hAnsiTheme="majorHAnsi"/>
        </w:rPr>
        <w:t xml:space="preserve"> experiments</w:t>
      </w:r>
      <w:r w:rsidRPr="00443E4C">
        <w:rPr>
          <w:rFonts w:asciiTheme="majorHAnsi" w:hAnsiTheme="majorHAnsi"/>
        </w:rPr>
        <w:t xml:space="preserve"> </w:t>
      </w:r>
      <w:r>
        <w:rPr>
          <w:rFonts w:asciiTheme="majorHAnsi" w:hAnsiTheme="majorHAnsi"/>
        </w:rPr>
        <w:t>and in naturalistic studies</w:t>
      </w:r>
      <w:r w:rsidR="003D585D" w:rsidRPr="00CE13B6">
        <w:rPr>
          <w:rFonts w:asciiTheme="majorHAnsi" w:hAnsiTheme="majorHAnsi"/>
        </w:rPr>
        <w:t>.</w:t>
      </w:r>
      <w:r w:rsidR="00ED2752" w:rsidRPr="00275768">
        <w:rPr>
          <w:rFonts w:asciiTheme="majorHAnsi" w:hAnsiTheme="majorHAnsi"/>
          <w:vertAlign w:val="superscript"/>
        </w:rPr>
        <w:t>(10)</w:t>
      </w:r>
      <w:r w:rsidR="003D585D" w:rsidRPr="00AD6368">
        <w:rPr>
          <w:rFonts w:asciiTheme="majorHAnsi" w:hAnsiTheme="majorHAnsi"/>
        </w:rPr>
        <w:t xml:space="preserve"> For example, </w:t>
      </w:r>
      <w:r>
        <w:rPr>
          <w:rFonts w:asciiTheme="majorHAnsi" w:hAnsiTheme="majorHAnsi"/>
        </w:rPr>
        <w:t xml:space="preserve">traders </w:t>
      </w:r>
      <w:r>
        <w:rPr>
          <w:rFonts w:asciiTheme="majorHAnsi" w:eastAsia="Calibri" w:hAnsiTheme="majorHAnsi" w:cs="Cordia New"/>
          <w:lang w:bidi="th-TH"/>
        </w:rPr>
        <w:t xml:space="preserve">have been </w:t>
      </w:r>
      <w:r w:rsidR="00E140F5" w:rsidRPr="00AD6368">
        <w:rPr>
          <w:rFonts w:asciiTheme="majorHAnsi" w:eastAsia="Calibri" w:hAnsiTheme="majorHAnsi" w:cs="Cordia New"/>
          <w:lang w:bidi="th-TH"/>
        </w:rPr>
        <w:t xml:space="preserve">found </w:t>
      </w:r>
      <w:r>
        <w:rPr>
          <w:rFonts w:asciiTheme="majorHAnsi" w:eastAsia="Calibri" w:hAnsiTheme="majorHAnsi" w:cs="Cordia New"/>
          <w:lang w:bidi="th-TH"/>
        </w:rPr>
        <w:t>to take</w:t>
      </w:r>
      <w:r w:rsidR="00E140F5" w:rsidRPr="00AD6368">
        <w:rPr>
          <w:rFonts w:asciiTheme="majorHAnsi" w:eastAsia="Calibri" w:hAnsiTheme="majorHAnsi" w:cs="Cordia New"/>
          <w:lang w:bidi="th-TH"/>
        </w:rPr>
        <w:t xml:space="preserve"> more risk in the afternoon following</w:t>
      </w:r>
      <w:r w:rsidR="00E140F5" w:rsidRPr="00306807">
        <w:rPr>
          <w:rFonts w:asciiTheme="majorHAnsi" w:eastAsia="Calibri" w:hAnsiTheme="majorHAnsi" w:cs="Cordia New"/>
          <w:lang w:bidi="th-TH"/>
        </w:rPr>
        <w:t xml:space="preserve"> </w:t>
      </w:r>
      <w:r w:rsidR="00E140F5" w:rsidRPr="004272CD">
        <w:rPr>
          <w:rFonts w:asciiTheme="majorHAnsi" w:eastAsia="Calibri" w:hAnsiTheme="majorHAnsi" w:cs="Cordia New"/>
          <w:lang w:bidi="th-TH"/>
        </w:rPr>
        <w:t xml:space="preserve">morning </w:t>
      </w:r>
      <w:r w:rsidR="00E140F5" w:rsidRPr="00AF5431">
        <w:rPr>
          <w:rFonts w:asciiTheme="majorHAnsi" w:eastAsia="Calibri" w:hAnsiTheme="majorHAnsi" w:cs="Cordia New"/>
          <w:lang w:bidi="th-TH"/>
        </w:rPr>
        <w:t>losses</w:t>
      </w:r>
      <w:r w:rsidR="00ED2752">
        <w:rPr>
          <w:rFonts w:asciiTheme="majorHAnsi" w:eastAsia="Calibri" w:hAnsiTheme="majorHAnsi" w:cs="Cordia New"/>
          <w:lang w:bidi="th-TH"/>
        </w:rPr>
        <w:t>;</w:t>
      </w:r>
      <w:r w:rsidRPr="00443E4C">
        <w:rPr>
          <w:rFonts w:asciiTheme="majorHAnsi" w:eastAsia="Calibri" w:hAnsiTheme="majorHAnsi" w:cs="Cordia New"/>
          <w:lang w:bidi="th-TH"/>
        </w:rPr>
        <w:t xml:space="preserve"> </w:t>
      </w:r>
      <w:r w:rsidR="00E140F5">
        <w:rPr>
          <w:rFonts w:asciiTheme="majorHAnsi" w:eastAsia="Calibri" w:hAnsiTheme="majorHAnsi" w:cs="Cordia New"/>
          <w:lang w:bidi="th-TH"/>
        </w:rPr>
        <w:t>perhaps indicative of a break-even effect</w:t>
      </w:r>
      <w:r w:rsidR="00E140F5" w:rsidRPr="00306807">
        <w:rPr>
          <w:rFonts w:asciiTheme="majorHAnsi" w:eastAsia="Calibri" w:hAnsiTheme="majorHAnsi" w:cs="Cordia New"/>
          <w:lang w:bidi="th-TH"/>
        </w:rPr>
        <w:t>.</w:t>
      </w:r>
      <w:r w:rsidR="00ED2752" w:rsidRPr="00275768">
        <w:rPr>
          <w:rFonts w:asciiTheme="majorHAnsi" w:eastAsia="Calibri" w:hAnsiTheme="majorHAnsi" w:cs="Cordia New"/>
          <w:vertAlign w:val="superscript"/>
          <w:lang w:bidi="th-TH"/>
        </w:rPr>
        <w:t>(16)</w:t>
      </w:r>
      <w:r w:rsidR="00E140F5" w:rsidRPr="00306807">
        <w:rPr>
          <w:rFonts w:asciiTheme="majorHAnsi" w:eastAsia="Calibri" w:hAnsiTheme="majorHAnsi" w:cs="Cordia New"/>
          <w:lang w:bidi="th-TH"/>
        </w:rPr>
        <w:t xml:space="preserve"> </w:t>
      </w:r>
      <w:r>
        <w:rPr>
          <w:rFonts w:asciiTheme="majorHAnsi" w:eastAsia="Calibri" w:hAnsiTheme="majorHAnsi" w:cs="Cordia New"/>
          <w:lang w:bidi="th-TH"/>
        </w:rPr>
        <w:t>O</w:t>
      </w:r>
      <w:r w:rsidR="0042627A">
        <w:rPr>
          <w:rFonts w:asciiTheme="majorHAnsi" w:eastAsia="Calibri" w:hAnsiTheme="majorHAnsi" w:cs="Cordia New"/>
          <w:lang w:bidi="th-TH"/>
        </w:rPr>
        <w:t>n the other hand</w:t>
      </w:r>
      <w:r w:rsidR="00BD5BB6">
        <w:rPr>
          <w:rFonts w:asciiTheme="majorHAnsi" w:eastAsia="Calibri" w:hAnsiTheme="majorHAnsi" w:cs="Cordia New"/>
          <w:lang w:bidi="th-TH"/>
        </w:rPr>
        <w:t xml:space="preserve">, </w:t>
      </w:r>
      <w:r w:rsidR="00E140F5" w:rsidRPr="00306807">
        <w:rPr>
          <w:rFonts w:asciiTheme="majorHAnsi" w:eastAsia="Calibri" w:hAnsiTheme="majorHAnsi" w:cs="Cordia New"/>
          <w:lang w:bidi="th-TH"/>
        </w:rPr>
        <w:t>more risk</w:t>
      </w:r>
      <w:r w:rsidR="00237B59">
        <w:rPr>
          <w:rFonts w:asciiTheme="majorHAnsi" w:eastAsia="Calibri" w:hAnsiTheme="majorHAnsi" w:cs="Cordia New"/>
          <w:lang w:bidi="th-TH"/>
        </w:rPr>
        <w:t>-</w:t>
      </w:r>
      <w:r w:rsidR="00E140F5" w:rsidRPr="00306807">
        <w:rPr>
          <w:rFonts w:asciiTheme="majorHAnsi" w:eastAsia="Calibri" w:hAnsiTheme="majorHAnsi" w:cs="Cordia New"/>
          <w:lang w:bidi="th-TH"/>
        </w:rPr>
        <w:t>taking</w:t>
      </w:r>
      <w:r w:rsidR="00E140F5">
        <w:rPr>
          <w:rFonts w:asciiTheme="majorHAnsi" w:eastAsia="Calibri" w:hAnsiTheme="majorHAnsi" w:cs="Cordia New"/>
          <w:lang w:bidi="th-TH"/>
        </w:rPr>
        <w:t xml:space="preserve"> </w:t>
      </w:r>
      <w:r>
        <w:rPr>
          <w:rFonts w:asciiTheme="majorHAnsi" w:eastAsia="Calibri" w:hAnsiTheme="majorHAnsi" w:cs="Cordia New"/>
          <w:lang w:bidi="th-TH"/>
        </w:rPr>
        <w:t xml:space="preserve">has been observed </w:t>
      </w:r>
      <w:r w:rsidR="00E140F5">
        <w:rPr>
          <w:rFonts w:asciiTheme="majorHAnsi" w:eastAsia="Calibri" w:hAnsiTheme="majorHAnsi" w:cs="Cordia New"/>
          <w:lang w:bidi="th-TH"/>
        </w:rPr>
        <w:t>in the afternoon following</w:t>
      </w:r>
      <w:r w:rsidR="00E140F5" w:rsidRPr="00306807">
        <w:rPr>
          <w:rFonts w:asciiTheme="majorHAnsi" w:eastAsia="Calibri" w:hAnsiTheme="majorHAnsi" w:cs="Cordia New"/>
          <w:lang w:bidi="th-TH"/>
        </w:rPr>
        <w:t xml:space="preserve"> </w:t>
      </w:r>
      <w:r w:rsidR="00E140F5" w:rsidRPr="00AF5431">
        <w:rPr>
          <w:rFonts w:asciiTheme="majorHAnsi" w:eastAsia="Calibri" w:hAnsiTheme="majorHAnsi" w:cs="Cordia New"/>
          <w:lang w:bidi="th-TH"/>
        </w:rPr>
        <w:t>gains</w:t>
      </w:r>
      <w:r w:rsidR="00E140F5" w:rsidRPr="00306807">
        <w:rPr>
          <w:rFonts w:asciiTheme="majorHAnsi" w:eastAsia="Calibri" w:hAnsiTheme="majorHAnsi" w:cs="Cordia New"/>
          <w:lang w:bidi="th-TH"/>
        </w:rPr>
        <w:t xml:space="preserve"> in the morning</w:t>
      </w:r>
      <w:r w:rsidR="00172645">
        <w:rPr>
          <w:rFonts w:asciiTheme="majorHAnsi" w:eastAsia="Calibri" w:hAnsiTheme="majorHAnsi" w:cs="Cordia New"/>
          <w:lang w:bidi="th-TH"/>
        </w:rPr>
        <w:t>,</w:t>
      </w:r>
      <w:r w:rsidR="00E140F5">
        <w:rPr>
          <w:rFonts w:asciiTheme="majorHAnsi" w:eastAsia="Calibri" w:hAnsiTheme="majorHAnsi" w:cs="Cordia New"/>
          <w:lang w:bidi="th-TH"/>
        </w:rPr>
        <w:t xml:space="preserve"> indicative of the </w:t>
      </w:r>
      <w:r w:rsidR="00E140F5">
        <w:rPr>
          <w:rFonts w:asciiTheme="majorHAnsi" w:hAnsiTheme="majorHAnsi"/>
        </w:rPr>
        <w:t>house money effect.</w:t>
      </w:r>
      <w:r w:rsidR="00ED2752" w:rsidRPr="00275768">
        <w:rPr>
          <w:rFonts w:asciiTheme="majorHAnsi" w:hAnsiTheme="majorHAnsi"/>
          <w:vertAlign w:val="superscript"/>
        </w:rPr>
        <w:t>(17)</w:t>
      </w:r>
      <w:r w:rsidR="00E140F5">
        <w:rPr>
          <w:rFonts w:asciiTheme="majorHAnsi" w:hAnsiTheme="majorHAnsi"/>
        </w:rPr>
        <w:t xml:space="preserve"> </w:t>
      </w:r>
      <w:r w:rsidR="00E140F5" w:rsidRPr="00306807">
        <w:rPr>
          <w:rFonts w:asciiTheme="majorHAnsi" w:eastAsia="Calibri" w:hAnsiTheme="majorHAnsi" w:cs="Cordia New"/>
          <w:lang w:bidi="th-TH"/>
        </w:rPr>
        <w:t>More recently, studies have considered non-lineari</w:t>
      </w:r>
      <w:r w:rsidR="00E140F5">
        <w:rPr>
          <w:rFonts w:asciiTheme="majorHAnsi" w:eastAsia="Calibri" w:hAnsiTheme="majorHAnsi" w:cs="Cordia New"/>
          <w:lang w:bidi="th-TH"/>
        </w:rPr>
        <w:t>ty</w:t>
      </w:r>
      <w:r w:rsidR="00E140F5" w:rsidRPr="00306807">
        <w:rPr>
          <w:rFonts w:asciiTheme="majorHAnsi" w:eastAsia="Calibri" w:hAnsiTheme="majorHAnsi" w:cs="Cordia New"/>
          <w:lang w:bidi="th-TH"/>
        </w:rPr>
        <w:t xml:space="preserve"> in the effects of </w:t>
      </w:r>
      <w:r w:rsidR="00E140F5">
        <w:rPr>
          <w:rFonts w:asciiTheme="majorHAnsi" w:eastAsia="Calibri" w:hAnsiTheme="majorHAnsi" w:cs="Cordia New"/>
          <w:lang w:bidi="th-TH"/>
        </w:rPr>
        <w:t>past</w:t>
      </w:r>
      <w:r w:rsidR="00E140F5" w:rsidRPr="00306807">
        <w:rPr>
          <w:rFonts w:asciiTheme="majorHAnsi" w:eastAsia="Calibri" w:hAnsiTheme="majorHAnsi" w:cs="Cordia New"/>
          <w:lang w:bidi="th-TH"/>
        </w:rPr>
        <w:t xml:space="preserve"> performance on future risk</w:t>
      </w:r>
      <w:r w:rsidR="00237B59">
        <w:rPr>
          <w:rFonts w:asciiTheme="majorHAnsi" w:eastAsia="Calibri" w:hAnsiTheme="majorHAnsi" w:cs="Cordia New"/>
          <w:lang w:bidi="th-TH"/>
        </w:rPr>
        <w:t>-</w:t>
      </w:r>
      <w:r w:rsidR="00E140F5" w:rsidRPr="00237B59">
        <w:rPr>
          <w:rFonts w:asciiTheme="majorHAnsi" w:eastAsia="Calibri" w:hAnsiTheme="majorHAnsi" w:cs="Cordia New"/>
          <w:lang w:bidi="th-TH"/>
        </w:rPr>
        <w:t xml:space="preserve">taking </w:t>
      </w:r>
      <w:r>
        <w:rPr>
          <w:rFonts w:asciiTheme="majorHAnsi" w:eastAsia="Arial Unicode MS" w:hAnsiTheme="majorHAnsi" w:cs="Arial Unicode MS"/>
          <w:bdr w:val="none" w:sz="0" w:space="0" w:color="auto" w:frame="1"/>
          <w:shd w:val="clear" w:color="auto" w:fill="FFFFFF"/>
        </w:rPr>
        <w:t xml:space="preserve">and </w:t>
      </w:r>
      <w:r w:rsidR="004F04B9">
        <w:rPr>
          <w:rStyle w:val="apple-converted-space"/>
          <w:rFonts w:asciiTheme="majorHAnsi" w:eastAsia="Arial Unicode MS" w:hAnsiTheme="majorHAnsi" w:cs="Arial Unicode MS"/>
          <w:shd w:val="clear" w:color="auto" w:fill="FFFFFF"/>
        </w:rPr>
        <w:t xml:space="preserve">different </w:t>
      </w:r>
      <w:r w:rsidR="003B79E9">
        <w:rPr>
          <w:rStyle w:val="apple-converted-space"/>
          <w:rFonts w:asciiTheme="majorHAnsi" w:eastAsia="Arial Unicode MS" w:hAnsiTheme="majorHAnsi" w:cs="Arial Unicode MS"/>
          <w:shd w:val="clear" w:color="auto" w:fill="FFFFFF"/>
        </w:rPr>
        <w:t>patterns</w:t>
      </w:r>
      <w:r w:rsidR="004F04B9">
        <w:rPr>
          <w:rStyle w:val="apple-converted-space"/>
          <w:rFonts w:asciiTheme="majorHAnsi" w:eastAsia="Arial Unicode MS" w:hAnsiTheme="majorHAnsi" w:cs="Arial Unicode MS"/>
          <w:shd w:val="clear" w:color="auto" w:fill="FFFFFF"/>
        </w:rPr>
        <w:t xml:space="preserve"> for different types of trader</w:t>
      </w:r>
      <w:r w:rsidR="0063501C">
        <w:rPr>
          <w:rStyle w:val="apple-converted-space"/>
          <w:rFonts w:asciiTheme="majorHAnsi" w:eastAsia="Arial Unicode MS" w:hAnsiTheme="majorHAnsi" w:cs="Arial Unicode MS"/>
          <w:shd w:val="clear" w:color="auto" w:fill="FFFFFF"/>
        </w:rPr>
        <w:t>.</w:t>
      </w:r>
      <w:r w:rsidR="0063501C" w:rsidRPr="00275768">
        <w:rPr>
          <w:rStyle w:val="apple-converted-space"/>
          <w:rFonts w:asciiTheme="majorHAnsi" w:eastAsia="Arial Unicode MS" w:hAnsiTheme="majorHAnsi" w:cs="Arial Unicode MS"/>
          <w:shd w:val="clear" w:color="auto" w:fill="FFFFFF"/>
          <w:vertAlign w:val="superscript"/>
        </w:rPr>
        <w:t>(18</w:t>
      </w:r>
      <w:r w:rsidR="0063501C">
        <w:rPr>
          <w:rStyle w:val="apple-converted-space"/>
          <w:rFonts w:asciiTheme="majorHAnsi" w:eastAsia="Arial Unicode MS" w:hAnsiTheme="majorHAnsi" w:cs="Arial Unicode MS"/>
          <w:shd w:val="clear" w:color="auto" w:fill="FFFFFF"/>
          <w:vertAlign w:val="superscript"/>
        </w:rPr>
        <w:t>,19</w:t>
      </w:r>
      <w:r w:rsidR="0063501C" w:rsidRPr="00275768">
        <w:rPr>
          <w:rStyle w:val="apple-converted-space"/>
          <w:rFonts w:asciiTheme="majorHAnsi" w:eastAsia="Arial Unicode MS" w:hAnsiTheme="majorHAnsi" w:cs="Arial Unicode MS"/>
          <w:shd w:val="clear" w:color="auto" w:fill="FFFFFF"/>
          <w:vertAlign w:val="superscript"/>
        </w:rPr>
        <w:t>)</w:t>
      </w:r>
      <w:r w:rsidR="004F04B9">
        <w:rPr>
          <w:rStyle w:val="apple-converted-space"/>
          <w:rFonts w:asciiTheme="majorHAnsi" w:eastAsia="Arial Unicode MS" w:hAnsiTheme="majorHAnsi" w:cs="Arial Unicode MS"/>
          <w:shd w:val="clear" w:color="auto" w:fill="FFFFFF"/>
        </w:rPr>
        <w:t xml:space="preserve"> </w:t>
      </w:r>
      <w:r w:rsidR="00D10266">
        <w:rPr>
          <w:rFonts w:asciiTheme="majorHAnsi" w:hAnsiTheme="majorHAnsi"/>
        </w:rPr>
        <w:t>T</w:t>
      </w:r>
      <w:r w:rsidR="003B79E9">
        <w:rPr>
          <w:rFonts w:asciiTheme="majorHAnsi" w:hAnsiTheme="majorHAnsi"/>
        </w:rPr>
        <w:t>hese differences could have arisen from di</w:t>
      </w:r>
      <w:r w:rsidR="00C23CCB">
        <w:rPr>
          <w:rFonts w:asciiTheme="majorHAnsi" w:hAnsiTheme="majorHAnsi"/>
        </w:rPr>
        <w:t xml:space="preserve">fferences in </w:t>
      </w:r>
      <w:r w:rsidR="00D10266">
        <w:rPr>
          <w:rFonts w:asciiTheme="majorHAnsi" w:hAnsiTheme="majorHAnsi"/>
        </w:rPr>
        <w:t>their</w:t>
      </w:r>
      <w:r w:rsidR="008C075D">
        <w:rPr>
          <w:rFonts w:asciiTheme="majorHAnsi" w:hAnsiTheme="majorHAnsi"/>
        </w:rPr>
        <w:t xml:space="preserve"> </w:t>
      </w:r>
      <w:r w:rsidR="00C23CCB">
        <w:rPr>
          <w:rFonts w:asciiTheme="majorHAnsi" w:hAnsiTheme="majorHAnsi"/>
        </w:rPr>
        <w:t>trading style</w:t>
      </w:r>
      <w:r w:rsidR="00D10266">
        <w:rPr>
          <w:rFonts w:asciiTheme="majorHAnsi" w:hAnsiTheme="majorHAnsi"/>
        </w:rPr>
        <w:t xml:space="preserve"> or from</w:t>
      </w:r>
      <w:r w:rsidR="00C23CCB">
        <w:rPr>
          <w:rFonts w:asciiTheme="majorHAnsi" w:hAnsiTheme="majorHAnsi"/>
        </w:rPr>
        <w:t xml:space="preserve"> </w:t>
      </w:r>
      <w:r w:rsidR="003B79E9">
        <w:rPr>
          <w:rFonts w:asciiTheme="majorHAnsi" w:hAnsiTheme="majorHAnsi"/>
        </w:rPr>
        <w:t>differences between the</w:t>
      </w:r>
      <w:r w:rsidR="00C23CCB">
        <w:rPr>
          <w:rFonts w:asciiTheme="majorHAnsi" w:hAnsiTheme="majorHAnsi"/>
        </w:rPr>
        <w:t>ir long-term</w:t>
      </w:r>
      <w:r w:rsidR="003B79E9">
        <w:rPr>
          <w:rFonts w:asciiTheme="majorHAnsi" w:hAnsiTheme="majorHAnsi"/>
        </w:rPr>
        <w:t xml:space="preserve"> gains and </w:t>
      </w:r>
      <w:r w:rsidR="00760A90">
        <w:rPr>
          <w:rFonts w:asciiTheme="majorHAnsi" w:hAnsiTheme="majorHAnsi"/>
        </w:rPr>
        <w:t xml:space="preserve">losses </w:t>
      </w:r>
      <w:r w:rsidR="00D10266">
        <w:rPr>
          <w:rFonts w:asciiTheme="majorHAnsi" w:hAnsiTheme="majorHAnsi"/>
        </w:rPr>
        <w:t>(</w:t>
      </w:r>
      <w:r w:rsidR="00C23CCB">
        <w:rPr>
          <w:rFonts w:asciiTheme="majorHAnsi" w:hAnsiTheme="majorHAnsi"/>
        </w:rPr>
        <w:t>not accounted for in these studies</w:t>
      </w:r>
      <w:r w:rsidR="00D10266">
        <w:rPr>
          <w:rFonts w:asciiTheme="majorHAnsi" w:hAnsiTheme="majorHAnsi"/>
        </w:rPr>
        <w:t>)</w:t>
      </w:r>
      <w:r w:rsidR="00C23CCB">
        <w:rPr>
          <w:rFonts w:asciiTheme="majorHAnsi" w:hAnsiTheme="majorHAnsi"/>
        </w:rPr>
        <w:t xml:space="preserve">. </w:t>
      </w:r>
    </w:p>
    <w:p w14:paraId="67FE662D" w14:textId="11C021A9" w:rsidR="00E140F5" w:rsidRDefault="00172645" w:rsidP="00B6139B">
      <w:pPr>
        <w:spacing w:after="0" w:line="480" w:lineRule="auto"/>
        <w:ind w:firstLine="720"/>
        <w:rPr>
          <w:rFonts w:asciiTheme="majorHAnsi" w:hAnsiTheme="majorHAnsi"/>
        </w:rPr>
      </w:pPr>
      <w:r>
        <w:rPr>
          <w:rFonts w:asciiTheme="majorHAnsi" w:hAnsiTheme="majorHAnsi"/>
        </w:rPr>
        <w:t>O</w:t>
      </w:r>
      <w:r w:rsidR="00E140F5">
        <w:rPr>
          <w:rFonts w:asciiTheme="majorHAnsi" w:hAnsiTheme="majorHAnsi"/>
        </w:rPr>
        <w:t xml:space="preserve">ne of the </w:t>
      </w:r>
      <w:r w:rsidR="00D10266">
        <w:rPr>
          <w:rFonts w:asciiTheme="majorHAnsi" w:hAnsiTheme="majorHAnsi"/>
        </w:rPr>
        <w:t xml:space="preserve">important </w:t>
      </w:r>
      <w:r w:rsidR="00E140F5">
        <w:rPr>
          <w:rFonts w:asciiTheme="majorHAnsi" w:hAnsiTheme="majorHAnsi"/>
        </w:rPr>
        <w:t>limitations of the</w:t>
      </w:r>
      <w:r w:rsidR="00A10E20">
        <w:rPr>
          <w:rFonts w:asciiTheme="majorHAnsi" w:hAnsiTheme="majorHAnsi"/>
        </w:rPr>
        <w:t>se</w:t>
      </w:r>
      <w:r w:rsidR="00E140F5">
        <w:rPr>
          <w:rFonts w:asciiTheme="majorHAnsi" w:hAnsiTheme="majorHAnsi"/>
        </w:rPr>
        <w:t xml:space="preserve"> real-world studies is that they have only examined a very </w:t>
      </w:r>
      <w:r w:rsidR="00507EFB">
        <w:rPr>
          <w:rFonts w:asciiTheme="majorHAnsi" w:hAnsiTheme="majorHAnsi"/>
        </w:rPr>
        <w:t xml:space="preserve">short </w:t>
      </w:r>
      <w:r>
        <w:rPr>
          <w:rFonts w:asciiTheme="majorHAnsi" w:hAnsiTheme="majorHAnsi"/>
        </w:rPr>
        <w:t>trading period (e.g., between the morning and afternoon</w:t>
      </w:r>
      <w:r w:rsidR="00507EFB">
        <w:rPr>
          <w:rFonts w:asciiTheme="majorHAnsi" w:hAnsiTheme="majorHAnsi"/>
        </w:rPr>
        <w:t>)</w:t>
      </w:r>
      <w:r w:rsidR="00E140F5">
        <w:rPr>
          <w:rFonts w:asciiTheme="majorHAnsi" w:hAnsiTheme="majorHAnsi"/>
        </w:rPr>
        <w:t xml:space="preserve">. </w:t>
      </w:r>
      <w:r w:rsidR="00513436">
        <w:rPr>
          <w:rFonts w:asciiTheme="majorHAnsi" w:hAnsiTheme="majorHAnsi"/>
        </w:rPr>
        <w:t>However</w:t>
      </w:r>
      <w:r w:rsidR="00E140F5">
        <w:rPr>
          <w:rFonts w:asciiTheme="majorHAnsi" w:hAnsiTheme="majorHAnsi"/>
        </w:rPr>
        <w:t>, Thaler and Johnson</w:t>
      </w:r>
      <w:r w:rsidR="00507EFB">
        <w:rPr>
          <w:rFonts w:asciiTheme="majorHAnsi" w:hAnsiTheme="majorHAnsi"/>
        </w:rPr>
        <w:t>’s</w:t>
      </w:r>
      <w:r w:rsidR="00E140F5">
        <w:rPr>
          <w:rFonts w:asciiTheme="majorHAnsi" w:hAnsiTheme="majorHAnsi"/>
        </w:rPr>
        <w:t xml:space="preserve"> </w:t>
      </w:r>
      <w:r w:rsidR="00507EFB">
        <w:rPr>
          <w:rFonts w:asciiTheme="majorHAnsi" w:hAnsiTheme="majorHAnsi"/>
        </w:rPr>
        <w:t xml:space="preserve">ideas </w:t>
      </w:r>
      <w:r w:rsidR="00E140F5">
        <w:rPr>
          <w:rFonts w:asciiTheme="majorHAnsi" w:hAnsiTheme="majorHAnsi"/>
        </w:rPr>
        <w:t>would suggest that gains and losses over a longer timeframe could also be important in mental accounting.</w:t>
      </w:r>
      <w:r w:rsidR="0063501C" w:rsidRPr="00275768">
        <w:rPr>
          <w:rFonts w:asciiTheme="majorHAnsi" w:hAnsiTheme="majorHAnsi"/>
          <w:vertAlign w:val="superscript"/>
        </w:rPr>
        <w:t>(10)</w:t>
      </w:r>
      <w:r w:rsidR="00E140F5">
        <w:rPr>
          <w:rFonts w:asciiTheme="majorHAnsi" w:hAnsiTheme="majorHAnsi"/>
        </w:rPr>
        <w:t xml:space="preserve"> Indeed, </w:t>
      </w:r>
      <w:r w:rsidR="002227F2">
        <w:rPr>
          <w:rFonts w:asciiTheme="majorHAnsi" w:hAnsiTheme="majorHAnsi"/>
        </w:rPr>
        <w:t xml:space="preserve">we suspect that consideration of whether the individual has </w:t>
      </w:r>
      <w:r w:rsidR="00513436">
        <w:rPr>
          <w:rFonts w:asciiTheme="majorHAnsi" w:hAnsiTheme="majorHAnsi"/>
        </w:rPr>
        <w:t>ma</w:t>
      </w:r>
      <w:r w:rsidR="000244D3">
        <w:rPr>
          <w:rFonts w:asciiTheme="majorHAnsi" w:hAnsiTheme="majorHAnsi"/>
        </w:rPr>
        <w:t>de a profit</w:t>
      </w:r>
      <w:r w:rsidR="00D10266">
        <w:rPr>
          <w:rFonts w:asciiTheme="majorHAnsi" w:hAnsiTheme="majorHAnsi"/>
        </w:rPr>
        <w:t>/loss</w:t>
      </w:r>
      <w:r w:rsidR="000244D3">
        <w:rPr>
          <w:rFonts w:asciiTheme="majorHAnsi" w:hAnsiTheme="majorHAnsi"/>
        </w:rPr>
        <w:t xml:space="preserve"> since begi</w:t>
      </w:r>
      <w:r w:rsidR="00513436">
        <w:rPr>
          <w:rFonts w:asciiTheme="majorHAnsi" w:hAnsiTheme="majorHAnsi"/>
        </w:rPr>
        <w:t>n</w:t>
      </w:r>
      <w:r w:rsidR="000244D3">
        <w:rPr>
          <w:rFonts w:asciiTheme="majorHAnsi" w:hAnsiTheme="majorHAnsi"/>
        </w:rPr>
        <w:t>n</w:t>
      </w:r>
      <w:r w:rsidR="00513436">
        <w:rPr>
          <w:rFonts w:asciiTheme="majorHAnsi" w:hAnsiTheme="majorHAnsi"/>
        </w:rPr>
        <w:t>ing the activity</w:t>
      </w:r>
      <w:r w:rsidR="002227F2">
        <w:rPr>
          <w:rFonts w:asciiTheme="majorHAnsi" w:hAnsiTheme="majorHAnsi"/>
        </w:rPr>
        <w:t xml:space="preserve"> may well have </w:t>
      </w:r>
      <w:r w:rsidR="00D10266">
        <w:rPr>
          <w:rFonts w:asciiTheme="majorHAnsi" w:hAnsiTheme="majorHAnsi"/>
        </w:rPr>
        <w:t xml:space="preserve">an important </w:t>
      </w:r>
      <w:r w:rsidR="002227F2">
        <w:rPr>
          <w:rFonts w:asciiTheme="majorHAnsi" w:hAnsiTheme="majorHAnsi"/>
        </w:rPr>
        <w:t xml:space="preserve">effect on the decision </w:t>
      </w:r>
      <w:r w:rsidR="00BD5BB6">
        <w:rPr>
          <w:rFonts w:asciiTheme="majorHAnsi" w:hAnsiTheme="majorHAnsi"/>
        </w:rPr>
        <w:t xml:space="preserve">to </w:t>
      </w:r>
      <w:r w:rsidR="002227F2">
        <w:rPr>
          <w:rFonts w:asciiTheme="majorHAnsi" w:hAnsiTheme="majorHAnsi"/>
        </w:rPr>
        <w:t>cease a RA.</w:t>
      </w:r>
      <w:r w:rsidR="00513436">
        <w:rPr>
          <w:rFonts w:asciiTheme="majorHAnsi" w:hAnsiTheme="majorHAnsi"/>
        </w:rPr>
        <w:t xml:space="preserve"> </w:t>
      </w:r>
      <w:r w:rsidR="002227F2">
        <w:rPr>
          <w:rFonts w:asciiTheme="majorHAnsi" w:hAnsiTheme="majorHAnsi"/>
        </w:rPr>
        <w:t>Consequently,</w:t>
      </w:r>
      <w:r w:rsidR="00E140F5">
        <w:rPr>
          <w:rFonts w:asciiTheme="majorHAnsi" w:hAnsiTheme="majorHAnsi"/>
        </w:rPr>
        <w:t xml:space="preserve"> we consider the impact of </w:t>
      </w:r>
      <w:r w:rsidR="00237B59">
        <w:rPr>
          <w:rFonts w:asciiTheme="majorHAnsi" w:hAnsiTheme="majorHAnsi"/>
        </w:rPr>
        <w:t xml:space="preserve">not only </w:t>
      </w:r>
      <w:r w:rsidR="00E140F5">
        <w:rPr>
          <w:rFonts w:asciiTheme="majorHAnsi" w:hAnsiTheme="majorHAnsi"/>
        </w:rPr>
        <w:t xml:space="preserve">recent gains and losses (i.e. changes from local reference points) but also </w:t>
      </w:r>
      <w:r w:rsidR="00507EFB">
        <w:rPr>
          <w:rFonts w:asciiTheme="majorHAnsi" w:hAnsiTheme="majorHAnsi"/>
        </w:rPr>
        <w:t>of the overall profit/loss status of the individual relative to their starting capital</w:t>
      </w:r>
      <w:r w:rsidR="00E140F5">
        <w:rPr>
          <w:rFonts w:asciiTheme="majorHAnsi" w:hAnsiTheme="majorHAnsi"/>
        </w:rPr>
        <w:t xml:space="preserve"> (i.e. the global reference point or the break-even point).</w:t>
      </w:r>
    </w:p>
    <w:p w14:paraId="37B84643" w14:textId="77777777" w:rsidR="003700FE" w:rsidRDefault="003700FE" w:rsidP="00314D0E">
      <w:pPr>
        <w:spacing w:after="0" w:line="480" w:lineRule="auto"/>
        <w:rPr>
          <w:rFonts w:asciiTheme="majorHAnsi" w:hAnsiTheme="majorHAnsi" w:cs="Helvetica"/>
          <w:b/>
        </w:rPr>
      </w:pPr>
    </w:p>
    <w:p w14:paraId="66052D3B" w14:textId="619CD066" w:rsidR="004A099B" w:rsidRDefault="002B66D1" w:rsidP="00314D0E">
      <w:pPr>
        <w:spacing w:after="0" w:line="480" w:lineRule="auto"/>
        <w:rPr>
          <w:rFonts w:asciiTheme="majorHAnsi" w:hAnsiTheme="majorHAnsi" w:cs="Helvetica"/>
          <w:b/>
        </w:rPr>
      </w:pPr>
      <w:r>
        <w:rPr>
          <w:rFonts w:asciiTheme="majorHAnsi" w:hAnsiTheme="majorHAnsi" w:cs="Helvetica"/>
          <w:b/>
        </w:rPr>
        <w:t>1.</w:t>
      </w:r>
      <w:r w:rsidR="008C639D">
        <w:rPr>
          <w:rFonts w:asciiTheme="majorHAnsi" w:hAnsiTheme="majorHAnsi" w:cs="Helvetica"/>
          <w:b/>
        </w:rPr>
        <w:t>2</w:t>
      </w:r>
      <w:r w:rsidR="004A099B">
        <w:rPr>
          <w:rFonts w:asciiTheme="majorHAnsi" w:hAnsiTheme="majorHAnsi" w:cs="Helvetica"/>
          <w:b/>
        </w:rPr>
        <w:t xml:space="preserve"> Chasing, Escalation of Commitment and the Break-even Effect.</w:t>
      </w:r>
    </w:p>
    <w:p w14:paraId="17D84F62" w14:textId="32C92BB2" w:rsidR="000A6C7A" w:rsidRDefault="00D50252" w:rsidP="00B0769B">
      <w:pPr>
        <w:spacing w:after="0" w:line="480" w:lineRule="auto"/>
        <w:ind w:firstLine="720"/>
        <w:rPr>
          <w:rFonts w:asciiTheme="majorHAnsi" w:hAnsiTheme="majorHAnsi"/>
        </w:rPr>
      </w:pPr>
      <w:r>
        <w:rPr>
          <w:rFonts w:asciiTheme="majorHAnsi" w:hAnsiTheme="majorHAnsi"/>
        </w:rPr>
        <w:t xml:space="preserve">Chasing to recoup losses </w:t>
      </w:r>
      <w:r w:rsidR="00507EFB">
        <w:rPr>
          <w:rFonts w:asciiTheme="majorHAnsi" w:hAnsiTheme="majorHAnsi"/>
        </w:rPr>
        <w:t>is</w:t>
      </w:r>
      <w:r>
        <w:rPr>
          <w:rFonts w:asciiTheme="majorHAnsi" w:hAnsiTheme="majorHAnsi"/>
        </w:rPr>
        <w:t xml:space="preserve"> the most commonly reported diagnostic criteria for problem gambling</w:t>
      </w:r>
      <w:r w:rsidR="002227F2">
        <w:rPr>
          <w:rFonts w:asciiTheme="majorHAnsi" w:hAnsiTheme="majorHAnsi"/>
        </w:rPr>
        <w:t>,</w:t>
      </w:r>
      <w:r>
        <w:rPr>
          <w:rFonts w:asciiTheme="majorHAnsi" w:hAnsiTheme="majorHAnsi"/>
        </w:rPr>
        <w:t xml:space="preserve"> observed in 84.1% of disordered gamblers.</w:t>
      </w:r>
      <w:r w:rsidR="0063501C" w:rsidRPr="00275768">
        <w:rPr>
          <w:rFonts w:asciiTheme="majorHAnsi" w:hAnsiTheme="majorHAnsi"/>
          <w:vertAlign w:val="superscript"/>
        </w:rPr>
        <w:t>(6)</w:t>
      </w:r>
      <w:r>
        <w:rPr>
          <w:rFonts w:asciiTheme="majorHAnsi" w:hAnsiTheme="majorHAnsi"/>
        </w:rPr>
        <w:t xml:space="preserve"> Chasing behavior appears to be correlated with higher levels of </w:t>
      </w:r>
      <w:r w:rsidR="00A10E20">
        <w:rPr>
          <w:rFonts w:asciiTheme="majorHAnsi" w:hAnsiTheme="majorHAnsi"/>
        </w:rPr>
        <w:t xml:space="preserve">impulsivity </w:t>
      </w:r>
      <w:r w:rsidR="00EF7E1F">
        <w:rPr>
          <w:rFonts w:asciiTheme="majorHAnsi" w:hAnsiTheme="majorHAnsi"/>
        </w:rPr>
        <w:t>and</w:t>
      </w:r>
      <w:r>
        <w:rPr>
          <w:rFonts w:asciiTheme="majorHAnsi" w:hAnsiTheme="majorHAnsi"/>
        </w:rPr>
        <w:t xml:space="preserve"> has been found to be associated with increased activity in brain areas linked to expectation of reward and incentive-motivation.</w:t>
      </w:r>
      <w:r w:rsidR="0063501C" w:rsidRPr="00275768">
        <w:rPr>
          <w:rFonts w:asciiTheme="majorHAnsi" w:hAnsiTheme="majorHAnsi"/>
          <w:vertAlign w:val="superscript"/>
        </w:rPr>
        <w:t>(2,3)</w:t>
      </w:r>
      <w:r>
        <w:rPr>
          <w:rFonts w:asciiTheme="majorHAnsi" w:hAnsiTheme="majorHAnsi"/>
        </w:rPr>
        <w:t xml:space="preserve"> It is perhaps for this reason that near misses </w:t>
      </w:r>
      <w:r w:rsidR="00F141CD">
        <w:rPr>
          <w:rFonts w:asciiTheme="majorHAnsi" w:hAnsiTheme="majorHAnsi"/>
        </w:rPr>
        <w:t xml:space="preserve">have been shown to </w:t>
      </w:r>
      <w:r>
        <w:rPr>
          <w:rFonts w:asciiTheme="majorHAnsi" w:hAnsiTheme="majorHAnsi"/>
        </w:rPr>
        <w:t xml:space="preserve">play an important role in chasing </w:t>
      </w:r>
      <w:r w:rsidR="00D10266">
        <w:rPr>
          <w:rFonts w:asciiTheme="majorHAnsi" w:hAnsiTheme="majorHAnsi"/>
        </w:rPr>
        <w:t>behaviour in both human and animal studies</w:t>
      </w:r>
      <w:r w:rsidR="0063501C">
        <w:rPr>
          <w:rFonts w:asciiTheme="majorHAnsi" w:hAnsiTheme="majorHAnsi"/>
        </w:rPr>
        <w:t>.</w:t>
      </w:r>
      <w:r w:rsidR="0063501C" w:rsidRPr="00275768">
        <w:rPr>
          <w:rFonts w:asciiTheme="majorHAnsi" w:hAnsiTheme="majorHAnsi"/>
          <w:vertAlign w:val="superscript"/>
        </w:rPr>
        <w:t>(20,21)</w:t>
      </w:r>
    </w:p>
    <w:p w14:paraId="7C99B01B" w14:textId="39021182" w:rsidR="00842617" w:rsidRPr="00275768" w:rsidRDefault="00F141CD">
      <w:pPr>
        <w:spacing w:after="0" w:line="480" w:lineRule="auto"/>
        <w:ind w:firstLine="720"/>
        <w:jc w:val="both"/>
        <w:rPr>
          <w:rFonts w:asciiTheme="majorHAnsi" w:eastAsia="Calibri" w:hAnsiTheme="majorHAnsi" w:cs="Cordia New"/>
          <w:vertAlign w:val="superscript"/>
          <w:lang w:bidi="th-TH"/>
        </w:rPr>
      </w:pPr>
      <w:r>
        <w:rPr>
          <w:rFonts w:asciiTheme="majorHAnsi" w:hAnsiTheme="majorHAnsi"/>
        </w:rPr>
        <w:t xml:space="preserve">The </w:t>
      </w:r>
      <w:r w:rsidR="00B51099">
        <w:rPr>
          <w:rFonts w:asciiTheme="majorHAnsi" w:hAnsiTheme="majorHAnsi"/>
        </w:rPr>
        <w:t xml:space="preserve">motivation to continue gambling following ‘near wins’ may </w:t>
      </w:r>
      <w:r w:rsidR="000A6C7A">
        <w:rPr>
          <w:rFonts w:asciiTheme="majorHAnsi" w:hAnsiTheme="majorHAnsi"/>
        </w:rPr>
        <w:t xml:space="preserve">stem from a hope that </w:t>
      </w:r>
      <w:r>
        <w:rPr>
          <w:rFonts w:asciiTheme="majorHAnsi" w:hAnsiTheme="majorHAnsi"/>
        </w:rPr>
        <w:t>these</w:t>
      </w:r>
      <w:r w:rsidR="000A6C7A">
        <w:rPr>
          <w:rFonts w:asciiTheme="majorHAnsi" w:hAnsiTheme="majorHAnsi"/>
        </w:rPr>
        <w:t xml:space="preserve"> </w:t>
      </w:r>
      <w:r w:rsidR="00C55F5F">
        <w:rPr>
          <w:rFonts w:asciiTheme="majorHAnsi" w:hAnsiTheme="majorHAnsi"/>
        </w:rPr>
        <w:t>herald an imminent ‘change of luck’.</w:t>
      </w:r>
      <w:r w:rsidR="000A6C7A">
        <w:rPr>
          <w:rFonts w:asciiTheme="majorHAnsi" w:hAnsiTheme="majorHAnsi"/>
        </w:rPr>
        <w:t xml:space="preserve"> </w:t>
      </w:r>
      <w:r w:rsidR="00842617">
        <w:rPr>
          <w:rFonts w:asciiTheme="majorHAnsi" w:hAnsiTheme="majorHAnsi"/>
        </w:rPr>
        <w:t>A similarly hopeful outlook appears in the</w:t>
      </w:r>
      <w:r w:rsidR="002B66D1">
        <w:rPr>
          <w:rFonts w:asciiTheme="majorHAnsi" w:eastAsia="Calibri" w:hAnsiTheme="majorHAnsi" w:cs="Cordia New"/>
          <w:lang w:bidi="th-TH"/>
        </w:rPr>
        <w:t xml:space="preserve"> escalation of commitmen</w:t>
      </w:r>
      <w:r>
        <w:rPr>
          <w:rFonts w:asciiTheme="majorHAnsi" w:eastAsia="Calibri" w:hAnsiTheme="majorHAnsi" w:cs="Cordia New"/>
          <w:lang w:bidi="th-TH"/>
        </w:rPr>
        <w:t>t</w:t>
      </w:r>
      <w:r w:rsidRPr="00F141CD">
        <w:rPr>
          <w:rFonts w:asciiTheme="majorHAnsi" w:eastAsia="Calibri" w:hAnsiTheme="majorHAnsi" w:cs="Cordia New"/>
          <w:lang w:bidi="th-TH"/>
        </w:rPr>
        <w:t xml:space="preserve"> </w:t>
      </w:r>
      <w:r w:rsidRPr="00FC6DF5">
        <w:rPr>
          <w:rFonts w:asciiTheme="majorHAnsi" w:eastAsia="Calibri" w:hAnsiTheme="majorHAnsi" w:cs="Cordia New"/>
          <w:lang w:bidi="th-TH"/>
        </w:rPr>
        <w:t>to a failing course of action</w:t>
      </w:r>
      <w:r w:rsidR="002B66D1">
        <w:rPr>
          <w:rFonts w:asciiTheme="majorHAnsi" w:eastAsia="Calibri" w:hAnsiTheme="majorHAnsi" w:cs="Cordia New"/>
          <w:lang w:bidi="th-TH"/>
        </w:rPr>
        <w:t xml:space="preserve">, a </w:t>
      </w:r>
      <w:r w:rsidR="00842617">
        <w:rPr>
          <w:rFonts w:asciiTheme="majorHAnsi" w:eastAsia="Calibri" w:hAnsiTheme="majorHAnsi" w:cs="Cordia New"/>
          <w:lang w:bidi="th-TH"/>
        </w:rPr>
        <w:t>cognitive bias</w:t>
      </w:r>
      <w:r w:rsidR="002B66D1">
        <w:rPr>
          <w:rFonts w:asciiTheme="majorHAnsi" w:eastAsia="Calibri" w:hAnsiTheme="majorHAnsi" w:cs="Cordia New"/>
          <w:lang w:bidi="th-TH"/>
        </w:rPr>
        <w:t xml:space="preserve"> that occurs in </w:t>
      </w:r>
      <w:r w:rsidR="00C55F5F">
        <w:rPr>
          <w:rFonts w:asciiTheme="majorHAnsi" w:eastAsia="Calibri" w:hAnsiTheme="majorHAnsi" w:cs="Cordia New"/>
          <w:lang w:bidi="th-TH"/>
        </w:rPr>
        <w:t>general</w:t>
      </w:r>
      <w:r w:rsidR="002B66D1">
        <w:rPr>
          <w:rFonts w:asciiTheme="majorHAnsi" w:eastAsia="Calibri" w:hAnsiTheme="majorHAnsi" w:cs="Cordia New"/>
          <w:lang w:bidi="th-TH"/>
        </w:rPr>
        <w:t xml:space="preserve"> populations</w:t>
      </w:r>
      <w:r w:rsidR="002B66D1" w:rsidRPr="00760A90">
        <w:rPr>
          <w:rFonts w:asciiTheme="majorHAnsi" w:eastAsia="Calibri" w:hAnsiTheme="majorHAnsi" w:cs="Cordia New"/>
          <w:lang w:bidi="th-TH"/>
        </w:rPr>
        <w:t>.</w:t>
      </w:r>
      <w:r w:rsidR="0063501C" w:rsidRPr="00275768">
        <w:rPr>
          <w:rFonts w:asciiTheme="majorHAnsi" w:eastAsia="Calibri" w:hAnsiTheme="majorHAnsi" w:cs="Cordia New"/>
          <w:vertAlign w:val="superscript"/>
          <w:lang w:bidi="th-TH"/>
        </w:rPr>
        <w:t>(22</w:t>
      </w:r>
      <w:r w:rsidR="001B3E12">
        <w:rPr>
          <w:rFonts w:asciiTheme="majorHAnsi" w:eastAsia="Calibri" w:hAnsiTheme="majorHAnsi" w:cs="Cordia New"/>
          <w:vertAlign w:val="superscript"/>
          <w:lang w:bidi="th-TH"/>
        </w:rPr>
        <w:t>-</w:t>
      </w:r>
      <w:r w:rsidR="0063501C" w:rsidRPr="00275768">
        <w:rPr>
          <w:rFonts w:asciiTheme="majorHAnsi" w:eastAsia="Calibri" w:hAnsiTheme="majorHAnsi" w:cs="Cordia New"/>
          <w:vertAlign w:val="superscript"/>
          <w:lang w:bidi="th-TH"/>
        </w:rPr>
        <w:t>24)</w:t>
      </w:r>
      <w:r w:rsidR="00F8143F">
        <w:rPr>
          <w:rFonts w:asciiTheme="majorHAnsi" w:eastAsia="Calibri" w:hAnsiTheme="majorHAnsi" w:cs="Cordia New"/>
          <w:lang w:bidi="th-TH"/>
        </w:rPr>
        <w:t xml:space="preserve"> </w:t>
      </w:r>
      <w:r w:rsidR="00926B1A">
        <w:rPr>
          <w:rFonts w:asciiTheme="majorHAnsi" w:eastAsia="Calibri" w:hAnsiTheme="majorHAnsi" w:cs="Cordia New"/>
          <w:lang w:bidi="th-TH"/>
        </w:rPr>
        <w:t>The phenomenon describes the tendency to maintain or increase investment in an activity despite facing negative outcomes</w:t>
      </w:r>
      <w:r w:rsidR="006020BA">
        <w:rPr>
          <w:rFonts w:asciiTheme="majorHAnsi" w:eastAsiaTheme="minorEastAsia" w:hAnsiTheme="majorHAnsi" w:cs="Arial"/>
          <w:color w:val="1A1A1A"/>
          <w:lang w:val="en-US"/>
        </w:rPr>
        <w:t>.</w:t>
      </w:r>
      <w:r w:rsidR="00926B1A">
        <w:rPr>
          <w:rFonts w:asciiTheme="majorHAnsi" w:eastAsia="Calibri" w:hAnsiTheme="majorHAnsi" w:cs="Cordia New"/>
          <w:lang w:bidi="th-TH"/>
        </w:rPr>
        <w:t xml:space="preserve"> </w:t>
      </w:r>
      <w:r w:rsidRPr="00275768">
        <w:rPr>
          <w:rFonts w:asciiTheme="majorHAnsi" w:hAnsiTheme="majorHAnsi"/>
        </w:rPr>
        <w:t>M</w:t>
      </w:r>
      <w:r w:rsidR="00A4712D" w:rsidRPr="00F141CD">
        <w:rPr>
          <w:rFonts w:asciiTheme="majorHAnsi" w:eastAsia="Calibri" w:hAnsiTheme="majorHAnsi" w:cs="Cordia New"/>
          <w:lang w:bidi="th-TH"/>
        </w:rPr>
        <w:t>eta</w:t>
      </w:r>
      <w:r w:rsidR="00A4712D" w:rsidRPr="00306807">
        <w:rPr>
          <w:rFonts w:asciiTheme="majorHAnsi" w:eastAsia="Calibri" w:hAnsiTheme="majorHAnsi" w:cs="Cordia New"/>
          <w:lang w:bidi="th-TH"/>
        </w:rPr>
        <w:t xml:space="preserve">-analysis reveals </w:t>
      </w:r>
      <w:r w:rsidR="00871CCF">
        <w:rPr>
          <w:rFonts w:asciiTheme="majorHAnsi" w:eastAsia="Calibri" w:hAnsiTheme="majorHAnsi" w:cs="Cordia New"/>
          <w:lang w:bidi="th-TH"/>
        </w:rPr>
        <w:t xml:space="preserve">that </w:t>
      </w:r>
      <w:r w:rsidR="00A4712D" w:rsidRPr="00306807">
        <w:rPr>
          <w:rFonts w:asciiTheme="majorHAnsi" w:eastAsia="Calibri" w:hAnsiTheme="majorHAnsi" w:cs="Cordia New"/>
          <w:lang w:bidi="th-TH"/>
        </w:rPr>
        <w:t xml:space="preserve">a desire to </w:t>
      </w:r>
      <w:r w:rsidR="00A4712D">
        <w:rPr>
          <w:rFonts w:asciiTheme="majorHAnsi" w:eastAsia="Calibri" w:hAnsiTheme="majorHAnsi" w:cs="Cordia New"/>
          <w:lang w:bidi="th-TH"/>
        </w:rPr>
        <w:t>maintain one</w:t>
      </w:r>
      <w:r w:rsidR="00C55F5F">
        <w:rPr>
          <w:rFonts w:asciiTheme="majorHAnsi" w:eastAsia="Calibri" w:hAnsiTheme="majorHAnsi" w:cs="Cordia New"/>
          <w:lang w:bidi="th-TH"/>
        </w:rPr>
        <w:t>’</w:t>
      </w:r>
      <w:r w:rsidR="00A4712D">
        <w:rPr>
          <w:rFonts w:asciiTheme="majorHAnsi" w:eastAsia="Calibri" w:hAnsiTheme="majorHAnsi" w:cs="Cordia New"/>
          <w:lang w:bidi="th-TH"/>
        </w:rPr>
        <w:t>s reputation</w:t>
      </w:r>
      <w:r>
        <w:rPr>
          <w:rFonts w:asciiTheme="majorHAnsi" w:eastAsia="Calibri" w:hAnsiTheme="majorHAnsi" w:cs="Cordia New"/>
          <w:lang w:bidi="th-TH"/>
        </w:rPr>
        <w:t xml:space="preserve"> (to justify one’s previous decisions)</w:t>
      </w:r>
      <w:r w:rsidR="00A4712D">
        <w:rPr>
          <w:rFonts w:asciiTheme="majorHAnsi" w:eastAsia="Calibri" w:hAnsiTheme="majorHAnsi" w:cs="Cordia New"/>
          <w:lang w:bidi="th-TH"/>
        </w:rPr>
        <w:t xml:space="preserve"> is</w:t>
      </w:r>
      <w:r w:rsidR="00A4712D" w:rsidRPr="00306807">
        <w:rPr>
          <w:rFonts w:asciiTheme="majorHAnsi" w:eastAsia="Calibri" w:hAnsiTheme="majorHAnsi" w:cs="Cordia New"/>
          <w:lang w:bidi="th-TH"/>
        </w:rPr>
        <w:t xml:space="preserve"> </w:t>
      </w:r>
      <w:r w:rsidR="00A4712D">
        <w:rPr>
          <w:rFonts w:asciiTheme="majorHAnsi" w:eastAsia="Calibri" w:hAnsiTheme="majorHAnsi" w:cs="Cordia New"/>
          <w:lang w:bidi="th-TH"/>
        </w:rPr>
        <w:t xml:space="preserve">one of the strongest predictors of </w:t>
      </w:r>
      <w:r w:rsidR="00A4712D" w:rsidRPr="00306807">
        <w:rPr>
          <w:rFonts w:asciiTheme="majorHAnsi" w:eastAsia="Calibri" w:hAnsiTheme="majorHAnsi" w:cs="Cordia New"/>
          <w:lang w:bidi="th-TH"/>
        </w:rPr>
        <w:t xml:space="preserve">escalation </w:t>
      </w:r>
      <w:r w:rsidR="000B57A7">
        <w:rPr>
          <w:rFonts w:asciiTheme="majorHAnsi" w:eastAsia="Calibri" w:hAnsiTheme="majorHAnsi" w:cs="Cordia New"/>
          <w:lang w:bidi="th-TH"/>
        </w:rPr>
        <w:t>behaviour.</w:t>
      </w:r>
      <w:r w:rsidR="000B57A7" w:rsidRPr="00275768">
        <w:rPr>
          <w:rFonts w:asciiTheme="majorHAnsi" w:eastAsia="Calibri" w:hAnsiTheme="majorHAnsi" w:cs="Cordia New"/>
          <w:vertAlign w:val="superscript"/>
          <w:lang w:bidi="th-TH"/>
        </w:rPr>
        <w:t>(25)</w:t>
      </w:r>
    </w:p>
    <w:p w14:paraId="7AF59C3A" w14:textId="76862CA6" w:rsidR="002B66D1" w:rsidRPr="00306807" w:rsidRDefault="00842617" w:rsidP="00E552E4">
      <w:pPr>
        <w:spacing w:after="0" w:line="480" w:lineRule="auto"/>
        <w:ind w:firstLine="720"/>
        <w:jc w:val="both"/>
        <w:rPr>
          <w:rFonts w:asciiTheme="majorHAnsi" w:eastAsia="Calibri" w:hAnsiTheme="majorHAnsi" w:cs="Cordia New"/>
          <w:lang w:bidi="th-TH"/>
        </w:rPr>
      </w:pPr>
      <w:r>
        <w:rPr>
          <w:rFonts w:asciiTheme="majorHAnsi" w:eastAsia="Calibri" w:hAnsiTheme="majorHAnsi" w:cs="Cordia New"/>
          <w:lang w:bidi="th-TH"/>
        </w:rPr>
        <w:t>B</w:t>
      </w:r>
      <w:r w:rsidR="00CF3281">
        <w:rPr>
          <w:rFonts w:asciiTheme="majorHAnsi" w:eastAsia="Calibri" w:hAnsiTheme="majorHAnsi" w:cs="Cordia New"/>
          <w:lang w:bidi="th-TH"/>
        </w:rPr>
        <w:t>reaking-</w:t>
      </w:r>
      <w:r w:rsidR="00E552E4">
        <w:rPr>
          <w:rFonts w:asciiTheme="majorHAnsi" w:eastAsia="Calibri" w:hAnsiTheme="majorHAnsi" w:cs="Cordia New"/>
          <w:lang w:bidi="th-TH"/>
        </w:rPr>
        <w:t xml:space="preserve">even </w:t>
      </w:r>
      <w:r w:rsidR="00C55F5F">
        <w:rPr>
          <w:rFonts w:asciiTheme="majorHAnsi" w:eastAsia="Calibri" w:hAnsiTheme="majorHAnsi" w:cs="Cordia New"/>
          <w:lang w:bidi="th-TH"/>
        </w:rPr>
        <w:t xml:space="preserve">(cf. making a loss) </w:t>
      </w:r>
      <w:r w:rsidR="00E552E4">
        <w:rPr>
          <w:rFonts w:asciiTheme="majorHAnsi" w:eastAsia="Calibri" w:hAnsiTheme="majorHAnsi" w:cs="Cordia New"/>
          <w:lang w:bidi="th-TH"/>
        </w:rPr>
        <w:t>c</w:t>
      </w:r>
      <w:r w:rsidR="00CF3281">
        <w:rPr>
          <w:rFonts w:asciiTheme="majorHAnsi" w:eastAsia="Calibri" w:hAnsiTheme="majorHAnsi" w:cs="Cordia New"/>
          <w:lang w:bidi="th-TH"/>
        </w:rPr>
        <w:t>learly provide</w:t>
      </w:r>
      <w:r w:rsidR="00E552E4">
        <w:rPr>
          <w:rFonts w:asciiTheme="majorHAnsi" w:eastAsia="Calibri" w:hAnsiTheme="majorHAnsi" w:cs="Cordia New"/>
          <w:lang w:bidi="th-TH"/>
        </w:rPr>
        <w:t>s</w:t>
      </w:r>
      <w:r w:rsidR="00926B1A">
        <w:rPr>
          <w:rFonts w:asciiTheme="majorHAnsi" w:eastAsia="Calibri" w:hAnsiTheme="majorHAnsi" w:cs="Cordia New"/>
          <w:lang w:bidi="th-TH"/>
        </w:rPr>
        <w:t xml:space="preserve"> a means of</w:t>
      </w:r>
      <w:r w:rsidR="00CF3281">
        <w:rPr>
          <w:rFonts w:asciiTheme="majorHAnsi" w:eastAsia="Calibri" w:hAnsiTheme="majorHAnsi" w:cs="Cordia New"/>
          <w:lang w:bidi="th-TH"/>
        </w:rPr>
        <w:t xml:space="preserve"> </w:t>
      </w:r>
      <w:r w:rsidR="00B27EDA">
        <w:rPr>
          <w:rFonts w:asciiTheme="majorHAnsi" w:eastAsia="Calibri" w:hAnsiTheme="majorHAnsi" w:cs="Cordia New"/>
          <w:lang w:bidi="th-TH"/>
        </w:rPr>
        <w:t xml:space="preserve">vindicating </w:t>
      </w:r>
      <w:r w:rsidR="00CF3281">
        <w:rPr>
          <w:rFonts w:asciiTheme="majorHAnsi" w:eastAsia="Calibri" w:hAnsiTheme="majorHAnsi" w:cs="Cordia New"/>
          <w:lang w:bidi="th-TH"/>
        </w:rPr>
        <w:t xml:space="preserve">the original decision to engage in a </w:t>
      </w:r>
      <w:r w:rsidR="00264AEB">
        <w:rPr>
          <w:rFonts w:asciiTheme="majorHAnsi" w:eastAsia="Calibri" w:hAnsiTheme="majorHAnsi" w:cs="Cordia New"/>
          <w:lang w:bidi="th-TH"/>
        </w:rPr>
        <w:t>RA</w:t>
      </w:r>
      <w:r w:rsidR="00E552E4">
        <w:rPr>
          <w:rFonts w:asciiTheme="majorHAnsi" w:eastAsia="Calibri" w:hAnsiTheme="majorHAnsi" w:cs="Cordia New"/>
          <w:lang w:bidi="th-TH"/>
        </w:rPr>
        <w:t xml:space="preserve">. Therefore, </w:t>
      </w:r>
      <w:r w:rsidR="00B27EDA">
        <w:rPr>
          <w:rFonts w:asciiTheme="majorHAnsi" w:eastAsia="Calibri" w:hAnsiTheme="majorHAnsi" w:cs="Cordia New"/>
          <w:lang w:bidi="th-TH"/>
        </w:rPr>
        <w:t xml:space="preserve">an </w:t>
      </w:r>
      <w:r w:rsidR="00E552E4">
        <w:rPr>
          <w:rFonts w:asciiTheme="majorHAnsi" w:eastAsia="Calibri" w:hAnsiTheme="majorHAnsi" w:cs="Cordia New"/>
          <w:lang w:bidi="th-TH"/>
        </w:rPr>
        <w:t xml:space="preserve">individual's </w:t>
      </w:r>
      <w:r w:rsidR="00B27EDA">
        <w:rPr>
          <w:rFonts w:asciiTheme="majorHAnsi" w:eastAsia="Calibri" w:hAnsiTheme="majorHAnsi" w:cs="Cordia New"/>
          <w:lang w:bidi="th-TH"/>
        </w:rPr>
        <w:t>hope that they can</w:t>
      </w:r>
      <w:r w:rsidR="00E552E4">
        <w:rPr>
          <w:rFonts w:asciiTheme="majorHAnsi" w:eastAsia="Calibri" w:hAnsiTheme="majorHAnsi" w:cs="Cordia New"/>
          <w:lang w:bidi="th-TH"/>
        </w:rPr>
        <w:t xml:space="preserve"> break-even or a confidence that they will </w:t>
      </w:r>
      <w:r w:rsidR="000244D3">
        <w:rPr>
          <w:rFonts w:asciiTheme="majorHAnsi" w:eastAsia="Calibri" w:hAnsiTheme="majorHAnsi" w:cs="Cordia New"/>
          <w:lang w:bidi="th-TH"/>
        </w:rPr>
        <w:t>remain profitable</w:t>
      </w:r>
      <w:r w:rsidR="00E552E4">
        <w:rPr>
          <w:rFonts w:asciiTheme="majorHAnsi" w:eastAsia="Calibri" w:hAnsiTheme="majorHAnsi" w:cs="Cordia New"/>
          <w:lang w:bidi="th-TH"/>
        </w:rPr>
        <w:t xml:space="preserve"> may play an important role in how changes in wealth affect the</w:t>
      </w:r>
      <w:r w:rsidR="00737D6A">
        <w:rPr>
          <w:rFonts w:asciiTheme="majorHAnsi" w:eastAsia="Calibri" w:hAnsiTheme="majorHAnsi" w:cs="Cordia New"/>
          <w:lang w:bidi="th-TH"/>
        </w:rPr>
        <w:t>ir</w:t>
      </w:r>
      <w:r w:rsidR="00E552E4">
        <w:rPr>
          <w:rFonts w:asciiTheme="majorHAnsi" w:eastAsia="Calibri" w:hAnsiTheme="majorHAnsi" w:cs="Cordia New"/>
          <w:lang w:bidi="th-TH"/>
        </w:rPr>
        <w:t xml:space="preserve"> decision to continue a RA. </w:t>
      </w:r>
      <w:r w:rsidR="00737D6A">
        <w:rPr>
          <w:rFonts w:asciiTheme="majorHAnsi" w:eastAsia="Calibri" w:hAnsiTheme="majorHAnsi" w:cs="Cordia New"/>
          <w:lang w:bidi="th-TH"/>
        </w:rPr>
        <w:t>E</w:t>
      </w:r>
      <w:r w:rsidR="00D62E61">
        <w:rPr>
          <w:rFonts w:asciiTheme="majorHAnsi" w:eastAsia="Calibri" w:hAnsiTheme="majorHAnsi" w:cs="Cordia New"/>
          <w:lang w:bidi="th-TH"/>
        </w:rPr>
        <w:t>xperiments into near wins reveal that</w:t>
      </w:r>
      <w:r w:rsidR="00B27EDA">
        <w:rPr>
          <w:rFonts w:asciiTheme="majorHAnsi" w:eastAsia="Calibri" w:hAnsiTheme="majorHAnsi" w:cs="Cordia New"/>
          <w:lang w:bidi="th-TH"/>
        </w:rPr>
        <w:t>,</w:t>
      </w:r>
      <w:r w:rsidR="00D62E61">
        <w:rPr>
          <w:rFonts w:asciiTheme="majorHAnsi" w:eastAsia="Calibri" w:hAnsiTheme="majorHAnsi" w:cs="Cordia New"/>
          <w:lang w:bidi="th-TH"/>
        </w:rPr>
        <w:t xml:space="preserve"> beyond the objective outcome (</w:t>
      </w:r>
      <w:r w:rsidR="00B27EDA">
        <w:rPr>
          <w:rFonts w:asciiTheme="majorHAnsi" w:eastAsia="Calibri" w:hAnsiTheme="majorHAnsi" w:cs="Cordia New"/>
          <w:lang w:bidi="th-TH"/>
        </w:rPr>
        <w:t>e.g.,</w:t>
      </w:r>
      <w:r w:rsidR="00D62E61">
        <w:rPr>
          <w:rFonts w:asciiTheme="majorHAnsi" w:eastAsia="Calibri" w:hAnsiTheme="majorHAnsi" w:cs="Cordia New"/>
          <w:lang w:bidi="th-TH"/>
        </w:rPr>
        <w:t xml:space="preserve"> successive losses)</w:t>
      </w:r>
      <w:r w:rsidR="00B27EDA">
        <w:rPr>
          <w:rFonts w:asciiTheme="majorHAnsi" w:eastAsia="Calibri" w:hAnsiTheme="majorHAnsi" w:cs="Cordia New"/>
          <w:lang w:bidi="th-TH"/>
        </w:rPr>
        <w:t>,</w:t>
      </w:r>
      <w:r w:rsidR="00D62E61">
        <w:rPr>
          <w:rFonts w:asciiTheme="majorHAnsi" w:eastAsia="Calibri" w:hAnsiTheme="majorHAnsi" w:cs="Cordia New"/>
          <w:lang w:bidi="th-TH"/>
        </w:rPr>
        <w:t xml:space="preserve"> a hope or confidence in reversing </w:t>
      </w:r>
      <w:r w:rsidR="0099797C">
        <w:rPr>
          <w:rFonts w:asciiTheme="majorHAnsi" w:eastAsia="Calibri" w:hAnsiTheme="majorHAnsi" w:cs="Cordia New"/>
          <w:lang w:bidi="th-TH"/>
        </w:rPr>
        <w:t xml:space="preserve">a </w:t>
      </w:r>
      <w:r w:rsidR="00D62E61">
        <w:rPr>
          <w:rFonts w:asciiTheme="majorHAnsi" w:eastAsia="Calibri" w:hAnsiTheme="majorHAnsi" w:cs="Cordia New"/>
          <w:lang w:bidi="th-TH"/>
        </w:rPr>
        <w:t xml:space="preserve">losing </w:t>
      </w:r>
      <w:r w:rsidR="0099797C">
        <w:rPr>
          <w:rFonts w:asciiTheme="majorHAnsi" w:eastAsia="Calibri" w:hAnsiTheme="majorHAnsi" w:cs="Cordia New"/>
          <w:lang w:bidi="th-TH"/>
        </w:rPr>
        <w:t xml:space="preserve">sequence </w:t>
      </w:r>
      <w:r w:rsidR="00D62E61">
        <w:rPr>
          <w:rFonts w:asciiTheme="majorHAnsi" w:eastAsia="Calibri" w:hAnsiTheme="majorHAnsi" w:cs="Cordia New"/>
          <w:lang w:bidi="th-TH"/>
        </w:rPr>
        <w:t>may be important. For example, consider an individual</w:t>
      </w:r>
      <w:r w:rsidR="00B63917">
        <w:rPr>
          <w:rFonts w:asciiTheme="majorHAnsi" w:eastAsia="Calibri" w:hAnsiTheme="majorHAnsi" w:cs="Cordia New"/>
          <w:lang w:bidi="th-TH"/>
        </w:rPr>
        <w:t xml:space="preserve"> (A)</w:t>
      </w:r>
      <w:r w:rsidR="00D62E61">
        <w:rPr>
          <w:rFonts w:asciiTheme="majorHAnsi" w:eastAsia="Calibri" w:hAnsiTheme="majorHAnsi" w:cs="Cordia New"/>
          <w:lang w:bidi="th-TH"/>
        </w:rPr>
        <w:t xml:space="preserve"> who has generally </w:t>
      </w:r>
      <w:r w:rsidR="00B27EDA">
        <w:rPr>
          <w:rFonts w:asciiTheme="majorHAnsi" w:eastAsia="Calibri" w:hAnsiTheme="majorHAnsi" w:cs="Cordia New"/>
          <w:lang w:bidi="th-TH"/>
        </w:rPr>
        <w:t xml:space="preserve">made profit from </w:t>
      </w:r>
      <w:r w:rsidR="00737D6A">
        <w:rPr>
          <w:rFonts w:asciiTheme="majorHAnsi" w:eastAsia="Calibri" w:hAnsiTheme="majorHAnsi" w:cs="Cordia New"/>
          <w:lang w:bidi="th-TH"/>
        </w:rPr>
        <w:t xml:space="preserve">a </w:t>
      </w:r>
      <w:r w:rsidR="00B27EDA">
        <w:rPr>
          <w:rFonts w:asciiTheme="majorHAnsi" w:eastAsia="Calibri" w:hAnsiTheme="majorHAnsi" w:cs="Cordia New"/>
          <w:lang w:bidi="th-TH"/>
        </w:rPr>
        <w:t>RA</w:t>
      </w:r>
      <w:r w:rsidR="00D62E61">
        <w:rPr>
          <w:rFonts w:asciiTheme="majorHAnsi" w:eastAsia="Calibri" w:hAnsiTheme="majorHAnsi" w:cs="Cordia New"/>
          <w:lang w:bidi="th-TH"/>
        </w:rPr>
        <w:t xml:space="preserve"> but who, as the result of one bad </w:t>
      </w:r>
      <w:r w:rsidR="00CE3C33">
        <w:rPr>
          <w:rFonts w:asciiTheme="majorHAnsi" w:eastAsia="Calibri" w:hAnsiTheme="majorHAnsi" w:cs="Cordia New"/>
          <w:lang w:bidi="th-TH"/>
        </w:rPr>
        <w:t>month</w:t>
      </w:r>
      <w:r w:rsidR="00D62E61">
        <w:rPr>
          <w:rFonts w:asciiTheme="majorHAnsi" w:eastAsia="Calibri" w:hAnsiTheme="majorHAnsi" w:cs="Cordia New"/>
          <w:lang w:bidi="th-TH"/>
        </w:rPr>
        <w:t xml:space="preserve">, falls into loss by $100 dollars. </w:t>
      </w:r>
      <w:r w:rsidR="00B27EDA">
        <w:rPr>
          <w:rFonts w:asciiTheme="majorHAnsi" w:eastAsia="Calibri" w:hAnsiTheme="majorHAnsi" w:cs="Cordia New"/>
          <w:lang w:bidi="th-TH"/>
        </w:rPr>
        <w:t>Contrast this with</w:t>
      </w:r>
      <w:r w:rsidR="00D62E61">
        <w:rPr>
          <w:rFonts w:asciiTheme="majorHAnsi" w:eastAsia="Calibri" w:hAnsiTheme="majorHAnsi" w:cs="Cordia New"/>
          <w:lang w:bidi="th-TH"/>
        </w:rPr>
        <w:t xml:space="preserve"> an individual</w:t>
      </w:r>
      <w:r w:rsidR="00B63917">
        <w:rPr>
          <w:rFonts w:asciiTheme="majorHAnsi" w:eastAsia="Calibri" w:hAnsiTheme="majorHAnsi" w:cs="Cordia New"/>
          <w:lang w:bidi="th-TH"/>
        </w:rPr>
        <w:t xml:space="preserve"> (B)</w:t>
      </w:r>
      <w:r w:rsidR="00D62E61">
        <w:rPr>
          <w:rFonts w:asciiTheme="majorHAnsi" w:eastAsia="Calibri" w:hAnsiTheme="majorHAnsi" w:cs="Cordia New"/>
          <w:lang w:bidi="th-TH"/>
        </w:rPr>
        <w:t xml:space="preserve"> who has been </w:t>
      </w:r>
      <w:r w:rsidR="00B27EDA">
        <w:rPr>
          <w:rFonts w:asciiTheme="majorHAnsi" w:eastAsia="Calibri" w:hAnsiTheme="majorHAnsi" w:cs="Cordia New"/>
          <w:lang w:bidi="th-TH"/>
        </w:rPr>
        <w:t xml:space="preserve">engaging in the RA </w:t>
      </w:r>
      <w:r w:rsidR="00D62E61">
        <w:rPr>
          <w:rFonts w:asciiTheme="majorHAnsi" w:eastAsia="Calibri" w:hAnsiTheme="majorHAnsi" w:cs="Cordia New"/>
          <w:lang w:bidi="th-TH"/>
        </w:rPr>
        <w:t xml:space="preserve">for a similar </w:t>
      </w:r>
      <w:r w:rsidR="00737D6A">
        <w:rPr>
          <w:rFonts w:asciiTheme="majorHAnsi" w:eastAsia="Calibri" w:hAnsiTheme="majorHAnsi" w:cs="Cordia New"/>
          <w:lang w:bidi="th-TH"/>
        </w:rPr>
        <w:t>period</w:t>
      </w:r>
      <w:r w:rsidR="00D62E61">
        <w:rPr>
          <w:rFonts w:asciiTheme="majorHAnsi" w:eastAsia="Calibri" w:hAnsiTheme="majorHAnsi" w:cs="Cordia New"/>
          <w:lang w:bidi="th-TH"/>
        </w:rPr>
        <w:t xml:space="preserve"> but </w:t>
      </w:r>
      <w:r w:rsidR="0099797C">
        <w:rPr>
          <w:rFonts w:asciiTheme="majorHAnsi" w:eastAsia="Calibri" w:hAnsiTheme="majorHAnsi" w:cs="Cordia New"/>
          <w:lang w:bidi="th-TH"/>
        </w:rPr>
        <w:t xml:space="preserve">who </w:t>
      </w:r>
      <w:r w:rsidR="00597F93">
        <w:rPr>
          <w:rFonts w:asciiTheme="majorHAnsi" w:eastAsia="Calibri" w:hAnsiTheme="majorHAnsi" w:cs="Cordia New"/>
          <w:lang w:bidi="th-TH"/>
        </w:rPr>
        <w:t xml:space="preserve">has </w:t>
      </w:r>
      <w:r w:rsidR="00A74A84">
        <w:rPr>
          <w:rFonts w:asciiTheme="majorHAnsi" w:eastAsia="Calibri" w:hAnsiTheme="majorHAnsi" w:cs="Cordia New"/>
          <w:lang w:bidi="th-TH"/>
        </w:rPr>
        <w:t>not achieved</w:t>
      </w:r>
      <w:r w:rsidR="00D62E61">
        <w:rPr>
          <w:rFonts w:asciiTheme="majorHAnsi" w:eastAsia="Calibri" w:hAnsiTheme="majorHAnsi" w:cs="Cordia New"/>
          <w:lang w:bidi="th-TH"/>
        </w:rPr>
        <w:t xml:space="preserve"> a profit</w:t>
      </w:r>
      <w:r w:rsidR="00597F93" w:rsidRPr="00597F93">
        <w:rPr>
          <w:rFonts w:asciiTheme="majorHAnsi" w:eastAsia="Calibri" w:hAnsiTheme="majorHAnsi" w:cs="Cordia New"/>
          <w:lang w:bidi="th-TH"/>
        </w:rPr>
        <w:t xml:space="preserve"> </w:t>
      </w:r>
      <w:r w:rsidR="00597F93">
        <w:rPr>
          <w:rFonts w:asciiTheme="majorHAnsi" w:eastAsia="Calibri" w:hAnsiTheme="majorHAnsi" w:cs="Cordia New"/>
          <w:lang w:bidi="th-TH"/>
        </w:rPr>
        <w:t>in any month</w:t>
      </w:r>
      <w:r w:rsidR="00D62E61">
        <w:rPr>
          <w:rFonts w:asciiTheme="majorHAnsi" w:eastAsia="Calibri" w:hAnsiTheme="majorHAnsi" w:cs="Cordia New"/>
          <w:lang w:bidi="th-TH"/>
        </w:rPr>
        <w:t xml:space="preserve"> and </w:t>
      </w:r>
      <w:r w:rsidR="00B27EDA">
        <w:rPr>
          <w:rFonts w:asciiTheme="majorHAnsi" w:eastAsia="Calibri" w:hAnsiTheme="majorHAnsi" w:cs="Cordia New"/>
          <w:lang w:bidi="th-TH"/>
        </w:rPr>
        <w:t xml:space="preserve">has lost </w:t>
      </w:r>
      <w:r w:rsidR="00D62E61">
        <w:rPr>
          <w:rFonts w:asciiTheme="majorHAnsi" w:eastAsia="Calibri" w:hAnsiTheme="majorHAnsi" w:cs="Cordia New"/>
          <w:lang w:bidi="th-TH"/>
        </w:rPr>
        <w:t xml:space="preserve">$100 dollars </w:t>
      </w:r>
      <w:r w:rsidR="00CE3C33">
        <w:rPr>
          <w:rFonts w:asciiTheme="majorHAnsi" w:eastAsia="Calibri" w:hAnsiTheme="majorHAnsi" w:cs="Cordia New"/>
          <w:lang w:bidi="th-TH"/>
        </w:rPr>
        <w:t>this month</w:t>
      </w:r>
      <w:r w:rsidR="00A74A84">
        <w:rPr>
          <w:rFonts w:asciiTheme="majorHAnsi" w:eastAsia="Calibri" w:hAnsiTheme="majorHAnsi" w:cs="Cordia New"/>
          <w:lang w:bidi="th-TH"/>
        </w:rPr>
        <w:t>.</w:t>
      </w:r>
      <w:r w:rsidR="00D62E61">
        <w:rPr>
          <w:rFonts w:asciiTheme="majorHAnsi" w:eastAsia="Calibri" w:hAnsiTheme="majorHAnsi" w:cs="Cordia New"/>
          <w:lang w:bidi="th-TH"/>
        </w:rPr>
        <w:t xml:space="preserve"> </w:t>
      </w:r>
      <w:r w:rsidR="00B27EDA">
        <w:rPr>
          <w:rFonts w:asciiTheme="majorHAnsi" w:eastAsia="Calibri" w:hAnsiTheme="majorHAnsi" w:cs="Cordia New"/>
          <w:lang w:bidi="th-TH"/>
        </w:rPr>
        <w:t>W</w:t>
      </w:r>
      <w:r w:rsidR="00D62E61">
        <w:rPr>
          <w:rFonts w:asciiTheme="majorHAnsi" w:eastAsia="Calibri" w:hAnsiTheme="majorHAnsi" w:cs="Cordia New"/>
          <w:lang w:bidi="th-TH"/>
        </w:rPr>
        <w:t xml:space="preserve">e might expect the former </w:t>
      </w:r>
      <w:r w:rsidR="00871CCF">
        <w:rPr>
          <w:rFonts w:asciiTheme="majorHAnsi" w:eastAsia="Calibri" w:hAnsiTheme="majorHAnsi" w:cs="Cordia New"/>
          <w:lang w:bidi="th-TH"/>
        </w:rPr>
        <w:t xml:space="preserve">(cf. the latter) </w:t>
      </w:r>
      <w:r w:rsidR="00D62E61">
        <w:rPr>
          <w:rFonts w:asciiTheme="majorHAnsi" w:eastAsia="Calibri" w:hAnsiTheme="majorHAnsi" w:cs="Cordia New"/>
          <w:lang w:bidi="th-TH"/>
        </w:rPr>
        <w:t>to be more hopeful about their abilities to get back into profit. Indeed, as we discuss in the following section,</w:t>
      </w:r>
      <w:r w:rsidR="003C0713">
        <w:rPr>
          <w:rFonts w:asciiTheme="majorHAnsi" w:eastAsia="Calibri" w:hAnsiTheme="majorHAnsi" w:cs="Cordia New"/>
          <w:lang w:bidi="th-TH"/>
        </w:rPr>
        <w:t xml:space="preserve"> we believe that this self-confidence or</w:t>
      </w:r>
      <w:r w:rsidR="00185E17">
        <w:rPr>
          <w:rFonts w:asciiTheme="majorHAnsi" w:eastAsia="Calibri" w:hAnsiTheme="majorHAnsi" w:cs="Cordia New"/>
          <w:lang w:bidi="th-TH"/>
        </w:rPr>
        <w:t xml:space="preserve"> </w:t>
      </w:r>
      <w:r w:rsidR="00185E17" w:rsidRPr="00B51099">
        <w:rPr>
          <w:rFonts w:asciiTheme="majorHAnsi" w:eastAsia="Calibri" w:hAnsiTheme="majorHAnsi" w:cs="Cordia New"/>
          <w:i/>
          <w:lang w:bidi="th-TH"/>
        </w:rPr>
        <w:t>positive</w:t>
      </w:r>
      <w:r w:rsidR="003C0713" w:rsidRPr="00B51099">
        <w:rPr>
          <w:rFonts w:asciiTheme="majorHAnsi" w:eastAsia="Calibri" w:hAnsiTheme="majorHAnsi" w:cs="Cordia New"/>
          <w:i/>
          <w:lang w:bidi="th-TH"/>
        </w:rPr>
        <w:t xml:space="preserve"> mental model</w:t>
      </w:r>
      <w:r w:rsidR="0099797C">
        <w:rPr>
          <w:rFonts w:asciiTheme="majorHAnsi" w:eastAsia="Calibri" w:hAnsiTheme="majorHAnsi" w:cs="Cordia New"/>
          <w:lang w:bidi="th-TH"/>
        </w:rPr>
        <w:t xml:space="preserve"> </w:t>
      </w:r>
      <w:r w:rsidR="00B51099">
        <w:rPr>
          <w:rFonts w:asciiTheme="majorHAnsi" w:eastAsia="Calibri" w:hAnsiTheme="majorHAnsi" w:cs="Cordia New"/>
          <w:lang w:bidi="th-TH"/>
        </w:rPr>
        <w:t>(</w:t>
      </w:r>
      <w:r w:rsidR="0099797C">
        <w:rPr>
          <w:rFonts w:asciiTheme="majorHAnsi" w:eastAsia="Calibri" w:hAnsiTheme="majorHAnsi" w:cs="Cordia New"/>
          <w:lang w:bidi="th-TH"/>
        </w:rPr>
        <w:t>PMM</w:t>
      </w:r>
      <w:r w:rsidR="00B51099">
        <w:rPr>
          <w:rFonts w:asciiTheme="majorHAnsi" w:eastAsia="Calibri" w:hAnsiTheme="majorHAnsi" w:cs="Cordia New"/>
          <w:lang w:bidi="th-TH"/>
        </w:rPr>
        <w:t>)</w:t>
      </w:r>
      <w:r w:rsidR="00D324A7">
        <w:rPr>
          <w:rFonts w:asciiTheme="majorHAnsi" w:eastAsia="Calibri" w:hAnsiTheme="majorHAnsi" w:cs="Cordia New"/>
          <w:lang w:bidi="th-TH"/>
        </w:rPr>
        <w:t xml:space="preserve">, developed by engaging in the RA, </w:t>
      </w:r>
      <w:r w:rsidR="003C0713">
        <w:rPr>
          <w:rFonts w:asciiTheme="majorHAnsi" w:eastAsia="Calibri" w:hAnsiTheme="majorHAnsi" w:cs="Cordia New"/>
          <w:lang w:bidi="th-TH"/>
        </w:rPr>
        <w:t>may play a key role in</w:t>
      </w:r>
      <w:r w:rsidR="00E320DF">
        <w:rPr>
          <w:rFonts w:asciiTheme="majorHAnsi" w:eastAsia="Calibri" w:hAnsiTheme="majorHAnsi" w:cs="Cordia New"/>
          <w:lang w:bidi="th-TH"/>
        </w:rPr>
        <w:t xml:space="preserve"> how recent changes in wealth are interpreted when deciding whether to </w:t>
      </w:r>
      <w:r w:rsidR="001C12EF">
        <w:rPr>
          <w:rFonts w:asciiTheme="majorHAnsi" w:eastAsia="Calibri" w:hAnsiTheme="majorHAnsi" w:cs="Cordia New"/>
          <w:lang w:bidi="th-TH"/>
        </w:rPr>
        <w:t>cease</w:t>
      </w:r>
      <w:r w:rsidR="00D62E61">
        <w:rPr>
          <w:rFonts w:asciiTheme="majorHAnsi" w:eastAsia="Calibri" w:hAnsiTheme="majorHAnsi" w:cs="Cordia New"/>
          <w:lang w:bidi="th-TH"/>
        </w:rPr>
        <w:t xml:space="preserve"> </w:t>
      </w:r>
      <w:r w:rsidR="003C0713">
        <w:rPr>
          <w:rFonts w:asciiTheme="majorHAnsi" w:eastAsia="Calibri" w:hAnsiTheme="majorHAnsi" w:cs="Cordia New"/>
          <w:lang w:bidi="th-TH"/>
        </w:rPr>
        <w:t>a RA.</w:t>
      </w:r>
    </w:p>
    <w:p w14:paraId="54C0A5B0" w14:textId="77777777" w:rsidR="00E140F5" w:rsidRDefault="00E140F5" w:rsidP="00B6139B">
      <w:pPr>
        <w:spacing w:after="0" w:line="480" w:lineRule="auto"/>
        <w:ind w:firstLine="720"/>
        <w:jc w:val="both"/>
        <w:rPr>
          <w:rStyle w:val="apple-converted-space"/>
          <w:rFonts w:asciiTheme="majorHAnsi" w:eastAsia="Arial Unicode MS" w:hAnsiTheme="majorHAnsi" w:cs="Arial Unicode MS"/>
          <w:color w:val="2E2E2E"/>
          <w:shd w:val="clear" w:color="auto" w:fill="FFFFFF"/>
        </w:rPr>
      </w:pPr>
    </w:p>
    <w:p w14:paraId="3AC70B18" w14:textId="24869831" w:rsidR="003700FE" w:rsidRDefault="0079794A" w:rsidP="00306807">
      <w:pPr>
        <w:spacing w:after="0" w:line="480" w:lineRule="auto"/>
        <w:jc w:val="both"/>
        <w:rPr>
          <w:rFonts w:asciiTheme="majorHAnsi" w:eastAsia="Calibri" w:hAnsiTheme="majorHAnsi" w:cs="Cordia New"/>
          <w:b/>
          <w:lang w:bidi="th-TH"/>
        </w:rPr>
      </w:pPr>
      <w:r>
        <w:rPr>
          <w:rFonts w:asciiTheme="majorHAnsi" w:eastAsia="Calibri" w:hAnsiTheme="majorHAnsi" w:cs="Cordia New"/>
          <w:b/>
          <w:lang w:bidi="th-TH"/>
        </w:rPr>
        <w:t xml:space="preserve">1.3 </w:t>
      </w:r>
      <w:r w:rsidR="003144FD">
        <w:rPr>
          <w:rFonts w:asciiTheme="majorHAnsi" w:eastAsia="Calibri" w:hAnsiTheme="majorHAnsi" w:cs="Cordia New"/>
          <w:b/>
          <w:lang w:bidi="th-TH"/>
        </w:rPr>
        <w:t>Longer-term performance and mental models</w:t>
      </w:r>
    </w:p>
    <w:p w14:paraId="00D21DCF" w14:textId="3D4DA008" w:rsidR="00237B27" w:rsidRDefault="00B27EDA" w:rsidP="00237B27">
      <w:pPr>
        <w:spacing w:after="0" w:line="480" w:lineRule="auto"/>
        <w:ind w:firstLine="720"/>
        <w:rPr>
          <w:rFonts w:asciiTheme="majorHAnsi" w:hAnsiTheme="majorHAnsi"/>
        </w:rPr>
      </w:pPr>
      <w:r>
        <w:rPr>
          <w:rFonts w:asciiTheme="majorHAnsi" w:hAnsiTheme="majorHAnsi"/>
        </w:rPr>
        <w:t>We suspect that</w:t>
      </w:r>
      <w:r w:rsidR="003C0713">
        <w:rPr>
          <w:rFonts w:asciiTheme="majorHAnsi" w:hAnsiTheme="majorHAnsi"/>
        </w:rPr>
        <w:t xml:space="preserve"> </w:t>
      </w:r>
      <w:r w:rsidR="00AF2652">
        <w:rPr>
          <w:rFonts w:asciiTheme="majorHAnsi" w:hAnsiTheme="majorHAnsi"/>
        </w:rPr>
        <w:t>individuals</w:t>
      </w:r>
      <w:r w:rsidR="003C0713">
        <w:rPr>
          <w:rFonts w:asciiTheme="majorHAnsi" w:hAnsiTheme="majorHAnsi"/>
        </w:rPr>
        <w:t xml:space="preserve"> develop a mental model of </w:t>
      </w:r>
      <w:r w:rsidR="00AF2652">
        <w:rPr>
          <w:rFonts w:asciiTheme="majorHAnsi" w:hAnsiTheme="majorHAnsi"/>
        </w:rPr>
        <w:t>their</w:t>
      </w:r>
      <w:r w:rsidR="00E84F5D">
        <w:rPr>
          <w:rFonts w:asciiTheme="majorHAnsi" w:hAnsiTheme="majorHAnsi"/>
        </w:rPr>
        <w:t xml:space="preserve"> ability</w:t>
      </w:r>
      <w:r w:rsidR="00AF2652">
        <w:rPr>
          <w:rFonts w:asciiTheme="majorHAnsi" w:hAnsiTheme="majorHAnsi"/>
        </w:rPr>
        <w:t xml:space="preserve"> to </w:t>
      </w:r>
      <w:r w:rsidR="00597F93">
        <w:rPr>
          <w:rFonts w:asciiTheme="majorHAnsi" w:hAnsiTheme="majorHAnsi"/>
        </w:rPr>
        <w:t>succeed</w:t>
      </w:r>
      <w:r>
        <w:rPr>
          <w:rFonts w:asciiTheme="majorHAnsi" w:hAnsiTheme="majorHAnsi"/>
        </w:rPr>
        <w:t xml:space="preserve"> </w:t>
      </w:r>
      <w:r w:rsidR="001C12EF">
        <w:rPr>
          <w:rFonts w:asciiTheme="majorHAnsi" w:hAnsiTheme="majorHAnsi"/>
        </w:rPr>
        <w:t>in a RA,</w:t>
      </w:r>
      <w:r>
        <w:rPr>
          <w:rFonts w:asciiTheme="majorHAnsi" w:hAnsiTheme="majorHAnsi"/>
        </w:rPr>
        <w:t xml:space="preserve"> </w:t>
      </w:r>
      <w:r w:rsidR="0099797C">
        <w:rPr>
          <w:rFonts w:asciiTheme="majorHAnsi" w:hAnsiTheme="majorHAnsi"/>
        </w:rPr>
        <w:t xml:space="preserve">developed by </w:t>
      </w:r>
      <w:r w:rsidR="00E84F5D">
        <w:rPr>
          <w:rFonts w:asciiTheme="majorHAnsi" w:hAnsiTheme="majorHAnsi"/>
        </w:rPr>
        <w:t>observ</w:t>
      </w:r>
      <w:r w:rsidR="00F0433E">
        <w:rPr>
          <w:rFonts w:asciiTheme="majorHAnsi" w:hAnsiTheme="majorHAnsi"/>
        </w:rPr>
        <w:t>ing</w:t>
      </w:r>
      <w:r w:rsidR="00AF2652">
        <w:rPr>
          <w:rFonts w:asciiTheme="majorHAnsi" w:hAnsiTheme="majorHAnsi"/>
        </w:rPr>
        <w:t xml:space="preserve"> their own</w:t>
      </w:r>
      <w:r w:rsidR="00E84F5D">
        <w:rPr>
          <w:rFonts w:asciiTheme="majorHAnsi" w:hAnsiTheme="majorHAnsi"/>
        </w:rPr>
        <w:t xml:space="preserve"> winning and losing events. </w:t>
      </w:r>
      <w:r>
        <w:rPr>
          <w:rFonts w:asciiTheme="majorHAnsi" w:hAnsiTheme="majorHAnsi"/>
        </w:rPr>
        <w:t>A</w:t>
      </w:r>
      <w:r w:rsidR="003A17D3">
        <w:rPr>
          <w:rFonts w:asciiTheme="majorHAnsi" w:hAnsiTheme="majorHAnsi"/>
        </w:rPr>
        <w:t xml:space="preserve"> fall below the break-even point is expected to be a fairly salient event</w:t>
      </w:r>
      <w:r w:rsidR="00437B71">
        <w:rPr>
          <w:rFonts w:asciiTheme="majorHAnsi" w:hAnsiTheme="majorHAnsi"/>
        </w:rPr>
        <w:t xml:space="preserve">, </w:t>
      </w:r>
      <w:r>
        <w:rPr>
          <w:rFonts w:asciiTheme="majorHAnsi" w:hAnsiTheme="majorHAnsi"/>
        </w:rPr>
        <w:t xml:space="preserve">and it is likely to be </w:t>
      </w:r>
      <w:r w:rsidR="00437B71">
        <w:rPr>
          <w:rFonts w:asciiTheme="majorHAnsi" w:hAnsiTheme="majorHAnsi"/>
        </w:rPr>
        <w:t>most</w:t>
      </w:r>
      <w:r w:rsidR="003A17D3">
        <w:rPr>
          <w:rFonts w:asciiTheme="majorHAnsi" w:hAnsiTheme="majorHAnsi"/>
        </w:rPr>
        <w:t xml:space="preserve"> painful to those </w:t>
      </w:r>
      <w:r>
        <w:rPr>
          <w:rFonts w:asciiTheme="majorHAnsi" w:hAnsiTheme="majorHAnsi"/>
        </w:rPr>
        <w:t>who do not have confidence in their ability to make profit in the long run.</w:t>
      </w:r>
      <w:r w:rsidR="00437B71">
        <w:rPr>
          <w:rFonts w:asciiTheme="majorHAnsi" w:hAnsiTheme="majorHAnsi"/>
        </w:rPr>
        <w:t xml:space="preserve"> For individuals </w:t>
      </w:r>
      <w:r w:rsidR="00D324A7">
        <w:rPr>
          <w:rFonts w:asciiTheme="majorHAnsi" w:hAnsiTheme="majorHAnsi"/>
        </w:rPr>
        <w:t xml:space="preserve">who have developed </w:t>
      </w:r>
      <w:r w:rsidR="00437B71">
        <w:rPr>
          <w:rFonts w:asciiTheme="majorHAnsi" w:hAnsiTheme="majorHAnsi"/>
        </w:rPr>
        <w:t xml:space="preserve">a </w:t>
      </w:r>
      <w:r w:rsidR="0099797C">
        <w:rPr>
          <w:rFonts w:asciiTheme="majorHAnsi" w:hAnsiTheme="majorHAnsi"/>
        </w:rPr>
        <w:t>PMM</w:t>
      </w:r>
      <w:r w:rsidR="00437B71">
        <w:rPr>
          <w:rFonts w:asciiTheme="majorHAnsi" w:hAnsiTheme="majorHAnsi"/>
        </w:rPr>
        <w:t xml:space="preserve">, a fall below the break-even point may </w:t>
      </w:r>
      <w:r w:rsidR="00D6343B">
        <w:rPr>
          <w:rFonts w:asciiTheme="majorHAnsi" w:hAnsiTheme="majorHAnsi"/>
        </w:rPr>
        <w:t>have less impact</w:t>
      </w:r>
      <w:r w:rsidR="00437B71">
        <w:rPr>
          <w:rFonts w:asciiTheme="majorHAnsi" w:hAnsiTheme="majorHAnsi"/>
        </w:rPr>
        <w:t xml:space="preserve">. Indeed, research reveals that </w:t>
      </w:r>
      <w:r w:rsidR="00D6343B">
        <w:rPr>
          <w:rFonts w:asciiTheme="majorHAnsi" w:hAnsiTheme="majorHAnsi"/>
        </w:rPr>
        <w:t>earlier formed mental models can bias new information</w:t>
      </w:r>
      <w:r w:rsidR="000B57A7">
        <w:rPr>
          <w:rFonts w:asciiTheme="majorHAnsi" w:hAnsiTheme="majorHAnsi"/>
        </w:rPr>
        <w:t>.</w:t>
      </w:r>
      <w:r w:rsidR="000B57A7" w:rsidRPr="00275768">
        <w:rPr>
          <w:rFonts w:asciiTheme="majorHAnsi" w:hAnsiTheme="majorHAnsi"/>
          <w:vertAlign w:val="superscript"/>
        </w:rPr>
        <w:t>(26)</w:t>
      </w:r>
      <w:r w:rsidR="00D6343B">
        <w:rPr>
          <w:rFonts w:asciiTheme="majorHAnsi" w:hAnsiTheme="majorHAnsi"/>
        </w:rPr>
        <w:t xml:space="preserve"> </w:t>
      </w:r>
      <w:r w:rsidR="0047434D">
        <w:rPr>
          <w:rFonts w:asciiTheme="majorHAnsi" w:hAnsiTheme="majorHAnsi"/>
        </w:rPr>
        <w:t xml:space="preserve">Distortion of </w:t>
      </w:r>
      <w:r w:rsidR="00437B71" w:rsidRPr="00B6139B">
        <w:rPr>
          <w:rFonts w:asciiTheme="majorHAnsi" w:hAnsiTheme="majorHAnsi"/>
        </w:rPr>
        <w:t>new information to align with earlier information</w:t>
      </w:r>
      <w:r w:rsidR="00D6343B">
        <w:rPr>
          <w:rFonts w:asciiTheme="majorHAnsi" w:hAnsiTheme="majorHAnsi"/>
        </w:rPr>
        <w:t xml:space="preserve"> </w:t>
      </w:r>
      <w:r w:rsidR="00437B71" w:rsidRPr="00B6139B">
        <w:rPr>
          <w:rFonts w:asciiTheme="majorHAnsi" w:hAnsiTheme="majorHAnsi"/>
        </w:rPr>
        <w:t xml:space="preserve">may be explained </w:t>
      </w:r>
      <w:r w:rsidR="00171FE3">
        <w:rPr>
          <w:rFonts w:asciiTheme="majorHAnsi" w:hAnsiTheme="majorHAnsi"/>
        </w:rPr>
        <w:t xml:space="preserve">by </w:t>
      </w:r>
      <w:r w:rsidR="00437B71" w:rsidRPr="00B6139B">
        <w:rPr>
          <w:rFonts w:asciiTheme="majorHAnsi" w:hAnsiTheme="majorHAnsi"/>
        </w:rPr>
        <w:t>cognitive dissonance, the motivation to avoid internal conflict regarding the mental model and new information</w:t>
      </w:r>
      <w:r w:rsidR="000B57A7">
        <w:rPr>
          <w:rFonts w:asciiTheme="majorHAnsi" w:hAnsiTheme="majorHAnsi"/>
        </w:rPr>
        <w:t>,</w:t>
      </w:r>
      <w:r w:rsidR="00437B71" w:rsidRPr="00B6139B">
        <w:rPr>
          <w:rFonts w:asciiTheme="majorHAnsi" w:hAnsiTheme="majorHAnsi"/>
        </w:rPr>
        <w:t xml:space="preserve"> a need for some certainty in the choice</w:t>
      </w:r>
      <w:r w:rsidR="000B57A7">
        <w:rPr>
          <w:rFonts w:asciiTheme="majorHAnsi" w:hAnsiTheme="majorHAnsi"/>
        </w:rPr>
        <w:t>,</w:t>
      </w:r>
      <w:r w:rsidR="00437B71" w:rsidRPr="00B6139B">
        <w:rPr>
          <w:rFonts w:asciiTheme="majorHAnsi" w:hAnsiTheme="majorHAnsi"/>
        </w:rPr>
        <w:t xml:space="preserve"> a search for dominance</w:t>
      </w:r>
      <w:r w:rsidR="000B57A7">
        <w:rPr>
          <w:rFonts w:asciiTheme="majorHAnsi" w:hAnsiTheme="majorHAnsi"/>
        </w:rPr>
        <w:t>,</w:t>
      </w:r>
      <w:r w:rsidR="00437B71" w:rsidRPr="00B6139B">
        <w:rPr>
          <w:rFonts w:asciiTheme="majorHAnsi" w:hAnsiTheme="majorHAnsi"/>
        </w:rPr>
        <w:t xml:space="preserve"> </w:t>
      </w:r>
      <w:r w:rsidR="00171FE3">
        <w:rPr>
          <w:rFonts w:asciiTheme="majorHAnsi" w:hAnsiTheme="majorHAnsi"/>
        </w:rPr>
        <w:t xml:space="preserve">or via </w:t>
      </w:r>
      <w:r w:rsidR="00437B71" w:rsidRPr="00B6139B">
        <w:rPr>
          <w:rFonts w:asciiTheme="majorHAnsi" w:hAnsiTheme="majorHAnsi"/>
        </w:rPr>
        <w:t>a theory of cognitive coherence.</w:t>
      </w:r>
      <w:r w:rsidR="000B57A7" w:rsidRPr="00275768">
        <w:rPr>
          <w:rFonts w:asciiTheme="majorHAnsi" w:hAnsiTheme="majorHAnsi"/>
          <w:vertAlign w:val="superscript"/>
        </w:rPr>
        <w:t>(27-33)</w:t>
      </w:r>
      <w:r w:rsidR="00437B71">
        <w:rPr>
          <w:rFonts w:asciiTheme="majorHAnsi" w:hAnsiTheme="majorHAnsi"/>
        </w:rPr>
        <w:t xml:space="preserve"> </w:t>
      </w:r>
      <w:r w:rsidR="00171FE3">
        <w:rPr>
          <w:rFonts w:asciiTheme="majorHAnsi" w:hAnsiTheme="majorHAnsi"/>
        </w:rPr>
        <w:t xml:space="preserve">Whatever the cause of </w:t>
      </w:r>
      <w:r w:rsidR="00D6343B">
        <w:rPr>
          <w:rFonts w:asciiTheme="majorHAnsi" w:hAnsiTheme="majorHAnsi"/>
        </w:rPr>
        <w:t>this alignment process,</w:t>
      </w:r>
      <w:r w:rsidR="00437B71">
        <w:rPr>
          <w:rFonts w:asciiTheme="majorHAnsi" w:hAnsiTheme="majorHAnsi"/>
        </w:rPr>
        <w:t xml:space="preserve"> we expect a fall below the break-even point</w:t>
      </w:r>
      <w:r w:rsidR="0099797C" w:rsidRPr="0099797C">
        <w:rPr>
          <w:rFonts w:asciiTheme="majorHAnsi" w:hAnsiTheme="majorHAnsi"/>
        </w:rPr>
        <w:t xml:space="preserve"> </w:t>
      </w:r>
      <w:r w:rsidR="0099797C">
        <w:rPr>
          <w:rFonts w:asciiTheme="majorHAnsi" w:hAnsiTheme="majorHAnsi"/>
        </w:rPr>
        <w:t>to have a greater effect on</w:t>
      </w:r>
      <w:r w:rsidR="00437B71">
        <w:rPr>
          <w:rFonts w:asciiTheme="majorHAnsi" w:hAnsiTheme="majorHAnsi"/>
        </w:rPr>
        <w:t xml:space="preserve"> those </w:t>
      </w:r>
      <w:r w:rsidR="00D324A7">
        <w:rPr>
          <w:rFonts w:asciiTheme="majorHAnsi" w:hAnsiTheme="majorHAnsi"/>
        </w:rPr>
        <w:t xml:space="preserve">who have developed </w:t>
      </w:r>
      <w:r w:rsidR="00437B71">
        <w:rPr>
          <w:rFonts w:asciiTheme="majorHAnsi" w:hAnsiTheme="majorHAnsi"/>
        </w:rPr>
        <w:t>a more negative mental model</w:t>
      </w:r>
      <w:r w:rsidR="0099797C">
        <w:rPr>
          <w:rFonts w:asciiTheme="majorHAnsi" w:hAnsiTheme="majorHAnsi"/>
        </w:rPr>
        <w:t xml:space="preserve"> (NMM)</w:t>
      </w:r>
      <w:r w:rsidR="00D6343B">
        <w:rPr>
          <w:rFonts w:asciiTheme="majorHAnsi" w:hAnsiTheme="majorHAnsi"/>
        </w:rPr>
        <w:t xml:space="preserve"> of their own abilities to make future profit</w:t>
      </w:r>
      <w:r w:rsidR="008C075D">
        <w:rPr>
          <w:rFonts w:asciiTheme="majorHAnsi" w:hAnsiTheme="majorHAnsi"/>
        </w:rPr>
        <w:t>; since this new information simply confirms their expectations.</w:t>
      </w:r>
      <w:r w:rsidR="00437B71">
        <w:rPr>
          <w:rFonts w:asciiTheme="majorHAnsi" w:hAnsiTheme="majorHAnsi"/>
        </w:rPr>
        <w:t xml:space="preserve"> </w:t>
      </w:r>
    </w:p>
    <w:p w14:paraId="6824ED65" w14:textId="41B8DC3C" w:rsidR="0016286A" w:rsidRPr="00171FE3" w:rsidRDefault="0016286A" w:rsidP="00307394">
      <w:pPr>
        <w:spacing w:after="0" w:line="480" w:lineRule="auto"/>
        <w:ind w:firstLine="720"/>
        <w:jc w:val="center"/>
        <w:rPr>
          <w:rFonts w:asciiTheme="majorHAnsi" w:hAnsiTheme="majorHAnsi"/>
        </w:rPr>
      </w:pPr>
      <w:r w:rsidRPr="00FC6DF5">
        <w:rPr>
          <w:rFonts w:asciiTheme="majorHAnsi" w:hAnsiTheme="majorHAnsi"/>
          <w:noProof/>
          <w:lang w:eastAsia="en-GB"/>
        </w:rPr>
        <w:t>[Figure 1 approx here]</w:t>
      </w:r>
    </w:p>
    <w:p w14:paraId="2975FD45" w14:textId="146BDF95" w:rsidR="00E320DF" w:rsidRDefault="00D6343B" w:rsidP="004B67C3">
      <w:pPr>
        <w:spacing w:after="0" w:line="480" w:lineRule="auto"/>
        <w:ind w:firstLine="720"/>
        <w:rPr>
          <w:rFonts w:asciiTheme="majorHAnsi" w:hAnsiTheme="majorHAnsi"/>
        </w:rPr>
      </w:pPr>
      <w:r>
        <w:rPr>
          <w:rFonts w:asciiTheme="majorHAnsi" w:hAnsiTheme="majorHAnsi"/>
        </w:rPr>
        <w:t>A</w:t>
      </w:r>
      <w:r w:rsidR="00237B27">
        <w:rPr>
          <w:rFonts w:asciiTheme="majorHAnsi" w:hAnsiTheme="majorHAnsi"/>
        </w:rPr>
        <w:t xml:space="preserve"> movement around the break-even point</w:t>
      </w:r>
      <w:r>
        <w:rPr>
          <w:rFonts w:asciiTheme="majorHAnsi" w:hAnsiTheme="majorHAnsi"/>
        </w:rPr>
        <w:t xml:space="preserve"> </w:t>
      </w:r>
      <w:r w:rsidR="00237B27">
        <w:rPr>
          <w:rFonts w:asciiTheme="majorHAnsi" w:hAnsiTheme="majorHAnsi"/>
        </w:rPr>
        <w:t>from net loss to net profit</w:t>
      </w:r>
      <w:r>
        <w:rPr>
          <w:rFonts w:asciiTheme="majorHAnsi" w:hAnsiTheme="majorHAnsi"/>
        </w:rPr>
        <w:t>,</w:t>
      </w:r>
      <w:r w:rsidR="00237B27">
        <w:rPr>
          <w:rFonts w:asciiTheme="majorHAnsi" w:hAnsiTheme="majorHAnsi"/>
        </w:rPr>
        <w:t xml:space="preserve"> may also elicit different responses depending on the individual’s mental model. </w:t>
      </w:r>
      <w:r w:rsidR="00437B71">
        <w:rPr>
          <w:rFonts w:asciiTheme="majorHAnsi" w:hAnsiTheme="majorHAnsi"/>
        </w:rPr>
        <w:t xml:space="preserve">Consider the </w:t>
      </w:r>
      <w:r>
        <w:rPr>
          <w:rFonts w:asciiTheme="majorHAnsi" w:hAnsiTheme="majorHAnsi"/>
        </w:rPr>
        <w:t>individuals</w:t>
      </w:r>
      <w:r w:rsidR="00437B71">
        <w:rPr>
          <w:rFonts w:asciiTheme="majorHAnsi" w:hAnsiTheme="majorHAnsi"/>
        </w:rPr>
        <w:t xml:space="preserve"> illustrated in Figure 1. </w:t>
      </w:r>
      <w:r w:rsidR="00D648E7">
        <w:rPr>
          <w:rFonts w:asciiTheme="majorHAnsi" w:hAnsiTheme="majorHAnsi"/>
        </w:rPr>
        <w:t xml:space="preserve">Individuals </w:t>
      </w:r>
      <w:r w:rsidR="0083495D">
        <w:rPr>
          <w:rFonts w:asciiTheme="majorHAnsi" w:hAnsiTheme="majorHAnsi"/>
        </w:rPr>
        <w:t>A</w:t>
      </w:r>
      <w:r w:rsidR="00E320DF">
        <w:rPr>
          <w:rFonts w:asciiTheme="majorHAnsi" w:hAnsiTheme="majorHAnsi"/>
        </w:rPr>
        <w:t xml:space="preserve"> and C</w:t>
      </w:r>
      <w:r w:rsidR="0083495D">
        <w:rPr>
          <w:rFonts w:asciiTheme="majorHAnsi" w:hAnsiTheme="majorHAnsi"/>
        </w:rPr>
        <w:t xml:space="preserve"> </w:t>
      </w:r>
      <w:r w:rsidR="00354FBB">
        <w:rPr>
          <w:rFonts w:asciiTheme="majorHAnsi" w:hAnsiTheme="majorHAnsi"/>
        </w:rPr>
        <w:t>could</w:t>
      </w:r>
      <w:r w:rsidR="0083495D">
        <w:rPr>
          <w:rFonts w:asciiTheme="majorHAnsi" w:hAnsiTheme="majorHAnsi"/>
        </w:rPr>
        <w:t xml:space="preserve"> have developed a </w:t>
      </w:r>
      <w:r w:rsidR="00354FBB">
        <w:rPr>
          <w:rFonts w:asciiTheme="majorHAnsi" w:hAnsiTheme="majorHAnsi"/>
        </w:rPr>
        <w:t xml:space="preserve">more </w:t>
      </w:r>
      <w:r w:rsidR="0099797C">
        <w:rPr>
          <w:rFonts w:asciiTheme="majorHAnsi" w:hAnsiTheme="majorHAnsi"/>
        </w:rPr>
        <w:t xml:space="preserve">NMM </w:t>
      </w:r>
      <w:r w:rsidR="00EE4ECD">
        <w:rPr>
          <w:rFonts w:asciiTheme="majorHAnsi" w:hAnsiTheme="majorHAnsi"/>
        </w:rPr>
        <w:t xml:space="preserve">of </w:t>
      </w:r>
      <w:r>
        <w:rPr>
          <w:rFonts w:asciiTheme="majorHAnsi" w:hAnsiTheme="majorHAnsi"/>
        </w:rPr>
        <w:t>their</w:t>
      </w:r>
      <w:r w:rsidR="0083495D">
        <w:rPr>
          <w:rFonts w:asciiTheme="majorHAnsi" w:hAnsiTheme="majorHAnsi"/>
        </w:rPr>
        <w:t xml:space="preserve"> ability </w:t>
      </w:r>
      <w:r>
        <w:rPr>
          <w:rFonts w:asciiTheme="majorHAnsi" w:hAnsiTheme="majorHAnsi"/>
        </w:rPr>
        <w:t xml:space="preserve">to make profit </w:t>
      </w:r>
      <w:r w:rsidR="0083495D">
        <w:rPr>
          <w:rFonts w:asciiTheme="majorHAnsi" w:hAnsiTheme="majorHAnsi"/>
        </w:rPr>
        <w:t>compared to B</w:t>
      </w:r>
      <w:r w:rsidR="00E320DF">
        <w:rPr>
          <w:rFonts w:asciiTheme="majorHAnsi" w:hAnsiTheme="majorHAnsi"/>
        </w:rPr>
        <w:t xml:space="preserve"> and D</w:t>
      </w:r>
      <w:r w:rsidR="0083495D">
        <w:rPr>
          <w:rFonts w:asciiTheme="majorHAnsi" w:hAnsiTheme="majorHAnsi"/>
        </w:rPr>
        <w:t xml:space="preserve"> </w:t>
      </w:r>
      <w:r w:rsidR="0099797C">
        <w:rPr>
          <w:rFonts w:asciiTheme="majorHAnsi" w:hAnsiTheme="majorHAnsi"/>
        </w:rPr>
        <w:t>at the point of</w:t>
      </w:r>
      <w:r w:rsidR="00354FBB">
        <w:rPr>
          <w:rFonts w:asciiTheme="majorHAnsi" w:hAnsiTheme="majorHAnsi"/>
        </w:rPr>
        <w:t xml:space="preserve"> </w:t>
      </w:r>
      <w:r w:rsidR="00AF2652">
        <w:rPr>
          <w:rFonts w:asciiTheme="majorHAnsi" w:hAnsiTheme="majorHAnsi"/>
        </w:rPr>
        <w:t>their</w:t>
      </w:r>
      <w:r w:rsidR="0083495D">
        <w:rPr>
          <w:rFonts w:asciiTheme="majorHAnsi" w:hAnsiTheme="majorHAnsi"/>
        </w:rPr>
        <w:t xml:space="preserve"> </w:t>
      </w:r>
      <w:r w:rsidR="00606084">
        <w:rPr>
          <w:rFonts w:asciiTheme="majorHAnsi" w:hAnsiTheme="majorHAnsi"/>
        </w:rPr>
        <w:t>23rd</w:t>
      </w:r>
      <w:r w:rsidR="0083495D">
        <w:rPr>
          <w:rFonts w:asciiTheme="majorHAnsi" w:hAnsiTheme="majorHAnsi"/>
        </w:rPr>
        <w:t xml:space="preserve"> </w:t>
      </w:r>
      <w:r w:rsidR="00A74A84">
        <w:rPr>
          <w:rFonts w:asciiTheme="majorHAnsi" w:hAnsiTheme="majorHAnsi"/>
        </w:rPr>
        <w:t>month of engaging in the RA</w:t>
      </w:r>
      <w:r w:rsidR="0083495D">
        <w:rPr>
          <w:rFonts w:asciiTheme="majorHAnsi" w:hAnsiTheme="majorHAnsi"/>
        </w:rPr>
        <w:t xml:space="preserve">. </w:t>
      </w:r>
      <w:r w:rsidR="00E320DF">
        <w:rPr>
          <w:rFonts w:asciiTheme="majorHAnsi" w:hAnsiTheme="majorHAnsi"/>
        </w:rPr>
        <w:t xml:space="preserve">If this </w:t>
      </w:r>
      <w:r w:rsidR="001C12EF">
        <w:rPr>
          <w:rFonts w:asciiTheme="majorHAnsi" w:hAnsiTheme="majorHAnsi"/>
        </w:rPr>
        <w:t>is</w:t>
      </w:r>
      <w:r w:rsidR="00E320DF">
        <w:rPr>
          <w:rFonts w:asciiTheme="majorHAnsi" w:hAnsiTheme="majorHAnsi"/>
        </w:rPr>
        <w:t xml:space="preserve"> true, then recent performance feedback may be interpreted in light of this mental model</w:t>
      </w:r>
      <w:r w:rsidR="00BF0AF9">
        <w:rPr>
          <w:rFonts w:asciiTheme="majorHAnsi" w:hAnsiTheme="majorHAnsi"/>
        </w:rPr>
        <w:t xml:space="preserve">: </w:t>
      </w:r>
      <w:r w:rsidR="00953F2E">
        <w:rPr>
          <w:rFonts w:asciiTheme="majorHAnsi" w:hAnsiTheme="majorHAnsi"/>
        </w:rPr>
        <w:t>w</w:t>
      </w:r>
      <w:r w:rsidR="007F6636">
        <w:rPr>
          <w:rFonts w:asciiTheme="majorHAnsi" w:hAnsiTheme="majorHAnsi"/>
        </w:rPr>
        <w:t xml:space="preserve">e expect A </w:t>
      </w:r>
      <w:r w:rsidR="0099797C">
        <w:rPr>
          <w:rFonts w:asciiTheme="majorHAnsi" w:hAnsiTheme="majorHAnsi"/>
        </w:rPr>
        <w:t xml:space="preserve">to </w:t>
      </w:r>
      <w:r w:rsidR="007F6636">
        <w:rPr>
          <w:rFonts w:asciiTheme="majorHAnsi" w:hAnsiTheme="majorHAnsi"/>
        </w:rPr>
        <w:t xml:space="preserve">experience little surprise at remaining in loss after the </w:t>
      </w:r>
      <w:r w:rsidR="00606084">
        <w:rPr>
          <w:rFonts w:asciiTheme="majorHAnsi" w:hAnsiTheme="majorHAnsi"/>
        </w:rPr>
        <w:t>24th</w:t>
      </w:r>
      <w:r w:rsidR="007F6636">
        <w:rPr>
          <w:rFonts w:asciiTheme="majorHAnsi" w:hAnsiTheme="majorHAnsi"/>
        </w:rPr>
        <w:t xml:space="preserve"> </w:t>
      </w:r>
      <w:r w:rsidR="00A74A84">
        <w:rPr>
          <w:rFonts w:asciiTheme="majorHAnsi" w:hAnsiTheme="majorHAnsi"/>
        </w:rPr>
        <w:t>month</w:t>
      </w:r>
      <w:r w:rsidR="007F6636">
        <w:rPr>
          <w:rFonts w:asciiTheme="majorHAnsi" w:hAnsiTheme="majorHAnsi"/>
        </w:rPr>
        <w:t xml:space="preserve">. </w:t>
      </w:r>
      <w:r w:rsidR="00EE4ECD">
        <w:rPr>
          <w:rFonts w:asciiTheme="majorHAnsi" w:hAnsiTheme="majorHAnsi"/>
        </w:rPr>
        <w:t>However</w:t>
      </w:r>
      <w:r w:rsidR="007F6636">
        <w:rPr>
          <w:rFonts w:asciiTheme="majorHAnsi" w:hAnsiTheme="majorHAnsi"/>
        </w:rPr>
        <w:t xml:space="preserve">, </w:t>
      </w:r>
      <w:r w:rsidR="004B67C3">
        <w:rPr>
          <w:rFonts w:asciiTheme="majorHAnsi" w:hAnsiTheme="majorHAnsi"/>
        </w:rPr>
        <w:t>C</w:t>
      </w:r>
      <w:r w:rsidR="007F6636">
        <w:rPr>
          <w:rFonts w:asciiTheme="majorHAnsi" w:hAnsiTheme="majorHAnsi"/>
        </w:rPr>
        <w:t xml:space="preserve">, who has just moved from net loss </w:t>
      </w:r>
      <w:r w:rsidR="00C51EDD">
        <w:rPr>
          <w:rFonts w:asciiTheme="majorHAnsi" w:hAnsiTheme="majorHAnsi"/>
        </w:rPr>
        <w:t>to</w:t>
      </w:r>
      <w:r w:rsidR="007F6636">
        <w:rPr>
          <w:rFonts w:asciiTheme="majorHAnsi" w:hAnsiTheme="majorHAnsi"/>
        </w:rPr>
        <w:t xml:space="preserve"> net profit </w:t>
      </w:r>
      <w:r w:rsidR="00C51EDD">
        <w:rPr>
          <w:rFonts w:asciiTheme="majorHAnsi" w:hAnsiTheme="majorHAnsi"/>
        </w:rPr>
        <w:t xml:space="preserve">following the </w:t>
      </w:r>
      <w:r w:rsidR="00606084">
        <w:rPr>
          <w:rFonts w:asciiTheme="majorHAnsi" w:hAnsiTheme="majorHAnsi"/>
        </w:rPr>
        <w:t>24th</w:t>
      </w:r>
      <w:r w:rsidR="00A74A84">
        <w:rPr>
          <w:rFonts w:asciiTheme="majorHAnsi" w:hAnsiTheme="majorHAnsi"/>
        </w:rPr>
        <w:t xml:space="preserve"> month </w:t>
      </w:r>
      <w:r w:rsidR="007F6636">
        <w:rPr>
          <w:rFonts w:asciiTheme="majorHAnsi" w:hAnsiTheme="majorHAnsi"/>
        </w:rPr>
        <w:t xml:space="preserve">may experience considerable positive affect. If this individual had an objective to break-even, which </w:t>
      </w:r>
      <w:r w:rsidR="004B67C3">
        <w:rPr>
          <w:rFonts w:asciiTheme="majorHAnsi" w:hAnsiTheme="majorHAnsi"/>
        </w:rPr>
        <w:t>the literature on chasing behavi</w:t>
      </w:r>
      <w:r w:rsidR="007F6636">
        <w:rPr>
          <w:rFonts w:asciiTheme="majorHAnsi" w:hAnsiTheme="majorHAnsi"/>
        </w:rPr>
        <w:t xml:space="preserve">or suggests is common in those who lose money gambling, they may be more likely to stop the RA after </w:t>
      </w:r>
      <w:r w:rsidR="00A726BC">
        <w:rPr>
          <w:rFonts w:asciiTheme="majorHAnsi" w:hAnsiTheme="majorHAnsi"/>
        </w:rPr>
        <w:t xml:space="preserve">the </w:t>
      </w:r>
      <w:r w:rsidR="00606084">
        <w:rPr>
          <w:rFonts w:asciiTheme="majorHAnsi" w:hAnsiTheme="majorHAnsi"/>
        </w:rPr>
        <w:t>24th</w:t>
      </w:r>
      <w:r w:rsidR="007F6636">
        <w:rPr>
          <w:rFonts w:asciiTheme="majorHAnsi" w:hAnsiTheme="majorHAnsi"/>
        </w:rPr>
        <w:t xml:space="preserve"> </w:t>
      </w:r>
      <w:r w:rsidR="00A74A84">
        <w:rPr>
          <w:rFonts w:asciiTheme="majorHAnsi" w:hAnsiTheme="majorHAnsi"/>
        </w:rPr>
        <w:t>month</w:t>
      </w:r>
      <w:r w:rsidR="00C51EDD">
        <w:rPr>
          <w:rFonts w:asciiTheme="majorHAnsi" w:hAnsiTheme="majorHAnsi"/>
        </w:rPr>
        <w:t xml:space="preserve"> (cf. </w:t>
      </w:r>
      <w:r w:rsidR="004B67C3">
        <w:rPr>
          <w:rFonts w:asciiTheme="majorHAnsi" w:hAnsiTheme="majorHAnsi"/>
        </w:rPr>
        <w:t xml:space="preserve"> A</w:t>
      </w:r>
      <w:r w:rsidR="00C51EDD">
        <w:rPr>
          <w:rFonts w:asciiTheme="majorHAnsi" w:hAnsiTheme="majorHAnsi"/>
        </w:rPr>
        <w:t>,</w:t>
      </w:r>
      <w:r w:rsidR="004B67C3">
        <w:rPr>
          <w:rFonts w:asciiTheme="majorHAnsi" w:hAnsiTheme="majorHAnsi"/>
        </w:rPr>
        <w:t xml:space="preserve"> who sees the results of the </w:t>
      </w:r>
      <w:r w:rsidR="00606084">
        <w:rPr>
          <w:rFonts w:asciiTheme="majorHAnsi" w:hAnsiTheme="majorHAnsi"/>
        </w:rPr>
        <w:t>24th</w:t>
      </w:r>
      <w:r w:rsidR="004B67C3">
        <w:rPr>
          <w:rFonts w:asciiTheme="majorHAnsi" w:hAnsiTheme="majorHAnsi"/>
        </w:rPr>
        <w:t xml:space="preserve"> </w:t>
      </w:r>
      <w:r w:rsidR="00A74A84">
        <w:rPr>
          <w:rFonts w:asciiTheme="majorHAnsi" w:hAnsiTheme="majorHAnsi"/>
        </w:rPr>
        <w:t>month</w:t>
      </w:r>
      <w:r w:rsidR="00C51EDD">
        <w:rPr>
          <w:rFonts w:asciiTheme="majorHAnsi" w:hAnsiTheme="majorHAnsi"/>
        </w:rPr>
        <w:t xml:space="preserve"> </w:t>
      </w:r>
      <w:r w:rsidR="004B67C3">
        <w:rPr>
          <w:rFonts w:asciiTheme="majorHAnsi" w:hAnsiTheme="majorHAnsi"/>
        </w:rPr>
        <w:t>as consistent with their expectations</w:t>
      </w:r>
      <w:r w:rsidR="00C51EDD">
        <w:rPr>
          <w:rFonts w:asciiTheme="majorHAnsi" w:hAnsiTheme="majorHAnsi"/>
        </w:rPr>
        <w:t>)</w:t>
      </w:r>
      <w:r w:rsidR="004B67C3">
        <w:rPr>
          <w:rFonts w:asciiTheme="majorHAnsi" w:hAnsiTheme="majorHAnsi"/>
        </w:rPr>
        <w:t>.</w:t>
      </w:r>
    </w:p>
    <w:p w14:paraId="667F7C57" w14:textId="3FC4D8CF" w:rsidR="00A74A84" w:rsidRDefault="004B67C3">
      <w:pPr>
        <w:spacing w:after="0" w:line="480" w:lineRule="auto"/>
        <w:ind w:firstLine="720"/>
        <w:rPr>
          <w:rFonts w:asciiTheme="majorHAnsi" w:hAnsiTheme="majorHAnsi"/>
        </w:rPr>
      </w:pPr>
      <w:r>
        <w:rPr>
          <w:rFonts w:asciiTheme="majorHAnsi" w:hAnsiTheme="majorHAnsi"/>
        </w:rPr>
        <w:t xml:space="preserve">For individuals </w:t>
      </w:r>
      <w:r w:rsidR="00D324A7">
        <w:rPr>
          <w:rFonts w:asciiTheme="majorHAnsi" w:hAnsiTheme="majorHAnsi"/>
        </w:rPr>
        <w:t xml:space="preserve">who have developed </w:t>
      </w:r>
      <w:r>
        <w:rPr>
          <w:rFonts w:asciiTheme="majorHAnsi" w:hAnsiTheme="majorHAnsi"/>
        </w:rPr>
        <w:t xml:space="preserve">a more </w:t>
      </w:r>
      <w:r w:rsidR="00A726BC">
        <w:rPr>
          <w:rFonts w:asciiTheme="majorHAnsi" w:hAnsiTheme="majorHAnsi"/>
        </w:rPr>
        <w:t>PMM</w:t>
      </w:r>
      <w:r w:rsidR="00C51EDD">
        <w:rPr>
          <w:rFonts w:asciiTheme="majorHAnsi" w:hAnsiTheme="majorHAnsi"/>
        </w:rPr>
        <w:t xml:space="preserve"> </w:t>
      </w:r>
      <w:r>
        <w:rPr>
          <w:rFonts w:asciiTheme="majorHAnsi" w:hAnsiTheme="majorHAnsi"/>
        </w:rPr>
        <w:t xml:space="preserve">(i.e. B and D), this pattern might be reversed. Remaining in loss for two consecutive </w:t>
      </w:r>
      <w:r w:rsidR="00A74A84">
        <w:rPr>
          <w:rFonts w:asciiTheme="majorHAnsi" w:hAnsiTheme="majorHAnsi"/>
        </w:rPr>
        <w:t>month</w:t>
      </w:r>
      <w:r w:rsidR="00C51EDD">
        <w:rPr>
          <w:rFonts w:asciiTheme="majorHAnsi" w:hAnsiTheme="majorHAnsi"/>
        </w:rPr>
        <w:t xml:space="preserve">s </w:t>
      </w:r>
      <w:r>
        <w:rPr>
          <w:rFonts w:asciiTheme="majorHAnsi" w:hAnsiTheme="majorHAnsi"/>
        </w:rPr>
        <w:t xml:space="preserve">is inconsistent with their previous experience. The result of </w:t>
      </w:r>
      <w:r w:rsidR="00A74A84">
        <w:rPr>
          <w:rFonts w:asciiTheme="majorHAnsi" w:hAnsiTheme="majorHAnsi"/>
        </w:rPr>
        <w:t xml:space="preserve">month </w:t>
      </w:r>
      <w:r w:rsidR="00606084">
        <w:rPr>
          <w:rFonts w:asciiTheme="majorHAnsi" w:hAnsiTheme="majorHAnsi"/>
        </w:rPr>
        <w:t xml:space="preserve">24 </w:t>
      </w:r>
      <w:r>
        <w:rPr>
          <w:rFonts w:asciiTheme="majorHAnsi" w:hAnsiTheme="majorHAnsi"/>
        </w:rPr>
        <w:t xml:space="preserve">may therefore be a salient event and could cause the individual to consider </w:t>
      </w:r>
      <w:r w:rsidR="00A726BC">
        <w:rPr>
          <w:rFonts w:asciiTheme="majorHAnsi" w:hAnsiTheme="majorHAnsi"/>
        </w:rPr>
        <w:t>ceasing</w:t>
      </w:r>
      <w:r>
        <w:rPr>
          <w:rFonts w:asciiTheme="majorHAnsi" w:hAnsiTheme="majorHAnsi"/>
        </w:rPr>
        <w:t xml:space="preserve"> the RA. On the other hand, while moving from net loss to net profit was surprising for C, it may be less salient for D</w:t>
      </w:r>
      <w:r w:rsidR="00C51EDD">
        <w:rPr>
          <w:rFonts w:asciiTheme="majorHAnsi" w:hAnsiTheme="majorHAnsi"/>
        </w:rPr>
        <w:t>,</w:t>
      </w:r>
      <w:r>
        <w:rPr>
          <w:rFonts w:asciiTheme="majorHAnsi" w:hAnsiTheme="majorHAnsi"/>
        </w:rPr>
        <w:t xml:space="preserve"> since it merely aligns with their mental model. </w:t>
      </w:r>
      <w:r w:rsidR="004F68CF">
        <w:rPr>
          <w:rFonts w:asciiTheme="majorHAnsi" w:hAnsiTheme="majorHAnsi"/>
        </w:rPr>
        <w:t>For D, t</w:t>
      </w:r>
      <w:r>
        <w:rPr>
          <w:rFonts w:asciiTheme="majorHAnsi" w:hAnsiTheme="majorHAnsi"/>
        </w:rPr>
        <w:t xml:space="preserve">he loss following the </w:t>
      </w:r>
      <w:r w:rsidR="00606084">
        <w:rPr>
          <w:rFonts w:asciiTheme="majorHAnsi" w:hAnsiTheme="majorHAnsi"/>
        </w:rPr>
        <w:t xml:space="preserve">23rd </w:t>
      </w:r>
      <w:r w:rsidR="00A74A84">
        <w:rPr>
          <w:rFonts w:asciiTheme="majorHAnsi" w:hAnsiTheme="majorHAnsi"/>
        </w:rPr>
        <w:t>month</w:t>
      </w:r>
      <w:r w:rsidR="00C51EDD">
        <w:rPr>
          <w:rFonts w:asciiTheme="majorHAnsi" w:hAnsiTheme="majorHAnsi"/>
        </w:rPr>
        <w:t xml:space="preserve"> </w:t>
      </w:r>
      <w:r>
        <w:rPr>
          <w:rFonts w:asciiTheme="majorHAnsi" w:hAnsiTheme="majorHAnsi"/>
        </w:rPr>
        <w:t>could</w:t>
      </w:r>
      <w:r w:rsidR="003F7957">
        <w:rPr>
          <w:rFonts w:asciiTheme="majorHAnsi" w:hAnsiTheme="majorHAnsi"/>
        </w:rPr>
        <w:t xml:space="preserve"> be </w:t>
      </w:r>
      <w:r w:rsidR="004F68CF">
        <w:rPr>
          <w:rFonts w:asciiTheme="majorHAnsi" w:hAnsiTheme="majorHAnsi"/>
        </w:rPr>
        <w:t>interpreted</w:t>
      </w:r>
      <w:r w:rsidR="003F7957">
        <w:rPr>
          <w:rFonts w:asciiTheme="majorHAnsi" w:hAnsiTheme="majorHAnsi"/>
        </w:rPr>
        <w:t xml:space="preserve"> as </w:t>
      </w:r>
      <w:r w:rsidR="00C51EDD">
        <w:rPr>
          <w:rFonts w:asciiTheme="majorHAnsi" w:hAnsiTheme="majorHAnsi"/>
        </w:rPr>
        <w:t>‘</w:t>
      </w:r>
      <w:r w:rsidR="003F7957">
        <w:rPr>
          <w:rFonts w:asciiTheme="majorHAnsi" w:hAnsiTheme="majorHAnsi"/>
        </w:rPr>
        <w:t>unlucky</w:t>
      </w:r>
      <w:r w:rsidR="00C51EDD">
        <w:rPr>
          <w:rFonts w:asciiTheme="majorHAnsi" w:hAnsiTheme="majorHAnsi"/>
        </w:rPr>
        <w:t>’</w:t>
      </w:r>
      <w:r w:rsidR="003F7957">
        <w:rPr>
          <w:rFonts w:asciiTheme="majorHAnsi" w:hAnsiTheme="majorHAnsi"/>
        </w:rPr>
        <w:t xml:space="preserve"> and </w:t>
      </w:r>
      <w:r w:rsidR="00D648E7">
        <w:rPr>
          <w:rFonts w:asciiTheme="majorHAnsi" w:hAnsiTheme="majorHAnsi"/>
        </w:rPr>
        <w:t xml:space="preserve">may </w:t>
      </w:r>
      <w:r w:rsidR="003F7957">
        <w:rPr>
          <w:rFonts w:asciiTheme="majorHAnsi" w:hAnsiTheme="majorHAnsi"/>
        </w:rPr>
        <w:t xml:space="preserve">not result </w:t>
      </w:r>
      <w:r w:rsidR="0047434D">
        <w:rPr>
          <w:rFonts w:asciiTheme="majorHAnsi" w:hAnsiTheme="majorHAnsi"/>
        </w:rPr>
        <w:t xml:space="preserve">in </w:t>
      </w:r>
      <w:r w:rsidR="003F7957">
        <w:rPr>
          <w:rFonts w:asciiTheme="majorHAnsi" w:hAnsiTheme="majorHAnsi"/>
        </w:rPr>
        <w:t xml:space="preserve">them </w:t>
      </w:r>
      <w:r w:rsidR="00A726BC">
        <w:rPr>
          <w:rFonts w:asciiTheme="majorHAnsi" w:hAnsiTheme="majorHAnsi"/>
        </w:rPr>
        <w:t xml:space="preserve">ceasing </w:t>
      </w:r>
      <w:r w:rsidR="003F7957">
        <w:rPr>
          <w:rFonts w:asciiTheme="majorHAnsi" w:hAnsiTheme="majorHAnsi"/>
        </w:rPr>
        <w:t>the RA.</w:t>
      </w:r>
    </w:p>
    <w:p w14:paraId="2E82071A" w14:textId="426B3CEE" w:rsidR="00E320DF" w:rsidRDefault="004B67C3">
      <w:pPr>
        <w:spacing w:after="0" w:line="480" w:lineRule="auto"/>
        <w:ind w:firstLine="720"/>
        <w:rPr>
          <w:rFonts w:asciiTheme="majorHAnsi" w:hAnsiTheme="majorHAnsi"/>
        </w:rPr>
      </w:pPr>
      <w:r>
        <w:rPr>
          <w:rFonts w:asciiTheme="majorHAnsi" w:hAnsiTheme="majorHAnsi"/>
        </w:rPr>
        <w:t>Overall, therefore, while both A and B</w:t>
      </w:r>
      <w:r w:rsidR="003F7957">
        <w:rPr>
          <w:rFonts w:asciiTheme="majorHAnsi" w:hAnsiTheme="majorHAnsi"/>
        </w:rPr>
        <w:t xml:space="preserve"> face identical relative profits</w:t>
      </w:r>
      <w:r>
        <w:rPr>
          <w:rFonts w:asciiTheme="majorHAnsi" w:hAnsiTheme="majorHAnsi"/>
        </w:rPr>
        <w:t xml:space="preserve"> and C and D </w:t>
      </w:r>
      <w:r w:rsidR="003F7957">
        <w:rPr>
          <w:rFonts w:asciiTheme="majorHAnsi" w:hAnsiTheme="majorHAnsi"/>
        </w:rPr>
        <w:t xml:space="preserve">face identical relative losses, their differing mental models could </w:t>
      </w:r>
      <w:r w:rsidR="00C51EDD">
        <w:rPr>
          <w:rFonts w:asciiTheme="majorHAnsi" w:hAnsiTheme="majorHAnsi"/>
        </w:rPr>
        <w:t>result in them making</w:t>
      </w:r>
      <w:r w:rsidR="003F7957">
        <w:rPr>
          <w:rFonts w:asciiTheme="majorHAnsi" w:hAnsiTheme="majorHAnsi"/>
        </w:rPr>
        <w:t xml:space="preserve"> </w:t>
      </w:r>
      <w:r w:rsidR="00C51EDD">
        <w:rPr>
          <w:rFonts w:asciiTheme="majorHAnsi" w:hAnsiTheme="majorHAnsi"/>
        </w:rPr>
        <w:t>different</w:t>
      </w:r>
      <w:r w:rsidR="003F7957">
        <w:rPr>
          <w:rFonts w:asciiTheme="majorHAnsi" w:hAnsiTheme="majorHAnsi"/>
        </w:rPr>
        <w:t xml:space="preserve"> choices</w:t>
      </w:r>
      <w:r w:rsidR="00D324A7">
        <w:rPr>
          <w:rFonts w:asciiTheme="majorHAnsi" w:hAnsiTheme="majorHAnsi"/>
        </w:rPr>
        <w:t>.</w:t>
      </w:r>
    </w:p>
    <w:p w14:paraId="48B3BF68" w14:textId="1F841F9E" w:rsidR="00781C45" w:rsidRDefault="00E870BE" w:rsidP="00201144">
      <w:pPr>
        <w:spacing w:after="0" w:line="480" w:lineRule="auto"/>
        <w:rPr>
          <w:rFonts w:asciiTheme="majorHAnsi" w:eastAsia="Calibri" w:hAnsiTheme="majorHAnsi" w:cs="Cordia New"/>
          <w:lang w:bidi="th-TH"/>
        </w:rPr>
      </w:pPr>
      <w:r>
        <w:rPr>
          <w:rFonts w:asciiTheme="majorHAnsi" w:hAnsiTheme="majorHAnsi"/>
        </w:rPr>
        <w:tab/>
      </w:r>
      <w:r w:rsidR="003F7957">
        <w:rPr>
          <w:rFonts w:asciiTheme="majorHAnsi" w:hAnsiTheme="majorHAnsi"/>
        </w:rPr>
        <w:t xml:space="preserve">In summary, </w:t>
      </w:r>
      <w:r w:rsidR="00201144">
        <w:rPr>
          <w:rFonts w:asciiTheme="majorHAnsi" w:hAnsiTheme="majorHAnsi"/>
        </w:rPr>
        <w:t>to understand why an individual may</w:t>
      </w:r>
      <w:r w:rsidR="00D324A7">
        <w:rPr>
          <w:rFonts w:asciiTheme="majorHAnsi" w:hAnsiTheme="majorHAnsi"/>
        </w:rPr>
        <w:t>/may not</w:t>
      </w:r>
      <w:r w:rsidR="00201144">
        <w:rPr>
          <w:rFonts w:asciiTheme="majorHAnsi" w:hAnsiTheme="majorHAnsi"/>
        </w:rPr>
        <w:t xml:space="preserve"> disengage from a RA</w:t>
      </w:r>
      <w:r w:rsidR="00C51EDD">
        <w:rPr>
          <w:rFonts w:asciiTheme="majorHAnsi" w:hAnsiTheme="majorHAnsi"/>
        </w:rPr>
        <w:t>,</w:t>
      </w:r>
      <w:r w:rsidR="00201144">
        <w:rPr>
          <w:rFonts w:asciiTheme="majorHAnsi" w:hAnsiTheme="majorHAnsi"/>
        </w:rPr>
        <w:t xml:space="preserve"> we believe it is important to </w:t>
      </w:r>
      <w:r w:rsidR="003F7957">
        <w:rPr>
          <w:rFonts w:asciiTheme="majorHAnsi" w:hAnsiTheme="majorHAnsi"/>
        </w:rPr>
        <w:t>consider</w:t>
      </w:r>
      <w:r w:rsidR="00201144">
        <w:rPr>
          <w:rFonts w:asciiTheme="majorHAnsi" w:hAnsiTheme="majorHAnsi"/>
        </w:rPr>
        <w:t xml:space="preserve"> the</w:t>
      </w:r>
      <w:r w:rsidR="00E70842">
        <w:rPr>
          <w:rFonts w:asciiTheme="majorHAnsi" w:hAnsiTheme="majorHAnsi"/>
        </w:rPr>
        <w:t>ir</w:t>
      </w:r>
      <w:r w:rsidR="00201144">
        <w:rPr>
          <w:rFonts w:asciiTheme="majorHAnsi" w:hAnsiTheme="majorHAnsi"/>
        </w:rPr>
        <w:t xml:space="preserve"> mental model</w:t>
      </w:r>
      <w:r w:rsidR="00E70842">
        <w:rPr>
          <w:rFonts w:asciiTheme="majorHAnsi" w:hAnsiTheme="majorHAnsi"/>
        </w:rPr>
        <w:t>, developed from</w:t>
      </w:r>
      <w:r w:rsidR="003F7957">
        <w:rPr>
          <w:rFonts w:asciiTheme="majorHAnsi" w:hAnsiTheme="majorHAnsi"/>
        </w:rPr>
        <w:t xml:space="preserve"> their long-term experiences</w:t>
      </w:r>
      <w:r w:rsidR="005C47F6">
        <w:rPr>
          <w:rFonts w:asciiTheme="majorHAnsi" w:hAnsiTheme="majorHAnsi"/>
        </w:rPr>
        <w:t>. In particular, we pr</w:t>
      </w:r>
      <w:r w:rsidR="00185E17">
        <w:rPr>
          <w:rFonts w:asciiTheme="majorHAnsi" w:hAnsiTheme="majorHAnsi"/>
        </w:rPr>
        <w:t xml:space="preserve">edict </w:t>
      </w:r>
      <w:r>
        <w:rPr>
          <w:rFonts w:asciiTheme="majorHAnsi" w:hAnsiTheme="majorHAnsi"/>
        </w:rPr>
        <w:t xml:space="preserve">that changes in wealth around break-even points may have </w:t>
      </w:r>
      <w:r w:rsidR="00E70842">
        <w:rPr>
          <w:rFonts w:asciiTheme="majorHAnsi" w:hAnsiTheme="majorHAnsi"/>
        </w:rPr>
        <w:t xml:space="preserve">a </w:t>
      </w:r>
      <w:r>
        <w:rPr>
          <w:rFonts w:asciiTheme="majorHAnsi" w:hAnsiTheme="majorHAnsi"/>
        </w:rPr>
        <w:t xml:space="preserve">different meaning to individuals depending on their </w:t>
      </w:r>
      <w:r w:rsidR="00E70842">
        <w:rPr>
          <w:rFonts w:asciiTheme="majorHAnsi" w:hAnsiTheme="majorHAnsi"/>
        </w:rPr>
        <w:t xml:space="preserve">past </w:t>
      </w:r>
      <w:r>
        <w:rPr>
          <w:rFonts w:asciiTheme="majorHAnsi" w:hAnsiTheme="majorHAnsi"/>
        </w:rPr>
        <w:t xml:space="preserve">experiences. </w:t>
      </w:r>
      <w:r w:rsidR="004C21DD">
        <w:rPr>
          <w:rFonts w:asciiTheme="majorHAnsi" w:hAnsiTheme="majorHAnsi"/>
          <w:lang w:val="en-US"/>
        </w:rPr>
        <w:t xml:space="preserve">This aligns with the conclusion </w:t>
      </w:r>
      <w:r w:rsidR="00E70842">
        <w:rPr>
          <w:rFonts w:asciiTheme="majorHAnsi" w:hAnsiTheme="majorHAnsi"/>
          <w:lang w:val="en-US"/>
        </w:rPr>
        <w:t xml:space="preserve">drawn </w:t>
      </w:r>
      <w:r w:rsidR="004C21DD">
        <w:rPr>
          <w:rFonts w:asciiTheme="majorHAnsi" w:hAnsiTheme="majorHAnsi"/>
          <w:lang w:val="en-US"/>
        </w:rPr>
        <w:t>in section 1.1</w:t>
      </w:r>
      <w:r w:rsidR="00006A11">
        <w:rPr>
          <w:rFonts w:asciiTheme="majorHAnsi" w:hAnsiTheme="majorHAnsi"/>
          <w:lang w:val="en-US"/>
        </w:rPr>
        <w:t xml:space="preserve"> that</w:t>
      </w:r>
      <w:r w:rsidR="004C21DD">
        <w:rPr>
          <w:rFonts w:asciiTheme="majorHAnsi" w:hAnsiTheme="majorHAnsi"/>
          <w:lang w:val="en-US"/>
        </w:rPr>
        <w:t xml:space="preserve"> the perception of recent (local) gains/loss may be processed in relation to </w:t>
      </w:r>
      <w:r w:rsidR="00E70842">
        <w:rPr>
          <w:rFonts w:asciiTheme="majorHAnsi" w:hAnsiTheme="majorHAnsi"/>
          <w:lang w:val="en-US"/>
        </w:rPr>
        <w:t xml:space="preserve">an </w:t>
      </w:r>
      <w:r w:rsidR="004C21DD">
        <w:rPr>
          <w:rFonts w:asciiTheme="majorHAnsi" w:hAnsiTheme="majorHAnsi"/>
          <w:lang w:val="en-US"/>
        </w:rPr>
        <w:t>individual</w:t>
      </w:r>
      <w:r w:rsidR="00E70842">
        <w:rPr>
          <w:rFonts w:asciiTheme="majorHAnsi" w:hAnsiTheme="majorHAnsi"/>
          <w:lang w:val="en-US"/>
        </w:rPr>
        <w:t>’</w:t>
      </w:r>
      <w:r w:rsidR="004C21DD">
        <w:rPr>
          <w:rFonts w:asciiTheme="majorHAnsi" w:hAnsiTheme="majorHAnsi"/>
          <w:lang w:val="en-US"/>
        </w:rPr>
        <w:t>s longer</w:t>
      </w:r>
      <w:r w:rsidR="00A726BC">
        <w:rPr>
          <w:rFonts w:asciiTheme="majorHAnsi" w:hAnsiTheme="majorHAnsi"/>
          <w:lang w:val="en-US"/>
        </w:rPr>
        <w:t>-</w:t>
      </w:r>
      <w:r w:rsidR="004C21DD">
        <w:rPr>
          <w:rFonts w:asciiTheme="majorHAnsi" w:hAnsiTheme="majorHAnsi"/>
          <w:lang w:val="en-US"/>
        </w:rPr>
        <w:t>term memory of their performance.</w:t>
      </w:r>
    </w:p>
    <w:p w14:paraId="4D9E3779" w14:textId="77777777" w:rsidR="000D0723" w:rsidRPr="008B3087" w:rsidRDefault="000D0723" w:rsidP="0016286A">
      <w:pPr>
        <w:spacing w:after="0" w:line="480" w:lineRule="auto"/>
        <w:rPr>
          <w:rFonts w:asciiTheme="majorHAnsi" w:eastAsia="Calibri" w:hAnsiTheme="majorHAnsi" w:cs="Cordia New"/>
          <w:lang w:bidi="th-TH"/>
        </w:rPr>
      </w:pPr>
    </w:p>
    <w:p w14:paraId="3C13ED95" w14:textId="77777777" w:rsidR="00832B49" w:rsidRPr="00AD6368" w:rsidRDefault="0079794A" w:rsidP="0079794A">
      <w:pPr>
        <w:pStyle w:val="ListParagraph"/>
        <w:numPr>
          <w:ilvl w:val="1"/>
          <w:numId w:val="2"/>
        </w:numPr>
        <w:spacing w:after="0" w:line="480" w:lineRule="auto"/>
        <w:jc w:val="both"/>
        <w:rPr>
          <w:rFonts w:asciiTheme="majorHAnsi" w:eastAsia="Calibri" w:hAnsiTheme="majorHAnsi" w:cs="Cordia New"/>
          <w:b/>
          <w:lang w:bidi="th-TH"/>
        </w:rPr>
      </w:pPr>
      <w:r w:rsidRPr="00AD6368">
        <w:rPr>
          <w:rFonts w:asciiTheme="majorHAnsi" w:eastAsia="Calibri" w:hAnsiTheme="majorHAnsi" w:cs="Cordia New"/>
          <w:b/>
          <w:lang w:bidi="th-TH"/>
        </w:rPr>
        <w:t>Hypotheses</w:t>
      </w:r>
    </w:p>
    <w:p w14:paraId="64255711" w14:textId="56C6E176" w:rsidR="00711EC7" w:rsidRDefault="00A726BC" w:rsidP="0056510B">
      <w:pPr>
        <w:spacing w:after="0" w:line="480" w:lineRule="auto"/>
        <w:jc w:val="both"/>
        <w:rPr>
          <w:rFonts w:asciiTheme="majorHAnsi" w:eastAsia="Calibri" w:hAnsiTheme="majorHAnsi" w:cs="Cordia New"/>
          <w:lang w:bidi="th-TH"/>
        </w:rPr>
      </w:pPr>
      <w:r>
        <w:rPr>
          <w:rFonts w:asciiTheme="majorHAnsi" w:eastAsia="Calibri" w:hAnsiTheme="majorHAnsi" w:cs="Cordia New"/>
          <w:lang w:bidi="th-TH"/>
        </w:rPr>
        <w:t>W</w:t>
      </w:r>
      <w:r w:rsidR="00185E17" w:rsidRPr="00B26C45">
        <w:rPr>
          <w:rFonts w:asciiTheme="majorHAnsi" w:eastAsia="Calibri" w:hAnsiTheme="majorHAnsi" w:cs="Cordia New"/>
          <w:lang w:bidi="th-TH"/>
        </w:rPr>
        <w:t xml:space="preserve">e </w:t>
      </w:r>
      <w:r>
        <w:rPr>
          <w:rFonts w:asciiTheme="majorHAnsi" w:eastAsia="Calibri" w:hAnsiTheme="majorHAnsi" w:cs="Cordia New"/>
          <w:lang w:bidi="th-TH"/>
        </w:rPr>
        <w:t xml:space="preserve">explore our </w:t>
      </w:r>
      <w:r w:rsidRPr="00B26C45">
        <w:rPr>
          <w:rFonts w:asciiTheme="majorHAnsi" w:eastAsia="Calibri" w:hAnsiTheme="majorHAnsi" w:cs="Cordia New"/>
          <w:lang w:bidi="th-TH"/>
        </w:rPr>
        <w:t>susp</w:t>
      </w:r>
      <w:r>
        <w:rPr>
          <w:rFonts w:asciiTheme="majorHAnsi" w:eastAsia="Calibri" w:hAnsiTheme="majorHAnsi" w:cs="Cordia New"/>
          <w:lang w:bidi="th-TH"/>
        </w:rPr>
        <w:t>icion that the break-even point</w:t>
      </w:r>
      <w:r w:rsidRPr="00AD6368">
        <w:rPr>
          <w:rFonts w:asciiTheme="majorHAnsi" w:eastAsia="Calibri" w:hAnsiTheme="majorHAnsi" w:cs="Cordia New"/>
          <w:lang w:bidi="th-TH"/>
        </w:rPr>
        <w:t xml:space="preserve"> </w:t>
      </w:r>
      <w:r w:rsidR="00185E17" w:rsidRPr="00AD6368">
        <w:rPr>
          <w:rFonts w:asciiTheme="majorHAnsi" w:eastAsia="Calibri" w:hAnsiTheme="majorHAnsi" w:cs="Cordia New"/>
          <w:lang w:bidi="th-TH"/>
        </w:rPr>
        <w:t xml:space="preserve">may play a role in the decision to </w:t>
      </w:r>
      <w:r w:rsidR="00BF0AF9">
        <w:rPr>
          <w:rFonts w:asciiTheme="majorHAnsi" w:eastAsia="Calibri" w:hAnsiTheme="majorHAnsi" w:cs="Cordia New"/>
          <w:lang w:bidi="th-TH"/>
        </w:rPr>
        <w:t>cease</w:t>
      </w:r>
      <w:r w:rsidR="00185E17" w:rsidRPr="00AD6368">
        <w:rPr>
          <w:rFonts w:asciiTheme="majorHAnsi" w:eastAsia="Calibri" w:hAnsiTheme="majorHAnsi" w:cs="Cordia New"/>
          <w:lang w:bidi="th-TH"/>
        </w:rPr>
        <w:t xml:space="preserve"> a </w:t>
      </w:r>
      <w:r w:rsidR="00AD6368">
        <w:rPr>
          <w:rFonts w:asciiTheme="majorHAnsi" w:eastAsia="Calibri" w:hAnsiTheme="majorHAnsi" w:cs="Cordia New"/>
          <w:lang w:bidi="th-TH"/>
        </w:rPr>
        <w:t>RA</w:t>
      </w:r>
      <w:r>
        <w:rPr>
          <w:rFonts w:asciiTheme="majorHAnsi" w:eastAsia="Calibri" w:hAnsiTheme="majorHAnsi" w:cs="Cordia New"/>
          <w:lang w:bidi="th-TH"/>
        </w:rPr>
        <w:t xml:space="preserve"> by</w:t>
      </w:r>
      <w:r w:rsidR="00AD6368">
        <w:rPr>
          <w:rFonts w:asciiTheme="majorHAnsi" w:eastAsia="Calibri" w:hAnsiTheme="majorHAnsi" w:cs="Cordia New"/>
          <w:lang w:bidi="th-TH"/>
        </w:rPr>
        <w:t xml:space="preserve"> </w:t>
      </w:r>
      <w:r w:rsidR="003327AE" w:rsidRPr="00AD6368">
        <w:rPr>
          <w:rFonts w:asciiTheme="majorHAnsi" w:eastAsia="Calibri" w:hAnsiTheme="majorHAnsi" w:cs="Cordia New"/>
          <w:lang w:bidi="th-TH"/>
        </w:rPr>
        <w:t>test</w:t>
      </w:r>
      <w:r w:rsidR="00AD6368">
        <w:rPr>
          <w:rFonts w:asciiTheme="majorHAnsi" w:eastAsia="Calibri" w:hAnsiTheme="majorHAnsi" w:cs="Cordia New"/>
          <w:lang w:bidi="th-TH"/>
        </w:rPr>
        <w:t>ing o</w:t>
      </w:r>
      <w:r w:rsidR="005A14AF" w:rsidRPr="00AD6368">
        <w:rPr>
          <w:rFonts w:asciiTheme="majorHAnsi" w:eastAsia="Calibri" w:hAnsiTheme="majorHAnsi" w:cs="Cordia New"/>
          <w:lang w:bidi="th-TH"/>
        </w:rPr>
        <w:t>ur first hypothesis</w:t>
      </w:r>
      <w:r w:rsidR="00171FE3">
        <w:rPr>
          <w:rFonts w:asciiTheme="majorHAnsi" w:eastAsia="Calibri" w:hAnsiTheme="majorHAnsi" w:cs="Cordia New"/>
          <w:lang w:bidi="th-TH"/>
        </w:rPr>
        <w:t>:</w:t>
      </w:r>
      <w:r w:rsidR="00707A42">
        <w:rPr>
          <w:rFonts w:asciiTheme="majorHAnsi" w:eastAsia="Calibri" w:hAnsiTheme="majorHAnsi" w:cs="Cordia New"/>
          <w:lang w:bidi="th-TH"/>
        </w:rPr>
        <w:t xml:space="preserve"> </w:t>
      </w:r>
    </w:p>
    <w:p w14:paraId="078A23B6" w14:textId="26C44A47" w:rsidR="00711EC7" w:rsidRPr="00FC6DF5" w:rsidRDefault="0056510B" w:rsidP="00FC6DF5">
      <w:pPr>
        <w:spacing w:after="0" w:line="480" w:lineRule="auto"/>
        <w:rPr>
          <w:rFonts w:asciiTheme="majorHAnsi" w:hAnsiTheme="majorHAnsi"/>
          <w:i/>
          <w:lang w:val="en-US"/>
        </w:rPr>
      </w:pPr>
      <w:r w:rsidRPr="00B37430">
        <w:rPr>
          <w:rFonts w:asciiTheme="majorHAnsi" w:hAnsiTheme="majorHAnsi"/>
          <w:b/>
          <w:lang w:val="en-US"/>
        </w:rPr>
        <w:t>H1</w:t>
      </w:r>
      <w:r w:rsidRPr="00B37430">
        <w:rPr>
          <w:rFonts w:asciiTheme="majorHAnsi" w:hAnsiTheme="majorHAnsi"/>
          <w:lang w:val="en-US"/>
        </w:rPr>
        <w:t xml:space="preserve">: </w:t>
      </w:r>
      <w:r w:rsidRPr="00B37430">
        <w:rPr>
          <w:rFonts w:asciiTheme="majorHAnsi" w:hAnsiTheme="majorHAnsi"/>
          <w:i/>
          <w:lang w:val="en-US"/>
        </w:rPr>
        <w:t>The probability of ceasing a RA will increase when an individual’s long-run net return falls below their break-even point.</w:t>
      </w:r>
      <w:r>
        <w:rPr>
          <w:rFonts w:asciiTheme="majorHAnsi" w:hAnsiTheme="majorHAnsi"/>
          <w:i/>
          <w:lang w:val="en-US"/>
        </w:rPr>
        <w:t xml:space="preserve"> </w:t>
      </w:r>
    </w:p>
    <w:p w14:paraId="2378E763" w14:textId="66DAACE8" w:rsidR="00114F1F" w:rsidRDefault="00AD6368" w:rsidP="006C7A82">
      <w:pPr>
        <w:spacing w:after="0" w:line="480" w:lineRule="auto"/>
        <w:ind w:firstLine="360"/>
        <w:jc w:val="both"/>
        <w:rPr>
          <w:rFonts w:asciiTheme="majorHAnsi" w:eastAsia="Calibri" w:hAnsiTheme="majorHAnsi" w:cs="Cordia New"/>
          <w:lang w:bidi="th-TH"/>
        </w:rPr>
      </w:pPr>
      <w:r>
        <w:rPr>
          <w:rFonts w:asciiTheme="majorHAnsi" w:eastAsia="Calibri" w:hAnsiTheme="majorHAnsi" w:cs="Cordia New"/>
          <w:lang w:bidi="th-TH"/>
        </w:rPr>
        <w:t>As</w:t>
      </w:r>
      <w:r w:rsidR="00185E17">
        <w:rPr>
          <w:rFonts w:asciiTheme="majorHAnsi" w:eastAsia="Calibri" w:hAnsiTheme="majorHAnsi" w:cs="Cordia New"/>
          <w:lang w:bidi="th-TH"/>
        </w:rPr>
        <w:t xml:space="preserve"> discussed </w:t>
      </w:r>
      <w:r>
        <w:rPr>
          <w:rFonts w:asciiTheme="majorHAnsi" w:eastAsia="Calibri" w:hAnsiTheme="majorHAnsi" w:cs="Cordia New"/>
          <w:lang w:bidi="th-TH"/>
        </w:rPr>
        <w:t>in section 1.3</w:t>
      </w:r>
      <w:r w:rsidR="00185E17">
        <w:rPr>
          <w:rFonts w:asciiTheme="majorHAnsi" w:eastAsia="Calibri" w:hAnsiTheme="majorHAnsi" w:cs="Cordia New"/>
          <w:lang w:bidi="th-TH"/>
        </w:rPr>
        <w:t>,</w:t>
      </w:r>
      <w:r w:rsidR="00E778EA">
        <w:rPr>
          <w:rFonts w:asciiTheme="majorHAnsi" w:eastAsia="Calibri" w:hAnsiTheme="majorHAnsi" w:cs="Cordia New"/>
          <w:lang w:bidi="th-TH"/>
        </w:rPr>
        <w:t xml:space="preserve"> we expect that a change in wealth that crosses the break-even point will be particularly salient.</w:t>
      </w:r>
      <w:r w:rsidR="006C0CF9">
        <w:rPr>
          <w:rFonts w:asciiTheme="majorHAnsi" w:eastAsia="Calibri" w:hAnsiTheme="majorHAnsi" w:cs="Cordia New"/>
          <w:lang w:bidi="th-TH"/>
        </w:rPr>
        <w:t xml:space="preserve"> </w:t>
      </w:r>
      <w:r w:rsidR="00F55F22">
        <w:rPr>
          <w:rFonts w:asciiTheme="majorHAnsi" w:eastAsia="Calibri" w:hAnsiTheme="majorHAnsi" w:cs="Cordia New"/>
          <w:lang w:bidi="th-TH"/>
        </w:rPr>
        <w:t xml:space="preserve">Prospect theory’s </w:t>
      </w:r>
      <w:r w:rsidR="00E426C6">
        <w:rPr>
          <w:rFonts w:asciiTheme="majorHAnsi" w:eastAsia="Calibri" w:hAnsiTheme="majorHAnsi" w:cs="Cordia New"/>
          <w:lang w:bidi="th-TH"/>
        </w:rPr>
        <w:t xml:space="preserve">value weighting function suggests that a </w:t>
      </w:r>
      <w:r w:rsidR="006C0CF9">
        <w:rPr>
          <w:rFonts w:asciiTheme="majorHAnsi" w:eastAsia="Calibri" w:hAnsiTheme="majorHAnsi" w:cs="Cordia New"/>
          <w:lang w:bidi="th-TH"/>
        </w:rPr>
        <w:t xml:space="preserve">fall from being in </w:t>
      </w:r>
      <w:r>
        <w:rPr>
          <w:rFonts w:asciiTheme="majorHAnsi" w:eastAsia="Calibri" w:hAnsiTheme="majorHAnsi" w:cs="Cordia New"/>
          <w:lang w:bidi="th-TH"/>
        </w:rPr>
        <w:t>long</w:t>
      </w:r>
      <w:r w:rsidR="00EC5001">
        <w:rPr>
          <w:rFonts w:asciiTheme="majorHAnsi" w:eastAsia="Calibri" w:hAnsiTheme="majorHAnsi" w:cs="Cordia New"/>
          <w:lang w:bidi="th-TH"/>
        </w:rPr>
        <w:t>-</w:t>
      </w:r>
      <w:r>
        <w:rPr>
          <w:rFonts w:asciiTheme="majorHAnsi" w:eastAsia="Calibri" w:hAnsiTheme="majorHAnsi" w:cs="Cordia New"/>
          <w:lang w:bidi="th-TH"/>
        </w:rPr>
        <w:t xml:space="preserve">run </w:t>
      </w:r>
      <w:r w:rsidR="006C0CF9">
        <w:rPr>
          <w:rFonts w:asciiTheme="majorHAnsi" w:eastAsia="Calibri" w:hAnsiTheme="majorHAnsi" w:cs="Cordia New"/>
          <w:lang w:bidi="th-TH"/>
        </w:rPr>
        <w:t xml:space="preserve">profit to being in </w:t>
      </w:r>
      <w:r>
        <w:rPr>
          <w:rFonts w:asciiTheme="majorHAnsi" w:eastAsia="Calibri" w:hAnsiTheme="majorHAnsi" w:cs="Cordia New"/>
          <w:lang w:bidi="th-TH"/>
        </w:rPr>
        <w:t>long</w:t>
      </w:r>
      <w:r w:rsidR="00EC5001">
        <w:rPr>
          <w:rFonts w:asciiTheme="majorHAnsi" w:eastAsia="Calibri" w:hAnsiTheme="majorHAnsi" w:cs="Cordia New"/>
          <w:lang w:bidi="th-TH"/>
        </w:rPr>
        <w:t>-</w:t>
      </w:r>
      <w:r>
        <w:rPr>
          <w:rFonts w:asciiTheme="majorHAnsi" w:eastAsia="Calibri" w:hAnsiTheme="majorHAnsi" w:cs="Cordia New"/>
          <w:lang w:bidi="th-TH"/>
        </w:rPr>
        <w:t xml:space="preserve">run </w:t>
      </w:r>
      <w:r w:rsidR="006C0CF9">
        <w:rPr>
          <w:rFonts w:asciiTheme="majorHAnsi" w:eastAsia="Calibri" w:hAnsiTheme="majorHAnsi" w:cs="Cordia New"/>
          <w:lang w:bidi="th-TH"/>
        </w:rPr>
        <w:t>loss is likely to be particularly painful</w:t>
      </w:r>
      <w:r w:rsidR="00E426C6">
        <w:rPr>
          <w:rFonts w:asciiTheme="majorHAnsi" w:eastAsia="Calibri" w:hAnsiTheme="majorHAnsi" w:cs="Cordia New"/>
          <w:lang w:bidi="th-TH"/>
        </w:rPr>
        <w:t>.</w:t>
      </w:r>
      <w:r w:rsidR="006C0CF9">
        <w:rPr>
          <w:rFonts w:asciiTheme="majorHAnsi" w:eastAsia="Calibri" w:hAnsiTheme="majorHAnsi" w:cs="Cordia New"/>
          <w:lang w:bidi="th-TH"/>
        </w:rPr>
        <w:t xml:space="preserve"> </w:t>
      </w:r>
      <w:r w:rsidR="00E426C6">
        <w:rPr>
          <w:rFonts w:asciiTheme="majorHAnsi" w:eastAsia="Calibri" w:hAnsiTheme="majorHAnsi" w:cs="Cordia New"/>
          <w:lang w:bidi="th-TH"/>
        </w:rPr>
        <w:t>This could even be sufficiently painful to</w:t>
      </w:r>
      <w:r w:rsidR="006C0CF9">
        <w:rPr>
          <w:rFonts w:asciiTheme="majorHAnsi" w:eastAsia="Calibri" w:hAnsiTheme="majorHAnsi" w:cs="Cordia New"/>
          <w:lang w:bidi="th-TH"/>
        </w:rPr>
        <w:t xml:space="preserve"> cause an individual to stop trading.</w:t>
      </w:r>
      <w:r w:rsidR="00E778EA">
        <w:rPr>
          <w:rFonts w:asciiTheme="majorHAnsi" w:eastAsia="Calibri" w:hAnsiTheme="majorHAnsi" w:cs="Cordia New"/>
          <w:lang w:bidi="th-TH"/>
        </w:rPr>
        <w:t xml:space="preserve"> </w:t>
      </w:r>
      <w:r w:rsidR="00447190">
        <w:rPr>
          <w:rFonts w:asciiTheme="majorHAnsi" w:eastAsia="Calibri" w:hAnsiTheme="majorHAnsi" w:cs="Cordia New"/>
          <w:lang w:bidi="th-TH"/>
        </w:rPr>
        <w:t>In</w:t>
      </w:r>
      <w:r w:rsidR="007349CC">
        <w:rPr>
          <w:rFonts w:asciiTheme="majorHAnsi" w:eastAsia="Calibri" w:hAnsiTheme="majorHAnsi" w:cs="Cordia New"/>
          <w:lang w:bidi="th-TH"/>
        </w:rPr>
        <w:t>deed</w:t>
      </w:r>
      <w:r w:rsidR="0086586A">
        <w:rPr>
          <w:rFonts w:asciiTheme="majorHAnsi" w:eastAsia="Calibri" w:hAnsiTheme="majorHAnsi" w:cs="Cordia New"/>
          <w:lang w:bidi="th-TH"/>
        </w:rPr>
        <w:t xml:space="preserve">, </w:t>
      </w:r>
      <w:r w:rsidR="007349CC">
        <w:rPr>
          <w:rFonts w:asciiTheme="majorHAnsi" w:eastAsia="Calibri" w:hAnsiTheme="majorHAnsi" w:cs="Cordia New"/>
          <w:lang w:bidi="th-TH"/>
        </w:rPr>
        <w:t>similar</w:t>
      </w:r>
      <w:r w:rsidR="00447190">
        <w:rPr>
          <w:rFonts w:asciiTheme="majorHAnsi" w:eastAsia="Calibri" w:hAnsiTheme="majorHAnsi" w:cs="Cordia New"/>
          <w:lang w:bidi="th-TH"/>
        </w:rPr>
        <w:t xml:space="preserve"> discontinuities at the break-even point of </w:t>
      </w:r>
      <w:r w:rsidRPr="0047434D">
        <w:rPr>
          <w:rFonts w:asciiTheme="majorHAnsi" w:eastAsia="Calibri" w:hAnsiTheme="majorHAnsi" w:cs="Cordia New"/>
          <w:lang w:bidi="th-TH"/>
        </w:rPr>
        <w:t xml:space="preserve">individual </w:t>
      </w:r>
      <w:r w:rsidR="00447190" w:rsidRPr="0047434D">
        <w:rPr>
          <w:rFonts w:asciiTheme="majorHAnsi" w:eastAsia="Calibri" w:hAnsiTheme="majorHAnsi" w:cs="Cordia New"/>
          <w:lang w:bidi="th-TH"/>
        </w:rPr>
        <w:t>trades</w:t>
      </w:r>
      <w:r w:rsidR="00447190">
        <w:rPr>
          <w:rFonts w:asciiTheme="majorHAnsi" w:eastAsia="Calibri" w:hAnsiTheme="majorHAnsi" w:cs="Cordia New"/>
          <w:lang w:bidi="th-TH"/>
        </w:rPr>
        <w:t xml:space="preserve"> have been observed in the transactions used to close those trades.</w:t>
      </w:r>
      <w:r w:rsidR="00BA5B92" w:rsidRPr="00275768">
        <w:rPr>
          <w:rFonts w:asciiTheme="majorHAnsi" w:eastAsia="Calibri" w:hAnsiTheme="majorHAnsi" w:cs="Cordia New"/>
          <w:vertAlign w:val="superscript"/>
          <w:lang w:bidi="th-TH"/>
        </w:rPr>
        <w:t>(34)</w:t>
      </w:r>
      <w:r w:rsidR="00447190">
        <w:rPr>
          <w:rFonts w:asciiTheme="majorHAnsi" w:eastAsia="Calibri" w:hAnsiTheme="majorHAnsi" w:cs="Cordia New"/>
          <w:lang w:bidi="th-TH"/>
        </w:rPr>
        <w:t xml:space="preserve"> </w:t>
      </w:r>
      <w:r w:rsidR="001F7E05">
        <w:rPr>
          <w:rFonts w:asciiTheme="majorHAnsi" w:eastAsia="Calibri" w:hAnsiTheme="majorHAnsi" w:cs="Cordia New"/>
          <w:lang w:bidi="th-TH"/>
        </w:rPr>
        <w:t xml:space="preserve">We, therefore, suspect that </w:t>
      </w:r>
      <w:r w:rsidR="00E778EA">
        <w:rPr>
          <w:rFonts w:asciiTheme="majorHAnsi" w:eastAsia="Calibri" w:hAnsiTheme="majorHAnsi" w:cs="Cordia New"/>
          <w:lang w:bidi="th-TH"/>
        </w:rPr>
        <w:t xml:space="preserve">there </w:t>
      </w:r>
      <w:r w:rsidR="006B42C0">
        <w:rPr>
          <w:rFonts w:asciiTheme="majorHAnsi" w:eastAsia="Calibri" w:hAnsiTheme="majorHAnsi" w:cs="Cordia New"/>
          <w:lang w:bidi="th-TH"/>
        </w:rPr>
        <w:t>will</w:t>
      </w:r>
      <w:r w:rsidR="001F7E05">
        <w:rPr>
          <w:rFonts w:asciiTheme="majorHAnsi" w:eastAsia="Calibri" w:hAnsiTheme="majorHAnsi" w:cs="Cordia New"/>
          <w:lang w:bidi="th-TH"/>
        </w:rPr>
        <w:t xml:space="preserve"> be </w:t>
      </w:r>
      <w:r w:rsidR="00E778EA">
        <w:rPr>
          <w:rFonts w:asciiTheme="majorHAnsi" w:eastAsia="Calibri" w:hAnsiTheme="majorHAnsi" w:cs="Cordia New"/>
          <w:lang w:bidi="th-TH"/>
        </w:rPr>
        <w:t xml:space="preserve">a sudden increase in an individual’s </w:t>
      </w:r>
      <w:r w:rsidR="006C0CF9">
        <w:rPr>
          <w:rFonts w:asciiTheme="majorHAnsi" w:eastAsia="Calibri" w:hAnsiTheme="majorHAnsi" w:cs="Cordia New"/>
          <w:lang w:bidi="th-TH"/>
        </w:rPr>
        <w:t>likelihood</w:t>
      </w:r>
      <w:r w:rsidR="00E778EA">
        <w:rPr>
          <w:rFonts w:asciiTheme="majorHAnsi" w:eastAsia="Calibri" w:hAnsiTheme="majorHAnsi" w:cs="Cordia New"/>
          <w:lang w:bidi="th-TH"/>
        </w:rPr>
        <w:t xml:space="preserve"> of </w:t>
      </w:r>
      <w:r w:rsidR="001F7E05">
        <w:rPr>
          <w:rFonts w:asciiTheme="majorHAnsi" w:eastAsia="Calibri" w:hAnsiTheme="majorHAnsi" w:cs="Cordia New"/>
          <w:lang w:bidi="th-TH"/>
        </w:rPr>
        <w:t xml:space="preserve">ceasing to engage in a </w:t>
      </w:r>
      <w:r w:rsidR="0015251B">
        <w:rPr>
          <w:rFonts w:asciiTheme="majorHAnsi" w:eastAsia="Calibri" w:hAnsiTheme="majorHAnsi" w:cs="Cordia New"/>
          <w:lang w:bidi="th-TH"/>
        </w:rPr>
        <w:t>RA</w:t>
      </w:r>
      <w:r w:rsidR="00E778EA">
        <w:rPr>
          <w:rFonts w:asciiTheme="majorHAnsi" w:eastAsia="Calibri" w:hAnsiTheme="majorHAnsi" w:cs="Cordia New"/>
          <w:lang w:bidi="th-TH"/>
        </w:rPr>
        <w:t xml:space="preserve"> if they move from </w:t>
      </w:r>
      <w:r>
        <w:rPr>
          <w:rFonts w:asciiTheme="majorHAnsi" w:eastAsia="Calibri" w:hAnsiTheme="majorHAnsi" w:cs="Cordia New"/>
          <w:lang w:bidi="th-TH"/>
        </w:rPr>
        <w:t>long</w:t>
      </w:r>
      <w:r w:rsidR="00EC5001">
        <w:rPr>
          <w:rFonts w:asciiTheme="majorHAnsi" w:eastAsia="Calibri" w:hAnsiTheme="majorHAnsi" w:cs="Cordia New"/>
          <w:lang w:bidi="th-TH"/>
        </w:rPr>
        <w:t>-</w:t>
      </w:r>
      <w:r>
        <w:rPr>
          <w:rFonts w:asciiTheme="majorHAnsi" w:eastAsia="Calibri" w:hAnsiTheme="majorHAnsi" w:cs="Cordia New"/>
          <w:lang w:bidi="th-TH"/>
        </w:rPr>
        <w:t xml:space="preserve">run </w:t>
      </w:r>
      <w:r w:rsidR="00E778EA">
        <w:rPr>
          <w:rFonts w:asciiTheme="majorHAnsi" w:eastAsia="Calibri" w:hAnsiTheme="majorHAnsi" w:cs="Cordia New"/>
          <w:lang w:bidi="th-TH"/>
        </w:rPr>
        <w:t>net profit to net loss.</w:t>
      </w:r>
      <w:r w:rsidR="00447190">
        <w:rPr>
          <w:rFonts w:asciiTheme="majorHAnsi" w:eastAsia="Calibri" w:hAnsiTheme="majorHAnsi" w:cs="Cordia New"/>
          <w:lang w:bidi="th-TH"/>
        </w:rPr>
        <w:t xml:space="preserve"> </w:t>
      </w:r>
    </w:p>
    <w:p w14:paraId="124FE69E" w14:textId="5B7200B2" w:rsidR="003A17D3" w:rsidRDefault="00EC5001" w:rsidP="0016286A">
      <w:pPr>
        <w:spacing w:after="0" w:line="480" w:lineRule="auto"/>
        <w:rPr>
          <w:rFonts w:asciiTheme="majorHAnsi" w:hAnsiTheme="majorHAnsi"/>
        </w:rPr>
      </w:pPr>
      <w:r>
        <w:rPr>
          <w:rFonts w:asciiTheme="majorHAnsi" w:hAnsiTheme="majorHAnsi"/>
          <w:i/>
          <w:lang w:val="en-US"/>
        </w:rPr>
        <w:tab/>
      </w:r>
      <w:r w:rsidR="0056510B">
        <w:rPr>
          <w:rFonts w:asciiTheme="majorHAnsi" w:hAnsiTheme="majorHAnsi"/>
          <w:lang w:val="en-US"/>
        </w:rPr>
        <w:t xml:space="preserve">While we </w:t>
      </w:r>
      <w:r w:rsidR="003327AE">
        <w:rPr>
          <w:rFonts w:asciiTheme="majorHAnsi" w:hAnsiTheme="majorHAnsi"/>
          <w:lang w:val="en-US"/>
        </w:rPr>
        <w:t>expect th</w:t>
      </w:r>
      <w:r w:rsidR="0056510B">
        <w:rPr>
          <w:rFonts w:asciiTheme="majorHAnsi" w:hAnsiTheme="majorHAnsi"/>
          <w:lang w:val="en-US"/>
        </w:rPr>
        <w:t>e</w:t>
      </w:r>
      <w:r w:rsidR="003327AE">
        <w:rPr>
          <w:rFonts w:asciiTheme="majorHAnsi" w:hAnsiTheme="majorHAnsi"/>
          <w:lang w:val="en-US"/>
        </w:rPr>
        <w:t xml:space="preserve"> general pattern</w:t>
      </w:r>
      <w:r w:rsidR="0056510B">
        <w:rPr>
          <w:rFonts w:asciiTheme="majorHAnsi" w:hAnsiTheme="majorHAnsi"/>
          <w:lang w:val="en-US"/>
        </w:rPr>
        <w:t xml:space="preserve"> of Hypothesis 1</w:t>
      </w:r>
      <w:r w:rsidR="006C0CF9">
        <w:rPr>
          <w:rFonts w:asciiTheme="majorHAnsi" w:hAnsiTheme="majorHAnsi"/>
          <w:lang w:val="en-US"/>
        </w:rPr>
        <w:t xml:space="preserve"> to hold</w:t>
      </w:r>
      <w:r w:rsidR="00150749">
        <w:rPr>
          <w:rFonts w:asciiTheme="majorHAnsi" w:hAnsiTheme="majorHAnsi"/>
          <w:lang w:val="en-US"/>
        </w:rPr>
        <w:t>,</w:t>
      </w:r>
      <w:r w:rsidR="006C0CF9">
        <w:rPr>
          <w:rFonts w:asciiTheme="majorHAnsi" w:hAnsiTheme="majorHAnsi"/>
          <w:lang w:val="en-US"/>
        </w:rPr>
        <w:t xml:space="preserve"> </w:t>
      </w:r>
      <w:r w:rsidR="00076AAE">
        <w:rPr>
          <w:rFonts w:asciiTheme="majorHAnsi" w:hAnsiTheme="majorHAnsi"/>
          <w:lang w:val="en-US"/>
        </w:rPr>
        <w:t>all else</w:t>
      </w:r>
      <w:r w:rsidR="006C0CF9">
        <w:rPr>
          <w:rFonts w:asciiTheme="majorHAnsi" w:hAnsiTheme="majorHAnsi"/>
          <w:lang w:val="en-US"/>
        </w:rPr>
        <w:t xml:space="preserve"> being</w:t>
      </w:r>
      <w:r w:rsidR="00076AAE">
        <w:rPr>
          <w:rFonts w:asciiTheme="majorHAnsi" w:hAnsiTheme="majorHAnsi"/>
          <w:lang w:val="en-US"/>
        </w:rPr>
        <w:t xml:space="preserve"> equal</w:t>
      </w:r>
      <w:r w:rsidR="0056510B">
        <w:rPr>
          <w:rFonts w:asciiTheme="majorHAnsi" w:hAnsiTheme="majorHAnsi"/>
          <w:lang w:val="en-US"/>
        </w:rPr>
        <w:t xml:space="preserve">, </w:t>
      </w:r>
      <w:r w:rsidR="00BF737D">
        <w:rPr>
          <w:rFonts w:asciiTheme="majorHAnsi" w:hAnsiTheme="majorHAnsi"/>
          <w:lang w:val="en-US"/>
        </w:rPr>
        <w:t>as indicated in section</w:t>
      </w:r>
      <w:r w:rsidR="00DC3904">
        <w:rPr>
          <w:rFonts w:asciiTheme="majorHAnsi" w:hAnsiTheme="majorHAnsi"/>
          <w:lang w:val="en-US"/>
        </w:rPr>
        <w:t>s</w:t>
      </w:r>
      <w:r w:rsidR="004C21DD">
        <w:rPr>
          <w:rFonts w:asciiTheme="majorHAnsi" w:hAnsiTheme="majorHAnsi"/>
          <w:lang w:val="en-US"/>
        </w:rPr>
        <w:t xml:space="preserve"> 1.1</w:t>
      </w:r>
      <w:r w:rsidR="007861CD">
        <w:rPr>
          <w:rFonts w:asciiTheme="majorHAnsi" w:hAnsiTheme="majorHAnsi"/>
          <w:lang w:val="en-US"/>
        </w:rPr>
        <w:t xml:space="preserve"> and 1</w:t>
      </w:r>
      <w:r w:rsidR="00377138">
        <w:rPr>
          <w:rFonts w:asciiTheme="majorHAnsi" w:hAnsiTheme="majorHAnsi"/>
          <w:lang w:val="en-US"/>
        </w:rPr>
        <w:t>.</w:t>
      </w:r>
      <w:r w:rsidR="007861CD">
        <w:rPr>
          <w:rFonts w:asciiTheme="majorHAnsi" w:hAnsiTheme="majorHAnsi"/>
          <w:lang w:val="en-US"/>
        </w:rPr>
        <w:t>3</w:t>
      </w:r>
      <w:r w:rsidR="004C21DD">
        <w:rPr>
          <w:rFonts w:asciiTheme="majorHAnsi" w:hAnsiTheme="majorHAnsi"/>
          <w:lang w:val="en-US"/>
        </w:rPr>
        <w:t xml:space="preserve">, </w:t>
      </w:r>
      <w:r w:rsidR="006C0CF9">
        <w:rPr>
          <w:rFonts w:asciiTheme="majorHAnsi" w:hAnsiTheme="majorHAnsi"/>
          <w:lang w:val="en-US"/>
        </w:rPr>
        <w:t>we</w:t>
      </w:r>
      <w:r w:rsidR="00150749">
        <w:rPr>
          <w:rFonts w:asciiTheme="majorHAnsi" w:hAnsiTheme="majorHAnsi"/>
          <w:lang w:val="en-US"/>
        </w:rPr>
        <w:t xml:space="preserve"> </w:t>
      </w:r>
      <w:r w:rsidR="006C0CF9">
        <w:rPr>
          <w:rFonts w:asciiTheme="majorHAnsi" w:hAnsiTheme="majorHAnsi"/>
          <w:lang w:val="en-US"/>
        </w:rPr>
        <w:t xml:space="preserve">expect </w:t>
      </w:r>
      <w:r w:rsidR="001F7E05">
        <w:rPr>
          <w:rFonts w:asciiTheme="majorHAnsi" w:hAnsiTheme="majorHAnsi"/>
          <w:lang w:val="en-US"/>
        </w:rPr>
        <w:t xml:space="preserve">a </w:t>
      </w:r>
      <w:r w:rsidR="006C0CF9">
        <w:rPr>
          <w:rFonts w:asciiTheme="majorHAnsi" w:hAnsiTheme="majorHAnsi"/>
          <w:lang w:val="en-US"/>
        </w:rPr>
        <w:t>more complex pattern</w:t>
      </w:r>
      <w:r w:rsidR="00076AAE">
        <w:rPr>
          <w:rFonts w:asciiTheme="majorHAnsi" w:hAnsiTheme="majorHAnsi"/>
          <w:lang w:val="en-US"/>
        </w:rPr>
        <w:t xml:space="preserve"> to occur</w:t>
      </w:r>
      <w:r w:rsidR="003327AE">
        <w:rPr>
          <w:rFonts w:asciiTheme="majorHAnsi" w:hAnsiTheme="majorHAnsi"/>
          <w:lang w:val="en-US"/>
        </w:rPr>
        <w:t xml:space="preserve"> depending on </w:t>
      </w:r>
      <w:r w:rsidR="00BF737D">
        <w:rPr>
          <w:rFonts w:asciiTheme="majorHAnsi" w:hAnsiTheme="majorHAnsi"/>
          <w:lang w:val="en-US"/>
        </w:rPr>
        <w:t xml:space="preserve">(a) </w:t>
      </w:r>
      <w:r w:rsidR="003327AE">
        <w:rPr>
          <w:rFonts w:asciiTheme="majorHAnsi" w:hAnsiTheme="majorHAnsi"/>
          <w:lang w:val="en-US"/>
        </w:rPr>
        <w:t>recent changes</w:t>
      </w:r>
      <w:r w:rsidR="0057685C">
        <w:rPr>
          <w:rFonts w:asciiTheme="majorHAnsi" w:hAnsiTheme="majorHAnsi"/>
          <w:lang w:val="en-US"/>
        </w:rPr>
        <w:t xml:space="preserve"> that</w:t>
      </w:r>
      <w:r w:rsidR="00BF737D">
        <w:rPr>
          <w:rFonts w:asciiTheme="majorHAnsi" w:hAnsiTheme="majorHAnsi"/>
          <w:lang w:val="en-US"/>
        </w:rPr>
        <w:t xml:space="preserve"> the individual may have experienced in </w:t>
      </w:r>
      <w:r w:rsidR="00DC3904">
        <w:rPr>
          <w:rFonts w:asciiTheme="majorHAnsi" w:hAnsiTheme="majorHAnsi"/>
          <w:lang w:val="en-US"/>
        </w:rPr>
        <w:t>the short</w:t>
      </w:r>
      <w:r>
        <w:rPr>
          <w:rFonts w:asciiTheme="majorHAnsi" w:hAnsiTheme="majorHAnsi"/>
          <w:lang w:val="en-US"/>
        </w:rPr>
        <w:t>-</w:t>
      </w:r>
      <w:r w:rsidR="00DC3904">
        <w:rPr>
          <w:rFonts w:asciiTheme="majorHAnsi" w:hAnsiTheme="majorHAnsi"/>
          <w:lang w:val="en-US"/>
        </w:rPr>
        <w:t xml:space="preserve">run profit/loss arising out </w:t>
      </w:r>
      <w:r w:rsidR="00BF737D">
        <w:rPr>
          <w:rFonts w:asciiTheme="majorHAnsi" w:hAnsiTheme="majorHAnsi"/>
          <w:lang w:val="en-US"/>
        </w:rPr>
        <w:t xml:space="preserve">of their </w:t>
      </w:r>
      <w:r w:rsidR="0057685C">
        <w:rPr>
          <w:rFonts w:asciiTheme="majorHAnsi" w:hAnsiTheme="majorHAnsi"/>
          <w:lang w:val="en-US"/>
        </w:rPr>
        <w:t>RA</w:t>
      </w:r>
      <w:r w:rsidR="00BF737D">
        <w:rPr>
          <w:rFonts w:asciiTheme="majorHAnsi" w:hAnsiTheme="majorHAnsi"/>
          <w:lang w:val="en-US"/>
        </w:rPr>
        <w:t xml:space="preserve"> </w:t>
      </w:r>
      <w:r w:rsidR="00076AAE">
        <w:rPr>
          <w:rFonts w:asciiTheme="majorHAnsi" w:hAnsiTheme="majorHAnsi"/>
          <w:lang w:val="en-US"/>
        </w:rPr>
        <w:t>around the break-even point</w:t>
      </w:r>
      <w:r w:rsidR="00737407">
        <w:rPr>
          <w:rFonts w:asciiTheme="majorHAnsi" w:hAnsiTheme="majorHAnsi"/>
          <w:lang w:val="en-US"/>
        </w:rPr>
        <w:t>,</w:t>
      </w:r>
      <w:r w:rsidR="00150749">
        <w:rPr>
          <w:rFonts w:asciiTheme="majorHAnsi" w:hAnsiTheme="majorHAnsi"/>
          <w:lang w:val="en-US"/>
        </w:rPr>
        <w:t xml:space="preserve"> </w:t>
      </w:r>
      <w:r w:rsidR="00BF737D">
        <w:rPr>
          <w:rFonts w:asciiTheme="majorHAnsi" w:hAnsiTheme="majorHAnsi"/>
          <w:lang w:val="en-US"/>
        </w:rPr>
        <w:t>and (b)</w:t>
      </w:r>
      <w:r w:rsidR="00150749">
        <w:rPr>
          <w:rFonts w:asciiTheme="majorHAnsi" w:hAnsiTheme="majorHAnsi"/>
          <w:lang w:val="en-US"/>
        </w:rPr>
        <w:t xml:space="preserve"> the individual’s</w:t>
      </w:r>
      <w:r w:rsidR="006C0CF9">
        <w:rPr>
          <w:rFonts w:asciiTheme="majorHAnsi" w:hAnsiTheme="majorHAnsi"/>
          <w:lang w:val="en-US"/>
        </w:rPr>
        <w:t xml:space="preserve"> long</w:t>
      </w:r>
      <w:r w:rsidR="00150749">
        <w:rPr>
          <w:rFonts w:asciiTheme="majorHAnsi" w:hAnsiTheme="majorHAnsi"/>
          <w:lang w:val="en-US"/>
        </w:rPr>
        <w:t>er-</w:t>
      </w:r>
      <w:r w:rsidR="006C0CF9">
        <w:rPr>
          <w:rFonts w:asciiTheme="majorHAnsi" w:hAnsiTheme="majorHAnsi"/>
          <w:lang w:val="en-US"/>
        </w:rPr>
        <w:t>term performance</w:t>
      </w:r>
      <w:r w:rsidR="00150749">
        <w:rPr>
          <w:rFonts w:asciiTheme="majorHAnsi" w:hAnsiTheme="majorHAnsi"/>
          <w:lang w:val="en-US"/>
        </w:rPr>
        <w:t xml:space="preserve"> experiences</w:t>
      </w:r>
      <w:r w:rsidR="00076AAE">
        <w:rPr>
          <w:rFonts w:asciiTheme="majorHAnsi" w:hAnsiTheme="majorHAnsi"/>
          <w:lang w:val="en-US"/>
        </w:rPr>
        <w:t xml:space="preserve">. </w:t>
      </w:r>
      <w:r w:rsidR="005A67F4">
        <w:rPr>
          <w:rFonts w:asciiTheme="majorHAnsi" w:hAnsiTheme="majorHAnsi"/>
          <w:lang w:val="en-US"/>
        </w:rPr>
        <w:t xml:space="preserve">We </w:t>
      </w:r>
      <w:r>
        <w:rPr>
          <w:rFonts w:asciiTheme="majorHAnsi" w:hAnsiTheme="majorHAnsi"/>
          <w:lang w:val="en-US"/>
        </w:rPr>
        <w:t xml:space="preserve">suspect </w:t>
      </w:r>
      <w:r w:rsidR="005A67F4">
        <w:rPr>
          <w:rFonts w:asciiTheme="majorHAnsi" w:hAnsiTheme="majorHAnsi"/>
          <w:lang w:val="en-US"/>
        </w:rPr>
        <w:t xml:space="preserve">that </w:t>
      </w:r>
      <w:r w:rsidR="00127AC9">
        <w:rPr>
          <w:rFonts w:asciiTheme="majorHAnsi" w:hAnsiTheme="majorHAnsi"/>
        </w:rPr>
        <w:t xml:space="preserve">memory of longer-term performance </w:t>
      </w:r>
      <w:r w:rsidR="00DC3904">
        <w:rPr>
          <w:rFonts w:asciiTheme="majorHAnsi" w:hAnsiTheme="majorHAnsi"/>
        </w:rPr>
        <w:t>will be most prominent in developing the individual’s</w:t>
      </w:r>
      <w:r w:rsidR="00D86236">
        <w:rPr>
          <w:rFonts w:asciiTheme="majorHAnsi" w:hAnsiTheme="majorHAnsi"/>
        </w:rPr>
        <w:t xml:space="preserve"> mental model </w:t>
      </w:r>
      <w:r w:rsidR="00DC3904">
        <w:rPr>
          <w:rFonts w:asciiTheme="majorHAnsi" w:hAnsiTheme="majorHAnsi"/>
        </w:rPr>
        <w:t>and we expect t</w:t>
      </w:r>
      <w:r w:rsidR="003A17D3">
        <w:rPr>
          <w:rFonts w:asciiTheme="majorHAnsi" w:hAnsiTheme="majorHAnsi"/>
        </w:rPr>
        <w:t xml:space="preserve">hat </w:t>
      </w:r>
      <w:r w:rsidR="00DC3904">
        <w:rPr>
          <w:rFonts w:asciiTheme="majorHAnsi" w:hAnsiTheme="majorHAnsi"/>
        </w:rPr>
        <w:t xml:space="preserve">a </w:t>
      </w:r>
      <w:r w:rsidR="003A17D3">
        <w:rPr>
          <w:rFonts w:asciiTheme="majorHAnsi" w:hAnsiTheme="majorHAnsi"/>
        </w:rPr>
        <w:t xml:space="preserve">fall </w:t>
      </w:r>
      <w:r w:rsidR="0009632C">
        <w:rPr>
          <w:rFonts w:asciiTheme="majorHAnsi" w:hAnsiTheme="majorHAnsi"/>
        </w:rPr>
        <w:t xml:space="preserve">from above to </w:t>
      </w:r>
      <w:r w:rsidR="003A17D3">
        <w:rPr>
          <w:rFonts w:asciiTheme="majorHAnsi" w:hAnsiTheme="majorHAnsi"/>
        </w:rPr>
        <w:t xml:space="preserve">below the break-even point may be more salient to those </w:t>
      </w:r>
      <w:r w:rsidR="00DC3904">
        <w:rPr>
          <w:rFonts w:asciiTheme="majorHAnsi" w:hAnsiTheme="majorHAnsi"/>
        </w:rPr>
        <w:t xml:space="preserve">whose past experiences have led to them </w:t>
      </w:r>
      <w:r w:rsidR="00F55F22">
        <w:rPr>
          <w:rFonts w:asciiTheme="majorHAnsi" w:hAnsiTheme="majorHAnsi"/>
        </w:rPr>
        <w:t xml:space="preserve">to </w:t>
      </w:r>
      <w:r w:rsidR="00DC3904">
        <w:rPr>
          <w:rFonts w:asciiTheme="majorHAnsi" w:hAnsiTheme="majorHAnsi"/>
        </w:rPr>
        <w:t xml:space="preserve">develop </w:t>
      </w:r>
      <w:r w:rsidR="003A17D3">
        <w:rPr>
          <w:rFonts w:asciiTheme="majorHAnsi" w:hAnsiTheme="majorHAnsi"/>
        </w:rPr>
        <w:t>a</w:t>
      </w:r>
      <w:r w:rsidR="00953F2E">
        <w:rPr>
          <w:rFonts w:asciiTheme="majorHAnsi" w:hAnsiTheme="majorHAnsi"/>
        </w:rPr>
        <w:t xml:space="preserve"> more</w:t>
      </w:r>
      <w:r w:rsidR="003A17D3">
        <w:rPr>
          <w:rFonts w:asciiTheme="majorHAnsi" w:hAnsiTheme="majorHAnsi"/>
        </w:rPr>
        <w:t xml:space="preserve"> </w:t>
      </w:r>
      <w:r>
        <w:rPr>
          <w:rFonts w:asciiTheme="majorHAnsi" w:hAnsiTheme="majorHAnsi"/>
        </w:rPr>
        <w:t>NMM</w:t>
      </w:r>
      <w:r w:rsidR="00DC3904">
        <w:rPr>
          <w:rFonts w:asciiTheme="majorHAnsi" w:hAnsiTheme="majorHAnsi"/>
        </w:rPr>
        <w:t xml:space="preserve">; the salience </w:t>
      </w:r>
      <w:r w:rsidR="00F55F22">
        <w:rPr>
          <w:rFonts w:asciiTheme="majorHAnsi" w:hAnsiTheme="majorHAnsi"/>
        </w:rPr>
        <w:t>being</w:t>
      </w:r>
      <w:r w:rsidR="00DC3904">
        <w:rPr>
          <w:rFonts w:asciiTheme="majorHAnsi" w:hAnsiTheme="majorHAnsi"/>
        </w:rPr>
        <w:t xml:space="preserve"> cushioned for individuals with </w:t>
      </w:r>
      <w:r w:rsidR="003A17D3">
        <w:rPr>
          <w:rFonts w:asciiTheme="majorHAnsi" w:hAnsiTheme="majorHAnsi"/>
        </w:rPr>
        <w:t xml:space="preserve">a </w:t>
      </w:r>
      <w:r>
        <w:rPr>
          <w:rFonts w:asciiTheme="majorHAnsi" w:hAnsiTheme="majorHAnsi"/>
        </w:rPr>
        <w:t>PMM</w:t>
      </w:r>
      <w:r w:rsidR="0009632C">
        <w:rPr>
          <w:rFonts w:asciiTheme="majorHAnsi" w:hAnsiTheme="majorHAnsi"/>
        </w:rPr>
        <w:t xml:space="preserve">. </w:t>
      </w:r>
      <w:r w:rsidR="005C47F6">
        <w:rPr>
          <w:rFonts w:asciiTheme="majorHAnsi" w:hAnsiTheme="majorHAnsi"/>
        </w:rPr>
        <w:t>Consequently, we test</w:t>
      </w:r>
      <w:r w:rsidR="0009632C">
        <w:rPr>
          <w:rFonts w:asciiTheme="majorHAnsi" w:hAnsiTheme="majorHAnsi"/>
        </w:rPr>
        <w:t xml:space="preserve"> Hypothesis </w:t>
      </w:r>
      <w:r w:rsidR="0056510B">
        <w:rPr>
          <w:rFonts w:asciiTheme="majorHAnsi" w:hAnsiTheme="majorHAnsi"/>
        </w:rPr>
        <w:t>2</w:t>
      </w:r>
      <w:r w:rsidR="0009632C">
        <w:rPr>
          <w:rFonts w:asciiTheme="majorHAnsi" w:hAnsiTheme="majorHAnsi"/>
        </w:rPr>
        <w:t>:</w:t>
      </w:r>
      <w:r w:rsidR="003A17D3">
        <w:rPr>
          <w:rFonts w:asciiTheme="majorHAnsi" w:hAnsiTheme="majorHAnsi"/>
        </w:rPr>
        <w:t xml:space="preserve"> </w:t>
      </w:r>
    </w:p>
    <w:p w14:paraId="698A5DD0" w14:textId="096D139A" w:rsidR="0009632C" w:rsidRDefault="0009632C" w:rsidP="0009632C">
      <w:pPr>
        <w:spacing w:after="0" w:line="480" w:lineRule="auto"/>
        <w:rPr>
          <w:rFonts w:asciiTheme="majorHAnsi" w:hAnsiTheme="majorHAnsi"/>
          <w:i/>
          <w:lang w:val="en-US"/>
        </w:rPr>
      </w:pPr>
      <w:r w:rsidRPr="00B4361E">
        <w:rPr>
          <w:rFonts w:asciiTheme="majorHAnsi" w:hAnsiTheme="majorHAnsi"/>
          <w:b/>
          <w:lang w:val="en-US"/>
        </w:rPr>
        <w:t>H</w:t>
      </w:r>
      <w:r w:rsidR="0056510B">
        <w:rPr>
          <w:rFonts w:asciiTheme="majorHAnsi" w:hAnsiTheme="majorHAnsi"/>
          <w:b/>
          <w:lang w:val="en-US"/>
        </w:rPr>
        <w:t>2</w:t>
      </w:r>
      <w:r>
        <w:rPr>
          <w:rFonts w:asciiTheme="majorHAnsi" w:hAnsiTheme="majorHAnsi"/>
          <w:lang w:val="en-US"/>
        </w:rPr>
        <w:t xml:space="preserve">: </w:t>
      </w:r>
      <w:r>
        <w:rPr>
          <w:rFonts w:asciiTheme="majorHAnsi" w:hAnsiTheme="majorHAnsi"/>
          <w:i/>
          <w:lang w:val="en-US"/>
        </w:rPr>
        <w:t xml:space="preserve">Individuals with a more </w:t>
      </w:r>
      <w:r w:rsidR="00EC5001">
        <w:rPr>
          <w:rFonts w:asciiTheme="majorHAnsi" w:hAnsiTheme="majorHAnsi"/>
          <w:i/>
          <w:lang w:val="en-US"/>
        </w:rPr>
        <w:t>NMM</w:t>
      </w:r>
      <w:r w:rsidR="00006A11">
        <w:rPr>
          <w:rFonts w:asciiTheme="majorHAnsi" w:hAnsiTheme="majorHAnsi"/>
          <w:i/>
          <w:lang w:val="en-US"/>
        </w:rPr>
        <w:t xml:space="preserve"> </w:t>
      </w:r>
      <w:r>
        <w:rPr>
          <w:rFonts w:asciiTheme="majorHAnsi" w:hAnsiTheme="majorHAnsi"/>
          <w:i/>
          <w:lang w:val="en-US"/>
        </w:rPr>
        <w:t xml:space="preserve">are more likely to </w:t>
      </w:r>
      <w:r w:rsidR="00DC3904">
        <w:rPr>
          <w:rFonts w:asciiTheme="majorHAnsi" w:hAnsiTheme="majorHAnsi"/>
          <w:i/>
          <w:lang w:val="en-US"/>
        </w:rPr>
        <w:t>cease</w:t>
      </w:r>
      <w:r w:rsidR="00006A11">
        <w:rPr>
          <w:rFonts w:asciiTheme="majorHAnsi" w:hAnsiTheme="majorHAnsi"/>
          <w:i/>
          <w:lang w:val="en-US"/>
        </w:rPr>
        <w:t xml:space="preserve"> </w:t>
      </w:r>
      <w:r w:rsidR="00B37430">
        <w:rPr>
          <w:rFonts w:asciiTheme="majorHAnsi" w:hAnsiTheme="majorHAnsi"/>
          <w:i/>
          <w:lang w:val="en-US"/>
        </w:rPr>
        <w:t xml:space="preserve">a </w:t>
      </w:r>
      <w:r w:rsidR="00DC3904">
        <w:rPr>
          <w:rFonts w:asciiTheme="majorHAnsi" w:hAnsiTheme="majorHAnsi"/>
          <w:i/>
          <w:lang w:val="en-US"/>
        </w:rPr>
        <w:t>RA</w:t>
      </w:r>
      <w:r>
        <w:rPr>
          <w:rFonts w:asciiTheme="majorHAnsi" w:hAnsiTheme="majorHAnsi"/>
          <w:i/>
          <w:lang w:val="en-US"/>
        </w:rPr>
        <w:t xml:space="preserve"> </w:t>
      </w:r>
      <w:r w:rsidR="00DC3904">
        <w:rPr>
          <w:rFonts w:asciiTheme="majorHAnsi" w:hAnsiTheme="majorHAnsi"/>
          <w:i/>
          <w:lang w:val="en-US"/>
        </w:rPr>
        <w:t xml:space="preserve">(cf. those with a </w:t>
      </w:r>
      <w:r w:rsidR="00EC5001">
        <w:rPr>
          <w:rFonts w:asciiTheme="majorHAnsi" w:hAnsiTheme="majorHAnsi"/>
          <w:i/>
          <w:lang w:val="en-US"/>
        </w:rPr>
        <w:t>PMM</w:t>
      </w:r>
      <w:r w:rsidR="00DC3904">
        <w:rPr>
          <w:rFonts w:asciiTheme="majorHAnsi" w:hAnsiTheme="majorHAnsi"/>
          <w:i/>
          <w:lang w:val="en-US"/>
        </w:rPr>
        <w:t>)</w:t>
      </w:r>
      <w:r w:rsidR="00006A11">
        <w:rPr>
          <w:rFonts w:asciiTheme="majorHAnsi" w:hAnsiTheme="majorHAnsi"/>
          <w:i/>
          <w:lang w:val="en-US"/>
        </w:rPr>
        <w:t xml:space="preserve"> </w:t>
      </w:r>
      <w:r>
        <w:rPr>
          <w:rFonts w:asciiTheme="majorHAnsi" w:hAnsiTheme="majorHAnsi"/>
          <w:i/>
          <w:lang w:val="en-US"/>
        </w:rPr>
        <w:t>when they fall from above to below the break-even point</w:t>
      </w:r>
      <w:r w:rsidR="00A92FF7">
        <w:rPr>
          <w:rFonts w:asciiTheme="majorHAnsi" w:hAnsiTheme="majorHAnsi"/>
          <w:i/>
          <w:lang w:val="en-US"/>
        </w:rPr>
        <w:t>.</w:t>
      </w:r>
    </w:p>
    <w:p w14:paraId="59F9144B" w14:textId="45222566" w:rsidR="00A00D75" w:rsidRDefault="00A00D75" w:rsidP="000E45AE">
      <w:pPr>
        <w:spacing w:after="0" w:line="480" w:lineRule="auto"/>
        <w:ind w:firstLine="720"/>
        <w:rPr>
          <w:rFonts w:asciiTheme="majorHAnsi" w:hAnsiTheme="majorHAnsi"/>
        </w:rPr>
      </w:pPr>
      <w:r>
        <w:rPr>
          <w:rFonts w:asciiTheme="majorHAnsi" w:hAnsiTheme="majorHAnsi"/>
        </w:rPr>
        <w:t xml:space="preserve">As </w:t>
      </w:r>
      <w:r w:rsidR="00C32D1E">
        <w:rPr>
          <w:rFonts w:asciiTheme="majorHAnsi" w:hAnsiTheme="majorHAnsi"/>
        </w:rPr>
        <w:t xml:space="preserve">discussed </w:t>
      </w:r>
      <w:r>
        <w:rPr>
          <w:rFonts w:asciiTheme="majorHAnsi" w:hAnsiTheme="majorHAnsi"/>
        </w:rPr>
        <w:t>in Section 1.3</w:t>
      </w:r>
      <w:r w:rsidR="00C32D1E">
        <w:rPr>
          <w:rFonts w:asciiTheme="majorHAnsi" w:hAnsiTheme="majorHAnsi"/>
        </w:rPr>
        <w:t>,</w:t>
      </w:r>
      <w:r>
        <w:rPr>
          <w:rFonts w:asciiTheme="majorHAnsi" w:hAnsiTheme="majorHAnsi"/>
        </w:rPr>
        <w:t xml:space="preserve"> we </w:t>
      </w:r>
      <w:r w:rsidR="00C32D1E">
        <w:rPr>
          <w:rFonts w:asciiTheme="majorHAnsi" w:hAnsiTheme="majorHAnsi"/>
        </w:rPr>
        <w:t xml:space="preserve">suspect </w:t>
      </w:r>
      <w:r>
        <w:rPr>
          <w:rFonts w:asciiTheme="majorHAnsi" w:hAnsiTheme="majorHAnsi"/>
        </w:rPr>
        <w:t xml:space="preserve">that those </w:t>
      </w:r>
      <w:r w:rsidR="00F55F22">
        <w:rPr>
          <w:rFonts w:asciiTheme="majorHAnsi" w:hAnsiTheme="majorHAnsi"/>
        </w:rPr>
        <w:t>who have developed a</w:t>
      </w:r>
      <w:r>
        <w:rPr>
          <w:rFonts w:asciiTheme="majorHAnsi" w:hAnsiTheme="majorHAnsi"/>
        </w:rPr>
        <w:t xml:space="preserve"> more </w:t>
      </w:r>
      <w:r w:rsidR="00EC5001">
        <w:rPr>
          <w:rFonts w:asciiTheme="majorHAnsi" w:hAnsiTheme="majorHAnsi"/>
        </w:rPr>
        <w:t>NMM</w:t>
      </w:r>
      <w:r>
        <w:rPr>
          <w:rFonts w:asciiTheme="majorHAnsi" w:hAnsiTheme="majorHAnsi"/>
        </w:rPr>
        <w:t xml:space="preserve"> may be more likely to be driven to engage in chasing behavior </w:t>
      </w:r>
      <w:r w:rsidR="00C32D1E">
        <w:rPr>
          <w:rFonts w:asciiTheme="majorHAnsi" w:hAnsiTheme="majorHAnsi"/>
        </w:rPr>
        <w:t xml:space="preserve">in order to </w:t>
      </w:r>
      <w:r w:rsidR="00717900">
        <w:rPr>
          <w:rFonts w:asciiTheme="majorHAnsi" w:hAnsiTheme="majorHAnsi"/>
        </w:rPr>
        <w:t>break-even</w:t>
      </w:r>
      <w:r>
        <w:rPr>
          <w:rFonts w:asciiTheme="majorHAnsi" w:hAnsiTheme="majorHAnsi"/>
        </w:rPr>
        <w:t xml:space="preserve">. </w:t>
      </w:r>
      <w:r w:rsidR="00C32D1E">
        <w:rPr>
          <w:rFonts w:asciiTheme="majorHAnsi" w:hAnsiTheme="majorHAnsi"/>
        </w:rPr>
        <w:t xml:space="preserve">Consequently, </w:t>
      </w:r>
      <w:r>
        <w:rPr>
          <w:rFonts w:asciiTheme="majorHAnsi" w:hAnsiTheme="majorHAnsi"/>
        </w:rPr>
        <w:t xml:space="preserve">we </w:t>
      </w:r>
      <w:r w:rsidR="00C32D1E">
        <w:rPr>
          <w:rFonts w:asciiTheme="majorHAnsi" w:hAnsiTheme="majorHAnsi"/>
        </w:rPr>
        <w:t xml:space="preserve">expect </w:t>
      </w:r>
      <w:r>
        <w:rPr>
          <w:rFonts w:asciiTheme="majorHAnsi" w:hAnsiTheme="majorHAnsi"/>
        </w:rPr>
        <w:t xml:space="preserve">that they would be more likely to </w:t>
      </w:r>
      <w:r w:rsidR="00C32D1E">
        <w:rPr>
          <w:rFonts w:asciiTheme="majorHAnsi" w:hAnsiTheme="majorHAnsi"/>
        </w:rPr>
        <w:t>cease the RA having</w:t>
      </w:r>
      <w:r>
        <w:rPr>
          <w:rFonts w:asciiTheme="majorHAnsi" w:hAnsiTheme="majorHAnsi"/>
        </w:rPr>
        <w:t xml:space="preserve"> achieved </w:t>
      </w:r>
      <w:r w:rsidR="00C32D1E">
        <w:rPr>
          <w:rFonts w:asciiTheme="majorHAnsi" w:hAnsiTheme="majorHAnsi"/>
        </w:rPr>
        <w:t xml:space="preserve">this </w:t>
      </w:r>
      <w:r>
        <w:rPr>
          <w:rFonts w:asciiTheme="majorHAnsi" w:hAnsiTheme="majorHAnsi"/>
        </w:rPr>
        <w:t xml:space="preserve">goal than </w:t>
      </w:r>
      <w:r w:rsidR="00C32D1E">
        <w:rPr>
          <w:rFonts w:asciiTheme="majorHAnsi" w:hAnsiTheme="majorHAnsi"/>
        </w:rPr>
        <w:t xml:space="preserve">if they have just </w:t>
      </w:r>
      <w:r>
        <w:rPr>
          <w:rFonts w:asciiTheme="majorHAnsi" w:hAnsiTheme="majorHAnsi"/>
        </w:rPr>
        <w:t>experience</w:t>
      </w:r>
      <w:r w:rsidR="00C32D1E">
        <w:rPr>
          <w:rFonts w:asciiTheme="majorHAnsi" w:hAnsiTheme="majorHAnsi"/>
        </w:rPr>
        <w:t>d</w:t>
      </w:r>
      <w:r>
        <w:rPr>
          <w:rFonts w:asciiTheme="majorHAnsi" w:hAnsiTheme="majorHAnsi"/>
        </w:rPr>
        <w:t xml:space="preserve"> consecutive periods in loss. </w:t>
      </w:r>
      <w:r w:rsidR="00C32D1E">
        <w:rPr>
          <w:rFonts w:asciiTheme="majorHAnsi" w:hAnsiTheme="majorHAnsi"/>
        </w:rPr>
        <w:t xml:space="preserve">We explore this view by testing Hypothesis </w:t>
      </w:r>
      <w:r w:rsidR="0056510B">
        <w:rPr>
          <w:rFonts w:asciiTheme="majorHAnsi" w:hAnsiTheme="majorHAnsi"/>
        </w:rPr>
        <w:t>3</w:t>
      </w:r>
      <w:r w:rsidR="00C32D1E">
        <w:rPr>
          <w:rFonts w:asciiTheme="majorHAnsi" w:hAnsiTheme="majorHAnsi"/>
        </w:rPr>
        <w:t>:</w:t>
      </w:r>
    </w:p>
    <w:p w14:paraId="5CB264F9" w14:textId="38959E76" w:rsidR="00C32D1E" w:rsidRDefault="00A00D75" w:rsidP="00A00D75">
      <w:pPr>
        <w:spacing w:after="0" w:line="480" w:lineRule="auto"/>
        <w:rPr>
          <w:rFonts w:asciiTheme="majorHAnsi" w:hAnsiTheme="majorHAnsi"/>
          <w:i/>
          <w:lang w:val="en-US"/>
        </w:rPr>
      </w:pPr>
      <w:r w:rsidRPr="00B4361E">
        <w:rPr>
          <w:rFonts w:asciiTheme="majorHAnsi" w:hAnsiTheme="majorHAnsi"/>
          <w:b/>
          <w:lang w:val="en-US"/>
        </w:rPr>
        <w:t>H</w:t>
      </w:r>
      <w:r w:rsidR="0056510B">
        <w:rPr>
          <w:rFonts w:asciiTheme="majorHAnsi" w:hAnsiTheme="majorHAnsi"/>
          <w:b/>
          <w:lang w:val="en-US"/>
        </w:rPr>
        <w:t>3</w:t>
      </w:r>
      <w:r>
        <w:rPr>
          <w:rFonts w:asciiTheme="majorHAnsi" w:hAnsiTheme="majorHAnsi"/>
          <w:lang w:val="en-US"/>
        </w:rPr>
        <w:t xml:space="preserve">: </w:t>
      </w:r>
      <w:r>
        <w:rPr>
          <w:rFonts w:asciiTheme="majorHAnsi" w:hAnsiTheme="majorHAnsi"/>
          <w:i/>
          <w:lang w:val="en-US"/>
        </w:rPr>
        <w:t xml:space="preserve">Individuals with a more </w:t>
      </w:r>
      <w:r w:rsidR="00EC5001">
        <w:rPr>
          <w:rFonts w:asciiTheme="majorHAnsi" w:hAnsiTheme="majorHAnsi"/>
          <w:i/>
          <w:lang w:val="en-US"/>
        </w:rPr>
        <w:t>NMM</w:t>
      </w:r>
      <w:r w:rsidR="00006A11">
        <w:rPr>
          <w:rFonts w:asciiTheme="majorHAnsi" w:hAnsiTheme="majorHAnsi"/>
          <w:i/>
          <w:lang w:val="en-US"/>
        </w:rPr>
        <w:t xml:space="preserve"> </w:t>
      </w:r>
      <w:r>
        <w:rPr>
          <w:rFonts w:asciiTheme="majorHAnsi" w:hAnsiTheme="majorHAnsi"/>
          <w:i/>
          <w:lang w:val="en-US"/>
        </w:rPr>
        <w:t xml:space="preserve">are more likely to </w:t>
      </w:r>
      <w:r w:rsidR="00C32D1E">
        <w:rPr>
          <w:rFonts w:asciiTheme="majorHAnsi" w:hAnsiTheme="majorHAnsi"/>
          <w:i/>
          <w:lang w:val="en-US"/>
        </w:rPr>
        <w:t>cease</w:t>
      </w:r>
      <w:r>
        <w:rPr>
          <w:rFonts w:asciiTheme="majorHAnsi" w:hAnsiTheme="majorHAnsi"/>
          <w:i/>
          <w:lang w:val="en-US"/>
        </w:rPr>
        <w:t xml:space="preserve"> </w:t>
      </w:r>
      <w:r w:rsidR="00B37430">
        <w:rPr>
          <w:rFonts w:asciiTheme="majorHAnsi" w:hAnsiTheme="majorHAnsi"/>
          <w:i/>
          <w:lang w:val="en-US"/>
        </w:rPr>
        <w:t xml:space="preserve">a </w:t>
      </w:r>
      <w:r w:rsidR="00C32D1E">
        <w:rPr>
          <w:rFonts w:asciiTheme="majorHAnsi" w:hAnsiTheme="majorHAnsi"/>
          <w:i/>
          <w:lang w:val="en-US"/>
        </w:rPr>
        <w:t xml:space="preserve">RA </w:t>
      </w:r>
      <w:r>
        <w:rPr>
          <w:rFonts w:asciiTheme="majorHAnsi" w:hAnsiTheme="majorHAnsi"/>
          <w:i/>
          <w:lang w:val="en-US"/>
        </w:rPr>
        <w:t xml:space="preserve">when they break-even than if they remain in </w:t>
      </w:r>
      <w:r w:rsidR="00C32D1E">
        <w:rPr>
          <w:rFonts w:asciiTheme="majorHAnsi" w:hAnsiTheme="majorHAnsi"/>
          <w:i/>
          <w:lang w:val="en-US"/>
        </w:rPr>
        <w:t>long</w:t>
      </w:r>
      <w:r w:rsidR="00EC5001">
        <w:rPr>
          <w:rFonts w:asciiTheme="majorHAnsi" w:hAnsiTheme="majorHAnsi"/>
          <w:i/>
          <w:lang w:val="en-US"/>
        </w:rPr>
        <w:t>-</w:t>
      </w:r>
      <w:r w:rsidR="00C32D1E">
        <w:rPr>
          <w:rFonts w:asciiTheme="majorHAnsi" w:hAnsiTheme="majorHAnsi"/>
          <w:i/>
          <w:lang w:val="en-US"/>
        </w:rPr>
        <w:t xml:space="preserve">run </w:t>
      </w:r>
      <w:r>
        <w:rPr>
          <w:rFonts w:asciiTheme="majorHAnsi" w:hAnsiTheme="majorHAnsi"/>
          <w:i/>
          <w:lang w:val="en-US"/>
        </w:rPr>
        <w:t>net loss</w:t>
      </w:r>
      <w:r w:rsidR="00D72EA6">
        <w:rPr>
          <w:rFonts w:asciiTheme="majorHAnsi" w:hAnsiTheme="majorHAnsi"/>
          <w:i/>
          <w:lang w:val="en-US"/>
        </w:rPr>
        <w:t xml:space="preserve"> </w:t>
      </w:r>
      <w:r w:rsidR="00171FE3">
        <w:rPr>
          <w:rFonts w:asciiTheme="majorHAnsi" w:hAnsiTheme="majorHAnsi"/>
          <w:i/>
          <w:lang w:val="en-US"/>
        </w:rPr>
        <w:t>between</w:t>
      </w:r>
      <w:r w:rsidR="00D72EA6">
        <w:rPr>
          <w:rFonts w:asciiTheme="majorHAnsi" w:hAnsiTheme="majorHAnsi"/>
          <w:i/>
          <w:lang w:val="en-US"/>
        </w:rPr>
        <w:t xml:space="preserve"> consecutive period</w:t>
      </w:r>
      <w:r w:rsidR="00171FE3">
        <w:rPr>
          <w:rFonts w:asciiTheme="majorHAnsi" w:hAnsiTheme="majorHAnsi"/>
          <w:i/>
          <w:lang w:val="en-US"/>
        </w:rPr>
        <w:t>s</w:t>
      </w:r>
      <w:r>
        <w:rPr>
          <w:rFonts w:asciiTheme="majorHAnsi" w:hAnsiTheme="majorHAnsi"/>
          <w:i/>
          <w:lang w:val="en-US"/>
        </w:rPr>
        <w:t>.</w:t>
      </w:r>
    </w:p>
    <w:p w14:paraId="14FD0512" w14:textId="388C0F60" w:rsidR="00802C74" w:rsidRDefault="00C32D1E" w:rsidP="00713523">
      <w:pPr>
        <w:spacing w:after="0" w:line="480" w:lineRule="auto"/>
        <w:ind w:firstLine="720"/>
        <w:rPr>
          <w:rFonts w:asciiTheme="majorHAnsi" w:hAnsiTheme="majorHAnsi"/>
          <w:lang w:val="en-US"/>
        </w:rPr>
      </w:pPr>
      <w:r w:rsidRPr="00B37430">
        <w:rPr>
          <w:rFonts w:asciiTheme="majorHAnsi" w:hAnsiTheme="majorHAnsi"/>
          <w:lang w:val="en-US"/>
        </w:rPr>
        <w:t>W</w:t>
      </w:r>
      <w:r w:rsidR="00EB192C" w:rsidRPr="00B37430">
        <w:rPr>
          <w:rFonts w:asciiTheme="majorHAnsi" w:hAnsiTheme="majorHAnsi"/>
          <w:lang w:val="en-US"/>
        </w:rPr>
        <w:t xml:space="preserve">e suspect that individuals </w:t>
      </w:r>
      <w:r w:rsidR="00F55F22">
        <w:rPr>
          <w:rFonts w:asciiTheme="majorHAnsi" w:hAnsiTheme="majorHAnsi"/>
          <w:lang w:val="en-US"/>
        </w:rPr>
        <w:t xml:space="preserve">who have developed </w:t>
      </w:r>
      <w:r w:rsidR="0086586A" w:rsidRPr="00B37430">
        <w:rPr>
          <w:rFonts w:asciiTheme="majorHAnsi" w:hAnsiTheme="majorHAnsi"/>
          <w:lang w:val="en-US"/>
        </w:rPr>
        <w:t xml:space="preserve">a </w:t>
      </w:r>
      <w:r w:rsidR="00F55F22">
        <w:rPr>
          <w:rFonts w:asciiTheme="majorHAnsi" w:hAnsiTheme="majorHAnsi"/>
          <w:lang w:val="en-US"/>
        </w:rPr>
        <w:t>PMM</w:t>
      </w:r>
      <w:r w:rsidR="00A00D75" w:rsidRPr="00B37430">
        <w:rPr>
          <w:rFonts w:asciiTheme="majorHAnsi" w:hAnsiTheme="majorHAnsi"/>
          <w:lang w:val="en-US"/>
        </w:rPr>
        <w:t xml:space="preserve">, may demonstrate the opposite pattern of behavior. </w:t>
      </w:r>
      <w:r w:rsidR="00481AD7" w:rsidRPr="00B37430">
        <w:rPr>
          <w:rFonts w:asciiTheme="majorHAnsi" w:hAnsiTheme="majorHAnsi"/>
          <w:lang w:val="en-US"/>
        </w:rPr>
        <w:t>In particular, c</w:t>
      </w:r>
      <w:r w:rsidR="00A00D75" w:rsidRPr="00B37430">
        <w:rPr>
          <w:rFonts w:asciiTheme="majorHAnsi" w:hAnsiTheme="majorHAnsi"/>
          <w:lang w:val="en-US"/>
        </w:rPr>
        <w:t xml:space="preserve">onsecutive </w:t>
      </w:r>
      <w:r w:rsidR="00481AD7" w:rsidRPr="00B37430">
        <w:rPr>
          <w:rFonts w:asciiTheme="majorHAnsi" w:hAnsiTheme="majorHAnsi"/>
          <w:lang w:val="en-US"/>
        </w:rPr>
        <w:t xml:space="preserve">transactions leaving them in </w:t>
      </w:r>
      <w:r w:rsidR="00A00D75" w:rsidRPr="00B37430">
        <w:rPr>
          <w:rFonts w:asciiTheme="majorHAnsi" w:hAnsiTheme="majorHAnsi"/>
          <w:lang w:val="en-US"/>
        </w:rPr>
        <w:t xml:space="preserve">net loss would challenge their current mental model and could be enough to lead them to </w:t>
      </w:r>
      <w:r w:rsidR="00EC5001" w:rsidRPr="00B37430">
        <w:rPr>
          <w:rFonts w:asciiTheme="majorHAnsi" w:hAnsiTheme="majorHAnsi"/>
          <w:lang w:val="en-US"/>
        </w:rPr>
        <w:t>cease</w:t>
      </w:r>
      <w:r w:rsidR="00A00D75" w:rsidRPr="00B37430">
        <w:rPr>
          <w:rFonts w:asciiTheme="majorHAnsi" w:hAnsiTheme="majorHAnsi"/>
          <w:lang w:val="en-US"/>
        </w:rPr>
        <w:t xml:space="preserve"> the </w:t>
      </w:r>
      <w:r w:rsidR="00481AD7" w:rsidRPr="00B37430">
        <w:rPr>
          <w:rFonts w:asciiTheme="majorHAnsi" w:hAnsiTheme="majorHAnsi"/>
          <w:lang w:val="en-US"/>
        </w:rPr>
        <w:t>RA</w:t>
      </w:r>
      <w:r w:rsidR="00802C74" w:rsidRPr="00B37430">
        <w:rPr>
          <w:rFonts w:asciiTheme="majorHAnsi" w:hAnsiTheme="majorHAnsi"/>
          <w:lang w:val="en-US"/>
        </w:rPr>
        <w:t xml:space="preserve">. However, a </w:t>
      </w:r>
      <w:r w:rsidR="00481AD7" w:rsidRPr="00B37430">
        <w:rPr>
          <w:rFonts w:asciiTheme="majorHAnsi" w:hAnsiTheme="majorHAnsi"/>
          <w:lang w:val="en-US"/>
        </w:rPr>
        <w:t xml:space="preserve">transaction causing a </w:t>
      </w:r>
      <w:r w:rsidR="00802C74" w:rsidRPr="00B37430">
        <w:rPr>
          <w:rFonts w:asciiTheme="majorHAnsi" w:hAnsiTheme="majorHAnsi"/>
          <w:lang w:val="en-US"/>
        </w:rPr>
        <w:t>move from net loss to net profit</w:t>
      </w:r>
      <w:r w:rsidR="00802C74">
        <w:rPr>
          <w:rFonts w:asciiTheme="majorHAnsi" w:hAnsiTheme="majorHAnsi"/>
          <w:lang w:val="en-US"/>
        </w:rPr>
        <w:t xml:space="preserve"> </w:t>
      </w:r>
      <w:r w:rsidR="00B37430">
        <w:rPr>
          <w:rFonts w:asciiTheme="majorHAnsi" w:hAnsiTheme="majorHAnsi"/>
          <w:lang w:val="en-US"/>
        </w:rPr>
        <w:t xml:space="preserve">may </w:t>
      </w:r>
      <w:r w:rsidR="00481AD7">
        <w:rPr>
          <w:rFonts w:asciiTheme="majorHAnsi" w:hAnsiTheme="majorHAnsi"/>
          <w:lang w:val="en-US"/>
        </w:rPr>
        <w:t xml:space="preserve">simply </w:t>
      </w:r>
      <w:r w:rsidR="00802C74">
        <w:rPr>
          <w:rFonts w:asciiTheme="majorHAnsi" w:hAnsiTheme="majorHAnsi"/>
          <w:lang w:val="en-US"/>
        </w:rPr>
        <w:t>confirm</w:t>
      </w:r>
      <w:r w:rsidR="00481AD7">
        <w:rPr>
          <w:rFonts w:asciiTheme="majorHAnsi" w:hAnsiTheme="majorHAnsi"/>
          <w:lang w:val="en-US"/>
        </w:rPr>
        <w:t xml:space="preserve"> </w:t>
      </w:r>
      <w:r w:rsidR="00802C74">
        <w:rPr>
          <w:rFonts w:asciiTheme="majorHAnsi" w:hAnsiTheme="majorHAnsi"/>
          <w:lang w:val="en-US"/>
        </w:rPr>
        <w:t>their mental model</w:t>
      </w:r>
      <w:r w:rsidR="00481AD7">
        <w:rPr>
          <w:rFonts w:asciiTheme="majorHAnsi" w:hAnsiTheme="majorHAnsi"/>
          <w:lang w:val="en-US"/>
        </w:rPr>
        <w:t xml:space="preserve">, thus being of </w:t>
      </w:r>
      <w:r w:rsidR="00802C74">
        <w:rPr>
          <w:rFonts w:asciiTheme="majorHAnsi" w:hAnsiTheme="majorHAnsi"/>
          <w:lang w:val="en-US"/>
        </w:rPr>
        <w:t>less salien</w:t>
      </w:r>
      <w:r w:rsidR="00481AD7">
        <w:rPr>
          <w:rFonts w:asciiTheme="majorHAnsi" w:hAnsiTheme="majorHAnsi"/>
          <w:lang w:val="en-US"/>
        </w:rPr>
        <w:t>ce and having less impact on their</w:t>
      </w:r>
      <w:r w:rsidR="00802C74">
        <w:rPr>
          <w:rFonts w:asciiTheme="majorHAnsi" w:hAnsiTheme="majorHAnsi"/>
          <w:lang w:val="en-US"/>
        </w:rPr>
        <w:t xml:space="preserve"> likelihood of </w:t>
      </w:r>
      <w:r w:rsidR="00481AD7">
        <w:rPr>
          <w:rFonts w:asciiTheme="majorHAnsi" w:hAnsiTheme="majorHAnsi"/>
          <w:lang w:val="en-US"/>
        </w:rPr>
        <w:t xml:space="preserve">ceasing </w:t>
      </w:r>
      <w:r w:rsidR="00802C74">
        <w:rPr>
          <w:rFonts w:asciiTheme="majorHAnsi" w:hAnsiTheme="majorHAnsi"/>
          <w:lang w:val="en-US"/>
        </w:rPr>
        <w:t xml:space="preserve">the RA. </w:t>
      </w:r>
      <w:r w:rsidR="00B37430">
        <w:rPr>
          <w:rFonts w:asciiTheme="majorHAnsi" w:hAnsiTheme="majorHAnsi"/>
          <w:lang w:val="en-US"/>
        </w:rPr>
        <w:t>Consequently, we test the following</w:t>
      </w:r>
      <w:r w:rsidR="0056510B">
        <w:rPr>
          <w:rFonts w:asciiTheme="majorHAnsi" w:hAnsiTheme="majorHAnsi"/>
          <w:lang w:val="en-US"/>
        </w:rPr>
        <w:t xml:space="preserve"> </w:t>
      </w:r>
      <w:r w:rsidR="00EB192C">
        <w:rPr>
          <w:rFonts w:asciiTheme="majorHAnsi" w:hAnsiTheme="majorHAnsi"/>
          <w:lang w:val="en-US"/>
        </w:rPr>
        <w:t>hypothesis</w:t>
      </w:r>
      <w:r w:rsidR="008B3087">
        <w:rPr>
          <w:rFonts w:asciiTheme="majorHAnsi" w:hAnsiTheme="majorHAnsi"/>
          <w:lang w:val="en-US"/>
        </w:rPr>
        <w:t>:</w:t>
      </w:r>
    </w:p>
    <w:p w14:paraId="705F2738" w14:textId="7E61613E" w:rsidR="00D72EA6" w:rsidRDefault="00802C74" w:rsidP="00902C15">
      <w:pPr>
        <w:spacing w:after="0" w:line="480" w:lineRule="auto"/>
        <w:rPr>
          <w:rFonts w:asciiTheme="majorHAnsi" w:hAnsiTheme="majorHAnsi"/>
          <w:i/>
          <w:lang w:val="en-US"/>
        </w:rPr>
      </w:pPr>
      <w:r w:rsidRPr="00B4361E">
        <w:rPr>
          <w:rFonts w:asciiTheme="majorHAnsi" w:hAnsiTheme="majorHAnsi"/>
          <w:b/>
          <w:lang w:val="en-US"/>
        </w:rPr>
        <w:t>H</w:t>
      </w:r>
      <w:r w:rsidR="0056510B">
        <w:rPr>
          <w:rFonts w:asciiTheme="majorHAnsi" w:hAnsiTheme="majorHAnsi"/>
          <w:b/>
          <w:lang w:val="en-US"/>
        </w:rPr>
        <w:t>4</w:t>
      </w:r>
      <w:r>
        <w:rPr>
          <w:rFonts w:asciiTheme="majorHAnsi" w:hAnsiTheme="majorHAnsi"/>
          <w:lang w:val="en-US"/>
        </w:rPr>
        <w:t xml:space="preserve">: </w:t>
      </w:r>
      <w:r w:rsidR="00D72EA6">
        <w:rPr>
          <w:rFonts w:asciiTheme="majorHAnsi" w:hAnsiTheme="majorHAnsi"/>
          <w:i/>
          <w:lang w:val="en-US"/>
        </w:rPr>
        <w:t xml:space="preserve">Individuals with a more PMM are more likely to cease </w:t>
      </w:r>
      <w:r w:rsidR="00B37430">
        <w:rPr>
          <w:rFonts w:asciiTheme="majorHAnsi" w:hAnsiTheme="majorHAnsi"/>
          <w:i/>
          <w:lang w:val="en-US"/>
        </w:rPr>
        <w:t xml:space="preserve">a </w:t>
      </w:r>
      <w:r w:rsidR="00D72EA6">
        <w:rPr>
          <w:rFonts w:asciiTheme="majorHAnsi" w:hAnsiTheme="majorHAnsi"/>
          <w:i/>
          <w:lang w:val="en-US"/>
        </w:rPr>
        <w:t xml:space="preserve">RA when they remain in net loss </w:t>
      </w:r>
      <w:r w:rsidR="00552CE1">
        <w:rPr>
          <w:rFonts w:asciiTheme="majorHAnsi" w:hAnsiTheme="majorHAnsi"/>
          <w:i/>
          <w:lang w:val="en-US"/>
        </w:rPr>
        <w:t>between</w:t>
      </w:r>
      <w:r w:rsidR="00D72EA6">
        <w:rPr>
          <w:rFonts w:asciiTheme="majorHAnsi" w:hAnsiTheme="majorHAnsi"/>
          <w:i/>
          <w:lang w:val="en-US"/>
        </w:rPr>
        <w:t xml:space="preserve"> consecutive period</w:t>
      </w:r>
      <w:r w:rsidR="00552CE1">
        <w:rPr>
          <w:rFonts w:asciiTheme="majorHAnsi" w:hAnsiTheme="majorHAnsi"/>
          <w:i/>
          <w:lang w:val="en-US"/>
        </w:rPr>
        <w:t>s</w:t>
      </w:r>
      <w:r w:rsidR="00D72EA6">
        <w:rPr>
          <w:rFonts w:asciiTheme="majorHAnsi" w:hAnsiTheme="majorHAnsi"/>
          <w:i/>
          <w:lang w:val="en-US"/>
        </w:rPr>
        <w:t xml:space="preserve"> than if they break-even.</w:t>
      </w:r>
    </w:p>
    <w:p w14:paraId="06BA323A" w14:textId="7F4AE5E9" w:rsidR="00D35E52" w:rsidRDefault="00A760A7" w:rsidP="00902C15">
      <w:pPr>
        <w:spacing w:after="0" w:line="480" w:lineRule="auto"/>
        <w:rPr>
          <w:rFonts w:asciiTheme="majorHAnsi" w:hAnsiTheme="majorHAnsi"/>
          <w:lang w:val="en-US"/>
        </w:rPr>
      </w:pPr>
      <w:r>
        <w:rPr>
          <w:rFonts w:asciiTheme="majorHAnsi" w:hAnsiTheme="majorHAnsi"/>
          <w:b/>
          <w:lang w:val="en-US"/>
        </w:rPr>
        <w:tab/>
      </w:r>
      <w:r w:rsidR="00481AD7">
        <w:rPr>
          <w:rFonts w:asciiTheme="majorHAnsi" w:hAnsiTheme="majorHAnsi"/>
          <w:lang w:val="en-US"/>
        </w:rPr>
        <w:t>S</w:t>
      </w:r>
      <w:r w:rsidRPr="0027778C">
        <w:rPr>
          <w:rFonts w:asciiTheme="majorHAnsi" w:hAnsiTheme="majorHAnsi"/>
          <w:lang w:val="en-US"/>
        </w:rPr>
        <w:t xml:space="preserve">upport </w:t>
      </w:r>
      <w:r w:rsidR="00FD2D98">
        <w:rPr>
          <w:rFonts w:asciiTheme="majorHAnsi" w:hAnsiTheme="majorHAnsi"/>
          <w:lang w:val="en-US"/>
        </w:rPr>
        <w:t>for</w:t>
      </w:r>
      <w:r w:rsidR="00FD2D98" w:rsidRPr="0027778C">
        <w:rPr>
          <w:rFonts w:asciiTheme="majorHAnsi" w:hAnsiTheme="majorHAnsi"/>
          <w:lang w:val="en-US"/>
        </w:rPr>
        <w:t xml:space="preserve"> </w:t>
      </w:r>
      <w:r w:rsidR="00802C74">
        <w:rPr>
          <w:rFonts w:asciiTheme="majorHAnsi" w:hAnsiTheme="majorHAnsi"/>
          <w:lang w:val="en-US"/>
        </w:rPr>
        <w:t>H</w:t>
      </w:r>
      <w:r w:rsidR="0027778C" w:rsidRPr="0027778C">
        <w:rPr>
          <w:rFonts w:asciiTheme="majorHAnsi" w:hAnsiTheme="majorHAnsi"/>
          <w:lang w:val="en-US"/>
        </w:rPr>
        <w:t>1</w:t>
      </w:r>
      <w:r w:rsidRPr="0027778C">
        <w:rPr>
          <w:rFonts w:asciiTheme="majorHAnsi" w:hAnsiTheme="majorHAnsi"/>
          <w:lang w:val="en-US"/>
        </w:rPr>
        <w:t xml:space="preserve"> would revea</w:t>
      </w:r>
      <w:r>
        <w:rPr>
          <w:rFonts w:asciiTheme="majorHAnsi" w:hAnsiTheme="majorHAnsi"/>
          <w:lang w:val="en-US"/>
        </w:rPr>
        <w:t>l evidence in favor of the notion that a change in wealth around the break-even point is particularly salient to individuals</w:t>
      </w:r>
      <w:r w:rsidR="0027778C">
        <w:rPr>
          <w:rFonts w:asciiTheme="majorHAnsi" w:hAnsiTheme="majorHAnsi"/>
          <w:lang w:val="en-US"/>
        </w:rPr>
        <w:t xml:space="preserve"> when deciding whether </w:t>
      </w:r>
      <w:r w:rsidR="00FD2D98">
        <w:rPr>
          <w:rFonts w:asciiTheme="majorHAnsi" w:hAnsiTheme="majorHAnsi"/>
          <w:lang w:val="en-US"/>
        </w:rPr>
        <w:t xml:space="preserve">to </w:t>
      </w:r>
      <w:r w:rsidR="00064C13">
        <w:rPr>
          <w:rFonts w:asciiTheme="majorHAnsi" w:hAnsiTheme="majorHAnsi"/>
          <w:lang w:val="en-US"/>
        </w:rPr>
        <w:t>cease</w:t>
      </w:r>
      <w:r w:rsidR="0027778C">
        <w:rPr>
          <w:rFonts w:asciiTheme="majorHAnsi" w:hAnsiTheme="majorHAnsi"/>
          <w:lang w:val="en-US"/>
        </w:rPr>
        <w:t xml:space="preserve"> </w:t>
      </w:r>
      <w:r w:rsidR="00FD2D98">
        <w:rPr>
          <w:rFonts w:asciiTheme="majorHAnsi" w:hAnsiTheme="majorHAnsi"/>
          <w:lang w:val="en-US"/>
        </w:rPr>
        <w:t xml:space="preserve">a </w:t>
      </w:r>
      <w:r w:rsidR="0015251B">
        <w:rPr>
          <w:rFonts w:asciiTheme="majorHAnsi" w:hAnsiTheme="majorHAnsi"/>
          <w:lang w:val="en-US"/>
        </w:rPr>
        <w:t>RA</w:t>
      </w:r>
      <w:r w:rsidR="0027778C">
        <w:rPr>
          <w:rFonts w:asciiTheme="majorHAnsi" w:hAnsiTheme="majorHAnsi"/>
          <w:lang w:val="en-US"/>
        </w:rPr>
        <w:t xml:space="preserve">. </w:t>
      </w:r>
      <w:r w:rsidR="00802C74">
        <w:rPr>
          <w:rFonts w:asciiTheme="majorHAnsi" w:hAnsiTheme="majorHAnsi"/>
          <w:lang w:val="en-US"/>
        </w:rPr>
        <w:t>Support for H</w:t>
      </w:r>
      <w:r w:rsidR="0056510B">
        <w:rPr>
          <w:rFonts w:asciiTheme="majorHAnsi" w:hAnsiTheme="majorHAnsi"/>
          <w:lang w:val="en-US"/>
        </w:rPr>
        <w:t>2, 3 and 4</w:t>
      </w:r>
      <w:r w:rsidR="00802C74">
        <w:rPr>
          <w:rFonts w:asciiTheme="majorHAnsi" w:hAnsiTheme="majorHAnsi"/>
          <w:lang w:val="en-US"/>
        </w:rPr>
        <w:t xml:space="preserve"> </w:t>
      </w:r>
      <w:r w:rsidR="00D35E52">
        <w:rPr>
          <w:rFonts w:asciiTheme="majorHAnsi" w:hAnsiTheme="majorHAnsi"/>
          <w:lang w:val="en-US"/>
        </w:rPr>
        <w:t>would</w:t>
      </w:r>
      <w:r w:rsidR="00D10E30">
        <w:rPr>
          <w:rFonts w:asciiTheme="majorHAnsi" w:hAnsiTheme="majorHAnsi"/>
          <w:lang w:val="en-US"/>
        </w:rPr>
        <w:t xml:space="preserve"> </w:t>
      </w:r>
      <w:r w:rsidR="00D35E52">
        <w:rPr>
          <w:rFonts w:asciiTheme="majorHAnsi" w:hAnsiTheme="majorHAnsi"/>
          <w:lang w:val="en-US"/>
        </w:rPr>
        <w:t>suggest that memory of longer-term performance plays a</w:t>
      </w:r>
      <w:r w:rsidR="00802C74">
        <w:rPr>
          <w:rFonts w:asciiTheme="majorHAnsi" w:hAnsiTheme="majorHAnsi"/>
          <w:lang w:val="en-US"/>
        </w:rPr>
        <w:t>n important</w:t>
      </w:r>
      <w:r w:rsidR="00D35E52">
        <w:rPr>
          <w:rFonts w:asciiTheme="majorHAnsi" w:hAnsiTheme="majorHAnsi"/>
          <w:lang w:val="en-US"/>
        </w:rPr>
        <w:t xml:space="preserve"> role </w:t>
      </w:r>
      <w:r w:rsidR="00064C13">
        <w:rPr>
          <w:rFonts w:asciiTheme="majorHAnsi" w:hAnsiTheme="majorHAnsi"/>
          <w:lang w:val="en-US"/>
        </w:rPr>
        <w:t xml:space="preserve">in affecting how </w:t>
      </w:r>
      <w:r w:rsidR="00726B4F">
        <w:rPr>
          <w:rFonts w:asciiTheme="majorHAnsi" w:hAnsiTheme="majorHAnsi"/>
          <w:lang w:val="en-US"/>
        </w:rPr>
        <w:t>individual</w:t>
      </w:r>
      <w:r w:rsidR="00F55F22">
        <w:rPr>
          <w:rFonts w:asciiTheme="majorHAnsi" w:hAnsiTheme="majorHAnsi"/>
          <w:lang w:val="en-US"/>
        </w:rPr>
        <w:t xml:space="preserve">s </w:t>
      </w:r>
      <w:r w:rsidR="00481AD7">
        <w:rPr>
          <w:rFonts w:asciiTheme="majorHAnsi" w:hAnsiTheme="majorHAnsi"/>
          <w:lang w:val="en-US"/>
        </w:rPr>
        <w:t xml:space="preserve">interpret </w:t>
      </w:r>
      <w:r w:rsidR="00802C74">
        <w:rPr>
          <w:rFonts w:asciiTheme="majorHAnsi" w:hAnsiTheme="majorHAnsi"/>
          <w:lang w:val="en-US"/>
        </w:rPr>
        <w:t xml:space="preserve">more recent information. Importantly, this would </w:t>
      </w:r>
      <w:r w:rsidR="00064C13">
        <w:rPr>
          <w:rFonts w:asciiTheme="majorHAnsi" w:hAnsiTheme="majorHAnsi"/>
          <w:lang w:val="en-US"/>
        </w:rPr>
        <w:t>suggest</w:t>
      </w:r>
      <w:r w:rsidR="00802C74">
        <w:rPr>
          <w:rFonts w:asciiTheme="majorHAnsi" w:hAnsiTheme="majorHAnsi"/>
          <w:lang w:val="en-US"/>
        </w:rPr>
        <w:t xml:space="preserve"> that the decision to </w:t>
      </w:r>
      <w:r w:rsidR="00064C13">
        <w:rPr>
          <w:rFonts w:asciiTheme="majorHAnsi" w:hAnsiTheme="majorHAnsi"/>
          <w:lang w:val="en-US"/>
        </w:rPr>
        <w:t>cease</w:t>
      </w:r>
      <w:r w:rsidR="00802C74">
        <w:rPr>
          <w:rFonts w:asciiTheme="majorHAnsi" w:hAnsiTheme="majorHAnsi"/>
          <w:lang w:val="en-US"/>
        </w:rPr>
        <w:t xml:space="preserve"> a RA depends on the interaction between the individual</w:t>
      </w:r>
      <w:r w:rsidR="00726B4F">
        <w:rPr>
          <w:rFonts w:asciiTheme="majorHAnsi" w:hAnsiTheme="majorHAnsi"/>
          <w:lang w:val="en-US"/>
        </w:rPr>
        <w:t>’</w:t>
      </w:r>
      <w:r w:rsidR="00802C74">
        <w:rPr>
          <w:rFonts w:asciiTheme="majorHAnsi" w:hAnsiTheme="majorHAnsi"/>
          <w:lang w:val="en-US"/>
        </w:rPr>
        <w:t xml:space="preserve">s longer-term </w:t>
      </w:r>
      <w:r w:rsidR="00726B4F">
        <w:rPr>
          <w:rFonts w:asciiTheme="majorHAnsi" w:hAnsiTheme="majorHAnsi"/>
          <w:lang w:val="en-US"/>
        </w:rPr>
        <w:t>and short</w:t>
      </w:r>
      <w:r w:rsidR="00064C13">
        <w:rPr>
          <w:rFonts w:asciiTheme="majorHAnsi" w:hAnsiTheme="majorHAnsi"/>
          <w:lang w:val="en-US"/>
        </w:rPr>
        <w:t>er-</w:t>
      </w:r>
      <w:r w:rsidR="00726B4F">
        <w:rPr>
          <w:rFonts w:asciiTheme="majorHAnsi" w:hAnsiTheme="majorHAnsi"/>
          <w:lang w:val="en-US"/>
        </w:rPr>
        <w:t xml:space="preserve">term </w:t>
      </w:r>
      <w:r w:rsidR="00802C74">
        <w:rPr>
          <w:rFonts w:asciiTheme="majorHAnsi" w:hAnsiTheme="majorHAnsi"/>
          <w:lang w:val="en-US"/>
        </w:rPr>
        <w:t>performance.</w:t>
      </w:r>
    </w:p>
    <w:p w14:paraId="45596630" w14:textId="63960E47" w:rsidR="00A760A7" w:rsidRPr="00A760A7" w:rsidRDefault="00A760A7" w:rsidP="005A14AF">
      <w:pPr>
        <w:spacing w:after="0" w:line="480" w:lineRule="auto"/>
        <w:rPr>
          <w:rFonts w:asciiTheme="majorHAnsi" w:hAnsiTheme="majorHAnsi"/>
          <w:lang w:val="en-US"/>
        </w:rPr>
      </w:pPr>
    </w:p>
    <w:p w14:paraId="11B2203F" w14:textId="77777777" w:rsidR="005A14AF" w:rsidRDefault="00D80F55" w:rsidP="005A14AF">
      <w:pPr>
        <w:spacing w:after="0" w:line="480" w:lineRule="auto"/>
        <w:rPr>
          <w:rFonts w:asciiTheme="majorHAnsi" w:hAnsiTheme="majorHAnsi"/>
          <w:b/>
          <w:lang w:val="en-US"/>
        </w:rPr>
      </w:pPr>
      <w:r>
        <w:rPr>
          <w:rFonts w:asciiTheme="majorHAnsi" w:hAnsiTheme="majorHAnsi"/>
          <w:b/>
          <w:lang w:val="en-US"/>
        </w:rPr>
        <w:t>2</w:t>
      </w:r>
      <w:r w:rsidR="005A14AF">
        <w:rPr>
          <w:rFonts w:asciiTheme="majorHAnsi" w:hAnsiTheme="majorHAnsi"/>
          <w:b/>
          <w:lang w:val="en-US"/>
        </w:rPr>
        <w:t xml:space="preserve"> METHOD</w:t>
      </w:r>
    </w:p>
    <w:p w14:paraId="798BDE6F" w14:textId="77777777" w:rsidR="005A14AF" w:rsidRDefault="005A14AF" w:rsidP="005A14AF">
      <w:pPr>
        <w:spacing w:after="0" w:line="480" w:lineRule="auto"/>
        <w:rPr>
          <w:rFonts w:asciiTheme="majorHAnsi" w:hAnsiTheme="majorHAnsi"/>
          <w:b/>
          <w:lang w:val="en-US"/>
        </w:rPr>
      </w:pPr>
      <w:bookmarkStart w:id="4" w:name="_Hlk520298476"/>
      <w:r>
        <w:rPr>
          <w:rFonts w:asciiTheme="majorHAnsi" w:hAnsiTheme="majorHAnsi"/>
          <w:b/>
          <w:lang w:val="en-US"/>
        </w:rPr>
        <w:t>2.1 Data</w:t>
      </w:r>
    </w:p>
    <w:p w14:paraId="72341F5B" w14:textId="0C8C1038" w:rsidR="005C7BE4" w:rsidRPr="001410E6" w:rsidRDefault="00F636F7" w:rsidP="000C604C">
      <w:pPr>
        <w:spacing w:after="0" w:line="480" w:lineRule="auto"/>
        <w:ind w:firstLine="720"/>
        <w:rPr>
          <w:rFonts w:asciiTheme="majorHAnsi" w:hAnsiTheme="majorHAnsi"/>
          <w:lang w:val="en-US"/>
        </w:rPr>
      </w:pPr>
      <w:r>
        <w:rPr>
          <w:rFonts w:asciiTheme="majorHAnsi" w:hAnsiTheme="majorHAnsi"/>
          <w:lang w:val="en-US"/>
        </w:rPr>
        <w:t xml:space="preserve">We obtained a dataset of </w:t>
      </w:r>
      <w:r w:rsidR="00B060B7">
        <w:rPr>
          <w:rFonts w:asciiTheme="majorHAnsi" w:hAnsiTheme="majorHAnsi"/>
          <w:lang w:val="en-US"/>
        </w:rPr>
        <w:t xml:space="preserve">the trading histories of </w:t>
      </w:r>
      <w:r>
        <w:rPr>
          <w:rFonts w:asciiTheme="majorHAnsi" w:hAnsiTheme="majorHAnsi"/>
          <w:lang w:val="en-US"/>
        </w:rPr>
        <w:t xml:space="preserve">29,434 </w:t>
      </w:r>
      <w:r w:rsidR="00B060B7">
        <w:rPr>
          <w:rFonts w:asciiTheme="majorHAnsi" w:hAnsiTheme="majorHAnsi"/>
          <w:lang w:val="en-US"/>
        </w:rPr>
        <w:t xml:space="preserve">individual clients of </w:t>
      </w:r>
      <w:r w:rsidRPr="00064C13">
        <w:rPr>
          <w:rFonts w:asciiTheme="majorHAnsi" w:hAnsiTheme="majorHAnsi"/>
          <w:lang w:val="en-US"/>
        </w:rPr>
        <w:t xml:space="preserve"> </w:t>
      </w:r>
      <w:r>
        <w:rPr>
          <w:rFonts w:asciiTheme="majorHAnsi" w:hAnsiTheme="majorHAnsi"/>
          <w:lang w:val="en-US"/>
        </w:rPr>
        <w:t xml:space="preserve">a large UK retail brokerage. </w:t>
      </w:r>
      <w:r w:rsidR="0070202F">
        <w:rPr>
          <w:rFonts w:asciiTheme="majorHAnsi" w:hAnsiTheme="majorHAnsi"/>
          <w:lang w:val="en-US"/>
        </w:rPr>
        <w:t>W</w:t>
      </w:r>
      <w:r>
        <w:rPr>
          <w:rFonts w:asciiTheme="majorHAnsi" w:hAnsiTheme="majorHAnsi"/>
          <w:lang w:val="en-US"/>
        </w:rPr>
        <w:t xml:space="preserve">e focused on one of the most popular markets </w:t>
      </w:r>
      <w:r w:rsidR="000C604C">
        <w:rPr>
          <w:rFonts w:asciiTheme="majorHAnsi" w:hAnsiTheme="majorHAnsi"/>
          <w:lang w:val="en-US"/>
        </w:rPr>
        <w:t xml:space="preserve">for which we also had access to tick level </w:t>
      </w:r>
      <w:r w:rsidR="00B060B7">
        <w:rPr>
          <w:rFonts w:asciiTheme="majorHAnsi" w:hAnsiTheme="majorHAnsi"/>
          <w:lang w:val="en-US"/>
        </w:rPr>
        <w:t xml:space="preserve">market </w:t>
      </w:r>
      <w:r w:rsidR="000C604C">
        <w:rPr>
          <w:rFonts w:asciiTheme="majorHAnsi" w:hAnsiTheme="majorHAnsi"/>
          <w:lang w:val="en-US"/>
        </w:rPr>
        <w:t>price data</w:t>
      </w:r>
      <w:r w:rsidR="00B060B7">
        <w:rPr>
          <w:rFonts w:asciiTheme="majorHAnsi" w:hAnsiTheme="majorHAnsi"/>
          <w:lang w:val="en-US"/>
        </w:rPr>
        <w:t>, namely the FTSE 100 Rolling Futures market</w:t>
      </w:r>
      <w:r w:rsidR="000C604C">
        <w:rPr>
          <w:rFonts w:asciiTheme="majorHAnsi" w:hAnsiTheme="majorHAnsi"/>
          <w:lang w:val="en-US"/>
        </w:rPr>
        <w:t xml:space="preserve">. </w:t>
      </w:r>
      <w:r w:rsidR="00B060B7">
        <w:rPr>
          <w:rFonts w:asciiTheme="majorHAnsi" w:hAnsiTheme="majorHAnsi"/>
          <w:lang w:val="en-US"/>
        </w:rPr>
        <w:t xml:space="preserve">We </w:t>
      </w:r>
      <w:r w:rsidR="000C604C">
        <w:rPr>
          <w:rFonts w:asciiTheme="majorHAnsi" w:hAnsiTheme="majorHAnsi"/>
          <w:lang w:val="en-US"/>
        </w:rPr>
        <w:t xml:space="preserve"> did not want activity in other markets to </w:t>
      </w:r>
      <w:r w:rsidR="00B060B7">
        <w:rPr>
          <w:rFonts w:asciiTheme="majorHAnsi" w:hAnsiTheme="majorHAnsi"/>
          <w:lang w:val="en-US"/>
        </w:rPr>
        <w:t>distort</w:t>
      </w:r>
      <w:r w:rsidR="000C604C">
        <w:rPr>
          <w:rFonts w:asciiTheme="majorHAnsi" w:hAnsiTheme="majorHAnsi"/>
          <w:lang w:val="en-US"/>
        </w:rPr>
        <w:t xml:space="preserve"> our analysis</w:t>
      </w:r>
      <w:r w:rsidR="00B060B7">
        <w:rPr>
          <w:rFonts w:asciiTheme="majorHAnsi" w:hAnsiTheme="majorHAnsi"/>
          <w:lang w:val="en-US"/>
        </w:rPr>
        <w:t>. Consequently</w:t>
      </w:r>
      <w:r w:rsidR="000C604C">
        <w:rPr>
          <w:rFonts w:asciiTheme="majorHAnsi" w:hAnsiTheme="majorHAnsi"/>
          <w:lang w:val="en-US"/>
        </w:rPr>
        <w:t xml:space="preserve">, we only considered </w:t>
      </w:r>
      <w:r w:rsidR="0070202F">
        <w:rPr>
          <w:rFonts w:asciiTheme="majorHAnsi" w:hAnsiTheme="majorHAnsi"/>
          <w:lang w:val="en-US"/>
        </w:rPr>
        <w:t>individuals</w:t>
      </w:r>
      <w:r w:rsidR="000C604C">
        <w:rPr>
          <w:rFonts w:asciiTheme="majorHAnsi" w:hAnsiTheme="majorHAnsi"/>
          <w:lang w:val="en-US"/>
        </w:rPr>
        <w:t xml:space="preserve"> who had </w:t>
      </w:r>
      <w:r w:rsidR="00B060B7">
        <w:rPr>
          <w:rFonts w:asciiTheme="majorHAnsi" w:hAnsiTheme="majorHAnsi"/>
          <w:lang w:val="en-US"/>
        </w:rPr>
        <w:t xml:space="preserve">restricted their trading to </w:t>
      </w:r>
      <w:r w:rsidR="000C604C">
        <w:rPr>
          <w:rFonts w:asciiTheme="majorHAnsi" w:hAnsiTheme="majorHAnsi"/>
          <w:lang w:val="en-US"/>
        </w:rPr>
        <w:t xml:space="preserve">this one market </w:t>
      </w:r>
      <w:r w:rsidR="00B060B7">
        <w:rPr>
          <w:rFonts w:asciiTheme="majorHAnsi" w:hAnsiTheme="majorHAnsi"/>
          <w:lang w:val="en-US"/>
        </w:rPr>
        <w:t>and who had traded at some time in the period</w:t>
      </w:r>
      <w:r w:rsidR="0070202F">
        <w:rPr>
          <w:rFonts w:asciiTheme="majorHAnsi" w:hAnsiTheme="majorHAnsi"/>
          <w:lang w:val="en-US"/>
        </w:rPr>
        <w:t xml:space="preserve"> for which we had data, namely the</w:t>
      </w:r>
      <w:r w:rsidR="000C604C">
        <w:rPr>
          <w:rFonts w:asciiTheme="majorHAnsi" w:hAnsiTheme="majorHAnsi"/>
          <w:lang w:val="en-US"/>
        </w:rPr>
        <w:t xml:space="preserve"> 9</w:t>
      </w:r>
      <w:r w:rsidR="000C604C" w:rsidRPr="009D4BB6">
        <w:rPr>
          <w:rFonts w:asciiTheme="majorHAnsi" w:hAnsiTheme="majorHAnsi"/>
          <w:vertAlign w:val="superscript"/>
          <w:lang w:val="en-US"/>
        </w:rPr>
        <w:t>th</w:t>
      </w:r>
      <w:r w:rsidR="000C604C">
        <w:rPr>
          <w:rFonts w:asciiTheme="majorHAnsi" w:hAnsiTheme="majorHAnsi"/>
          <w:lang w:val="en-US"/>
        </w:rPr>
        <w:t xml:space="preserve"> September 2004 </w:t>
      </w:r>
      <w:r w:rsidR="0070202F">
        <w:rPr>
          <w:rFonts w:asciiTheme="majorHAnsi" w:hAnsiTheme="majorHAnsi"/>
          <w:lang w:val="en-US"/>
        </w:rPr>
        <w:t>to</w:t>
      </w:r>
      <w:r w:rsidR="000C604C">
        <w:rPr>
          <w:rFonts w:asciiTheme="majorHAnsi" w:hAnsiTheme="majorHAnsi"/>
          <w:lang w:val="en-US"/>
        </w:rPr>
        <w:t xml:space="preserve"> 17</w:t>
      </w:r>
      <w:r w:rsidR="000C604C" w:rsidRPr="009D4BB6">
        <w:rPr>
          <w:rFonts w:asciiTheme="majorHAnsi" w:hAnsiTheme="majorHAnsi"/>
          <w:vertAlign w:val="superscript"/>
          <w:lang w:val="en-US"/>
        </w:rPr>
        <w:t>th</w:t>
      </w:r>
      <w:r w:rsidR="000C604C">
        <w:rPr>
          <w:rFonts w:asciiTheme="majorHAnsi" w:hAnsiTheme="majorHAnsi"/>
          <w:lang w:val="en-US"/>
        </w:rPr>
        <w:t xml:space="preserve"> April 2013. This resulted in a dataset of </w:t>
      </w:r>
      <w:r w:rsidR="005A14AF">
        <w:rPr>
          <w:rFonts w:asciiTheme="majorHAnsi" w:hAnsiTheme="majorHAnsi"/>
          <w:lang w:val="en-US"/>
        </w:rPr>
        <w:t>5,379 individual spread trader</w:t>
      </w:r>
      <w:r w:rsidR="00726B4F">
        <w:rPr>
          <w:rFonts w:asciiTheme="majorHAnsi" w:hAnsiTheme="majorHAnsi"/>
          <w:lang w:val="en-US"/>
        </w:rPr>
        <w:t>s</w:t>
      </w:r>
      <w:r w:rsidR="000C604C">
        <w:rPr>
          <w:rFonts w:asciiTheme="majorHAnsi" w:hAnsiTheme="majorHAnsi"/>
          <w:lang w:val="en-US"/>
        </w:rPr>
        <w:t xml:space="preserve"> and their corresponding </w:t>
      </w:r>
      <w:r w:rsidR="005A14AF">
        <w:rPr>
          <w:rFonts w:asciiTheme="majorHAnsi" w:hAnsiTheme="majorHAnsi"/>
          <w:lang w:val="en-US"/>
        </w:rPr>
        <w:t>707,152 transactions</w:t>
      </w:r>
      <w:r w:rsidR="00726B4F">
        <w:rPr>
          <w:rFonts w:asciiTheme="majorHAnsi" w:hAnsiTheme="majorHAnsi"/>
          <w:lang w:val="en-US"/>
        </w:rPr>
        <w:t>. The</w:t>
      </w:r>
      <w:r w:rsidR="001F2670">
        <w:rPr>
          <w:rFonts w:asciiTheme="majorHAnsi" w:hAnsiTheme="majorHAnsi"/>
          <w:lang w:val="en-US"/>
        </w:rPr>
        <w:t xml:space="preserve"> d</w:t>
      </w:r>
      <w:r w:rsidR="005A14AF">
        <w:rPr>
          <w:rFonts w:asciiTheme="majorHAnsi" w:hAnsiTheme="majorHAnsi"/>
          <w:lang w:val="en-US"/>
        </w:rPr>
        <w:t xml:space="preserve">ata was aggregated into monthly summary statistics for </w:t>
      </w:r>
      <w:r w:rsidR="00986BF8">
        <w:rPr>
          <w:rFonts w:asciiTheme="majorHAnsi" w:hAnsiTheme="majorHAnsi"/>
          <w:lang w:val="en-US"/>
        </w:rPr>
        <w:t>each individual</w:t>
      </w:r>
      <w:r w:rsidR="00726B4F">
        <w:rPr>
          <w:rFonts w:asciiTheme="majorHAnsi" w:hAnsiTheme="majorHAnsi"/>
          <w:lang w:val="en-US"/>
        </w:rPr>
        <w:t xml:space="preserve"> </w:t>
      </w:r>
      <w:r w:rsidR="00064C13">
        <w:rPr>
          <w:rFonts w:asciiTheme="majorHAnsi" w:hAnsiTheme="majorHAnsi"/>
          <w:lang w:val="en-US"/>
        </w:rPr>
        <w:t>trader</w:t>
      </w:r>
      <w:r w:rsidR="005A14AF">
        <w:rPr>
          <w:rFonts w:asciiTheme="majorHAnsi" w:hAnsiTheme="majorHAnsi"/>
          <w:lang w:val="en-US"/>
        </w:rPr>
        <w:t>.</w:t>
      </w:r>
      <w:r w:rsidR="00481367" w:rsidDel="00481367">
        <w:rPr>
          <w:rFonts w:asciiTheme="majorHAnsi" w:hAnsiTheme="majorHAnsi"/>
          <w:lang w:val="en-US"/>
        </w:rPr>
        <w:t xml:space="preserve"> </w:t>
      </w:r>
    </w:p>
    <w:bookmarkEnd w:id="4"/>
    <w:p w14:paraId="39E0A5C1" w14:textId="77777777" w:rsidR="000F4AEA" w:rsidRDefault="000F4AEA" w:rsidP="005A14AF">
      <w:pPr>
        <w:spacing w:after="0" w:line="480" w:lineRule="auto"/>
        <w:rPr>
          <w:rFonts w:asciiTheme="majorHAnsi" w:hAnsiTheme="majorHAnsi"/>
          <w:lang w:val="en-US"/>
        </w:rPr>
      </w:pPr>
    </w:p>
    <w:p w14:paraId="2EA554FF" w14:textId="7CFAA534" w:rsidR="005A14AF" w:rsidRPr="003F150E" w:rsidRDefault="005A14AF" w:rsidP="005A14AF">
      <w:pPr>
        <w:spacing w:after="0" w:line="480" w:lineRule="auto"/>
        <w:rPr>
          <w:rFonts w:asciiTheme="majorHAnsi" w:hAnsiTheme="majorHAnsi"/>
          <w:i/>
          <w:lang w:val="en-US"/>
        </w:rPr>
      </w:pPr>
      <w:r w:rsidRPr="003F150E">
        <w:rPr>
          <w:rFonts w:asciiTheme="majorHAnsi" w:hAnsiTheme="majorHAnsi"/>
          <w:i/>
          <w:lang w:val="en-US"/>
        </w:rPr>
        <w:t>2.1.1 Transactions in retail spread trading markets</w:t>
      </w:r>
    </w:p>
    <w:p w14:paraId="17BA7FB9" w14:textId="3BC130C6" w:rsidR="005A14AF" w:rsidRDefault="005A14AF" w:rsidP="0016286A">
      <w:pPr>
        <w:spacing w:after="0" w:line="480" w:lineRule="auto"/>
        <w:rPr>
          <w:rFonts w:asciiTheme="majorHAnsi" w:hAnsiTheme="majorHAnsi"/>
          <w:lang w:val="en-US"/>
        </w:rPr>
      </w:pPr>
      <w:r w:rsidRPr="00566E10">
        <w:rPr>
          <w:rFonts w:asciiTheme="majorHAnsi" w:hAnsiTheme="majorHAnsi"/>
          <w:lang w:val="en-US"/>
        </w:rPr>
        <w:t xml:space="preserve">Spread trading allows individuals to speculate on the movement of an underlying security (e.g., </w:t>
      </w:r>
      <w:r w:rsidR="00FF0226">
        <w:rPr>
          <w:rFonts w:asciiTheme="majorHAnsi" w:hAnsiTheme="majorHAnsi"/>
          <w:lang w:val="en-US"/>
        </w:rPr>
        <w:t>i</w:t>
      </w:r>
      <w:r w:rsidR="00FF0226" w:rsidRPr="00566E10">
        <w:rPr>
          <w:rFonts w:asciiTheme="majorHAnsi" w:hAnsiTheme="majorHAnsi"/>
          <w:lang w:val="en-US"/>
        </w:rPr>
        <w:t>ndices</w:t>
      </w:r>
      <w:r w:rsidRPr="00566E10">
        <w:rPr>
          <w:rFonts w:asciiTheme="majorHAnsi" w:hAnsiTheme="majorHAnsi"/>
          <w:lang w:val="en-US"/>
        </w:rPr>
        <w:t xml:space="preserve">, </w:t>
      </w:r>
      <w:r w:rsidR="00FF0226">
        <w:rPr>
          <w:rFonts w:asciiTheme="majorHAnsi" w:hAnsiTheme="majorHAnsi"/>
          <w:lang w:val="en-US"/>
        </w:rPr>
        <w:t>c</w:t>
      </w:r>
      <w:r w:rsidR="00FF0226" w:rsidRPr="00566E10">
        <w:rPr>
          <w:rFonts w:asciiTheme="majorHAnsi" w:hAnsiTheme="majorHAnsi"/>
          <w:lang w:val="en-US"/>
        </w:rPr>
        <w:t>ommodities</w:t>
      </w:r>
      <w:r w:rsidRPr="003F150E">
        <w:rPr>
          <w:rFonts w:asciiTheme="majorHAnsi" w:hAnsiTheme="majorHAnsi"/>
          <w:lang w:val="en-US"/>
        </w:rPr>
        <w:t xml:space="preserve">). No ownership of the underlying security takes place and, in the UK, </w:t>
      </w:r>
      <w:r w:rsidR="003F150E">
        <w:rPr>
          <w:rFonts w:asciiTheme="majorHAnsi" w:hAnsiTheme="majorHAnsi"/>
          <w:lang w:val="en-US"/>
        </w:rPr>
        <w:t xml:space="preserve">spread trading </w:t>
      </w:r>
      <w:r w:rsidRPr="003F150E">
        <w:rPr>
          <w:rFonts w:asciiTheme="majorHAnsi" w:hAnsiTheme="majorHAnsi"/>
          <w:lang w:val="en-US"/>
        </w:rPr>
        <w:t xml:space="preserve">is not subject to capital gains tax. </w:t>
      </w:r>
      <w:r w:rsidR="001F2670" w:rsidRPr="003F150E">
        <w:rPr>
          <w:rFonts w:asciiTheme="majorHAnsi" w:hAnsiTheme="majorHAnsi"/>
          <w:lang w:val="en-US"/>
        </w:rPr>
        <w:t>This is important, because investors have no reason to close</w:t>
      </w:r>
      <w:r w:rsidR="001F2670">
        <w:rPr>
          <w:rFonts w:asciiTheme="majorHAnsi" w:hAnsiTheme="majorHAnsi"/>
          <w:lang w:val="en-US"/>
        </w:rPr>
        <w:t xml:space="preserve"> trades </w:t>
      </w:r>
      <w:r w:rsidR="00BF0ADC">
        <w:rPr>
          <w:rFonts w:asciiTheme="majorHAnsi" w:hAnsiTheme="majorHAnsi"/>
          <w:lang w:val="en-US"/>
        </w:rPr>
        <w:t xml:space="preserve">or to cease trading </w:t>
      </w:r>
      <w:r w:rsidR="001F2670">
        <w:rPr>
          <w:rFonts w:asciiTheme="majorHAnsi" w:hAnsiTheme="majorHAnsi"/>
          <w:lang w:val="en-US"/>
        </w:rPr>
        <w:t xml:space="preserve">for tax purposes (as is the case for investors in regular financial markets). </w:t>
      </w:r>
      <w:r w:rsidRPr="009D56E1">
        <w:rPr>
          <w:rFonts w:asciiTheme="majorHAnsi" w:hAnsiTheme="majorHAnsi"/>
          <w:lang w:val="en-US"/>
        </w:rPr>
        <w:t xml:space="preserve">Trades can be </w:t>
      </w:r>
      <w:r w:rsidR="00BF0ADC">
        <w:rPr>
          <w:rFonts w:asciiTheme="majorHAnsi" w:hAnsiTheme="majorHAnsi"/>
          <w:lang w:val="en-US"/>
        </w:rPr>
        <w:t>‘</w:t>
      </w:r>
      <w:r w:rsidRPr="009D56E1">
        <w:rPr>
          <w:rFonts w:asciiTheme="majorHAnsi" w:hAnsiTheme="majorHAnsi"/>
          <w:lang w:val="en-US"/>
        </w:rPr>
        <w:t>long</w:t>
      </w:r>
      <w:r w:rsidR="00BF0ADC">
        <w:rPr>
          <w:rFonts w:asciiTheme="majorHAnsi" w:hAnsiTheme="majorHAnsi"/>
          <w:lang w:val="en-US"/>
        </w:rPr>
        <w:t>’</w:t>
      </w:r>
      <w:r w:rsidR="001F2670">
        <w:rPr>
          <w:rFonts w:asciiTheme="majorHAnsi" w:hAnsiTheme="majorHAnsi"/>
          <w:lang w:val="en-US"/>
        </w:rPr>
        <w:t xml:space="preserve"> </w:t>
      </w:r>
      <w:r w:rsidRPr="009D56E1">
        <w:rPr>
          <w:rFonts w:asciiTheme="majorHAnsi" w:hAnsiTheme="majorHAnsi"/>
          <w:lang w:val="en-US"/>
        </w:rPr>
        <w:t xml:space="preserve">or </w:t>
      </w:r>
      <w:r w:rsidR="00BF0ADC">
        <w:rPr>
          <w:rFonts w:asciiTheme="majorHAnsi" w:hAnsiTheme="majorHAnsi"/>
          <w:lang w:val="en-US"/>
        </w:rPr>
        <w:t>‘</w:t>
      </w:r>
      <w:r w:rsidRPr="009D56E1">
        <w:rPr>
          <w:rFonts w:asciiTheme="majorHAnsi" w:hAnsiTheme="majorHAnsi"/>
          <w:lang w:val="en-US"/>
        </w:rPr>
        <w:t>short</w:t>
      </w:r>
      <w:r w:rsidR="00BF0ADC">
        <w:rPr>
          <w:rFonts w:asciiTheme="majorHAnsi" w:hAnsiTheme="majorHAnsi"/>
          <w:lang w:val="en-US"/>
        </w:rPr>
        <w:t>’</w:t>
      </w:r>
      <w:r w:rsidR="001F2670">
        <w:rPr>
          <w:rFonts w:asciiTheme="majorHAnsi" w:hAnsiTheme="majorHAnsi"/>
          <w:lang w:val="en-US"/>
        </w:rPr>
        <w:t xml:space="preserve"> (</w:t>
      </w:r>
      <w:r w:rsidR="00176F70">
        <w:rPr>
          <w:rFonts w:asciiTheme="majorHAnsi" w:hAnsiTheme="majorHAnsi"/>
          <w:lang w:val="en-US"/>
        </w:rPr>
        <w:t xml:space="preserve">speculating </w:t>
      </w:r>
      <w:r w:rsidR="001F2670">
        <w:rPr>
          <w:rFonts w:asciiTheme="majorHAnsi" w:hAnsiTheme="majorHAnsi"/>
          <w:lang w:val="en-US"/>
        </w:rPr>
        <w:t xml:space="preserve">that the market will </w:t>
      </w:r>
      <w:r w:rsidR="00726B4F">
        <w:rPr>
          <w:rFonts w:asciiTheme="majorHAnsi" w:hAnsiTheme="majorHAnsi"/>
          <w:lang w:val="en-US"/>
        </w:rPr>
        <w:t xml:space="preserve">rise or </w:t>
      </w:r>
      <w:r w:rsidR="001F2670">
        <w:rPr>
          <w:rFonts w:asciiTheme="majorHAnsi" w:hAnsiTheme="majorHAnsi"/>
          <w:lang w:val="en-US"/>
        </w:rPr>
        <w:t>fall in price</w:t>
      </w:r>
      <w:r w:rsidR="00726B4F">
        <w:rPr>
          <w:rFonts w:asciiTheme="majorHAnsi" w:hAnsiTheme="majorHAnsi"/>
          <w:lang w:val="en-US"/>
        </w:rPr>
        <w:t>, respect</w:t>
      </w:r>
      <w:r w:rsidR="00300E4A">
        <w:rPr>
          <w:rFonts w:asciiTheme="majorHAnsi" w:hAnsiTheme="majorHAnsi"/>
          <w:lang w:val="en-US"/>
        </w:rPr>
        <w:t>i</w:t>
      </w:r>
      <w:r w:rsidR="00726B4F">
        <w:rPr>
          <w:rFonts w:asciiTheme="majorHAnsi" w:hAnsiTheme="majorHAnsi"/>
          <w:lang w:val="en-US"/>
        </w:rPr>
        <w:t>vely</w:t>
      </w:r>
      <w:r w:rsidR="001F2670">
        <w:rPr>
          <w:rFonts w:asciiTheme="majorHAnsi" w:hAnsiTheme="majorHAnsi"/>
          <w:lang w:val="en-US"/>
        </w:rPr>
        <w:t>)</w:t>
      </w:r>
      <w:r w:rsidR="00300E4A">
        <w:rPr>
          <w:rFonts w:asciiTheme="majorHAnsi" w:hAnsiTheme="majorHAnsi"/>
          <w:lang w:val="en-US"/>
        </w:rPr>
        <w:t>. Wh</w:t>
      </w:r>
      <w:r w:rsidRPr="009D56E1">
        <w:rPr>
          <w:rFonts w:asciiTheme="majorHAnsi" w:hAnsiTheme="majorHAnsi"/>
          <w:lang w:val="en-US"/>
        </w:rPr>
        <w:t xml:space="preserve">ether a profit or loss is made depends on the direction of the trade and the price change </w:t>
      </w:r>
      <w:r>
        <w:rPr>
          <w:rFonts w:asciiTheme="majorHAnsi" w:hAnsiTheme="majorHAnsi"/>
          <w:lang w:val="en-US"/>
        </w:rPr>
        <w:t>that</w:t>
      </w:r>
      <w:r w:rsidRPr="009D56E1">
        <w:rPr>
          <w:rFonts w:asciiTheme="majorHAnsi" w:hAnsiTheme="majorHAnsi"/>
          <w:lang w:val="en-US"/>
        </w:rPr>
        <w:t xml:space="preserve"> takes place. </w:t>
      </w:r>
      <w:r w:rsidR="00B37430">
        <w:rPr>
          <w:rFonts w:asciiTheme="majorHAnsi" w:hAnsiTheme="majorHAnsi"/>
          <w:lang w:val="en-US"/>
        </w:rPr>
        <w:t>F</w:t>
      </w:r>
      <w:r w:rsidR="00B37430" w:rsidRPr="009D56E1">
        <w:rPr>
          <w:rFonts w:asciiTheme="majorHAnsi" w:hAnsiTheme="majorHAnsi"/>
          <w:lang w:val="en-US"/>
        </w:rPr>
        <w:t>or the FTSE 100 futures</w:t>
      </w:r>
      <w:r w:rsidR="00B37430">
        <w:rPr>
          <w:rFonts w:asciiTheme="majorHAnsi" w:hAnsiTheme="majorHAnsi"/>
          <w:lang w:val="en-US"/>
        </w:rPr>
        <w:t>,</w:t>
      </w:r>
      <w:r w:rsidR="00B37430" w:rsidRPr="009D56E1">
        <w:rPr>
          <w:rFonts w:asciiTheme="majorHAnsi" w:hAnsiTheme="majorHAnsi"/>
          <w:lang w:val="en-US"/>
        </w:rPr>
        <w:t xml:space="preserve"> </w:t>
      </w:r>
      <w:r w:rsidR="00B37430">
        <w:rPr>
          <w:rFonts w:asciiTheme="majorHAnsi" w:hAnsiTheme="majorHAnsi"/>
          <w:lang w:val="en-US"/>
        </w:rPr>
        <w:t>p</w:t>
      </w:r>
      <w:r w:rsidR="00B37430" w:rsidRPr="009D56E1">
        <w:rPr>
          <w:rFonts w:asciiTheme="majorHAnsi" w:hAnsiTheme="majorHAnsi"/>
          <w:lang w:val="en-US"/>
        </w:rPr>
        <w:t>rofits</w:t>
      </w:r>
      <w:r w:rsidRPr="009D56E1">
        <w:rPr>
          <w:rFonts w:asciiTheme="majorHAnsi" w:hAnsiTheme="majorHAnsi"/>
          <w:lang w:val="en-US"/>
        </w:rPr>
        <w:t xml:space="preserve">/losses are defined as the change in price </w:t>
      </w:r>
      <w:r w:rsidR="005C47F6">
        <w:rPr>
          <w:rFonts w:asciiTheme="majorHAnsi" w:hAnsiTheme="majorHAnsi"/>
          <w:lang w:val="en-US"/>
        </w:rPr>
        <w:t xml:space="preserve">of the FTSE 100 </w:t>
      </w:r>
      <w:r w:rsidRPr="009D56E1">
        <w:rPr>
          <w:rFonts w:asciiTheme="majorHAnsi" w:hAnsiTheme="majorHAnsi"/>
          <w:lang w:val="en-US"/>
        </w:rPr>
        <w:t xml:space="preserve">multiplied by the stake. For example, a trader who </w:t>
      </w:r>
      <w:r>
        <w:rPr>
          <w:rFonts w:asciiTheme="majorHAnsi" w:hAnsiTheme="majorHAnsi"/>
          <w:lang w:val="en-US"/>
        </w:rPr>
        <w:t>suspects</w:t>
      </w:r>
      <w:r w:rsidRPr="009D56E1">
        <w:rPr>
          <w:rFonts w:asciiTheme="majorHAnsi" w:hAnsiTheme="majorHAnsi"/>
          <w:lang w:val="en-US"/>
        </w:rPr>
        <w:t xml:space="preserve"> the FTSE</w:t>
      </w:r>
      <w:r>
        <w:rPr>
          <w:rFonts w:asciiTheme="majorHAnsi" w:hAnsiTheme="majorHAnsi"/>
          <w:lang w:val="en-US"/>
        </w:rPr>
        <w:t xml:space="preserve"> </w:t>
      </w:r>
      <w:r w:rsidRPr="009D56E1">
        <w:rPr>
          <w:rFonts w:asciiTheme="majorHAnsi" w:hAnsiTheme="majorHAnsi"/>
          <w:lang w:val="en-US"/>
        </w:rPr>
        <w:t xml:space="preserve">100 </w:t>
      </w:r>
      <w:r>
        <w:rPr>
          <w:rFonts w:asciiTheme="majorHAnsi" w:hAnsiTheme="majorHAnsi"/>
          <w:lang w:val="en-US"/>
        </w:rPr>
        <w:t>might</w:t>
      </w:r>
      <w:r w:rsidRPr="009D56E1">
        <w:rPr>
          <w:rFonts w:asciiTheme="majorHAnsi" w:hAnsiTheme="majorHAnsi"/>
          <w:lang w:val="en-US"/>
        </w:rPr>
        <w:t xml:space="preserve"> rise </w:t>
      </w:r>
      <w:r>
        <w:rPr>
          <w:rFonts w:asciiTheme="majorHAnsi" w:hAnsiTheme="majorHAnsi"/>
          <w:lang w:val="en-US"/>
        </w:rPr>
        <w:t>from its current price of 6500 would</w:t>
      </w:r>
      <w:r w:rsidRPr="009D56E1">
        <w:rPr>
          <w:rFonts w:asciiTheme="majorHAnsi" w:hAnsiTheme="majorHAnsi"/>
          <w:lang w:val="en-US"/>
        </w:rPr>
        <w:t xml:space="preserve"> </w:t>
      </w:r>
      <w:r w:rsidRPr="0013366C">
        <w:rPr>
          <w:rFonts w:asciiTheme="majorHAnsi" w:hAnsiTheme="majorHAnsi"/>
          <w:i/>
          <w:iCs/>
          <w:lang w:val="en-US"/>
        </w:rPr>
        <w:t>buy</w:t>
      </w:r>
      <w:r w:rsidRPr="009D56E1">
        <w:rPr>
          <w:rFonts w:asciiTheme="majorHAnsi" w:hAnsiTheme="majorHAnsi"/>
          <w:lang w:val="en-US"/>
        </w:rPr>
        <w:t xml:space="preserve"> the market with, say, a </w:t>
      </w:r>
      <w:r w:rsidR="00BD5BB6">
        <w:rPr>
          <w:rFonts w:asciiTheme="majorHAnsi" w:hAnsiTheme="majorHAnsi"/>
          <w:lang w:val="en-US"/>
        </w:rPr>
        <w:t>$</w:t>
      </w:r>
      <w:r w:rsidRPr="009D56E1">
        <w:rPr>
          <w:rFonts w:asciiTheme="majorHAnsi" w:hAnsiTheme="majorHAnsi"/>
          <w:lang w:val="en-US"/>
        </w:rPr>
        <w:t>5</w:t>
      </w:r>
      <w:r w:rsidR="00966368">
        <w:rPr>
          <w:rFonts w:asciiTheme="majorHAnsi" w:hAnsiTheme="majorHAnsi"/>
          <w:lang w:val="en-US"/>
        </w:rPr>
        <w:t xml:space="preserve"> </w:t>
      </w:r>
      <w:r w:rsidRPr="009D56E1">
        <w:rPr>
          <w:rFonts w:asciiTheme="majorHAnsi" w:hAnsiTheme="majorHAnsi"/>
          <w:lang w:val="en-US"/>
        </w:rPr>
        <w:t xml:space="preserve">stake per point. </w:t>
      </w:r>
      <w:r>
        <w:rPr>
          <w:rFonts w:asciiTheme="majorHAnsi" w:hAnsiTheme="majorHAnsi"/>
          <w:lang w:val="en-US"/>
        </w:rPr>
        <w:t xml:space="preserve">This is equivalent to a </w:t>
      </w:r>
      <w:r w:rsidR="00BD5BB6">
        <w:rPr>
          <w:rFonts w:asciiTheme="majorHAnsi" w:hAnsiTheme="majorHAnsi"/>
          <w:lang w:val="en-US"/>
        </w:rPr>
        <w:t>$</w:t>
      </w:r>
      <w:r>
        <w:rPr>
          <w:rFonts w:asciiTheme="majorHAnsi" w:hAnsiTheme="majorHAnsi"/>
          <w:lang w:val="en-US"/>
        </w:rPr>
        <w:t>32,500</w:t>
      </w:r>
      <w:r w:rsidR="00966368">
        <w:rPr>
          <w:rFonts w:asciiTheme="majorHAnsi" w:hAnsiTheme="majorHAnsi"/>
          <w:lang w:val="en-US"/>
        </w:rPr>
        <w:t xml:space="preserve"> </w:t>
      </w:r>
      <w:r>
        <w:rPr>
          <w:rFonts w:asciiTheme="majorHAnsi" w:hAnsiTheme="majorHAnsi"/>
          <w:lang w:val="en-US"/>
        </w:rPr>
        <w:t xml:space="preserve">position in the market. However, since spread trading is highly leveraged, the traders are only required to have enough money in their account to cover </w:t>
      </w:r>
      <w:r w:rsidR="005E29EC">
        <w:rPr>
          <w:rFonts w:asciiTheme="majorHAnsi" w:hAnsiTheme="majorHAnsi"/>
          <w:lang w:val="en-US"/>
        </w:rPr>
        <w:t>‘</w:t>
      </w:r>
      <w:r>
        <w:rPr>
          <w:rFonts w:asciiTheme="majorHAnsi" w:hAnsiTheme="majorHAnsi"/>
          <w:lang w:val="en-US"/>
        </w:rPr>
        <w:t>the margin</w:t>
      </w:r>
      <w:r w:rsidR="005E29EC">
        <w:rPr>
          <w:rFonts w:asciiTheme="majorHAnsi" w:hAnsiTheme="majorHAnsi"/>
          <w:lang w:val="en-US"/>
        </w:rPr>
        <w:t>’</w:t>
      </w:r>
      <w:r w:rsidR="00BF0ADC">
        <w:rPr>
          <w:rFonts w:asciiTheme="majorHAnsi" w:hAnsiTheme="majorHAnsi"/>
          <w:lang w:val="en-US"/>
        </w:rPr>
        <w:t xml:space="preserve"> (an amount which past market movements suggest could easily be lost)</w:t>
      </w:r>
      <w:r>
        <w:rPr>
          <w:rFonts w:asciiTheme="majorHAnsi" w:hAnsiTheme="majorHAnsi"/>
          <w:lang w:val="en-US"/>
        </w:rPr>
        <w:t xml:space="preserve">, which </w:t>
      </w:r>
      <w:r w:rsidR="005E29EC">
        <w:rPr>
          <w:rFonts w:asciiTheme="majorHAnsi" w:hAnsiTheme="majorHAnsi"/>
          <w:lang w:val="en-US"/>
        </w:rPr>
        <w:t xml:space="preserve">in the case of the FTSE 100 </w:t>
      </w:r>
      <w:r>
        <w:rPr>
          <w:rFonts w:asciiTheme="majorHAnsi" w:hAnsiTheme="majorHAnsi"/>
          <w:lang w:val="en-US"/>
        </w:rPr>
        <w:t xml:space="preserve">is 150 × stake (i.e. </w:t>
      </w:r>
      <w:r w:rsidR="00BD5BB6">
        <w:rPr>
          <w:rFonts w:asciiTheme="majorHAnsi" w:hAnsiTheme="majorHAnsi"/>
          <w:lang w:val="en-US"/>
        </w:rPr>
        <w:t>$</w:t>
      </w:r>
      <w:r>
        <w:rPr>
          <w:rFonts w:asciiTheme="majorHAnsi" w:hAnsiTheme="majorHAnsi"/>
          <w:lang w:val="en-US"/>
        </w:rPr>
        <w:t xml:space="preserve">750). </w:t>
      </w:r>
    </w:p>
    <w:p w14:paraId="68C2A1D0" w14:textId="2B0DBB70" w:rsidR="005A14AF" w:rsidRDefault="00BA53A0">
      <w:pPr>
        <w:spacing w:after="0" w:line="480" w:lineRule="auto"/>
        <w:ind w:firstLine="709"/>
        <w:rPr>
          <w:rFonts w:asciiTheme="majorHAnsi" w:hAnsiTheme="majorHAnsi"/>
          <w:lang w:val="en-US"/>
        </w:rPr>
      </w:pPr>
      <w:r>
        <w:rPr>
          <w:rFonts w:asciiTheme="majorHAnsi" w:hAnsiTheme="majorHAnsi"/>
          <w:lang w:val="en-US"/>
        </w:rPr>
        <w:t>If</w:t>
      </w:r>
      <w:r w:rsidRPr="009D56E1">
        <w:rPr>
          <w:rFonts w:asciiTheme="majorHAnsi" w:hAnsiTheme="majorHAnsi"/>
          <w:lang w:val="en-US"/>
        </w:rPr>
        <w:t xml:space="preserve"> </w:t>
      </w:r>
      <w:r w:rsidR="005A14AF" w:rsidRPr="009D56E1">
        <w:rPr>
          <w:rFonts w:asciiTheme="majorHAnsi" w:hAnsiTheme="majorHAnsi"/>
          <w:lang w:val="en-US"/>
        </w:rPr>
        <w:t>the current pric</w:t>
      </w:r>
      <w:r w:rsidR="003C48E5">
        <w:rPr>
          <w:rFonts w:asciiTheme="majorHAnsi" w:hAnsiTheme="majorHAnsi"/>
          <w:lang w:val="en-US"/>
        </w:rPr>
        <w:t>e is 6500 and it rises 5 points</w:t>
      </w:r>
      <w:r w:rsidR="005A14AF" w:rsidRPr="009D56E1">
        <w:rPr>
          <w:rFonts w:asciiTheme="majorHAnsi" w:hAnsiTheme="majorHAnsi"/>
          <w:lang w:val="en-US"/>
        </w:rPr>
        <w:t>, the trader would ha</w:t>
      </w:r>
      <w:r w:rsidR="00966368">
        <w:rPr>
          <w:rFonts w:asciiTheme="majorHAnsi" w:hAnsiTheme="majorHAnsi"/>
          <w:lang w:val="en-US"/>
        </w:rPr>
        <w:t xml:space="preserve">ve an unrealized profit of </w:t>
      </w:r>
      <w:r w:rsidR="00BD5BB6">
        <w:rPr>
          <w:rFonts w:asciiTheme="majorHAnsi" w:hAnsiTheme="majorHAnsi"/>
          <w:lang w:val="en-US"/>
        </w:rPr>
        <w:t>$</w:t>
      </w:r>
      <w:r w:rsidR="00966368">
        <w:rPr>
          <w:rFonts w:asciiTheme="majorHAnsi" w:hAnsiTheme="majorHAnsi"/>
          <w:lang w:val="en-US"/>
        </w:rPr>
        <w:t xml:space="preserve">25. </w:t>
      </w:r>
      <w:r w:rsidR="005A14AF">
        <w:rPr>
          <w:rFonts w:asciiTheme="majorHAnsi" w:hAnsiTheme="majorHAnsi"/>
          <w:lang w:val="en-US"/>
        </w:rPr>
        <w:t>Since the margin is a reasonable proxy for the amount that the trader risks in each trade, the percent return can be calculated as the return over margin staked (i.e. 25/750 = 3.33%). The leverage is clearly illustrated in this case</w:t>
      </w:r>
      <w:r w:rsidR="00176F70">
        <w:rPr>
          <w:rFonts w:asciiTheme="majorHAnsi" w:hAnsiTheme="majorHAnsi"/>
          <w:lang w:val="en-US"/>
        </w:rPr>
        <w:t>,</w:t>
      </w:r>
      <w:r w:rsidR="005A14AF">
        <w:rPr>
          <w:rFonts w:asciiTheme="majorHAnsi" w:hAnsiTheme="majorHAnsi"/>
          <w:lang w:val="en-US"/>
        </w:rPr>
        <w:t xml:space="preserve"> since a 0.08% return</w:t>
      </w:r>
      <w:r w:rsidR="002835D3">
        <w:rPr>
          <w:rFonts w:asciiTheme="majorHAnsi" w:hAnsiTheme="majorHAnsi"/>
          <w:lang w:val="en-US"/>
        </w:rPr>
        <w:t xml:space="preserve"> (i.e. 5/6500)</w:t>
      </w:r>
      <w:r w:rsidR="005A14AF">
        <w:rPr>
          <w:rFonts w:asciiTheme="majorHAnsi" w:hAnsiTheme="majorHAnsi"/>
          <w:lang w:val="en-US"/>
        </w:rPr>
        <w:t xml:space="preserve"> on the underlying market has produced a 3.33% return on margin. </w:t>
      </w:r>
      <w:r w:rsidR="005A14AF" w:rsidRPr="009D56E1">
        <w:rPr>
          <w:rFonts w:asciiTheme="majorHAnsi" w:hAnsiTheme="majorHAnsi"/>
          <w:lang w:val="en-US"/>
        </w:rPr>
        <w:t>If the FTSE</w:t>
      </w:r>
      <w:r w:rsidR="005A14AF">
        <w:rPr>
          <w:rFonts w:asciiTheme="majorHAnsi" w:hAnsiTheme="majorHAnsi"/>
          <w:lang w:val="en-US"/>
        </w:rPr>
        <w:t xml:space="preserve"> </w:t>
      </w:r>
      <w:r w:rsidR="005A14AF" w:rsidRPr="009D56E1">
        <w:rPr>
          <w:rFonts w:asciiTheme="majorHAnsi" w:hAnsiTheme="majorHAnsi"/>
          <w:lang w:val="en-US"/>
        </w:rPr>
        <w:t>100 fell by 5 points</w:t>
      </w:r>
      <w:r w:rsidR="005A14AF">
        <w:rPr>
          <w:rFonts w:asciiTheme="majorHAnsi" w:hAnsiTheme="majorHAnsi"/>
          <w:lang w:val="en-US"/>
        </w:rPr>
        <w:t xml:space="preserve"> </w:t>
      </w:r>
      <w:r w:rsidR="003C48E5">
        <w:rPr>
          <w:rFonts w:asciiTheme="majorHAnsi" w:hAnsiTheme="majorHAnsi"/>
          <w:lang w:val="en-US"/>
        </w:rPr>
        <w:t>t</w:t>
      </w:r>
      <w:r w:rsidR="005A14AF">
        <w:rPr>
          <w:rFonts w:asciiTheme="majorHAnsi" w:hAnsiTheme="majorHAnsi"/>
          <w:lang w:val="en-US"/>
        </w:rPr>
        <w:t>o 6495</w:t>
      </w:r>
      <w:r w:rsidR="005A14AF" w:rsidRPr="009D56E1">
        <w:rPr>
          <w:rFonts w:asciiTheme="majorHAnsi" w:hAnsiTheme="majorHAnsi"/>
          <w:lang w:val="en-US"/>
        </w:rPr>
        <w:t xml:space="preserve"> and the trader decided to close their position by </w:t>
      </w:r>
      <w:r w:rsidR="005A14AF" w:rsidRPr="0013366C">
        <w:rPr>
          <w:rFonts w:asciiTheme="majorHAnsi" w:hAnsiTheme="majorHAnsi"/>
          <w:i/>
          <w:iCs/>
          <w:lang w:val="en-US"/>
        </w:rPr>
        <w:t>selling</w:t>
      </w:r>
      <w:r w:rsidR="005A14AF" w:rsidRPr="009D56E1">
        <w:rPr>
          <w:rFonts w:asciiTheme="majorHAnsi" w:hAnsiTheme="majorHAnsi"/>
          <w:lang w:val="en-US"/>
        </w:rPr>
        <w:t xml:space="preserve"> the market at </w:t>
      </w:r>
      <w:r w:rsidR="00BD5BB6">
        <w:rPr>
          <w:rFonts w:asciiTheme="majorHAnsi" w:hAnsiTheme="majorHAnsi"/>
          <w:lang w:val="en-US"/>
        </w:rPr>
        <w:t>$</w:t>
      </w:r>
      <w:r w:rsidR="005A14AF" w:rsidRPr="009D56E1">
        <w:rPr>
          <w:rFonts w:asciiTheme="majorHAnsi" w:hAnsiTheme="majorHAnsi"/>
          <w:lang w:val="en-US"/>
        </w:rPr>
        <w:t xml:space="preserve">5 per point, they would realize a loss of </w:t>
      </w:r>
      <w:r w:rsidR="005A14AF">
        <w:rPr>
          <w:rFonts w:asciiTheme="majorHAnsi" w:hAnsiTheme="majorHAnsi"/>
          <w:lang w:val="en-US"/>
        </w:rPr>
        <w:t>−</w:t>
      </w:r>
      <w:r w:rsidR="00BD5BB6">
        <w:rPr>
          <w:rFonts w:asciiTheme="majorHAnsi" w:hAnsiTheme="majorHAnsi"/>
          <w:lang w:val="en-US"/>
        </w:rPr>
        <w:t>$</w:t>
      </w:r>
      <w:r w:rsidR="005A14AF" w:rsidRPr="009D56E1">
        <w:rPr>
          <w:rFonts w:asciiTheme="majorHAnsi" w:hAnsiTheme="majorHAnsi"/>
          <w:lang w:val="en-US"/>
        </w:rPr>
        <w:t>25</w:t>
      </w:r>
      <w:r w:rsidR="005A14AF">
        <w:rPr>
          <w:rFonts w:asciiTheme="majorHAnsi" w:hAnsiTheme="majorHAnsi"/>
          <w:lang w:val="en-US"/>
        </w:rPr>
        <w:t xml:space="preserve"> (or −3.33%)</w:t>
      </w:r>
      <w:r w:rsidR="005A14AF" w:rsidRPr="009D56E1">
        <w:rPr>
          <w:rFonts w:asciiTheme="majorHAnsi" w:hAnsiTheme="majorHAnsi"/>
          <w:lang w:val="en-US"/>
        </w:rPr>
        <w:t xml:space="preserve">. </w:t>
      </w:r>
    </w:p>
    <w:p w14:paraId="17CCA9D2" w14:textId="0377AD34" w:rsidR="005A14AF" w:rsidRDefault="002835D3">
      <w:pPr>
        <w:spacing w:after="0" w:line="480" w:lineRule="auto"/>
        <w:ind w:firstLine="709"/>
        <w:rPr>
          <w:rFonts w:asciiTheme="majorHAnsi" w:hAnsiTheme="majorHAnsi"/>
          <w:lang w:val="en-US"/>
        </w:rPr>
      </w:pPr>
      <w:r>
        <w:rPr>
          <w:rFonts w:asciiTheme="majorHAnsi" w:hAnsiTheme="majorHAnsi"/>
        </w:rPr>
        <w:t>S</w:t>
      </w:r>
      <w:r w:rsidR="005E29EC" w:rsidRPr="00FF117A">
        <w:rPr>
          <w:rFonts w:asciiTheme="majorHAnsi" w:hAnsiTheme="majorHAnsi"/>
        </w:rPr>
        <w:t>pread-trader</w:t>
      </w:r>
      <w:r w:rsidR="003C48E5">
        <w:rPr>
          <w:rFonts w:asciiTheme="majorHAnsi" w:hAnsiTheme="majorHAnsi"/>
        </w:rPr>
        <w:t>s</w:t>
      </w:r>
      <w:r w:rsidR="00B007F2">
        <w:rPr>
          <w:rFonts w:asciiTheme="majorHAnsi" w:hAnsiTheme="majorHAnsi"/>
        </w:rPr>
        <w:t>’</w:t>
      </w:r>
      <w:r w:rsidR="005E29EC" w:rsidRPr="00FF117A">
        <w:rPr>
          <w:rFonts w:asciiTheme="majorHAnsi" w:hAnsiTheme="majorHAnsi"/>
        </w:rPr>
        <w:t xml:space="preserve"> data </w:t>
      </w:r>
      <w:r>
        <w:rPr>
          <w:rFonts w:asciiTheme="majorHAnsi" w:hAnsiTheme="majorHAnsi"/>
        </w:rPr>
        <w:t xml:space="preserve">is ideal </w:t>
      </w:r>
      <w:r w:rsidR="005E29EC" w:rsidRPr="00FF117A">
        <w:rPr>
          <w:rFonts w:asciiTheme="majorHAnsi" w:hAnsiTheme="majorHAnsi"/>
        </w:rPr>
        <w:t xml:space="preserve">to test our hypotheses for </w:t>
      </w:r>
      <w:r w:rsidR="005217B3">
        <w:rPr>
          <w:rFonts w:asciiTheme="majorHAnsi" w:hAnsiTheme="majorHAnsi"/>
        </w:rPr>
        <w:t>several</w:t>
      </w:r>
      <w:r w:rsidR="005E29EC" w:rsidRPr="00FF117A">
        <w:rPr>
          <w:rFonts w:asciiTheme="majorHAnsi" w:hAnsiTheme="majorHAnsi"/>
        </w:rPr>
        <w:t xml:space="preserve"> reasons</w:t>
      </w:r>
      <w:r>
        <w:rPr>
          <w:rFonts w:asciiTheme="majorHAnsi" w:hAnsiTheme="majorHAnsi"/>
        </w:rPr>
        <w:t>:</w:t>
      </w:r>
      <w:r w:rsidR="005E29EC" w:rsidRPr="00FF117A">
        <w:rPr>
          <w:rFonts w:asciiTheme="majorHAnsi" w:hAnsiTheme="majorHAnsi"/>
        </w:rPr>
        <w:t xml:space="preserve"> First, they are retail </w:t>
      </w:r>
      <w:r w:rsidR="005217B3">
        <w:rPr>
          <w:rFonts w:asciiTheme="majorHAnsi" w:hAnsiTheme="majorHAnsi"/>
        </w:rPr>
        <w:t xml:space="preserve">(cf. institutional) </w:t>
      </w:r>
      <w:r w:rsidR="005E29EC" w:rsidRPr="00FF117A">
        <w:rPr>
          <w:rFonts w:asciiTheme="majorHAnsi" w:hAnsiTheme="majorHAnsi"/>
        </w:rPr>
        <w:t xml:space="preserve">investors. Therefore, their choices are </w:t>
      </w:r>
      <w:r w:rsidR="00713F20">
        <w:rPr>
          <w:rFonts w:asciiTheme="majorHAnsi" w:hAnsiTheme="majorHAnsi"/>
        </w:rPr>
        <w:t>likely to be more</w:t>
      </w:r>
      <w:r w:rsidR="005E29EC" w:rsidRPr="00FF117A">
        <w:rPr>
          <w:rFonts w:asciiTheme="majorHAnsi" w:hAnsiTheme="majorHAnsi"/>
        </w:rPr>
        <w:t xml:space="preserve"> indicative of the behavior of </w:t>
      </w:r>
      <w:r w:rsidR="00BA53A0">
        <w:rPr>
          <w:rFonts w:asciiTheme="majorHAnsi" w:hAnsiTheme="majorHAnsi"/>
        </w:rPr>
        <w:t>the general population</w:t>
      </w:r>
      <w:r w:rsidR="00300E4A">
        <w:rPr>
          <w:rFonts w:asciiTheme="majorHAnsi" w:hAnsiTheme="majorHAnsi"/>
        </w:rPr>
        <w:t>, rather than</w:t>
      </w:r>
      <w:r w:rsidR="005E29EC" w:rsidRPr="00FF117A">
        <w:rPr>
          <w:rFonts w:asciiTheme="majorHAnsi" w:hAnsiTheme="majorHAnsi"/>
        </w:rPr>
        <w:t xml:space="preserve"> of professional traders who are trained to operate in risky environments. Second, spread-traders</w:t>
      </w:r>
      <w:r w:rsidR="005217B3">
        <w:rPr>
          <w:rFonts w:asciiTheme="majorHAnsi" w:hAnsiTheme="majorHAnsi"/>
        </w:rPr>
        <w:t xml:space="preserve"> </w:t>
      </w:r>
      <w:r w:rsidR="005E29EC" w:rsidRPr="00FF117A">
        <w:rPr>
          <w:rFonts w:asciiTheme="majorHAnsi" w:hAnsiTheme="majorHAnsi"/>
        </w:rPr>
        <w:t xml:space="preserve">tend to focus on only a handful of markets, and often only one, which they actively trade on a daily basis (1.6 times per day on average in our dataset). Individuals engaged in more traditional modes of investment tend to trade far less actively, holding funds or portfolios of many different individual shares over a much longer time (months/years). As </w:t>
      </w:r>
      <w:r w:rsidR="00566E10">
        <w:rPr>
          <w:rFonts w:asciiTheme="majorHAnsi" w:hAnsiTheme="majorHAnsi"/>
        </w:rPr>
        <w:t>spread traders</w:t>
      </w:r>
      <w:r w:rsidR="005E29EC" w:rsidRPr="00FF117A">
        <w:rPr>
          <w:rFonts w:asciiTheme="majorHAnsi" w:hAnsiTheme="majorHAnsi"/>
        </w:rPr>
        <w:t xml:space="preserve"> </w:t>
      </w:r>
      <w:r w:rsidR="00566E10">
        <w:rPr>
          <w:rFonts w:asciiTheme="majorHAnsi" w:hAnsiTheme="majorHAnsi"/>
        </w:rPr>
        <w:t>tend to focus  on</w:t>
      </w:r>
      <w:r w:rsidR="00566E10" w:rsidRPr="00FF117A">
        <w:rPr>
          <w:rFonts w:asciiTheme="majorHAnsi" w:hAnsiTheme="majorHAnsi"/>
        </w:rPr>
        <w:t xml:space="preserve"> </w:t>
      </w:r>
      <w:r w:rsidR="005E29EC" w:rsidRPr="00FF117A">
        <w:rPr>
          <w:rFonts w:asciiTheme="majorHAnsi" w:hAnsiTheme="majorHAnsi"/>
        </w:rPr>
        <w:t>only a few markets</w:t>
      </w:r>
      <w:r w:rsidR="00566E10">
        <w:rPr>
          <w:rFonts w:asciiTheme="majorHAnsi" w:hAnsiTheme="majorHAnsi"/>
        </w:rPr>
        <w:t>,</w:t>
      </w:r>
      <w:r w:rsidR="005E29EC" w:rsidRPr="00FF117A">
        <w:rPr>
          <w:rFonts w:asciiTheme="majorHAnsi" w:hAnsiTheme="majorHAnsi"/>
        </w:rPr>
        <w:t xml:space="preserve"> there are fewer exogenous factors that need to be controlled</w:t>
      </w:r>
      <w:r w:rsidR="00300E4A">
        <w:rPr>
          <w:rFonts w:asciiTheme="majorHAnsi" w:hAnsiTheme="majorHAnsi"/>
        </w:rPr>
        <w:t>. In addition, as spread</w:t>
      </w:r>
      <w:r w:rsidR="00176F70">
        <w:rPr>
          <w:rFonts w:asciiTheme="majorHAnsi" w:hAnsiTheme="majorHAnsi"/>
        </w:rPr>
        <w:t>-</w:t>
      </w:r>
      <w:r w:rsidR="00300E4A">
        <w:rPr>
          <w:rFonts w:asciiTheme="majorHAnsi" w:hAnsiTheme="majorHAnsi"/>
        </w:rPr>
        <w:t>traders</w:t>
      </w:r>
      <w:r w:rsidR="005E29EC" w:rsidRPr="00FF117A">
        <w:rPr>
          <w:rFonts w:asciiTheme="majorHAnsi" w:hAnsiTheme="majorHAnsi"/>
        </w:rPr>
        <w:t xml:space="preserve"> generally trade very actively</w:t>
      </w:r>
      <w:r w:rsidR="003C48E5">
        <w:rPr>
          <w:rFonts w:asciiTheme="majorHAnsi" w:hAnsiTheme="majorHAnsi"/>
        </w:rPr>
        <w:t>,</w:t>
      </w:r>
      <w:r w:rsidR="005E29EC" w:rsidRPr="00FF117A">
        <w:rPr>
          <w:rFonts w:asciiTheme="majorHAnsi" w:hAnsiTheme="majorHAnsi"/>
        </w:rPr>
        <w:t xml:space="preserve"> we can gather a large amount of behavioral data over a relatively short time period.</w:t>
      </w:r>
      <w:r w:rsidR="005E29EC">
        <w:rPr>
          <w:rFonts w:asciiTheme="majorHAnsi" w:hAnsiTheme="majorHAnsi"/>
        </w:rPr>
        <w:t xml:space="preserve"> </w:t>
      </w:r>
      <w:r w:rsidR="00176F70">
        <w:rPr>
          <w:rFonts w:asciiTheme="majorHAnsi" w:hAnsiTheme="majorHAnsi"/>
        </w:rPr>
        <w:t xml:space="preserve">Furthermore, </w:t>
      </w:r>
      <w:r w:rsidR="0065795D">
        <w:rPr>
          <w:rFonts w:asciiTheme="majorHAnsi" w:hAnsiTheme="majorHAnsi"/>
          <w:lang w:val="en-US"/>
        </w:rPr>
        <w:t>spread trading is highly leveraged</w:t>
      </w:r>
      <w:r w:rsidR="00566E10">
        <w:rPr>
          <w:rFonts w:asciiTheme="majorHAnsi" w:hAnsiTheme="majorHAnsi"/>
          <w:lang w:val="en-US"/>
        </w:rPr>
        <w:t>. Consequently,</w:t>
      </w:r>
      <w:r w:rsidR="00BF0ADC">
        <w:rPr>
          <w:rFonts w:asciiTheme="majorHAnsi" w:hAnsiTheme="majorHAnsi"/>
          <w:lang w:val="en-US"/>
        </w:rPr>
        <w:t xml:space="preserve"> individual</w:t>
      </w:r>
      <w:r w:rsidR="00300E4A">
        <w:rPr>
          <w:rFonts w:asciiTheme="majorHAnsi" w:hAnsiTheme="majorHAnsi"/>
          <w:lang w:val="en-US"/>
        </w:rPr>
        <w:t>s</w:t>
      </w:r>
      <w:r w:rsidR="0065795D">
        <w:rPr>
          <w:rFonts w:asciiTheme="majorHAnsi" w:hAnsiTheme="majorHAnsi"/>
          <w:lang w:val="en-US"/>
        </w:rPr>
        <w:t xml:space="preserve"> can easily move from being in </w:t>
      </w:r>
      <w:r w:rsidR="00B007F2">
        <w:rPr>
          <w:rFonts w:asciiTheme="majorHAnsi" w:hAnsiTheme="majorHAnsi"/>
          <w:lang w:val="en-US"/>
        </w:rPr>
        <w:t xml:space="preserve">accumulated </w:t>
      </w:r>
      <w:r w:rsidR="0065795D">
        <w:rPr>
          <w:rFonts w:asciiTheme="majorHAnsi" w:hAnsiTheme="majorHAnsi"/>
          <w:lang w:val="en-US"/>
        </w:rPr>
        <w:t xml:space="preserve">net profit to net loss and vice versa over the course of very few trades. </w:t>
      </w:r>
    </w:p>
    <w:p w14:paraId="219B9317" w14:textId="77777777" w:rsidR="0065795D" w:rsidRDefault="0065795D" w:rsidP="005A14AF">
      <w:pPr>
        <w:spacing w:after="0" w:line="480" w:lineRule="auto"/>
        <w:ind w:firstLine="709"/>
        <w:rPr>
          <w:rFonts w:asciiTheme="majorHAnsi" w:hAnsiTheme="majorHAnsi"/>
          <w:lang w:val="en-US"/>
        </w:rPr>
      </w:pPr>
    </w:p>
    <w:p w14:paraId="399381B5" w14:textId="2A91CDD3" w:rsidR="001A4EC9" w:rsidRPr="00CA37E1" w:rsidRDefault="005A14AF" w:rsidP="005A14AF">
      <w:pPr>
        <w:spacing w:after="0" w:line="480" w:lineRule="auto"/>
        <w:rPr>
          <w:rFonts w:asciiTheme="majorHAnsi" w:hAnsiTheme="majorHAnsi"/>
          <w:lang w:val="en-US"/>
        </w:rPr>
      </w:pPr>
      <w:r w:rsidRPr="000A3677">
        <w:rPr>
          <w:rFonts w:asciiTheme="majorHAnsi" w:hAnsiTheme="majorHAnsi"/>
          <w:b/>
          <w:lang w:val="en-US"/>
        </w:rPr>
        <w:t>2.2 Variables</w:t>
      </w:r>
    </w:p>
    <w:p w14:paraId="56D24DE1" w14:textId="1B226564" w:rsidR="005A14AF" w:rsidRPr="00275768" w:rsidRDefault="005A14AF" w:rsidP="005A14AF">
      <w:pPr>
        <w:spacing w:after="0" w:line="480" w:lineRule="auto"/>
        <w:rPr>
          <w:rFonts w:asciiTheme="majorHAnsi" w:hAnsiTheme="majorHAnsi"/>
          <w:i/>
          <w:lang w:val="en-US"/>
        </w:rPr>
      </w:pPr>
      <w:r w:rsidRPr="00275768">
        <w:rPr>
          <w:rFonts w:asciiTheme="majorHAnsi" w:hAnsiTheme="majorHAnsi"/>
          <w:i/>
          <w:lang w:val="en-US"/>
        </w:rPr>
        <w:t>2.2.</w:t>
      </w:r>
      <w:r w:rsidR="00246D88" w:rsidRPr="00275768">
        <w:rPr>
          <w:rFonts w:asciiTheme="majorHAnsi" w:hAnsiTheme="majorHAnsi"/>
          <w:i/>
          <w:lang w:val="en-US"/>
        </w:rPr>
        <w:t>1</w:t>
      </w:r>
      <w:r w:rsidRPr="00275768">
        <w:rPr>
          <w:rFonts w:asciiTheme="majorHAnsi" w:hAnsiTheme="majorHAnsi"/>
          <w:i/>
          <w:lang w:val="en-US"/>
        </w:rPr>
        <w:t xml:space="preserve"> </w:t>
      </w:r>
      <w:r w:rsidR="001B348F">
        <w:rPr>
          <w:rFonts w:asciiTheme="majorHAnsi" w:hAnsiTheme="majorHAnsi"/>
          <w:i/>
          <w:lang w:val="en-US"/>
        </w:rPr>
        <w:t xml:space="preserve">Accumulated </w:t>
      </w:r>
      <w:r w:rsidR="00987238" w:rsidRPr="00275768">
        <w:rPr>
          <w:rFonts w:asciiTheme="majorHAnsi" w:hAnsiTheme="majorHAnsi"/>
          <w:i/>
          <w:lang w:val="en-US"/>
        </w:rPr>
        <w:t>Net Profit/Loss since beginning trading</w:t>
      </w:r>
    </w:p>
    <w:p w14:paraId="375076F2" w14:textId="09C5F864" w:rsidR="00DD3EBB" w:rsidRDefault="007D78B6" w:rsidP="007D78B6">
      <w:pPr>
        <w:spacing w:after="0" w:line="480" w:lineRule="auto"/>
        <w:rPr>
          <w:rFonts w:asciiTheme="majorHAnsi" w:hAnsiTheme="majorHAnsi"/>
        </w:rPr>
      </w:pPr>
      <w:r>
        <w:rPr>
          <w:rFonts w:asciiTheme="majorHAnsi" w:hAnsiTheme="majorHAnsi"/>
        </w:rPr>
        <w:t>W</w:t>
      </w:r>
      <w:r w:rsidR="00A373EA">
        <w:rPr>
          <w:rFonts w:asciiTheme="majorHAnsi" w:hAnsiTheme="majorHAnsi"/>
          <w:lang w:val="en-US"/>
        </w:rPr>
        <w:t xml:space="preserve">e calculate a number of </w:t>
      </w:r>
      <w:r>
        <w:rPr>
          <w:rFonts w:asciiTheme="majorHAnsi" w:hAnsiTheme="majorHAnsi"/>
        </w:rPr>
        <w:t xml:space="preserve">variables </w:t>
      </w:r>
      <w:r w:rsidR="00E54695">
        <w:rPr>
          <w:rFonts w:asciiTheme="majorHAnsi" w:hAnsiTheme="majorHAnsi"/>
          <w:lang w:val="en-US"/>
        </w:rPr>
        <w:t xml:space="preserve">related to </w:t>
      </w:r>
      <w:r w:rsidR="007F04E2">
        <w:rPr>
          <w:rFonts w:asciiTheme="majorHAnsi" w:hAnsiTheme="majorHAnsi"/>
        </w:rPr>
        <w:t>a</w:t>
      </w:r>
      <w:r w:rsidR="00552CE1">
        <w:rPr>
          <w:rFonts w:asciiTheme="majorHAnsi" w:hAnsiTheme="majorHAnsi"/>
        </w:rPr>
        <w:t>n individual</w:t>
      </w:r>
      <w:r w:rsidR="00BA53A0">
        <w:rPr>
          <w:rFonts w:asciiTheme="majorHAnsi" w:hAnsiTheme="majorHAnsi"/>
        </w:rPr>
        <w:t>’s (</w:t>
      </w:r>
      <w:r w:rsidR="00BA53A0" w:rsidRPr="00275768">
        <w:rPr>
          <w:rFonts w:asciiTheme="majorHAnsi" w:hAnsiTheme="majorHAnsi"/>
          <w:i/>
        </w:rPr>
        <w:t>k</w:t>
      </w:r>
      <w:r w:rsidR="00BA53A0">
        <w:rPr>
          <w:rFonts w:asciiTheme="majorHAnsi" w:hAnsiTheme="majorHAnsi"/>
        </w:rPr>
        <w:t>)</w:t>
      </w:r>
      <w:r w:rsidR="007F04E2">
        <w:rPr>
          <w:rFonts w:asciiTheme="majorHAnsi" w:hAnsiTheme="majorHAnsi"/>
        </w:rPr>
        <w:t xml:space="preserve"> trading behavior </w:t>
      </w:r>
      <w:r w:rsidR="00E54695">
        <w:rPr>
          <w:rFonts w:asciiTheme="majorHAnsi" w:hAnsiTheme="majorHAnsi"/>
          <w:lang w:val="en-US"/>
        </w:rPr>
        <w:t xml:space="preserve">since </w:t>
      </w:r>
      <w:r w:rsidR="00D774B2">
        <w:rPr>
          <w:rFonts w:asciiTheme="majorHAnsi" w:hAnsiTheme="majorHAnsi"/>
        </w:rPr>
        <w:t xml:space="preserve">they </w:t>
      </w:r>
      <w:r w:rsidR="00E54695">
        <w:rPr>
          <w:rFonts w:asciiTheme="majorHAnsi" w:hAnsiTheme="majorHAnsi"/>
          <w:lang w:val="en-US"/>
        </w:rPr>
        <w:t>beg</w:t>
      </w:r>
      <w:r w:rsidR="00A373EA">
        <w:rPr>
          <w:rFonts w:asciiTheme="majorHAnsi" w:hAnsiTheme="majorHAnsi"/>
          <w:lang w:val="en-US"/>
        </w:rPr>
        <w:t>a</w:t>
      </w:r>
      <w:r w:rsidR="00E54695">
        <w:rPr>
          <w:rFonts w:asciiTheme="majorHAnsi" w:hAnsiTheme="majorHAnsi"/>
          <w:lang w:val="en-US"/>
        </w:rPr>
        <w:t>n</w:t>
      </w:r>
      <w:r w:rsidR="00A373EA">
        <w:rPr>
          <w:rFonts w:asciiTheme="majorHAnsi" w:hAnsiTheme="majorHAnsi"/>
          <w:lang w:val="en-US"/>
        </w:rPr>
        <w:t xml:space="preserve"> </w:t>
      </w:r>
      <w:r w:rsidR="00E54695">
        <w:rPr>
          <w:rFonts w:asciiTheme="majorHAnsi" w:hAnsiTheme="majorHAnsi"/>
          <w:lang w:val="en-US"/>
        </w:rPr>
        <w:t>trading</w:t>
      </w:r>
      <w:r w:rsidR="00A92FF7" w:rsidRPr="00A92FF7">
        <w:rPr>
          <w:rFonts w:asciiTheme="majorHAnsi" w:hAnsiTheme="majorHAnsi"/>
          <w:lang w:val="en-US"/>
        </w:rPr>
        <w:t xml:space="preserve"> </w:t>
      </w:r>
      <w:r w:rsidR="00A92FF7">
        <w:rPr>
          <w:rFonts w:asciiTheme="majorHAnsi" w:hAnsiTheme="majorHAnsi"/>
          <w:lang w:val="en-US"/>
        </w:rPr>
        <w:t>with the brokerage</w:t>
      </w:r>
      <w:r w:rsidR="00BA53A0">
        <w:rPr>
          <w:rFonts w:asciiTheme="majorHAnsi" w:hAnsiTheme="majorHAnsi"/>
          <w:lang w:val="en-US"/>
        </w:rPr>
        <w:t>. We</w:t>
      </w:r>
      <w:r w:rsidR="00A337C5">
        <w:rPr>
          <w:rFonts w:asciiTheme="majorHAnsi" w:hAnsiTheme="majorHAnsi"/>
        </w:rPr>
        <w:t xml:space="preserve"> calculate statistics for every </w:t>
      </w:r>
      <w:r w:rsidR="006435D2">
        <w:rPr>
          <w:rFonts w:asciiTheme="majorHAnsi" w:hAnsiTheme="majorHAnsi"/>
        </w:rPr>
        <w:t>year-</w:t>
      </w:r>
      <w:r w:rsidR="00A337C5">
        <w:rPr>
          <w:rFonts w:asciiTheme="majorHAnsi" w:hAnsiTheme="majorHAnsi"/>
        </w:rPr>
        <w:t xml:space="preserve">month, </w:t>
      </w:r>
      <w:r w:rsidR="00A337C5">
        <w:rPr>
          <w:rFonts w:asciiTheme="majorHAnsi" w:hAnsiTheme="majorHAnsi"/>
          <w:i/>
        </w:rPr>
        <w:t>m</w:t>
      </w:r>
      <w:r w:rsidR="00683029">
        <w:rPr>
          <w:rFonts w:asciiTheme="majorHAnsi" w:hAnsiTheme="majorHAnsi"/>
        </w:rPr>
        <w:t xml:space="preserve">, since they began trading. </w:t>
      </w:r>
      <w:r w:rsidR="009E3E97">
        <w:rPr>
          <w:rFonts w:asciiTheme="majorHAnsi" w:hAnsiTheme="majorHAnsi"/>
        </w:rPr>
        <w:t xml:space="preserve">Each </w:t>
      </w:r>
      <w:r w:rsidR="00552CE1">
        <w:rPr>
          <w:rFonts w:asciiTheme="majorHAnsi" w:hAnsiTheme="majorHAnsi"/>
        </w:rPr>
        <w:t>individual</w:t>
      </w:r>
      <w:r w:rsidR="009E3E97">
        <w:rPr>
          <w:rFonts w:asciiTheme="majorHAnsi" w:hAnsiTheme="majorHAnsi"/>
        </w:rPr>
        <w:t xml:space="preserve"> may have a different number, </w:t>
      </w:r>
      <w:r w:rsidR="009E3E97">
        <w:rPr>
          <w:rFonts w:asciiTheme="majorHAnsi" w:hAnsiTheme="majorHAnsi"/>
          <w:i/>
        </w:rPr>
        <w:t>N</w:t>
      </w:r>
      <w:r w:rsidR="009E3E97">
        <w:rPr>
          <w:rFonts w:asciiTheme="majorHAnsi" w:hAnsiTheme="majorHAnsi"/>
        </w:rPr>
        <w:t xml:space="preserve">, of months </w:t>
      </w:r>
      <w:r w:rsidR="006435D2">
        <w:rPr>
          <w:rFonts w:asciiTheme="majorHAnsi" w:hAnsiTheme="majorHAnsi"/>
        </w:rPr>
        <w:t>they were actively trading</w:t>
      </w:r>
      <w:r w:rsidR="009E3E97">
        <w:rPr>
          <w:rFonts w:asciiTheme="majorHAnsi" w:hAnsiTheme="majorHAnsi"/>
        </w:rPr>
        <w:t>, and therefore different numbers of observations</w:t>
      </w:r>
      <w:r w:rsidR="005217B3">
        <w:rPr>
          <w:rFonts w:asciiTheme="majorHAnsi" w:hAnsiTheme="majorHAnsi"/>
        </w:rPr>
        <w:t>,</w:t>
      </w:r>
      <w:r w:rsidR="000A0287">
        <w:rPr>
          <w:rFonts w:asciiTheme="majorHAnsi" w:hAnsiTheme="majorHAnsi"/>
        </w:rPr>
        <w:t xml:space="preserve"> </w:t>
      </w:r>
      <w:r w:rsidR="000A0287" w:rsidRPr="00FC6DF5">
        <w:rPr>
          <w:rFonts w:asciiTheme="majorHAnsi" w:hAnsiTheme="majorHAnsi"/>
          <w:i/>
        </w:rPr>
        <w:t>d</w:t>
      </w:r>
      <w:r w:rsidR="000A0287">
        <w:rPr>
          <w:rFonts w:asciiTheme="majorHAnsi" w:hAnsiTheme="majorHAnsi"/>
        </w:rPr>
        <w:t>=1,</w:t>
      </w:r>
      <w:r w:rsidR="001D75A1">
        <w:rPr>
          <w:rFonts w:asciiTheme="majorHAnsi" w:hAnsiTheme="majorHAnsi"/>
        </w:rPr>
        <w:t xml:space="preserve"> </w:t>
      </w:r>
      <w:r w:rsidR="000A0287">
        <w:rPr>
          <w:rFonts w:asciiTheme="majorHAnsi" w:hAnsiTheme="majorHAnsi"/>
        </w:rPr>
        <w:t>2,</w:t>
      </w:r>
      <w:r w:rsidR="001D75A1">
        <w:rPr>
          <w:rFonts w:asciiTheme="majorHAnsi" w:hAnsiTheme="majorHAnsi"/>
        </w:rPr>
        <w:t xml:space="preserve"> </w:t>
      </w:r>
      <w:r w:rsidR="000A0287">
        <w:rPr>
          <w:rFonts w:asciiTheme="majorHAnsi" w:hAnsiTheme="majorHAnsi"/>
        </w:rPr>
        <w:t>3</w:t>
      </w:r>
      <w:r w:rsidR="007B511D">
        <w:rPr>
          <w:rFonts w:asciiTheme="majorHAnsi" w:hAnsiTheme="majorHAnsi"/>
        </w:rPr>
        <w:t>,</w:t>
      </w:r>
      <w:r w:rsidR="000A0287">
        <w:rPr>
          <w:rFonts w:asciiTheme="majorHAnsi" w:hAnsiTheme="majorHAnsi"/>
        </w:rPr>
        <w:t>…</w:t>
      </w:r>
      <w:r w:rsidR="007B511D">
        <w:rPr>
          <w:rFonts w:asciiTheme="majorHAnsi" w:hAnsiTheme="majorHAnsi"/>
        </w:rPr>
        <w:t>,</w:t>
      </w:r>
      <w:r w:rsidR="006435D2" w:rsidRPr="00FC6DF5">
        <w:rPr>
          <w:rFonts w:asciiTheme="majorHAnsi" w:hAnsiTheme="majorHAnsi"/>
          <w:i/>
        </w:rPr>
        <w:t>N</w:t>
      </w:r>
      <w:r w:rsidR="005054B5" w:rsidRPr="005054B5">
        <w:rPr>
          <w:rFonts w:asciiTheme="majorHAnsi" w:hAnsiTheme="majorHAnsi"/>
          <w:i/>
          <w:vertAlign w:val="subscript"/>
        </w:rPr>
        <w:t>km</w:t>
      </w:r>
      <w:r w:rsidR="000A0287">
        <w:rPr>
          <w:rFonts w:asciiTheme="majorHAnsi" w:hAnsiTheme="majorHAnsi"/>
        </w:rPr>
        <w:t>.</w:t>
      </w:r>
      <w:r w:rsidR="00DD3EBB">
        <w:rPr>
          <w:rFonts w:asciiTheme="majorHAnsi" w:hAnsiTheme="majorHAnsi"/>
        </w:rPr>
        <w:t xml:space="preserve"> </w:t>
      </w:r>
    </w:p>
    <w:p w14:paraId="125D3EB1" w14:textId="7716D2F5" w:rsidR="00246D88" w:rsidRPr="00FC6DF5" w:rsidRDefault="005217B3" w:rsidP="00FC6DF5">
      <w:pPr>
        <w:spacing w:after="0" w:line="480" w:lineRule="auto"/>
        <w:ind w:firstLine="720"/>
        <w:rPr>
          <w:rFonts w:asciiTheme="majorHAnsi" w:hAnsiTheme="majorHAnsi"/>
        </w:rPr>
      </w:pPr>
      <w:r>
        <w:rPr>
          <w:rFonts w:asciiTheme="majorHAnsi" w:hAnsiTheme="majorHAnsi"/>
          <w:lang w:val="en-US"/>
        </w:rPr>
        <w:t>F</w:t>
      </w:r>
      <w:r w:rsidR="007B511D">
        <w:rPr>
          <w:rFonts w:asciiTheme="majorHAnsi" w:hAnsiTheme="majorHAnsi"/>
        </w:rPr>
        <w:t>or</w:t>
      </w:r>
      <w:r w:rsidR="00246D88">
        <w:rPr>
          <w:rFonts w:asciiTheme="majorHAnsi" w:hAnsiTheme="majorHAnsi"/>
          <w:lang w:val="en-US"/>
        </w:rPr>
        <w:t xml:space="preserve"> each month</w:t>
      </w:r>
      <w:r w:rsidR="00987238">
        <w:rPr>
          <w:rFonts w:asciiTheme="majorHAnsi" w:hAnsiTheme="majorHAnsi"/>
          <w:lang w:val="en-US"/>
        </w:rPr>
        <w:t xml:space="preserve">, </w:t>
      </w:r>
      <w:r w:rsidR="00987238">
        <w:rPr>
          <w:rFonts w:asciiTheme="majorHAnsi" w:hAnsiTheme="majorHAnsi"/>
          <w:i/>
          <w:lang w:val="en-US"/>
        </w:rPr>
        <w:t>m</w:t>
      </w:r>
      <w:r w:rsidR="00987238">
        <w:rPr>
          <w:rFonts w:asciiTheme="majorHAnsi" w:hAnsiTheme="majorHAnsi"/>
          <w:lang w:val="en-US"/>
        </w:rPr>
        <w:t>,</w:t>
      </w:r>
      <w:r w:rsidR="00246D88">
        <w:rPr>
          <w:rFonts w:asciiTheme="majorHAnsi" w:hAnsiTheme="majorHAnsi"/>
          <w:lang w:val="en-US"/>
        </w:rPr>
        <w:t xml:space="preserve"> we </w:t>
      </w:r>
      <w:r w:rsidR="00987238">
        <w:rPr>
          <w:rFonts w:asciiTheme="majorHAnsi" w:hAnsiTheme="majorHAnsi"/>
          <w:lang w:val="en-US"/>
        </w:rPr>
        <w:t xml:space="preserve">calculate </w:t>
      </w:r>
      <w:r w:rsidR="00FC6DF5" w:rsidRPr="00FC6DF5">
        <w:rPr>
          <w:rFonts w:asciiTheme="majorHAnsi" w:hAnsiTheme="majorHAnsi"/>
          <w:i/>
          <w:lang w:val="en-US"/>
        </w:rPr>
        <w:t>k</w:t>
      </w:r>
      <w:r w:rsidR="00987238">
        <w:rPr>
          <w:rFonts w:asciiTheme="majorHAnsi" w:hAnsiTheme="majorHAnsi"/>
          <w:lang w:val="en-US"/>
        </w:rPr>
        <w:t>'s accumulated net profit or loss (</w:t>
      </w:r>
      <m:oMath>
        <m:sSub>
          <m:sSubPr>
            <m:ctrlPr>
              <w:rPr>
                <w:rFonts w:ascii="Cambria Math" w:hAnsi="Cambria Math"/>
                <w:lang w:val="en-US"/>
              </w:rPr>
            </m:ctrlPr>
          </m:sSubPr>
          <m:e>
            <m:r>
              <w:rPr>
                <w:rFonts w:ascii="Cambria Math" w:hAnsi="Cambria Math"/>
                <w:lang w:val="en-US"/>
              </w:rPr>
              <m:t>ANPL</m:t>
            </m:r>
          </m:e>
          <m:sub>
            <m:r>
              <w:rPr>
                <w:rFonts w:ascii="Cambria Math" w:hAnsi="Cambria Math"/>
                <w:lang w:val="en-US"/>
              </w:rPr>
              <m:t>km</m:t>
            </m:r>
          </m:sub>
        </m:sSub>
      </m:oMath>
      <w:r w:rsidR="00987238">
        <w:rPr>
          <w:rFonts w:asciiTheme="majorHAnsi" w:eastAsiaTheme="minorEastAsia" w:hAnsiTheme="majorHAnsi"/>
          <w:lang w:val="en-US"/>
        </w:rPr>
        <w:t xml:space="preserve">) </w:t>
      </w:r>
      <w:r w:rsidR="00987238">
        <w:rPr>
          <w:rFonts w:asciiTheme="majorHAnsi" w:hAnsiTheme="majorHAnsi"/>
          <w:lang w:val="en-US"/>
        </w:rPr>
        <w:t>since they began trading</w:t>
      </w:r>
      <w:r w:rsidR="00DF4FA2">
        <w:rPr>
          <w:rFonts w:asciiTheme="majorHAnsi" w:hAnsiTheme="majorHAnsi"/>
          <w:lang w:val="en-US"/>
        </w:rPr>
        <w:t xml:space="preserve"> </w:t>
      </w:r>
      <w:r w:rsidR="00B007F2">
        <w:rPr>
          <w:rFonts w:asciiTheme="majorHAnsi" w:hAnsiTheme="majorHAnsi"/>
          <w:lang w:val="en-US"/>
        </w:rPr>
        <w:t>.</w:t>
      </w:r>
      <w:r w:rsidR="00FC6DF5">
        <w:rPr>
          <w:rFonts w:asciiTheme="majorHAnsi" w:hAnsiTheme="majorHAnsi"/>
          <w:lang w:val="en-US"/>
        </w:rPr>
        <w:t xml:space="preserve"> This is</w:t>
      </w:r>
      <w:r w:rsidR="00246D88">
        <w:rPr>
          <w:rFonts w:asciiTheme="majorHAnsi" w:hAnsiTheme="majorHAnsi"/>
          <w:lang w:val="en-US"/>
        </w:rPr>
        <w:t xml:space="preserve"> based on </w:t>
      </w:r>
      <w:r w:rsidR="00304EC5">
        <w:rPr>
          <w:rFonts w:asciiTheme="majorHAnsi" w:hAnsiTheme="majorHAnsi"/>
        </w:rPr>
        <w:t>the</w:t>
      </w:r>
      <w:r w:rsidR="005A6185">
        <w:rPr>
          <w:rFonts w:asciiTheme="majorHAnsi" w:hAnsiTheme="majorHAnsi"/>
        </w:rPr>
        <w:t xml:space="preserve"> </w:t>
      </w:r>
      <w:r w:rsidR="00C201CD">
        <w:rPr>
          <w:rFonts w:asciiTheme="majorHAnsi" w:hAnsiTheme="majorHAnsi"/>
          <w:lang w:val="en-US"/>
        </w:rPr>
        <w:t xml:space="preserve">sum of total profit/losses </w:t>
      </w:r>
      <w:r w:rsidR="00BA53A0">
        <w:rPr>
          <w:rFonts w:asciiTheme="majorHAnsi" w:hAnsiTheme="majorHAnsi"/>
          <w:lang w:val="en-US"/>
        </w:rPr>
        <w:t xml:space="preserve">in each given month </w:t>
      </w:r>
      <w:r w:rsidR="00C201CD">
        <w:rPr>
          <w:rFonts w:asciiTheme="majorHAnsi" w:hAnsiTheme="majorHAnsi"/>
          <w:lang w:val="en-US"/>
        </w:rPr>
        <w:t>(</w:t>
      </w:r>
      <m:oMath>
        <m:sSubSup>
          <m:sSubSupPr>
            <m:ctrlPr>
              <w:rPr>
                <w:rFonts w:ascii="Cambria Math" w:hAnsi="Cambria Math"/>
                <w:i/>
                <w:lang w:val="en-US"/>
              </w:rPr>
            </m:ctrlPr>
          </m:sSubSupPr>
          <m:e>
            <m:r>
              <w:rPr>
                <w:rFonts w:ascii="Cambria Math" w:hAnsi="Cambria Math"/>
                <w:lang w:val="en-US"/>
              </w:rPr>
              <m:t>MonthProfitLoss</m:t>
            </m:r>
          </m:e>
          <m:sub>
            <m:r>
              <w:rPr>
                <w:rFonts w:ascii="Cambria Math" w:hAnsi="Cambria Math"/>
                <w:lang w:val="en-US"/>
              </w:rPr>
              <m:t>k</m:t>
            </m:r>
          </m:sub>
          <m:sup>
            <m:r>
              <w:rPr>
                <w:rFonts w:ascii="Cambria Math" w:hAnsi="Cambria Math"/>
                <w:lang w:val="en-US"/>
              </w:rPr>
              <m:t>d</m:t>
            </m:r>
          </m:sup>
        </m:sSubSup>
        <m:r>
          <w:rPr>
            <w:rFonts w:ascii="Cambria Math" w:hAnsi="Cambria Math"/>
            <w:lang w:val="en-US"/>
          </w:rPr>
          <m:t>)</m:t>
        </m:r>
      </m:oMath>
      <w:r w:rsidR="00765890">
        <w:rPr>
          <w:rFonts w:asciiTheme="majorHAnsi" w:eastAsiaTheme="minorEastAsia" w:hAnsiTheme="majorHAnsi"/>
          <w:lang w:val="en-US"/>
        </w:rPr>
        <w:t xml:space="preserve"> </w:t>
      </w:r>
      <w:r w:rsidR="00BA53A0">
        <w:rPr>
          <w:rFonts w:asciiTheme="majorHAnsi" w:eastAsiaTheme="minorEastAsia" w:hAnsiTheme="majorHAnsi"/>
          <w:lang w:val="en-US"/>
        </w:rPr>
        <w:t xml:space="preserve">to month </w:t>
      </w:r>
      <w:r w:rsidR="00BA53A0" w:rsidRPr="00275768">
        <w:rPr>
          <w:rFonts w:asciiTheme="majorHAnsi" w:eastAsiaTheme="minorEastAsia" w:hAnsiTheme="majorHAnsi"/>
          <w:i/>
          <w:lang w:val="en-US"/>
        </w:rPr>
        <w:t>m</w:t>
      </w:r>
      <w:r w:rsidR="00BA53A0">
        <w:rPr>
          <w:rFonts w:asciiTheme="majorHAnsi" w:eastAsiaTheme="minorEastAsia" w:hAnsiTheme="majorHAnsi"/>
          <w:lang w:val="en-US"/>
        </w:rPr>
        <w:t>:</w:t>
      </w:r>
    </w:p>
    <w:p w14:paraId="441890CE" w14:textId="3246DF03" w:rsidR="00F26B05" w:rsidRPr="00F30438" w:rsidRDefault="0034304F" w:rsidP="00F30438">
      <w:pPr>
        <w:spacing w:after="0" w:line="480" w:lineRule="auto"/>
        <w:jc w:val="right"/>
        <w:rPr>
          <w:rFonts w:asciiTheme="majorHAnsi" w:eastAsiaTheme="minorEastAsia" w:hAnsiTheme="majorHAnsi"/>
          <w:lang w:val="en-US"/>
        </w:rPr>
      </w:pPr>
      <m:oMathPara>
        <m:oMath>
          <m:eqArr>
            <m:eqArrPr>
              <m:maxDist m:val="1"/>
              <m:ctrlPr>
                <w:rPr>
                  <w:rFonts w:ascii="Cambria Math" w:hAnsi="Cambria Math"/>
                  <w:i/>
                  <w:lang w:val="en-US"/>
                </w:rPr>
              </m:ctrlPr>
            </m:eqArrPr>
            <m:e>
              <m:sSub>
                <m:sSubPr>
                  <m:ctrlPr>
                    <w:rPr>
                      <w:rFonts w:ascii="Cambria Math" w:hAnsi="Cambria Math"/>
                      <w:lang w:val="en-US"/>
                    </w:rPr>
                  </m:ctrlPr>
                </m:sSubPr>
                <m:e>
                  <m:r>
                    <w:rPr>
                      <w:rFonts w:ascii="Cambria Math" w:hAnsi="Cambria Math"/>
                      <w:lang w:val="en-US"/>
                    </w:rPr>
                    <m:t>ANPL</m:t>
                  </m:r>
                </m:e>
                <m:sub>
                  <m:r>
                    <w:rPr>
                      <w:rFonts w:ascii="Cambria Math" w:hAnsi="Cambria Math"/>
                      <w:lang w:val="en-US"/>
                    </w:rPr>
                    <m:t>km</m:t>
                  </m:r>
                </m:sub>
              </m:sSub>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d=1</m:t>
                  </m:r>
                </m:sub>
                <m:sup>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km</m:t>
                      </m:r>
                    </m:sub>
                  </m:sSub>
                </m:sup>
                <m:e>
                  <m:sSubSup>
                    <m:sSubSupPr>
                      <m:ctrlPr>
                        <w:rPr>
                          <w:rFonts w:ascii="Cambria Math" w:hAnsi="Cambria Math"/>
                          <w:i/>
                          <w:lang w:val="en-US"/>
                        </w:rPr>
                      </m:ctrlPr>
                    </m:sSubSupPr>
                    <m:e>
                      <m:r>
                        <w:rPr>
                          <w:rFonts w:ascii="Cambria Math" w:hAnsi="Cambria Math"/>
                          <w:lang w:val="en-US"/>
                        </w:rPr>
                        <m:t>MonthProfitLoss</m:t>
                      </m:r>
                    </m:e>
                    <m:sub>
                      <m:r>
                        <w:rPr>
                          <w:rFonts w:ascii="Cambria Math" w:hAnsi="Cambria Math"/>
                          <w:lang w:val="en-US"/>
                        </w:rPr>
                        <m:t>k</m:t>
                      </m:r>
                    </m:sub>
                    <m:sup>
                      <m:r>
                        <w:rPr>
                          <w:rFonts w:ascii="Cambria Math" w:hAnsi="Cambria Math"/>
                          <w:lang w:val="en-US"/>
                        </w:rPr>
                        <m:t>d</m:t>
                      </m:r>
                    </m:sup>
                  </m:sSubSup>
                </m:e>
              </m:nary>
              <m:r>
                <w:rPr>
                  <w:rFonts w:ascii="Cambria Math" w:hAnsi="Cambria Math"/>
                  <w:lang w:val="en-US"/>
                </w:rPr>
                <m:t>#</m:t>
              </m:r>
              <m:d>
                <m:dPr>
                  <m:ctrlPr>
                    <w:rPr>
                      <w:rFonts w:ascii="Cambria Math" w:hAnsi="Cambria Math"/>
                      <w:i/>
                      <w:lang w:val="en-US"/>
                    </w:rPr>
                  </m:ctrlPr>
                </m:dPr>
                <m:e>
                  <m:r>
                    <w:rPr>
                      <w:rFonts w:ascii="Cambria Math" w:hAnsi="Cambria Math"/>
                      <w:lang w:val="en-US"/>
                    </w:rPr>
                    <m:t>1</m:t>
                  </m:r>
                </m:e>
              </m:d>
            </m:e>
          </m:eqArr>
        </m:oMath>
      </m:oMathPara>
    </w:p>
    <w:p w14:paraId="5F2DC56E" w14:textId="45354E41" w:rsidR="00987238" w:rsidRPr="00FC6DF5" w:rsidRDefault="00180461" w:rsidP="00C201CD">
      <w:pPr>
        <w:spacing w:after="0" w:line="480" w:lineRule="auto"/>
        <w:rPr>
          <w:rFonts w:asciiTheme="majorHAnsi" w:hAnsiTheme="majorHAnsi"/>
        </w:rPr>
      </w:pPr>
      <w:r>
        <w:rPr>
          <w:rFonts w:asciiTheme="majorHAnsi" w:hAnsiTheme="majorHAnsi"/>
        </w:rPr>
        <w:t xml:space="preserve">Since, </w:t>
      </w:r>
      <m:oMath>
        <m:sSub>
          <m:sSubPr>
            <m:ctrlPr>
              <w:rPr>
                <w:rFonts w:ascii="Cambria Math" w:hAnsi="Cambria Math"/>
                <w:lang w:val="en-US"/>
              </w:rPr>
            </m:ctrlPr>
          </m:sSubPr>
          <m:e>
            <m:r>
              <w:rPr>
                <w:rFonts w:ascii="Cambria Math" w:hAnsi="Cambria Math"/>
                <w:lang w:val="en-US"/>
              </w:rPr>
              <m:t>ANPL</m:t>
            </m:r>
          </m:e>
          <m:sub>
            <m:r>
              <w:rPr>
                <w:rFonts w:ascii="Cambria Math" w:hAnsi="Cambria Math"/>
                <w:lang w:val="en-US"/>
              </w:rPr>
              <m:t>km</m:t>
            </m:r>
          </m:sub>
        </m:sSub>
      </m:oMath>
      <w:r>
        <w:rPr>
          <w:rFonts w:asciiTheme="majorHAnsi" w:hAnsiTheme="majorHAnsi"/>
          <w:i/>
        </w:rPr>
        <w:t xml:space="preserve"> </w:t>
      </w:r>
      <w:r>
        <w:rPr>
          <w:rFonts w:asciiTheme="majorHAnsi" w:hAnsiTheme="majorHAnsi"/>
        </w:rPr>
        <w:t>is calculated for</w:t>
      </w:r>
      <w:r w:rsidR="00866F09">
        <w:rPr>
          <w:rFonts w:asciiTheme="majorHAnsi" w:hAnsiTheme="majorHAnsi"/>
        </w:rPr>
        <w:t xml:space="preserve"> every month</w:t>
      </w:r>
      <w:r w:rsidR="00DE4F2D">
        <w:rPr>
          <w:rFonts w:asciiTheme="majorHAnsi" w:hAnsiTheme="majorHAnsi"/>
        </w:rPr>
        <w:t xml:space="preserve"> that</w:t>
      </w:r>
      <w:r w:rsidR="00866F09">
        <w:rPr>
          <w:rFonts w:asciiTheme="majorHAnsi" w:hAnsiTheme="majorHAnsi"/>
        </w:rPr>
        <w:t xml:space="preserve"> the </w:t>
      </w:r>
      <w:r w:rsidR="00552CE1">
        <w:rPr>
          <w:rFonts w:asciiTheme="majorHAnsi" w:hAnsiTheme="majorHAnsi"/>
        </w:rPr>
        <w:t>individual</w:t>
      </w:r>
      <w:r w:rsidR="00866F09">
        <w:rPr>
          <w:rFonts w:asciiTheme="majorHAnsi" w:hAnsiTheme="majorHAnsi"/>
        </w:rPr>
        <w:t xml:space="preserve"> was </w:t>
      </w:r>
      <w:r w:rsidR="00104772">
        <w:rPr>
          <w:rFonts w:asciiTheme="majorHAnsi" w:hAnsiTheme="majorHAnsi"/>
        </w:rPr>
        <w:t>actively trading</w:t>
      </w:r>
      <w:r w:rsidR="00DE4F2D">
        <w:rPr>
          <w:rFonts w:asciiTheme="majorHAnsi" w:hAnsiTheme="majorHAnsi"/>
        </w:rPr>
        <w:t>, the set of observations</w:t>
      </w:r>
      <w:r w:rsidR="00914795">
        <w:rPr>
          <w:rFonts w:asciiTheme="majorHAnsi" w:hAnsiTheme="majorHAnsi"/>
        </w:rPr>
        <w:t>,</w:t>
      </w:r>
      <w:r w:rsidR="00285834">
        <w:rPr>
          <w:rFonts w:asciiTheme="majorHAnsi" w:hAnsiTheme="majorHAnsi"/>
        </w:rPr>
        <w:t xml:space="preserve"> </w:t>
      </w:r>
      <m:oMath>
        <m:sSub>
          <m:sSubPr>
            <m:ctrlPr>
              <w:rPr>
                <w:rFonts w:ascii="Cambria Math" w:hAnsi="Cambria Math"/>
                <w:b/>
                <w:i/>
              </w:rPr>
            </m:ctrlPr>
          </m:sSubPr>
          <m:e>
            <m:r>
              <m:rPr>
                <m:sty m:val="bi"/>
              </m:rPr>
              <w:rPr>
                <w:rFonts w:ascii="Cambria Math" w:hAnsi="Cambria Math"/>
              </w:rPr>
              <m:t>ANPL</m:t>
            </m:r>
          </m:e>
          <m:sub>
            <m:r>
              <m:rPr>
                <m:sty m:val="bi"/>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ANPL</m:t>
            </m:r>
          </m:e>
          <m:sub>
            <m:r>
              <w:rPr>
                <w:rFonts w:ascii="Cambria Math" w:hAnsi="Cambria Math"/>
              </w:rPr>
              <m:t>k1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ANPL</m:t>
            </m:r>
          </m:e>
          <m:sub>
            <m:r>
              <w:rPr>
                <w:rFonts w:ascii="Cambria Math" w:hAnsi="Cambria Math"/>
              </w:rPr>
              <m:t>k2</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ANPL</m:t>
            </m:r>
          </m:e>
          <m:sub>
            <m:r>
              <w:rPr>
                <w:rFonts w:ascii="Cambria Math" w:hAnsi="Cambria Math"/>
              </w:rPr>
              <m:t>kn</m:t>
            </m:r>
          </m:sub>
        </m:sSub>
        <m:r>
          <m:rPr>
            <m:sty m:val="p"/>
          </m:rPr>
          <w:rPr>
            <w:rFonts w:ascii="Cambria Math" w:hAnsi="Cambria Math"/>
          </w:rPr>
          <m:t>)</m:t>
        </m:r>
      </m:oMath>
      <w:r w:rsidR="00285834">
        <w:rPr>
          <w:rFonts w:asciiTheme="majorHAnsi" w:eastAsiaTheme="minorEastAsia" w:hAnsiTheme="majorHAnsi"/>
        </w:rPr>
        <w:t xml:space="preserve">, </w:t>
      </w:r>
      <w:r w:rsidR="00914795">
        <w:rPr>
          <w:rFonts w:asciiTheme="majorHAnsi" w:hAnsiTheme="majorHAnsi"/>
        </w:rPr>
        <w:t>are</w:t>
      </w:r>
      <w:r w:rsidR="00120AA2">
        <w:rPr>
          <w:rFonts w:asciiTheme="majorHAnsi" w:hAnsiTheme="majorHAnsi"/>
        </w:rPr>
        <w:t xml:space="preserve"> the</w:t>
      </w:r>
      <w:r w:rsidR="00374519">
        <w:rPr>
          <w:rFonts w:asciiTheme="majorHAnsi" w:hAnsiTheme="majorHAnsi"/>
        </w:rPr>
        <w:t xml:space="preserve"> cumulative sum of monthly profit/losses since the </w:t>
      </w:r>
      <w:r w:rsidR="00552CE1">
        <w:rPr>
          <w:rFonts w:asciiTheme="majorHAnsi" w:hAnsiTheme="majorHAnsi"/>
        </w:rPr>
        <w:t>individual</w:t>
      </w:r>
      <w:r w:rsidR="00374519">
        <w:rPr>
          <w:rFonts w:asciiTheme="majorHAnsi" w:hAnsiTheme="majorHAnsi"/>
        </w:rPr>
        <w:t xml:space="preserve"> began trading</w:t>
      </w:r>
      <w:r w:rsidR="00FC6DF5">
        <w:rPr>
          <w:rFonts w:asciiTheme="majorHAnsi" w:hAnsiTheme="majorHAnsi"/>
        </w:rPr>
        <w:t xml:space="preserve"> until month </w:t>
      </w:r>
      <w:r w:rsidR="00FC6DF5" w:rsidRPr="00355A90">
        <w:rPr>
          <w:rFonts w:asciiTheme="majorHAnsi" w:hAnsiTheme="majorHAnsi"/>
          <w:i/>
        </w:rPr>
        <w:t>m</w:t>
      </w:r>
      <w:r w:rsidR="00FC6DF5">
        <w:rPr>
          <w:rFonts w:asciiTheme="majorHAnsi" w:hAnsiTheme="majorHAnsi"/>
        </w:rPr>
        <w:t>.</w:t>
      </w:r>
    </w:p>
    <w:p w14:paraId="27581492" w14:textId="034DDEC2" w:rsidR="006333C7" w:rsidRDefault="001626CB" w:rsidP="006333C7">
      <w:pPr>
        <w:spacing w:after="0" w:line="480" w:lineRule="auto"/>
        <w:rPr>
          <w:rFonts w:asciiTheme="majorHAnsi" w:hAnsiTheme="majorHAnsi"/>
          <w:lang w:val="en-US"/>
        </w:rPr>
      </w:pPr>
      <w:r>
        <w:rPr>
          <w:rFonts w:asciiTheme="majorHAnsi" w:hAnsiTheme="majorHAnsi"/>
        </w:rPr>
        <w:tab/>
      </w:r>
      <w:r w:rsidR="00987238">
        <w:rPr>
          <w:rFonts w:asciiTheme="majorHAnsi" w:hAnsiTheme="majorHAnsi"/>
          <w:lang w:val="en-US"/>
        </w:rPr>
        <w:t xml:space="preserve">We proposed in </w:t>
      </w:r>
      <w:r w:rsidR="00987238" w:rsidRPr="00355A90">
        <w:rPr>
          <w:rFonts w:asciiTheme="majorHAnsi" w:hAnsiTheme="majorHAnsi"/>
          <w:lang w:val="en-US"/>
        </w:rPr>
        <w:t xml:space="preserve">section </w:t>
      </w:r>
      <w:r w:rsidR="00987238" w:rsidRPr="00FC6324">
        <w:rPr>
          <w:rFonts w:asciiTheme="majorHAnsi" w:hAnsiTheme="majorHAnsi"/>
          <w:lang w:val="en-US"/>
        </w:rPr>
        <w:t>1</w:t>
      </w:r>
      <w:r w:rsidR="00987238">
        <w:rPr>
          <w:rFonts w:asciiTheme="majorHAnsi" w:hAnsiTheme="majorHAnsi"/>
          <w:lang w:val="en-US"/>
        </w:rPr>
        <w:t>.3 that</w:t>
      </w:r>
      <w:r w:rsidR="00DA2CBC">
        <w:rPr>
          <w:rFonts w:asciiTheme="majorHAnsi" w:hAnsiTheme="majorHAnsi"/>
        </w:rPr>
        <w:t xml:space="preserve"> if an</w:t>
      </w:r>
      <w:r w:rsidR="00987238">
        <w:rPr>
          <w:rFonts w:asciiTheme="majorHAnsi" w:hAnsiTheme="majorHAnsi"/>
          <w:lang w:val="en-US"/>
        </w:rPr>
        <w:t xml:space="preserve"> </w:t>
      </w:r>
      <w:r w:rsidR="00987238" w:rsidRPr="00C05058">
        <w:rPr>
          <w:rFonts w:asciiTheme="majorHAnsi" w:hAnsiTheme="majorHAnsi"/>
          <w:lang w:val="en-US"/>
        </w:rPr>
        <w:t>individual</w:t>
      </w:r>
      <w:r w:rsidR="00DB7FF2">
        <w:rPr>
          <w:rFonts w:asciiTheme="majorHAnsi" w:hAnsiTheme="majorHAnsi"/>
        </w:rPr>
        <w:t>’</w:t>
      </w:r>
      <w:r w:rsidR="00987238" w:rsidRPr="00C05058">
        <w:rPr>
          <w:rFonts w:asciiTheme="majorHAnsi" w:hAnsiTheme="majorHAnsi"/>
          <w:lang w:val="en-US"/>
        </w:rPr>
        <w:t xml:space="preserve">s </w:t>
      </w:r>
      <m:oMath>
        <m:sSub>
          <m:sSubPr>
            <m:ctrlPr>
              <w:rPr>
                <w:rFonts w:ascii="Cambria Math" w:hAnsi="Cambria Math"/>
                <w:b/>
                <w:i/>
              </w:rPr>
            </m:ctrlPr>
          </m:sSubPr>
          <m:e>
            <m:r>
              <m:rPr>
                <m:sty m:val="bi"/>
              </m:rPr>
              <w:rPr>
                <w:rFonts w:ascii="Cambria Math" w:hAnsi="Cambria Math"/>
              </w:rPr>
              <m:t>ANPL</m:t>
            </m:r>
          </m:e>
          <m:sub>
            <m:r>
              <m:rPr>
                <m:sty m:val="bi"/>
              </m:rPr>
              <w:rPr>
                <w:rFonts w:ascii="Cambria Math" w:hAnsi="Cambria Math"/>
              </w:rPr>
              <m:t>k</m:t>
            </m:r>
          </m:sub>
        </m:sSub>
      </m:oMath>
      <w:r w:rsidR="00285834">
        <w:rPr>
          <w:rFonts w:asciiTheme="majorHAnsi" w:eastAsiaTheme="minorEastAsia" w:hAnsiTheme="majorHAnsi"/>
          <w:b/>
        </w:rPr>
        <w:t xml:space="preserve"> </w:t>
      </w:r>
      <w:r w:rsidR="00987238" w:rsidRPr="00B11A4E">
        <w:rPr>
          <w:rFonts w:asciiTheme="majorHAnsi" w:hAnsiTheme="majorHAnsi"/>
        </w:rPr>
        <w:t>ha</w:t>
      </w:r>
      <w:r w:rsidR="00345BFE">
        <w:rPr>
          <w:rFonts w:asciiTheme="majorHAnsi" w:hAnsiTheme="majorHAnsi"/>
        </w:rPr>
        <w:t xml:space="preserve">d </w:t>
      </w:r>
      <w:r w:rsidR="00987238" w:rsidRPr="00B11A4E">
        <w:rPr>
          <w:rFonts w:asciiTheme="majorHAnsi" w:hAnsiTheme="majorHAnsi"/>
        </w:rPr>
        <w:t>remained positive for the majority of months</w:t>
      </w:r>
      <w:r w:rsidR="00DB7FF2">
        <w:rPr>
          <w:rFonts w:asciiTheme="majorHAnsi" w:hAnsiTheme="majorHAnsi"/>
        </w:rPr>
        <w:t xml:space="preserve">, they </w:t>
      </w:r>
      <w:r w:rsidR="00987238" w:rsidRPr="00C05058">
        <w:rPr>
          <w:rFonts w:asciiTheme="majorHAnsi" w:hAnsiTheme="majorHAnsi"/>
          <w:lang w:val="en-US"/>
        </w:rPr>
        <w:t>may feel</w:t>
      </w:r>
      <w:r w:rsidR="00987238">
        <w:rPr>
          <w:rFonts w:asciiTheme="majorHAnsi" w:hAnsiTheme="majorHAnsi"/>
          <w:lang w:val="en-US"/>
        </w:rPr>
        <w:t xml:space="preserve"> more confident in their ability to make profits in the future. As a result, </w:t>
      </w:r>
      <w:r w:rsidR="008A37DC">
        <w:rPr>
          <w:rFonts w:asciiTheme="majorHAnsi" w:hAnsiTheme="majorHAnsi"/>
        </w:rPr>
        <w:t xml:space="preserve">for each month, </w:t>
      </w:r>
      <w:r w:rsidR="008A37DC" w:rsidRPr="00355A90">
        <w:rPr>
          <w:rFonts w:asciiTheme="majorHAnsi" w:hAnsiTheme="majorHAnsi"/>
          <w:i/>
        </w:rPr>
        <w:t>m</w:t>
      </w:r>
      <w:r w:rsidR="008A37DC">
        <w:rPr>
          <w:rFonts w:asciiTheme="majorHAnsi" w:hAnsiTheme="majorHAnsi"/>
        </w:rPr>
        <w:t xml:space="preserve">, </w:t>
      </w:r>
      <w:r w:rsidR="00987238" w:rsidRPr="008A37DC">
        <w:rPr>
          <w:rFonts w:asciiTheme="majorHAnsi" w:hAnsiTheme="majorHAnsi"/>
          <w:lang w:val="en-US"/>
        </w:rPr>
        <w:t>we</w:t>
      </w:r>
      <w:r w:rsidR="00987238">
        <w:rPr>
          <w:rFonts w:asciiTheme="majorHAnsi" w:hAnsiTheme="majorHAnsi"/>
          <w:lang w:val="en-US"/>
        </w:rPr>
        <w:t xml:space="preserve"> count the number of months </w:t>
      </w:r>
      <w:r w:rsidR="001D75A1">
        <w:rPr>
          <w:rFonts w:asciiTheme="majorHAnsi" w:hAnsiTheme="majorHAnsi"/>
          <w:lang w:val="en-US"/>
        </w:rPr>
        <w:t xml:space="preserve">that </w:t>
      </w:r>
      <m:oMath>
        <m:sSub>
          <m:sSubPr>
            <m:ctrlPr>
              <w:rPr>
                <w:rFonts w:ascii="Cambria Math" w:hAnsi="Cambria Math"/>
                <w:b/>
                <w:i/>
              </w:rPr>
            </m:ctrlPr>
          </m:sSubPr>
          <m:e>
            <m:r>
              <m:rPr>
                <m:sty m:val="bi"/>
              </m:rPr>
              <w:rPr>
                <w:rFonts w:ascii="Cambria Math" w:hAnsi="Cambria Math"/>
              </w:rPr>
              <m:t>ANPL</m:t>
            </m:r>
          </m:e>
          <m:sub>
            <m:r>
              <m:rPr>
                <m:sty m:val="bi"/>
              </m:rPr>
              <w:rPr>
                <w:rFonts w:ascii="Cambria Math" w:hAnsi="Cambria Math"/>
              </w:rPr>
              <m:t>k</m:t>
            </m:r>
          </m:sub>
        </m:sSub>
      </m:oMath>
      <w:r w:rsidR="00EA3C32">
        <w:rPr>
          <w:rFonts w:asciiTheme="majorHAnsi" w:hAnsiTheme="majorHAnsi"/>
        </w:rPr>
        <w:t xml:space="preserve"> is</w:t>
      </w:r>
      <w:r w:rsidR="00987238">
        <w:rPr>
          <w:rFonts w:asciiTheme="majorHAnsi" w:hAnsiTheme="majorHAnsi"/>
          <w:lang w:val="en-US"/>
        </w:rPr>
        <w:t xml:space="preserve"> in profit and in loss</w:t>
      </w:r>
      <w:r w:rsidR="006333C7">
        <w:rPr>
          <w:rFonts w:asciiTheme="majorHAnsi" w:hAnsiTheme="majorHAnsi"/>
        </w:rPr>
        <w:t>.</w:t>
      </w:r>
      <w:r w:rsidR="00EA3C32">
        <w:rPr>
          <w:rFonts w:asciiTheme="majorHAnsi" w:hAnsiTheme="majorHAnsi"/>
        </w:rPr>
        <w:t xml:space="preserve"> </w:t>
      </w:r>
      <m:oMath>
        <m:sSub>
          <m:sSubPr>
            <m:ctrlPr>
              <w:rPr>
                <w:rFonts w:ascii="Cambria Math" w:hAnsi="Cambria Math"/>
                <w:lang w:val="en-US"/>
              </w:rPr>
            </m:ctrlPr>
          </m:sSubPr>
          <m:e>
            <m:r>
              <w:rPr>
                <w:rFonts w:ascii="Cambria Math" w:hAnsi="Cambria Math"/>
                <w:lang w:val="en-US"/>
              </w:rPr>
              <m:t>NetGain</m:t>
            </m:r>
          </m:e>
          <m:sub>
            <m:r>
              <w:rPr>
                <w:rFonts w:ascii="Cambria Math" w:hAnsi="Cambria Math"/>
                <w:lang w:val="en-US"/>
              </w:rPr>
              <m:t>km</m:t>
            </m:r>
          </m:sub>
        </m:sSub>
      </m:oMath>
      <w:r w:rsidR="00285834">
        <w:rPr>
          <w:rFonts w:asciiTheme="majorHAnsi" w:eastAsiaTheme="minorEastAsia" w:hAnsiTheme="majorHAnsi"/>
          <w:lang w:val="en-US"/>
        </w:rPr>
        <w:t xml:space="preserve"> </w:t>
      </w:r>
      <w:r w:rsidR="006333C7">
        <w:rPr>
          <w:rFonts w:asciiTheme="majorHAnsi" w:hAnsiTheme="majorHAnsi"/>
        </w:rPr>
        <w:t xml:space="preserve">and </w:t>
      </w:r>
      <m:oMath>
        <m:sSub>
          <m:sSubPr>
            <m:ctrlPr>
              <w:rPr>
                <w:rFonts w:ascii="Cambria Math" w:hAnsi="Cambria Math"/>
                <w:lang w:val="en-US"/>
              </w:rPr>
            </m:ctrlPr>
          </m:sSubPr>
          <m:e>
            <m:r>
              <w:rPr>
                <w:rFonts w:ascii="Cambria Math" w:hAnsi="Cambria Math"/>
                <w:lang w:val="en-US"/>
              </w:rPr>
              <m:t>NetLoss</m:t>
            </m:r>
          </m:e>
          <m:sub>
            <m:r>
              <w:rPr>
                <w:rFonts w:ascii="Cambria Math" w:hAnsi="Cambria Math"/>
                <w:lang w:val="en-US"/>
              </w:rPr>
              <m:t>km</m:t>
            </m:r>
          </m:sub>
        </m:sSub>
      </m:oMath>
      <w:r w:rsidR="00285834">
        <w:rPr>
          <w:rFonts w:asciiTheme="majorHAnsi" w:eastAsiaTheme="minorEastAsia" w:hAnsiTheme="majorHAnsi"/>
          <w:lang w:val="en-US"/>
        </w:rPr>
        <w:t xml:space="preserve"> </w:t>
      </w:r>
      <w:r w:rsidR="006333C7">
        <w:rPr>
          <w:rFonts w:asciiTheme="majorHAnsi" w:hAnsiTheme="majorHAnsi"/>
        </w:rPr>
        <w:t xml:space="preserve">are binary variables indicating months in which the trader’s </w:t>
      </w:r>
      <m:oMath>
        <m:sSub>
          <m:sSubPr>
            <m:ctrlPr>
              <w:rPr>
                <w:rFonts w:ascii="Cambria Math" w:hAnsi="Cambria Math"/>
                <w:lang w:val="en-US"/>
              </w:rPr>
            </m:ctrlPr>
          </m:sSubPr>
          <m:e>
            <m:r>
              <w:rPr>
                <w:rFonts w:ascii="Cambria Math" w:hAnsi="Cambria Math"/>
                <w:lang w:val="en-US"/>
              </w:rPr>
              <m:t>ANPL</m:t>
            </m:r>
          </m:e>
          <m:sub>
            <m:r>
              <w:rPr>
                <w:rFonts w:ascii="Cambria Math" w:hAnsi="Cambria Math"/>
                <w:lang w:val="en-US"/>
              </w:rPr>
              <m:t>km</m:t>
            </m:r>
          </m:sub>
        </m:sSub>
      </m:oMath>
      <w:r w:rsidR="00285834">
        <w:rPr>
          <w:rFonts w:asciiTheme="majorHAnsi" w:eastAsiaTheme="minorEastAsia" w:hAnsiTheme="majorHAnsi"/>
          <w:lang w:val="en-US"/>
        </w:rPr>
        <w:t xml:space="preserve"> </w:t>
      </w:r>
      <w:r w:rsidR="006333C7">
        <w:rPr>
          <w:rFonts w:asciiTheme="majorHAnsi" w:hAnsiTheme="majorHAnsi"/>
        </w:rPr>
        <w:t>was positive or negative</w:t>
      </w:r>
      <w:r w:rsidR="00285834">
        <w:rPr>
          <w:rFonts w:asciiTheme="majorHAnsi" w:hAnsiTheme="majorHAnsi"/>
        </w:rPr>
        <w:t xml:space="preserve"> in that month,</w:t>
      </w:r>
      <w:r w:rsidR="00285834">
        <w:rPr>
          <w:rFonts w:asciiTheme="majorHAnsi" w:hAnsiTheme="majorHAnsi"/>
          <w:i/>
        </w:rPr>
        <w:t xml:space="preserve"> m</w:t>
      </w:r>
      <w:r w:rsidR="006333C7">
        <w:rPr>
          <w:rFonts w:asciiTheme="majorHAnsi" w:hAnsiTheme="majorHAnsi"/>
        </w:rPr>
        <w:t>, as follows:</w:t>
      </w:r>
      <w:r w:rsidR="006333C7" w:rsidRPr="007D5172">
        <w:rPr>
          <w:rFonts w:asciiTheme="majorHAnsi" w:hAnsiTheme="majorHAnsi"/>
          <w:lang w:val="en-US"/>
        </w:rPr>
        <w:t xml:space="preserve"> </w:t>
      </w:r>
    </w:p>
    <w:p w14:paraId="2CE8EED0" w14:textId="684FAE8C" w:rsidR="00F26B05" w:rsidRPr="00F26B05" w:rsidRDefault="0034304F" w:rsidP="006333C7">
      <w:pPr>
        <w:spacing w:after="0" w:line="480" w:lineRule="auto"/>
        <w:rPr>
          <w:rFonts w:asciiTheme="majorHAnsi" w:eastAsiaTheme="minorEastAsia" w:hAnsiTheme="majorHAns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NetGain</m:t>
                  </m:r>
                </m:e>
                <m:sub>
                  <m:r>
                    <w:rPr>
                      <w:rFonts w:ascii="Cambria Math" w:hAnsi="Cambria Math"/>
                    </w:rPr>
                    <m:t>km</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 xml:space="preserve">1     </m:t>
                        </m:r>
                      </m:e>
                    </m:mr>
                    <m:mr>
                      <m:e>
                        <m:r>
                          <w:rPr>
                            <w:rFonts w:ascii="Cambria Math" w:hAnsi="Cambria Math"/>
                          </w:rPr>
                          <m:t xml:space="preserve">0     </m:t>
                        </m:r>
                      </m:e>
                    </m:mr>
                  </m:m>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ANPL</m:t>
                            </m:r>
                          </m:e>
                          <m:sub>
                            <m:r>
                              <w:rPr>
                                <w:rFonts w:ascii="Cambria Math" w:hAnsi="Cambria Math"/>
                              </w:rPr>
                              <m:t>km</m:t>
                            </m:r>
                          </m:sub>
                        </m:sSub>
                        <m:r>
                          <w:rPr>
                            <w:rFonts w:ascii="Cambria Math" w:hAnsi="Cambria Math"/>
                          </w:rPr>
                          <m:t>≥0</m:t>
                        </m:r>
                      </m:e>
                    </m:mr>
                    <m:mr>
                      <m:e>
                        <m:r>
                          <w:rPr>
                            <w:rFonts w:ascii="Cambria Math" w:hAnsi="Cambria Math"/>
                          </w:rPr>
                          <m:t>Otherwise</m:t>
                        </m:r>
                      </m:e>
                    </m:mr>
                  </m:m>
                </m:e>
              </m:d>
              <m:r>
                <w:rPr>
                  <w:rFonts w:ascii="Cambria Math" w:hAnsi="Cambria Math"/>
                </w:rPr>
                <m:t>#</m:t>
              </m:r>
              <m:d>
                <m:dPr>
                  <m:ctrlPr>
                    <w:rPr>
                      <w:rFonts w:ascii="Cambria Math" w:hAnsi="Cambria Math"/>
                      <w:i/>
                    </w:rPr>
                  </m:ctrlPr>
                </m:dPr>
                <m:e>
                  <m:r>
                    <w:rPr>
                      <w:rFonts w:ascii="Cambria Math" w:hAnsi="Cambria Math"/>
                    </w:rPr>
                    <m:t>2</m:t>
                  </m:r>
                </m:e>
              </m:d>
            </m:e>
          </m:eqArr>
        </m:oMath>
      </m:oMathPara>
    </w:p>
    <w:p w14:paraId="11405D30" w14:textId="632E60DE" w:rsidR="000B4B4E" w:rsidRPr="00F30438" w:rsidRDefault="0034304F" w:rsidP="00F30438">
      <w:pPr>
        <w:spacing w:after="0" w:line="480" w:lineRule="auto"/>
        <w:rPr>
          <w:rFonts w:asciiTheme="majorHAnsi" w:hAnsiTheme="majorHAns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NetLoss</m:t>
                  </m:r>
                </m:e>
                <m:sub>
                  <m:r>
                    <w:rPr>
                      <w:rFonts w:ascii="Cambria Math" w:hAnsi="Cambria Math"/>
                    </w:rPr>
                    <m:t>km</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 xml:space="preserve">1     </m:t>
                        </m:r>
                      </m:e>
                    </m:mr>
                    <m:mr>
                      <m:e>
                        <m:r>
                          <w:rPr>
                            <w:rFonts w:ascii="Cambria Math" w:hAnsi="Cambria Math"/>
                          </w:rPr>
                          <m:t xml:space="preserve">0     </m:t>
                        </m:r>
                      </m:e>
                    </m:mr>
                  </m:m>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ANPL</m:t>
                            </m:r>
                          </m:e>
                          <m:sub>
                            <m:r>
                              <w:rPr>
                                <w:rFonts w:ascii="Cambria Math" w:hAnsi="Cambria Math"/>
                              </w:rPr>
                              <m:t>km</m:t>
                            </m:r>
                          </m:sub>
                        </m:sSub>
                        <m:r>
                          <w:rPr>
                            <w:rFonts w:ascii="Cambria Math" w:hAnsi="Cambria Math"/>
                          </w:rPr>
                          <m:t>&lt;0</m:t>
                        </m:r>
                      </m:e>
                    </m:mr>
                    <m:mr>
                      <m:e>
                        <m:r>
                          <w:rPr>
                            <w:rFonts w:ascii="Cambria Math" w:hAnsi="Cambria Math"/>
                          </w:rPr>
                          <m:t>Otherwise</m:t>
                        </m:r>
                      </m:e>
                    </m:mr>
                  </m:m>
                </m:e>
              </m:d>
              <m:r>
                <w:rPr>
                  <w:rFonts w:ascii="Cambria Math" w:hAnsi="Cambria Math"/>
                </w:rPr>
                <m:t>#</m:t>
              </m:r>
              <m:d>
                <m:dPr>
                  <m:ctrlPr>
                    <w:rPr>
                      <w:rFonts w:ascii="Cambria Math" w:hAnsi="Cambria Math"/>
                      <w:i/>
                    </w:rPr>
                  </m:ctrlPr>
                </m:dPr>
                <m:e>
                  <m:r>
                    <w:rPr>
                      <w:rFonts w:ascii="Cambria Math" w:hAnsi="Cambria Math"/>
                    </w:rPr>
                    <m:t>3</m:t>
                  </m:r>
                </m:e>
              </m:d>
            </m:e>
          </m:eqArr>
        </m:oMath>
      </m:oMathPara>
    </w:p>
    <w:p w14:paraId="5AB581AF" w14:textId="555EE9D0" w:rsidR="000B4B4E" w:rsidRDefault="003335D9" w:rsidP="000B4B4E">
      <w:pPr>
        <w:spacing w:after="0" w:line="480" w:lineRule="auto"/>
        <w:ind w:firstLine="720"/>
        <w:rPr>
          <w:rFonts w:asciiTheme="majorHAnsi" w:hAnsiTheme="majorHAnsi"/>
          <w:lang w:val="en-US"/>
        </w:rPr>
      </w:pPr>
      <w:r>
        <w:rPr>
          <w:rFonts w:asciiTheme="majorHAnsi" w:hAnsiTheme="majorHAnsi"/>
        </w:rPr>
        <w:t>Using these variables</w:t>
      </w:r>
      <w:r w:rsidR="00642F40">
        <w:rPr>
          <w:rFonts w:asciiTheme="majorHAnsi" w:hAnsiTheme="majorHAnsi"/>
        </w:rPr>
        <w:t>,</w:t>
      </w:r>
      <w:r>
        <w:rPr>
          <w:rFonts w:asciiTheme="majorHAnsi" w:hAnsiTheme="majorHAnsi"/>
        </w:rPr>
        <w:t xml:space="preserve"> we </w:t>
      </w:r>
      <w:r w:rsidR="00A431BE">
        <w:rPr>
          <w:rFonts w:asciiTheme="majorHAnsi" w:hAnsiTheme="majorHAnsi"/>
        </w:rPr>
        <w:t>calculate</w:t>
      </w:r>
      <w:r w:rsidR="0013541A">
        <w:rPr>
          <w:rFonts w:asciiTheme="majorHAnsi" w:hAnsiTheme="majorHAnsi"/>
          <w:lang w:val="en-US"/>
        </w:rPr>
        <w:t xml:space="preserve"> </w:t>
      </w:r>
      <m:oMath>
        <m:sSub>
          <m:sSubPr>
            <m:ctrlPr>
              <w:rPr>
                <w:rFonts w:ascii="Cambria Math" w:hAnsi="Cambria Math"/>
                <w:i/>
              </w:rPr>
            </m:ctrlPr>
          </m:sSubPr>
          <m:e>
            <m:r>
              <w:rPr>
                <w:rFonts w:ascii="Cambria Math" w:hAnsi="Cambria Math"/>
                <w:lang w:val="en-US"/>
              </w:rPr>
              <m:t>GenerallyProfitable</m:t>
            </m:r>
          </m:e>
          <m:sub>
            <m:r>
              <w:rPr>
                <w:rFonts w:ascii="Cambria Math" w:hAnsi="Cambria Math"/>
              </w:rPr>
              <m:t>km</m:t>
            </m:r>
          </m:sub>
        </m:sSub>
      </m:oMath>
      <w:r w:rsidR="00F74868">
        <w:rPr>
          <w:rFonts w:asciiTheme="majorHAnsi" w:hAnsiTheme="majorHAnsi"/>
          <w:lang w:val="en-US"/>
        </w:rPr>
        <w:t>:</w:t>
      </w:r>
      <w:r w:rsidR="000B4B4E">
        <w:rPr>
          <w:rFonts w:asciiTheme="majorHAnsi" w:hAnsiTheme="majorHAnsi"/>
          <w:lang w:val="en-US"/>
        </w:rPr>
        <w:t xml:space="preserve"> 1 if the trader</w:t>
      </w:r>
      <w:r w:rsidR="00A431BE">
        <w:rPr>
          <w:rFonts w:asciiTheme="majorHAnsi" w:hAnsiTheme="majorHAnsi"/>
          <w:lang w:val="en-US"/>
        </w:rPr>
        <w:t xml:space="preserve">’s </w:t>
      </w:r>
      <m:oMath>
        <m:sSub>
          <m:sSubPr>
            <m:ctrlPr>
              <w:rPr>
                <w:rFonts w:ascii="Cambria Math" w:hAnsi="Cambria Math"/>
                <w:lang w:val="en-US"/>
              </w:rPr>
            </m:ctrlPr>
          </m:sSubPr>
          <m:e>
            <m:r>
              <w:rPr>
                <w:rFonts w:ascii="Cambria Math" w:hAnsi="Cambria Math"/>
                <w:lang w:val="en-US"/>
              </w:rPr>
              <m:t>ANPL</m:t>
            </m:r>
          </m:e>
          <m:sub>
            <m:r>
              <w:rPr>
                <w:rFonts w:ascii="Cambria Math" w:hAnsi="Cambria Math"/>
                <w:lang w:val="en-US"/>
              </w:rPr>
              <m:t>km</m:t>
            </m:r>
          </m:sub>
        </m:sSub>
      </m:oMath>
      <w:r w:rsidR="00A431BE">
        <w:rPr>
          <w:rFonts w:asciiTheme="majorHAnsi" w:hAnsiTheme="majorHAnsi"/>
        </w:rPr>
        <w:t xml:space="preserve"> </w:t>
      </w:r>
      <w:r w:rsidR="00A431BE">
        <w:rPr>
          <w:rFonts w:asciiTheme="majorHAnsi" w:hAnsiTheme="majorHAnsi"/>
          <w:lang w:val="en-US"/>
        </w:rPr>
        <w:t>ha</w:t>
      </w:r>
      <w:r w:rsidR="00A431BE">
        <w:rPr>
          <w:rFonts w:asciiTheme="majorHAnsi" w:hAnsiTheme="majorHAnsi"/>
        </w:rPr>
        <w:t>d</w:t>
      </w:r>
      <w:r w:rsidR="000B4B4E">
        <w:rPr>
          <w:rFonts w:asciiTheme="majorHAnsi" w:hAnsiTheme="majorHAnsi"/>
          <w:lang w:val="en-US"/>
        </w:rPr>
        <w:t xml:space="preserve"> remained positive in the majority of months up to and including month </w:t>
      </w:r>
      <w:r w:rsidR="000B4B4E" w:rsidRPr="00FC6DF5">
        <w:rPr>
          <w:rFonts w:asciiTheme="majorHAnsi" w:hAnsiTheme="majorHAnsi"/>
          <w:i/>
          <w:lang w:val="en-US"/>
        </w:rPr>
        <w:t>m</w:t>
      </w:r>
      <w:r w:rsidR="00F74868">
        <w:rPr>
          <w:rFonts w:asciiTheme="majorHAnsi" w:hAnsiTheme="majorHAnsi"/>
          <w:i/>
          <w:lang w:val="en-US"/>
        </w:rPr>
        <w:t xml:space="preserve">, </w:t>
      </w:r>
      <w:r w:rsidR="00F74868" w:rsidRPr="00F74868">
        <w:rPr>
          <w:rFonts w:asciiTheme="majorHAnsi" w:hAnsiTheme="majorHAnsi"/>
          <w:lang w:val="en-US"/>
        </w:rPr>
        <w:t>and 0 otherwise</w:t>
      </w:r>
      <w:r w:rsidR="008436A2">
        <w:rPr>
          <w:rFonts w:asciiTheme="majorHAnsi" w:hAnsiTheme="majorHAnsi"/>
          <w:lang w:val="en-US"/>
        </w:rPr>
        <w:t>:</w:t>
      </w:r>
    </w:p>
    <w:p w14:paraId="7A6056F8" w14:textId="01BF13A3" w:rsidR="00987238" w:rsidRPr="00F30438" w:rsidRDefault="0034304F" w:rsidP="00F30438">
      <w:pPr>
        <w:spacing w:after="0" w:line="480" w:lineRule="auto"/>
        <w:ind w:firstLine="720"/>
        <w:rPr>
          <w:rFonts w:asciiTheme="majorHAnsi" w:eastAsiaTheme="minorEastAsia" w:hAnsiTheme="majorHAns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lang w:val="en-US"/>
                    </w:rPr>
                    <m:t>GenerallyProfitable</m:t>
                  </m:r>
                </m:e>
                <m:sub>
                  <m:r>
                    <w:rPr>
                      <w:rFonts w:ascii="Cambria Math" w:hAnsi="Cambria Math"/>
                    </w:rPr>
                    <m:t>km</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 xml:space="preserve">1     </m:t>
                        </m:r>
                      </m:e>
                    </m:mr>
                    <m:mr>
                      <m:e>
                        <m:r>
                          <w:rPr>
                            <w:rFonts w:ascii="Cambria Math" w:hAnsi="Cambria Math"/>
                          </w:rPr>
                          <m:t xml:space="preserve">0     </m:t>
                        </m:r>
                      </m:e>
                    </m:mr>
                  </m:m>
                  <m:m>
                    <m:mPr>
                      <m:mcs>
                        <m:mc>
                          <m:mcPr>
                            <m:count m:val="1"/>
                            <m:mcJc m:val="center"/>
                          </m:mcPr>
                        </m:mc>
                      </m:mcs>
                      <m:ctrlPr>
                        <w:rPr>
                          <w:rFonts w:ascii="Cambria Math" w:hAnsi="Cambria Math"/>
                          <w:i/>
                        </w:rPr>
                      </m:ctrlPr>
                    </m:mPr>
                    <m:mr>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d=1</m:t>
                                </m:r>
                              </m:sub>
                              <m:sup>
                                <m:sSub>
                                  <m:sSubPr>
                                    <m:ctrlPr>
                                      <w:rPr>
                                        <w:rFonts w:ascii="Cambria Math" w:hAnsi="Cambria Math"/>
                                        <w:i/>
                                      </w:rPr>
                                    </m:ctrlPr>
                                  </m:sSubPr>
                                  <m:e>
                                    <m:r>
                                      <w:rPr>
                                        <w:rFonts w:ascii="Cambria Math" w:hAnsi="Cambria Math"/>
                                      </w:rPr>
                                      <m:t>N</m:t>
                                    </m:r>
                                  </m:e>
                                  <m:sub>
                                    <m:r>
                                      <w:rPr>
                                        <w:rFonts w:ascii="Cambria Math" w:hAnsi="Cambria Math"/>
                                      </w:rPr>
                                      <m:t>km</m:t>
                                    </m:r>
                                  </m:sub>
                                </m:sSub>
                              </m:sup>
                              <m:e>
                                <m:sSubSup>
                                  <m:sSubSupPr>
                                    <m:ctrlPr>
                                      <w:rPr>
                                        <w:rFonts w:ascii="Cambria Math" w:hAnsi="Cambria Math"/>
                                        <w:i/>
                                      </w:rPr>
                                    </m:ctrlPr>
                                  </m:sSubSupPr>
                                  <m:e>
                                    <m:r>
                                      <w:rPr>
                                        <w:rFonts w:ascii="Cambria Math" w:hAnsi="Cambria Math"/>
                                      </w:rPr>
                                      <m:t>NetGain</m:t>
                                    </m:r>
                                  </m:e>
                                  <m:sub>
                                    <m:r>
                                      <w:rPr>
                                        <w:rFonts w:ascii="Cambria Math" w:hAnsi="Cambria Math"/>
                                      </w:rPr>
                                      <m:t>k</m:t>
                                    </m:r>
                                  </m:sub>
                                  <m:sup>
                                    <m:r>
                                      <w:rPr>
                                        <w:rFonts w:ascii="Cambria Math" w:hAnsi="Cambria Math"/>
                                      </w:rPr>
                                      <m:t>d</m:t>
                                    </m:r>
                                  </m:sup>
                                </m:sSubSup>
                              </m:e>
                            </m:nary>
                          </m:e>
                        </m:d>
                        <m:r>
                          <w:rPr>
                            <w:rFonts w:ascii="Cambria Math" w:hAnsi="Cambria Math"/>
                          </w:rPr>
                          <m:t>&gt;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d=1</m:t>
                                </m:r>
                              </m:sub>
                              <m:sup>
                                <m:sSub>
                                  <m:sSubPr>
                                    <m:ctrlPr>
                                      <w:rPr>
                                        <w:rFonts w:ascii="Cambria Math" w:hAnsi="Cambria Math"/>
                                        <w:i/>
                                      </w:rPr>
                                    </m:ctrlPr>
                                  </m:sSubPr>
                                  <m:e>
                                    <m:r>
                                      <w:rPr>
                                        <w:rFonts w:ascii="Cambria Math" w:hAnsi="Cambria Math"/>
                                      </w:rPr>
                                      <m:t>N</m:t>
                                    </m:r>
                                  </m:e>
                                  <m:sub>
                                    <m:r>
                                      <w:rPr>
                                        <w:rFonts w:ascii="Cambria Math" w:hAnsi="Cambria Math"/>
                                      </w:rPr>
                                      <m:t>km</m:t>
                                    </m:r>
                                  </m:sub>
                                </m:sSub>
                              </m:sup>
                              <m:e>
                                <m:sSubSup>
                                  <m:sSubSupPr>
                                    <m:ctrlPr>
                                      <w:rPr>
                                        <w:rFonts w:ascii="Cambria Math" w:hAnsi="Cambria Math"/>
                                        <w:i/>
                                      </w:rPr>
                                    </m:ctrlPr>
                                  </m:sSubSupPr>
                                  <m:e>
                                    <m:r>
                                      <w:rPr>
                                        <w:rFonts w:ascii="Cambria Math" w:hAnsi="Cambria Math"/>
                                      </w:rPr>
                                      <m:t>NetLoss</m:t>
                                    </m:r>
                                  </m:e>
                                  <m:sub>
                                    <m:r>
                                      <w:rPr>
                                        <w:rFonts w:ascii="Cambria Math" w:hAnsi="Cambria Math"/>
                                      </w:rPr>
                                      <m:t>k</m:t>
                                    </m:r>
                                  </m:sub>
                                  <m:sup>
                                    <m:r>
                                      <w:rPr>
                                        <w:rFonts w:ascii="Cambria Math" w:hAnsi="Cambria Math"/>
                                      </w:rPr>
                                      <m:t>d</m:t>
                                    </m:r>
                                  </m:sup>
                                </m:sSubSup>
                              </m:e>
                            </m:nary>
                          </m:e>
                        </m:d>
                      </m:e>
                    </m:mr>
                    <m:mr>
                      <m:e>
                        <m:r>
                          <w:rPr>
                            <w:rFonts w:ascii="Cambria Math" w:hAnsi="Cambria Math"/>
                          </w:rPr>
                          <m:t>Otherwise</m:t>
                        </m:r>
                      </m:e>
                    </m:mr>
                  </m:m>
                </m:e>
              </m:d>
              <m:r>
                <w:rPr>
                  <w:rFonts w:ascii="Cambria Math" w:hAnsi="Cambria Math"/>
                </w:rPr>
                <m:t>#</m:t>
              </m:r>
              <m:d>
                <m:dPr>
                  <m:ctrlPr>
                    <w:rPr>
                      <w:rFonts w:ascii="Cambria Math" w:hAnsi="Cambria Math"/>
                      <w:i/>
                    </w:rPr>
                  </m:ctrlPr>
                </m:dPr>
                <m:e>
                  <m:r>
                    <w:rPr>
                      <w:rFonts w:ascii="Cambria Math" w:hAnsi="Cambria Math"/>
                    </w:rPr>
                    <m:t>4</m:t>
                  </m:r>
                </m:e>
              </m:d>
            </m:e>
          </m:eqArr>
        </m:oMath>
      </m:oMathPara>
    </w:p>
    <w:p w14:paraId="44A673B1" w14:textId="3373B546" w:rsidR="00905A5E" w:rsidRDefault="0013541A">
      <w:pPr>
        <w:spacing w:after="0" w:line="480" w:lineRule="auto"/>
        <w:rPr>
          <w:rFonts w:asciiTheme="majorHAnsi" w:hAnsiTheme="majorHAnsi"/>
          <w:lang w:val="en-US"/>
        </w:rPr>
      </w:pPr>
      <w:r>
        <w:rPr>
          <w:rFonts w:asciiTheme="majorHAnsi" w:hAnsiTheme="majorHAnsi"/>
        </w:rPr>
        <w:t xml:space="preserve">In </w:t>
      </w:r>
      <w:r w:rsidRPr="00B23745">
        <w:rPr>
          <w:rFonts w:asciiTheme="majorHAnsi" w:hAnsiTheme="majorHAnsi"/>
        </w:rPr>
        <w:t xml:space="preserve">section </w:t>
      </w:r>
      <w:r w:rsidR="00B631D2" w:rsidRPr="00355A90">
        <w:rPr>
          <w:rFonts w:asciiTheme="majorHAnsi" w:hAnsiTheme="majorHAnsi"/>
        </w:rPr>
        <w:t>1.3</w:t>
      </w:r>
      <w:r w:rsidR="003D28E6">
        <w:rPr>
          <w:rFonts w:asciiTheme="majorHAnsi" w:hAnsiTheme="majorHAnsi"/>
        </w:rPr>
        <w:t xml:space="preserve"> </w:t>
      </w:r>
      <w:r>
        <w:rPr>
          <w:rFonts w:asciiTheme="majorHAnsi" w:hAnsiTheme="majorHAnsi"/>
        </w:rPr>
        <w:t xml:space="preserve">we </w:t>
      </w:r>
      <w:r w:rsidR="00905A5E">
        <w:rPr>
          <w:rFonts w:asciiTheme="majorHAnsi" w:hAnsiTheme="majorHAnsi"/>
        </w:rPr>
        <w:t>highlighted the importance</w:t>
      </w:r>
      <w:r>
        <w:rPr>
          <w:rFonts w:asciiTheme="majorHAnsi" w:hAnsiTheme="majorHAnsi"/>
        </w:rPr>
        <w:t xml:space="preserve"> of the impact of changes in</w:t>
      </w:r>
      <w:r w:rsidR="00044C87">
        <w:rPr>
          <w:rFonts w:asciiTheme="majorHAnsi" w:hAnsiTheme="majorHAnsi"/>
        </w:rPr>
        <w:t xml:space="preserve"> an individual’s</w:t>
      </w:r>
      <w:r>
        <w:rPr>
          <w:rFonts w:asciiTheme="majorHAnsi" w:hAnsiTheme="majorHAnsi"/>
        </w:rPr>
        <w:t xml:space="preserve"> profit status</w:t>
      </w:r>
      <w:r w:rsidR="003E2970">
        <w:rPr>
          <w:rFonts w:asciiTheme="majorHAnsi" w:hAnsiTheme="majorHAnsi"/>
        </w:rPr>
        <w:t>, i</w:t>
      </w:r>
      <w:r w:rsidR="00A576E0">
        <w:rPr>
          <w:rFonts w:asciiTheme="majorHAnsi" w:hAnsiTheme="majorHAnsi"/>
        </w:rPr>
        <w:t xml:space="preserve">.e. changing from positive </w:t>
      </w:r>
      <w:r w:rsidR="00D57A49" w:rsidRPr="00FC6DF5">
        <w:rPr>
          <w:rFonts w:asciiTheme="majorHAnsi" w:hAnsiTheme="majorHAnsi"/>
          <w:i/>
        </w:rPr>
        <w:t>ANPL</w:t>
      </w:r>
      <m:oMath>
        <m:r>
          <w:rPr>
            <w:rFonts w:ascii="Cambria Math" w:hAnsi="Cambria Math"/>
            <w:lang w:val="en-US"/>
          </w:rPr>
          <m:t xml:space="preserve"> </m:t>
        </m:r>
      </m:oMath>
      <w:r w:rsidR="00A576E0">
        <w:rPr>
          <w:rFonts w:asciiTheme="majorHAnsi" w:hAnsiTheme="majorHAnsi"/>
        </w:rPr>
        <w:t xml:space="preserve">in month </w:t>
      </w:r>
      <w:r w:rsidR="00A576E0" w:rsidRPr="00FC6DF5">
        <w:rPr>
          <w:rFonts w:asciiTheme="majorHAnsi" w:hAnsiTheme="majorHAnsi"/>
          <w:i/>
        </w:rPr>
        <w:t>m</w:t>
      </w:r>
      <w:r w:rsidR="00A576E0">
        <w:rPr>
          <w:rFonts w:asciiTheme="majorHAnsi" w:hAnsiTheme="majorHAnsi"/>
        </w:rPr>
        <w:t>-1</w:t>
      </w:r>
      <w:r w:rsidR="00B64BE4">
        <w:rPr>
          <w:rFonts w:asciiTheme="majorHAnsi" w:hAnsiTheme="majorHAnsi"/>
        </w:rPr>
        <w:t xml:space="preserve"> to negative </w:t>
      </w:r>
      <w:r w:rsidR="00B64BE4" w:rsidRPr="00FC6DF5">
        <w:rPr>
          <w:rFonts w:asciiTheme="majorHAnsi" w:hAnsiTheme="majorHAnsi"/>
          <w:i/>
        </w:rPr>
        <w:t>ANPL</w:t>
      </w:r>
      <w:r w:rsidR="00B64BE4">
        <w:rPr>
          <w:rFonts w:asciiTheme="majorHAnsi" w:hAnsiTheme="majorHAnsi"/>
        </w:rPr>
        <w:t xml:space="preserve"> in month </w:t>
      </w:r>
      <w:r w:rsidR="00B64BE4" w:rsidRPr="00FC6DF5">
        <w:rPr>
          <w:rFonts w:asciiTheme="majorHAnsi" w:hAnsiTheme="majorHAnsi"/>
          <w:i/>
        </w:rPr>
        <w:t>m</w:t>
      </w:r>
      <w:r w:rsidR="00B64BE4">
        <w:rPr>
          <w:rFonts w:asciiTheme="majorHAnsi" w:hAnsiTheme="majorHAnsi"/>
        </w:rPr>
        <w:t xml:space="preserve"> or vice versa.</w:t>
      </w:r>
      <w:r w:rsidR="00E57E6E">
        <w:rPr>
          <w:rFonts w:asciiTheme="majorHAnsi" w:hAnsiTheme="majorHAnsi"/>
        </w:rPr>
        <w:t xml:space="preserve"> </w:t>
      </w:r>
      <w:r w:rsidR="00B64BE4">
        <w:rPr>
          <w:rFonts w:asciiTheme="majorHAnsi" w:hAnsiTheme="majorHAnsi"/>
        </w:rPr>
        <w:t xml:space="preserve">This is captured by </w:t>
      </w:r>
      <m:oMath>
        <m:sSub>
          <m:sSubPr>
            <m:ctrlPr>
              <w:rPr>
                <w:rFonts w:ascii="Cambria Math" w:hAnsi="Cambria Math"/>
                <w:i/>
              </w:rPr>
            </m:ctrlPr>
          </m:sSubPr>
          <m:e>
            <m:r>
              <w:rPr>
                <w:rFonts w:ascii="Cambria Math" w:hAnsi="Cambria Math"/>
              </w:rPr>
              <m:t>StatusChange</m:t>
            </m:r>
          </m:e>
          <m:sub>
            <m:r>
              <w:rPr>
                <w:rFonts w:ascii="Cambria Math" w:hAnsi="Cambria Math"/>
              </w:rPr>
              <m:t>km</m:t>
            </m:r>
          </m:sub>
        </m:sSub>
      </m:oMath>
      <w:r w:rsidR="001249D4">
        <w:rPr>
          <w:rFonts w:asciiTheme="majorHAnsi" w:hAnsiTheme="majorHAnsi"/>
        </w:rPr>
        <w:t>:</w:t>
      </w:r>
      <w:r w:rsidR="002F6444">
        <w:rPr>
          <w:rFonts w:asciiTheme="majorHAnsi" w:hAnsiTheme="majorHAnsi"/>
        </w:rPr>
        <w:t xml:space="preserve"> </w:t>
      </w:r>
      <w:r w:rsidR="00F74868">
        <w:rPr>
          <w:rFonts w:asciiTheme="majorHAnsi" w:hAnsiTheme="majorHAnsi"/>
        </w:rPr>
        <w:t>1</w:t>
      </w:r>
      <w:r w:rsidR="00905A5E">
        <w:rPr>
          <w:rFonts w:asciiTheme="majorHAnsi" w:hAnsiTheme="majorHAnsi"/>
          <w:lang w:val="en-US"/>
        </w:rPr>
        <w:t xml:space="preserve"> if the trader’s </w:t>
      </w:r>
      <w:r w:rsidR="00093E0A" w:rsidRPr="00FC6DF5">
        <w:rPr>
          <w:rFonts w:asciiTheme="majorHAnsi" w:hAnsiTheme="majorHAnsi"/>
          <w:i/>
        </w:rPr>
        <w:t>ANPL</w:t>
      </w:r>
      <w:r w:rsidR="00905A5E">
        <w:rPr>
          <w:rFonts w:asciiTheme="majorHAnsi" w:hAnsiTheme="majorHAnsi"/>
          <w:lang w:val="en-US"/>
        </w:rPr>
        <w:t xml:space="preserve"> changed sign in the current month compared to the previous month, and </w:t>
      </w:r>
      <w:r w:rsidR="00F74868">
        <w:rPr>
          <w:rFonts w:asciiTheme="majorHAnsi" w:hAnsiTheme="majorHAnsi"/>
          <w:lang w:val="en-US"/>
        </w:rPr>
        <w:t>0</w:t>
      </w:r>
      <w:r w:rsidR="00905A5E">
        <w:rPr>
          <w:rFonts w:asciiTheme="majorHAnsi" w:hAnsiTheme="majorHAnsi"/>
          <w:lang w:val="en-US"/>
        </w:rPr>
        <w:t xml:space="preserve"> otherwise, as follows: </w:t>
      </w:r>
    </w:p>
    <w:p w14:paraId="40B12DD0" w14:textId="025CD32A" w:rsidR="00905A5E" w:rsidRPr="00F30438" w:rsidRDefault="0034304F" w:rsidP="00F30438">
      <w:pPr>
        <w:spacing w:after="0" w:line="480" w:lineRule="auto"/>
        <w:ind w:firstLine="720"/>
        <w:rPr>
          <w:rFonts w:asciiTheme="majorHAnsi" w:eastAsiaTheme="minorEastAsia" w:hAnsiTheme="majorHAns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StatusChange</m:t>
                  </m:r>
                </m:e>
                <m:sub>
                  <m:r>
                    <w:rPr>
                      <w:rFonts w:ascii="Cambria Math" w:hAnsi="Cambria Math"/>
                    </w:rPr>
                    <m:t>km</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 xml:space="preserve">1     </m:t>
                        </m:r>
                      </m:e>
                    </m:mr>
                    <m:mr>
                      <m:e>
                        <m:r>
                          <w:rPr>
                            <w:rFonts w:ascii="Cambria Math" w:hAnsi="Cambria Math"/>
                          </w:rPr>
                          <m:t xml:space="preserve">0     </m:t>
                        </m:r>
                      </m:e>
                    </m:mr>
                  </m:m>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NetGain</m:t>
                            </m:r>
                          </m:e>
                          <m:sub>
                            <m:r>
                              <w:rPr>
                                <w:rFonts w:ascii="Cambria Math" w:hAnsi="Cambria Math"/>
                              </w:rPr>
                              <m:t>k</m:t>
                            </m:r>
                            <m:d>
                              <m:dPr>
                                <m:ctrlPr>
                                  <w:rPr>
                                    <w:rFonts w:ascii="Cambria Math" w:hAnsi="Cambria Math"/>
                                    <w:i/>
                                  </w:rPr>
                                </m:ctrlPr>
                              </m:dPr>
                              <m:e>
                                <m:r>
                                  <w:rPr>
                                    <w:rFonts w:ascii="Cambria Math" w:hAnsi="Cambria Math"/>
                                  </w:rPr>
                                  <m:t>m-1</m:t>
                                </m:r>
                              </m:e>
                            </m:d>
                          </m:sub>
                        </m:sSub>
                        <m:r>
                          <w:rPr>
                            <w:rFonts w:ascii="Cambria Math" w:hAnsi="Cambria Math"/>
                          </w:rPr>
                          <m:t>≠</m:t>
                        </m:r>
                        <m:sSub>
                          <m:sSubPr>
                            <m:ctrlPr>
                              <w:rPr>
                                <w:rFonts w:ascii="Cambria Math" w:hAnsi="Cambria Math"/>
                                <w:i/>
                              </w:rPr>
                            </m:ctrlPr>
                          </m:sSubPr>
                          <m:e>
                            <m:r>
                              <w:rPr>
                                <w:rFonts w:ascii="Cambria Math" w:hAnsi="Cambria Math"/>
                              </w:rPr>
                              <m:t>NetGain</m:t>
                            </m:r>
                          </m:e>
                          <m:sub>
                            <m:r>
                              <w:rPr>
                                <w:rFonts w:ascii="Cambria Math" w:hAnsi="Cambria Math"/>
                              </w:rPr>
                              <m:t>km</m:t>
                            </m:r>
                          </m:sub>
                        </m:sSub>
                      </m:e>
                    </m:mr>
                    <m:mr>
                      <m:e>
                        <m:r>
                          <w:rPr>
                            <w:rFonts w:ascii="Cambria Math" w:hAnsi="Cambria Math"/>
                          </w:rPr>
                          <m:t>Otherwise</m:t>
                        </m:r>
                      </m:e>
                    </m:mr>
                  </m:m>
                </m:e>
              </m:d>
              <m:r>
                <w:rPr>
                  <w:rFonts w:ascii="Cambria Math" w:hAnsi="Cambria Math"/>
                </w:rPr>
                <m:t>#</m:t>
              </m:r>
              <m:d>
                <m:dPr>
                  <m:ctrlPr>
                    <w:rPr>
                      <w:rFonts w:ascii="Cambria Math" w:hAnsi="Cambria Math"/>
                      <w:i/>
                    </w:rPr>
                  </m:ctrlPr>
                </m:dPr>
                <m:e>
                  <m:r>
                    <w:rPr>
                      <w:rFonts w:ascii="Cambria Math" w:hAnsi="Cambria Math"/>
                    </w:rPr>
                    <m:t>5</m:t>
                  </m:r>
                </m:e>
              </m:d>
            </m:e>
          </m:eqArr>
        </m:oMath>
      </m:oMathPara>
    </w:p>
    <w:p w14:paraId="58F6A61F" w14:textId="62BF4BA9" w:rsidR="00E6796E" w:rsidRDefault="00905A5E">
      <w:pPr>
        <w:spacing w:after="0" w:line="480" w:lineRule="auto"/>
        <w:rPr>
          <w:rFonts w:asciiTheme="majorHAnsi" w:hAnsiTheme="majorHAnsi"/>
          <w:lang w:val="en-US"/>
        </w:rPr>
      </w:pPr>
      <w:r>
        <w:rPr>
          <w:rFonts w:asciiTheme="majorHAnsi" w:hAnsiTheme="majorHAnsi"/>
          <w:lang w:val="en-US"/>
        </w:rPr>
        <w:t xml:space="preserve">In order to test </w:t>
      </w:r>
      <w:r w:rsidR="001249D4">
        <w:rPr>
          <w:rFonts w:asciiTheme="majorHAnsi" w:hAnsiTheme="majorHAnsi"/>
          <w:lang w:val="en-US"/>
        </w:rPr>
        <w:t xml:space="preserve">hypotheses </w:t>
      </w:r>
      <w:r w:rsidR="004F7569">
        <w:rPr>
          <w:rFonts w:asciiTheme="majorHAnsi" w:hAnsiTheme="majorHAnsi"/>
        </w:rPr>
        <w:t>2</w:t>
      </w:r>
      <w:r w:rsidR="004F7569">
        <w:rPr>
          <w:rFonts w:asciiTheme="majorHAnsi" w:hAnsiTheme="majorHAnsi"/>
          <w:lang w:val="en-US"/>
        </w:rPr>
        <w:t xml:space="preserve"> to</w:t>
      </w:r>
      <w:r>
        <w:rPr>
          <w:rFonts w:asciiTheme="majorHAnsi" w:hAnsiTheme="majorHAnsi"/>
          <w:lang w:val="en-US"/>
        </w:rPr>
        <w:t xml:space="preserve"> </w:t>
      </w:r>
      <w:r w:rsidR="00E1342F">
        <w:rPr>
          <w:rFonts w:asciiTheme="majorHAnsi" w:hAnsiTheme="majorHAnsi"/>
        </w:rPr>
        <w:t>4</w:t>
      </w:r>
      <w:r>
        <w:rPr>
          <w:rFonts w:asciiTheme="majorHAnsi" w:hAnsiTheme="majorHAnsi"/>
          <w:lang w:val="en-US"/>
        </w:rPr>
        <w:t>, it is necessary to allow for different effects of a</w:t>
      </w:r>
      <w:r w:rsidR="003945C8">
        <w:rPr>
          <w:rFonts w:asciiTheme="majorHAnsi" w:hAnsiTheme="majorHAnsi"/>
          <w:lang w:val="en-US"/>
        </w:rPr>
        <w:t xml:space="preserve"> change in wealth around the break-even point</w:t>
      </w:r>
      <w:r>
        <w:rPr>
          <w:rFonts w:asciiTheme="majorHAnsi" w:hAnsiTheme="majorHAnsi"/>
          <w:lang w:val="en-US"/>
        </w:rPr>
        <w:t xml:space="preserve"> </w:t>
      </w:r>
      <w:r w:rsidR="003945C8">
        <w:rPr>
          <w:rFonts w:asciiTheme="majorHAnsi" w:hAnsiTheme="majorHAnsi"/>
          <w:lang w:val="en-US"/>
        </w:rPr>
        <w:t xml:space="preserve">(i.e. </w:t>
      </w:r>
      <m:oMath>
        <m:sSub>
          <m:sSubPr>
            <m:ctrlPr>
              <w:rPr>
                <w:rFonts w:ascii="Cambria Math" w:hAnsi="Cambria Math"/>
                <w:i/>
                <w:lang w:val="en-US"/>
              </w:rPr>
            </m:ctrlPr>
          </m:sSubPr>
          <m:e>
            <m:r>
              <w:rPr>
                <w:rFonts w:ascii="Cambria Math" w:hAnsi="Cambria Math"/>
                <w:lang w:val="en-US"/>
              </w:rPr>
              <m:t>StatusChange</m:t>
            </m:r>
          </m:e>
          <m:sub>
            <m:r>
              <w:rPr>
                <w:rFonts w:ascii="Cambria Math" w:hAnsi="Cambria Math"/>
                <w:lang w:val="en-US"/>
              </w:rPr>
              <m:t>km</m:t>
            </m:r>
          </m:sub>
        </m:sSub>
      </m:oMath>
      <w:r w:rsidR="003945C8">
        <w:rPr>
          <w:rFonts w:asciiTheme="majorHAnsi" w:eastAsiaTheme="minorEastAsia" w:hAnsiTheme="majorHAnsi"/>
          <w:lang w:val="en-US"/>
        </w:rPr>
        <w:t xml:space="preserve"> = 1)</w:t>
      </w:r>
      <w:r w:rsidR="00E27643" w:rsidDel="00E27643">
        <w:rPr>
          <w:rFonts w:asciiTheme="majorHAnsi" w:hAnsiTheme="majorHAnsi"/>
          <w:lang w:val="en-US"/>
        </w:rPr>
        <w:t xml:space="preserve"> </w:t>
      </w:r>
      <w:r>
        <w:rPr>
          <w:rFonts w:asciiTheme="majorHAnsi" w:hAnsiTheme="majorHAnsi"/>
          <w:lang w:val="en-US"/>
        </w:rPr>
        <w:t xml:space="preserve">depending on whether the trader has </w:t>
      </w:r>
      <w:r w:rsidR="001D75A1">
        <w:rPr>
          <w:rFonts w:asciiTheme="majorHAnsi" w:hAnsiTheme="majorHAnsi"/>
          <w:lang w:val="en-US"/>
        </w:rPr>
        <w:t>been</w:t>
      </w:r>
      <w:r>
        <w:rPr>
          <w:rFonts w:asciiTheme="majorHAnsi" w:hAnsiTheme="majorHAnsi"/>
          <w:lang w:val="en-US"/>
        </w:rPr>
        <w:t xml:space="preserve"> in net profit (i.e. </w:t>
      </w:r>
      <m:oMath>
        <m:sSub>
          <m:sSubPr>
            <m:ctrlPr>
              <w:rPr>
                <w:rFonts w:ascii="Cambria Math" w:hAnsi="Cambria Math"/>
                <w:i/>
              </w:rPr>
            </m:ctrlPr>
          </m:sSubPr>
          <m:e>
            <m:r>
              <w:rPr>
                <w:rFonts w:ascii="Cambria Math" w:hAnsi="Cambria Math"/>
                <w:lang w:val="en-US"/>
              </w:rPr>
              <m:t>GenerallyProfitable</m:t>
            </m:r>
          </m:e>
          <m:sub>
            <m:r>
              <w:rPr>
                <w:rFonts w:ascii="Cambria Math" w:hAnsi="Cambria Math"/>
              </w:rPr>
              <m:t>km</m:t>
            </m:r>
          </m:sub>
        </m:sSub>
      </m:oMath>
      <w:r>
        <w:rPr>
          <w:rFonts w:asciiTheme="majorHAnsi" w:hAnsiTheme="majorHAnsi"/>
          <w:lang w:val="en-US"/>
        </w:rPr>
        <w:t xml:space="preserve">= 1) or in net loss (i.e. </w:t>
      </w:r>
      <m:oMath>
        <m:sSub>
          <m:sSubPr>
            <m:ctrlPr>
              <w:rPr>
                <w:rFonts w:ascii="Cambria Math" w:hAnsi="Cambria Math"/>
                <w:i/>
              </w:rPr>
            </m:ctrlPr>
          </m:sSubPr>
          <m:e>
            <m:r>
              <w:rPr>
                <w:rFonts w:ascii="Cambria Math" w:hAnsi="Cambria Math"/>
                <w:lang w:val="en-US"/>
              </w:rPr>
              <m:t>GenerallyProfitable</m:t>
            </m:r>
          </m:e>
          <m:sub>
            <m:r>
              <w:rPr>
                <w:rFonts w:ascii="Cambria Math" w:hAnsi="Cambria Math"/>
              </w:rPr>
              <m:t>km</m:t>
            </m:r>
          </m:sub>
        </m:sSub>
      </m:oMath>
      <w:r>
        <w:rPr>
          <w:rFonts w:asciiTheme="majorHAnsi" w:hAnsiTheme="majorHAnsi"/>
          <w:lang w:val="en-US"/>
        </w:rPr>
        <w:t xml:space="preserve">= 0) </w:t>
      </w:r>
      <w:r w:rsidR="0008007D">
        <w:rPr>
          <w:rFonts w:asciiTheme="majorHAnsi" w:hAnsiTheme="majorHAnsi"/>
        </w:rPr>
        <w:t xml:space="preserve">more frequently </w:t>
      </w:r>
      <w:r>
        <w:rPr>
          <w:rFonts w:asciiTheme="majorHAnsi" w:hAnsiTheme="majorHAnsi"/>
          <w:lang w:val="en-US"/>
        </w:rPr>
        <w:t xml:space="preserve">in the past. </w:t>
      </w:r>
      <w:r w:rsidR="002979C7">
        <w:rPr>
          <w:rFonts w:asciiTheme="majorHAnsi" w:hAnsiTheme="majorHAnsi"/>
          <w:lang w:val="en-US"/>
        </w:rPr>
        <w:t xml:space="preserve">We use </w:t>
      </w:r>
      <m:oMath>
        <m:sSub>
          <m:sSubPr>
            <m:ctrlPr>
              <w:rPr>
                <w:rFonts w:ascii="Cambria Math" w:hAnsi="Cambria Math"/>
                <w:i/>
              </w:rPr>
            </m:ctrlPr>
          </m:sSubPr>
          <m:e>
            <m:r>
              <w:rPr>
                <w:rFonts w:ascii="Cambria Math" w:hAnsi="Cambria Math"/>
                <w:lang w:val="en-US"/>
              </w:rPr>
              <m:t>GenerallyProfitable</m:t>
            </m:r>
          </m:e>
          <m:sub>
            <m:r>
              <w:rPr>
                <w:rFonts w:ascii="Cambria Math" w:hAnsi="Cambria Math"/>
              </w:rPr>
              <m:t>km</m:t>
            </m:r>
          </m:sub>
        </m:sSub>
      </m:oMath>
      <w:r w:rsidR="002979C7">
        <w:rPr>
          <w:rFonts w:asciiTheme="majorHAnsi" w:hAnsiTheme="majorHAnsi"/>
          <w:lang w:val="en-US"/>
        </w:rPr>
        <w:t xml:space="preserve"> as a proxy for an individual’s mental model of their ability to be profitable in the future</w:t>
      </w:r>
      <w:r w:rsidR="003D28E6">
        <w:rPr>
          <w:rFonts w:asciiTheme="majorHAnsi" w:hAnsiTheme="majorHAnsi"/>
        </w:rPr>
        <w:t>.</w:t>
      </w:r>
      <w:r w:rsidR="003945C8">
        <w:rPr>
          <w:rFonts w:asciiTheme="majorHAnsi" w:hAnsiTheme="majorHAnsi"/>
        </w:rPr>
        <w:t xml:space="preserve"> The </w:t>
      </w:r>
      <m:oMath>
        <m:sSub>
          <m:sSubPr>
            <m:ctrlPr>
              <w:rPr>
                <w:rFonts w:ascii="Cambria Math" w:hAnsi="Cambria Math"/>
                <w:i/>
              </w:rPr>
            </m:ctrlPr>
          </m:sSubPr>
          <m:e>
            <m:r>
              <w:rPr>
                <w:rFonts w:ascii="Cambria Math" w:hAnsi="Cambria Math"/>
              </w:rPr>
              <m:t>NetLoss</m:t>
            </m:r>
          </m:e>
          <m:sub>
            <m:r>
              <w:rPr>
                <w:rFonts w:ascii="Cambria Math" w:hAnsi="Cambria Math"/>
              </w:rPr>
              <m:t>km</m:t>
            </m:r>
          </m:sub>
        </m:sSub>
      </m:oMath>
      <w:r w:rsidR="00BE439E">
        <w:rPr>
          <w:rFonts w:asciiTheme="majorHAnsi" w:hAnsiTheme="majorHAnsi"/>
          <w:lang w:val="en-US"/>
        </w:rPr>
        <w:t xml:space="preserve"> </w:t>
      </w:r>
      <w:r w:rsidR="003945C8">
        <w:rPr>
          <w:rFonts w:asciiTheme="majorHAnsi" w:hAnsiTheme="majorHAnsi"/>
          <w:lang w:val="en-US"/>
        </w:rPr>
        <w:t xml:space="preserve">feature when used in conjunction with </w:t>
      </w:r>
      <m:oMath>
        <m:sSub>
          <m:sSubPr>
            <m:ctrlPr>
              <w:rPr>
                <w:rFonts w:ascii="Cambria Math" w:hAnsi="Cambria Math"/>
                <w:i/>
                <w:lang w:val="en-US"/>
              </w:rPr>
            </m:ctrlPr>
          </m:sSubPr>
          <m:e>
            <m:r>
              <w:rPr>
                <w:rFonts w:ascii="Cambria Math" w:hAnsi="Cambria Math"/>
                <w:lang w:val="en-US"/>
              </w:rPr>
              <m:t>StatusChange</m:t>
            </m:r>
          </m:e>
          <m:sub>
            <m:r>
              <w:rPr>
                <w:rFonts w:ascii="Cambria Math" w:hAnsi="Cambria Math"/>
                <w:lang w:val="en-US"/>
              </w:rPr>
              <m:t>km</m:t>
            </m:r>
          </m:sub>
        </m:sSub>
      </m:oMath>
      <w:r w:rsidR="00E6796E">
        <w:rPr>
          <w:rFonts w:asciiTheme="majorHAnsi" w:eastAsiaTheme="minorEastAsia" w:hAnsiTheme="majorHAnsi"/>
          <w:lang w:val="en-US"/>
        </w:rPr>
        <w:t xml:space="preserve"> = 1 </w:t>
      </w:r>
      <w:r w:rsidR="00804C22">
        <w:rPr>
          <w:rFonts w:asciiTheme="majorHAnsi" w:hAnsiTheme="majorHAnsi"/>
          <w:lang w:val="en-US"/>
        </w:rPr>
        <w:t>indicate</w:t>
      </w:r>
      <w:r w:rsidR="00E6796E">
        <w:rPr>
          <w:rFonts w:asciiTheme="majorHAnsi" w:hAnsiTheme="majorHAnsi"/>
          <w:lang w:val="en-US"/>
        </w:rPr>
        <w:t>s</w:t>
      </w:r>
      <w:r w:rsidR="00804C22">
        <w:rPr>
          <w:rFonts w:asciiTheme="majorHAnsi" w:hAnsiTheme="majorHAnsi"/>
          <w:lang w:val="en-US"/>
        </w:rPr>
        <w:t xml:space="preserve"> the type of status changes</w:t>
      </w:r>
      <w:r w:rsidR="008029ED">
        <w:rPr>
          <w:rFonts w:asciiTheme="majorHAnsi" w:hAnsiTheme="majorHAnsi"/>
          <w:lang w:val="en-US"/>
        </w:rPr>
        <w:t xml:space="preserve">. Table </w:t>
      </w:r>
      <w:r w:rsidR="001D06ED">
        <w:rPr>
          <w:rFonts w:asciiTheme="majorHAnsi" w:hAnsiTheme="majorHAnsi"/>
          <w:lang w:val="en-US"/>
        </w:rPr>
        <w:t>I</w:t>
      </w:r>
      <w:r w:rsidR="008029ED">
        <w:rPr>
          <w:rFonts w:asciiTheme="majorHAnsi" w:hAnsiTheme="majorHAnsi"/>
          <w:lang w:val="en-US"/>
        </w:rPr>
        <w:t xml:space="preserve"> </w:t>
      </w:r>
      <w:r w:rsidR="000C4E9A">
        <w:rPr>
          <w:rFonts w:asciiTheme="majorHAnsi" w:hAnsiTheme="majorHAnsi"/>
          <w:lang w:val="en-US"/>
        </w:rPr>
        <w:t>shows how</w:t>
      </w:r>
      <w:r w:rsidR="008029ED">
        <w:rPr>
          <w:rFonts w:asciiTheme="majorHAnsi" w:hAnsiTheme="majorHAnsi"/>
          <w:lang w:val="en-US"/>
        </w:rPr>
        <w:t xml:space="preserve"> the different combinations of these three features are used to indicate different events.</w:t>
      </w:r>
    </w:p>
    <w:p w14:paraId="320B7468" w14:textId="41A7FD9C" w:rsidR="00652BC7" w:rsidRDefault="00652BC7" w:rsidP="00FC6DF5">
      <w:pPr>
        <w:spacing w:after="0" w:line="480" w:lineRule="auto"/>
        <w:jc w:val="center"/>
        <w:rPr>
          <w:rFonts w:asciiTheme="majorHAnsi" w:hAnsiTheme="majorHAnsi"/>
          <w:lang w:val="en-US"/>
        </w:rPr>
      </w:pPr>
      <w:r>
        <w:rPr>
          <w:rFonts w:asciiTheme="majorHAnsi" w:hAnsiTheme="majorHAnsi"/>
          <w:lang w:val="en-US"/>
        </w:rPr>
        <w:t xml:space="preserve">[Table </w:t>
      </w:r>
      <w:r w:rsidR="001D06ED">
        <w:rPr>
          <w:rFonts w:asciiTheme="majorHAnsi" w:hAnsiTheme="majorHAnsi"/>
          <w:lang w:val="en-US"/>
        </w:rPr>
        <w:t xml:space="preserve">I </w:t>
      </w:r>
      <w:r w:rsidR="00B007F2">
        <w:rPr>
          <w:rFonts w:asciiTheme="majorHAnsi" w:hAnsiTheme="majorHAnsi"/>
          <w:lang w:val="en-US"/>
        </w:rPr>
        <w:t xml:space="preserve">about </w:t>
      </w:r>
      <w:r>
        <w:rPr>
          <w:rFonts w:asciiTheme="majorHAnsi" w:hAnsiTheme="majorHAnsi"/>
          <w:lang w:val="en-US"/>
        </w:rPr>
        <w:t>here]</w:t>
      </w:r>
    </w:p>
    <w:p w14:paraId="0148B77F" w14:textId="77777777" w:rsidR="0063621F" w:rsidRDefault="0063621F" w:rsidP="005A14AF">
      <w:pPr>
        <w:spacing w:after="0" w:line="480" w:lineRule="auto"/>
        <w:rPr>
          <w:rFonts w:asciiTheme="majorHAnsi" w:hAnsiTheme="majorHAnsi"/>
        </w:rPr>
      </w:pPr>
    </w:p>
    <w:p w14:paraId="5B9259B9" w14:textId="64B92635" w:rsidR="00E6090A" w:rsidRPr="00275768" w:rsidRDefault="00E6090A" w:rsidP="00275768">
      <w:pPr>
        <w:spacing w:line="240" w:lineRule="auto"/>
        <w:rPr>
          <w:rFonts w:asciiTheme="majorHAnsi" w:hAnsiTheme="majorHAnsi"/>
          <w:i/>
          <w:lang w:val="en-US"/>
        </w:rPr>
      </w:pPr>
      <w:r w:rsidRPr="00275768">
        <w:rPr>
          <w:rFonts w:asciiTheme="majorHAnsi" w:hAnsiTheme="majorHAnsi"/>
          <w:i/>
          <w:lang w:val="en-US"/>
        </w:rPr>
        <w:t>2.2.2 Return on Capital at Risk</w:t>
      </w:r>
    </w:p>
    <w:p w14:paraId="5725634C" w14:textId="0221EB59" w:rsidR="005342D3" w:rsidRDefault="00C70657" w:rsidP="00FC6DF5">
      <w:pPr>
        <w:spacing w:after="0" w:line="480" w:lineRule="auto"/>
        <w:rPr>
          <w:rFonts w:asciiTheme="majorHAnsi" w:hAnsiTheme="majorHAnsi"/>
        </w:rPr>
      </w:pPr>
      <w:r>
        <w:rPr>
          <w:rFonts w:asciiTheme="majorHAnsi" w:hAnsiTheme="majorHAnsi"/>
        </w:rPr>
        <w:t>O</w:t>
      </w:r>
      <w:r w:rsidR="001947DA">
        <w:rPr>
          <w:rFonts w:asciiTheme="majorHAnsi" w:hAnsiTheme="majorHAnsi"/>
        </w:rPr>
        <w:t>ur hyp</w:t>
      </w:r>
      <w:r w:rsidR="004344E2">
        <w:rPr>
          <w:rFonts w:asciiTheme="majorHAnsi" w:hAnsiTheme="majorHAnsi"/>
        </w:rPr>
        <w:t>otheses are</w:t>
      </w:r>
      <w:r w:rsidR="00894B08">
        <w:rPr>
          <w:rFonts w:asciiTheme="majorHAnsi" w:hAnsiTheme="majorHAnsi"/>
        </w:rPr>
        <w:t xml:space="preserve"> specific to the valence of</w:t>
      </w:r>
      <w:r w:rsidR="004344E2">
        <w:rPr>
          <w:rFonts w:asciiTheme="majorHAnsi" w:hAnsiTheme="majorHAnsi"/>
        </w:rPr>
        <w:t xml:space="preserve"> </w:t>
      </w:r>
      <w:r w:rsidR="00D850E9">
        <w:rPr>
          <w:rFonts w:asciiTheme="majorHAnsi" w:hAnsiTheme="majorHAnsi"/>
        </w:rPr>
        <w:t>ANPL and changes from above and below the break-even point</w:t>
      </w:r>
      <w:r>
        <w:rPr>
          <w:rFonts w:asciiTheme="majorHAnsi" w:hAnsiTheme="majorHAnsi"/>
        </w:rPr>
        <w:t>. However</w:t>
      </w:r>
      <w:r w:rsidR="00D850E9">
        <w:rPr>
          <w:rFonts w:asciiTheme="majorHAnsi" w:hAnsiTheme="majorHAnsi"/>
        </w:rPr>
        <w:t xml:space="preserve">, we </w:t>
      </w:r>
      <w:r w:rsidR="00AB0D35">
        <w:rPr>
          <w:rFonts w:asciiTheme="majorHAnsi" w:hAnsiTheme="majorHAnsi"/>
        </w:rPr>
        <w:t>are also interested in</w:t>
      </w:r>
      <w:r w:rsidR="00D850E9">
        <w:rPr>
          <w:rFonts w:asciiTheme="majorHAnsi" w:hAnsiTheme="majorHAnsi"/>
        </w:rPr>
        <w:t xml:space="preserve"> how </w:t>
      </w:r>
      <w:r w:rsidR="003252DB">
        <w:rPr>
          <w:rFonts w:asciiTheme="majorHAnsi" w:hAnsiTheme="majorHAnsi"/>
        </w:rPr>
        <w:t xml:space="preserve">changes in magnitudes of gains and losses </w:t>
      </w:r>
      <w:r w:rsidR="00E61AAB">
        <w:rPr>
          <w:rFonts w:asciiTheme="majorHAnsi" w:hAnsiTheme="majorHAnsi"/>
        </w:rPr>
        <w:t>might</w:t>
      </w:r>
      <w:r w:rsidR="003252DB">
        <w:rPr>
          <w:rFonts w:asciiTheme="majorHAnsi" w:hAnsiTheme="majorHAnsi"/>
        </w:rPr>
        <w:t xml:space="preserve"> affect the</w:t>
      </w:r>
      <w:r w:rsidR="00FA6817">
        <w:rPr>
          <w:rFonts w:asciiTheme="majorHAnsi" w:hAnsiTheme="majorHAnsi"/>
        </w:rPr>
        <w:t xml:space="preserve"> decision to stop trading. </w:t>
      </w:r>
      <w:r w:rsidR="007A4618">
        <w:rPr>
          <w:rFonts w:asciiTheme="majorHAnsi" w:hAnsiTheme="majorHAnsi"/>
        </w:rPr>
        <w:t>Since different traders will have different sizes of trading capital</w:t>
      </w:r>
      <w:r w:rsidR="00B23745">
        <w:rPr>
          <w:rFonts w:asciiTheme="majorHAnsi" w:hAnsiTheme="majorHAnsi"/>
        </w:rPr>
        <w:t>,</w:t>
      </w:r>
      <w:r w:rsidR="005342D3">
        <w:rPr>
          <w:rFonts w:asciiTheme="majorHAnsi" w:hAnsiTheme="majorHAnsi"/>
        </w:rPr>
        <w:t xml:space="preserve"> we calculate </w:t>
      </w:r>
      <w:r w:rsidR="00F74868">
        <w:rPr>
          <w:rFonts w:asciiTheme="majorHAnsi" w:hAnsiTheme="majorHAnsi"/>
        </w:rPr>
        <w:t>an individual</w:t>
      </w:r>
      <w:r w:rsidR="005342D3">
        <w:rPr>
          <w:rFonts w:asciiTheme="majorHAnsi" w:hAnsiTheme="majorHAnsi"/>
        </w:rPr>
        <w:t>’</w:t>
      </w:r>
      <w:r w:rsidR="00F74868">
        <w:rPr>
          <w:rFonts w:asciiTheme="majorHAnsi" w:hAnsiTheme="majorHAnsi"/>
        </w:rPr>
        <w:t xml:space="preserve">s </w:t>
      </w:r>
      <w:r w:rsidR="005342D3">
        <w:rPr>
          <w:rFonts w:asciiTheme="majorHAnsi" w:hAnsiTheme="majorHAnsi"/>
        </w:rPr>
        <w:t>accumulated capital at risk (</w:t>
      </w:r>
      <w:r w:rsidR="005342D3" w:rsidRPr="00275768">
        <w:rPr>
          <w:rFonts w:asciiTheme="majorHAnsi" w:hAnsiTheme="majorHAnsi"/>
          <w:i/>
        </w:rPr>
        <w:t>ACAR</w:t>
      </w:r>
      <w:r w:rsidR="005342D3">
        <w:rPr>
          <w:rFonts w:asciiTheme="majorHAnsi" w:hAnsiTheme="majorHAnsi"/>
          <w:vertAlign w:val="subscript"/>
        </w:rPr>
        <w:t>km</w:t>
      </w:r>
      <w:r w:rsidR="005342D3">
        <w:rPr>
          <w:rFonts w:asciiTheme="majorHAnsi" w:hAnsiTheme="majorHAnsi"/>
        </w:rPr>
        <w:t>) since beginning trading</w:t>
      </w:r>
      <w:r w:rsidR="003C48E5">
        <w:rPr>
          <w:rFonts w:asciiTheme="majorHAnsi" w:hAnsiTheme="majorHAnsi"/>
        </w:rPr>
        <w:t>:</w:t>
      </w:r>
    </w:p>
    <w:p w14:paraId="0667D53B" w14:textId="5B315096" w:rsidR="00060C2F" w:rsidRPr="00060C2F" w:rsidRDefault="0034304F" w:rsidP="00F30438">
      <w:pPr>
        <w:spacing w:after="0" w:line="480" w:lineRule="auto"/>
        <w:jc w:val="center"/>
        <w:rPr>
          <w:rFonts w:asciiTheme="majorHAnsi" w:eastAsiaTheme="minorEastAsia" w:hAnsiTheme="majorHAnsi"/>
        </w:rPr>
      </w:pPr>
      <m:oMathPara>
        <m:oMath>
          <m:eqArr>
            <m:eqArrPr>
              <m:maxDist m:val="1"/>
              <m:ctrlPr>
                <w:rPr>
                  <w:rFonts w:ascii="Cambria Math" w:hAnsi="Cambria Math"/>
                  <w:i/>
                </w:rPr>
              </m:ctrlPr>
            </m:eqArrPr>
            <m:e>
              <w:bookmarkStart w:id="5" w:name="OLE_LINK47"/>
              <w:bookmarkStart w:id="6" w:name="OLE_LINK48"/>
              <m:sSub>
                <m:sSubPr>
                  <m:ctrlPr>
                    <w:rPr>
                      <w:rFonts w:ascii="Cambria Math" w:hAnsi="Cambria Math"/>
                      <w:i/>
                    </w:rPr>
                  </m:ctrlPr>
                </m:sSubPr>
                <m:e>
                  <m:r>
                    <w:rPr>
                      <w:rFonts w:ascii="Cambria Math" w:hAnsi="Cambria Math"/>
                    </w:rPr>
                    <m:t>ACAR</m:t>
                  </m:r>
                </m:e>
                <m:sub>
                  <m:r>
                    <w:rPr>
                      <w:rFonts w:ascii="Cambria Math" w:hAnsi="Cambria Math"/>
                    </w:rPr>
                    <m:t>km</m:t>
                  </m:r>
                </m:sub>
              </m:sSub>
              <m:r>
                <w:rPr>
                  <w:rFonts w:ascii="Cambria Math" w:hAnsi="Cambria Math"/>
                </w:rPr>
                <m:t>=</m:t>
              </m:r>
              <m:nary>
                <m:naryPr>
                  <m:chr m:val="∑"/>
                  <m:limLoc m:val="undOvr"/>
                  <m:ctrlPr>
                    <w:rPr>
                      <w:rFonts w:ascii="Cambria Math" w:hAnsi="Cambria Math"/>
                      <w:i/>
                    </w:rPr>
                  </m:ctrlPr>
                </m:naryPr>
                <m:sub>
                  <m:r>
                    <w:rPr>
                      <w:rFonts w:ascii="Cambria Math" w:hAnsi="Cambria Math"/>
                    </w:rPr>
                    <m:t>d=1</m:t>
                  </m:r>
                </m:sub>
                <m:sup>
                  <m:sSub>
                    <m:sSubPr>
                      <m:ctrlPr>
                        <w:rPr>
                          <w:rFonts w:ascii="Cambria Math" w:hAnsi="Cambria Math"/>
                          <w:i/>
                        </w:rPr>
                      </m:ctrlPr>
                    </m:sSubPr>
                    <m:e>
                      <m:r>
                        <w:rPr>
                          <w:rFonts w:ascii="Cambria Math" w:hAnsi="Cambria Math"/>
                        </w:rPr>
                        <m:t>N</m:t>
                      </m:r>
                    </m:e>
                    <m:sub>
                      <m:r>
                        <w:rPr>
                          <w:rFonts w:ascii="Cambria Math" w:hAnsi="Cambria Math"/>
                        </w:rPr>
                        <m:t>km</m:t>
                      </m:r>
                    </m:sub>
                  </m:sSub>
                </m:sup>
                <m:e>
                  <m:sSubSup>
                    <m:sSubSupPr>
                      <m:ctrlPr>
                        <w:rPr>
                          <w:rFonts w:ascii="Cambria Math" w:hAnsi="Cambria Math"/>
                          <w:i/>
                        </w:rPr>
                      </m:ctrlPr>
                    </m:sSubSupPr>
                    <m:e>
                      <m:r>
                        <w:rPr>
                          <w:rFonts w:ascii="Cambria Math" w:hAnsi="Cambria Math"/>
                        </w:rPr>
                        <m:t>CapitalAtRisk</m:t>
                      </m:r>
                    </m:e>
                    <m:sub>
                      <m:r>
                        <w:rPr>
                          <w:rFonts w:ascii="Cambria Math" w:hAnsi="Cambria Math"/>
                        </w:rPr>
                        <m:t>k</m:t>
                      </m:r>
                    </m:sub>
                    <m:sup>
                      <m:r>
                        <w:rPr>
                          <w:rFonts w:ascii="Cambria Math" w:hAnsi="Cambria Math"/>
                        </w:rPr>
                        <m:t>d</m:t>
                      </m:r>
                    </m:sup>
                  </m:sSubSup>
                </m:e>
              </m:nary>
              <w:bookmarkEnd w:id="5"/>
              <w:bookmarkEnd w:id="6"/>
              <m:r>
                <w:rPr>
                  <w:rFonts w:ascii="Cambria Math" w:hAnsi="Cambria Math"/>
                </w:rPr>
                <m:t>#</m:t>
              </m:r>
              <m:d>
                <m:dPr>
                  <m:ctrlPr>
                    <w:rPr>
                      <w:rFonts w:ascii="Cambria Math" w:hAnsi="Cambria Math"/>
                      <w:i/>
                    </w:rPr>
                  </m:ctrlPr>
                </m:dPr>
                <m:e>
                  <m:r>
                    <w:rPr>
                      <w:rFonts w:ascii="Cambria Math" w:hAnsi="Cambria Math"/>
                    </w:rPr>
                    <m:t>6</m:t>
                  </m:r>
                </m:e>
              </m:d>
            </m:e>
          </m:eqArr>
        </m:oMath>
      </m:oMathPara>
    </w:p>
    <w:p w14:paraId="22EF24D3" w14:textId="2DFBA59B" w:rsidR="005A14AF" w:rsidRPr="0024363A" w:rsidRDefault="005342D3" w:rsidP="00275768">
      <w:pPr>
        <w:spacing w:after="0" w:line="480" w:lineRule="auto"/>
        <w:ind w:firstLine="720"/>
        <w:rPr>
          <w:rFonts w:asciiTheme="majorHAnsi" w:hAnsiTheme="majorHAnsi"/>
        </w:rPr>
      </w:pPr>
      <w:r>
        <w:rPr>
          <w:rFonts w:asciiTheme="majorHAnsi" w:hAnsiTheme="majorHAnsi"/>
        </w:rPr>
        <w:t xml:space="preserve">We then </w:t>
      </w:r>
      <w:r w:rsidR="005A14AF">
        <w:rPr>
          <w:rFonts w:asciiTheme="majorHAnsi" w:hAnsiTheme="majorHAnsi"/>
          <w:lang w:val="en-US"/>
        </w:rPr>
        <w:t xml:space="preserve">calculate </w:t>
      </w:r>
      <w:r w:rsidR="00677A58">
        <w:rPr>
          <w:rFonts w:asciiTheme="majorHAnsi" w:hAnsiTheme="majorHAnsi"/>
          <w:lang w:val="en-US"/>
        </w:rPr>
        <w:t xml:space="preserve">each trader’s </w:t>
      </w:r>
      <w:r w:rsidR="001B348F">
        <w:rPr>
          <w:rFonts w:asciiTheme="majorHAnsi" w:hAnsiTheme="majorHAnsi"/>
          <w:lang w:val="en-US"/>
        </w:rPr>
        <w:t xml:space="preserve">accumulated </w:t>
      </w:r>
      <w:r w:rsidR="00E13040">
        <w:rPr>
          <w:rFonts w:asciiTheme="majorHAnsi" w:hAnsiTheme="majorHAnsi"/>
          <w:lang w:val="en-US"/>
        </w:rPr>
        <w:t xml:space="preserve">net </w:t>
      </w:r>
      <w:r w:rsidR="005A14AF">
        <w:rPr>
          <w:rFonts w:asciiTheme="majorHAnsi" w:hAnsiTheme="majorHAnsi"/>
          <w:lang w:val="en-US"/>
        </w:rPr>
        <w:t>return on</w:t>
      </w:r>
      <w:r w:rsidR="00185ABC">
        <w:rPr>
          <w:rFonts w:asciiTheme="majorHAnsi" w:hAnsiTheme="majorHAnsi"/>
          <w:lang w:val="en-US"/>
        </w:rPr>
        <w:t xml:space="preserve"> </w:t>
      </w:r>
      <w:r>
        <w:rPr>
          <w:rFonts w:asciiTheme="majorHAnsi" w:hAnsiTheme="majorHAnsi"/>
          <w:lang w:val="en-US"/>
        </w:rPr>
        <w:t>investment (</w:t>
      </w:r>
      <w:r w:rsidRPr="00275768">
        <w:rPr>
          <w:rFonts w:asciiTheme="majorHAnsi" w:hAnsiTheme="majorHAnsi"/>
          <w:i/>
          <w:lang w:val="en-US"/>
        </w:rPr>
        <w:t>AROI</w:t>
      </w:r>
      <w:r>
        <w:rPr>
          <w:rFonts w:asciiTheme="majorHAnsi" w:hAnsiTheme="majorHAnsi"/>
          <w:vertAlign w:val="subscript"/>
          <w:lang w:val="en-US"/>
        </w:rPr>
        <w:t>km</w:t>
      </w:r>
      <w:r>
        <w:rPr>
          <w:rFonts w:asciiTheme="majorHAnsi" w:hAnsiTheme="majorHAnsi"/>
          <w:lang w:val="en-US"/>
        </w:rPr>
        <w:t xml:space="preserve">) </w:t>
      </w:r>
      <w:r w:rsidR="005A14AF">
        <w:rPr>
          <w:rFonts w:asciiTheme="majorHAnsi" w:hAnsiTheme="majorHAnsi"/>
          <w:lang w:val="en-US"/>
        </w:rPr>
        <w:t>as</w:t>
      </w:r>
      <m:oMath>
        <m:sSub>
          <m:sSubPr>
            <m:ctrlPr>
              <w:rPr>
                <w:rFonts w:ascii="Cambria Math" w:hAnsi="Cambria Math"/>
                <w:i/>
              </w:rPr>
            </m:ctrlPr>
          </m:sSubPr>
          <m:e>
            <m:r>
              <w:rPr>
                <w:rFonts w:ascii="Cambria Math" w:hAnsi="Cambria Math"/>
              </w:rPr>
              <m:t xml:space="preserve"> AROI</m:t>
            </m:r>
          </m:e>
          <m:sub>
            <m:r>
              <w:rPr>
                <w:rFonts w:ascii="Cambria Math" w:hAnsi="Cambria Math"/>
              </w:rPr>
              <m:t>km</m:t>
            </m:r>
          </m:sub>
        </m:sSub>
        <m:r>
          <w:rPr>
            <w:rFonts w:ascii="Cambria Math" w:hAnsi="Cambria Math"/>
          </w:rPr>
          <m:t>=</m:t>
        </m:r>
        <m:sSub>
          <m:sSubPr>
            <m:ctrlPr>
              <w:rPr>
                <w:rFonts w:ascii="Cambria Math" w:hAnsi="Cambria Math"/>
                <w:i/>
              </w:rPr>
            </m:ctrlPr>
          </m:sSubPr>
          <m:e>
            <m:r>
              <w:rPr>
                <w:rFonts w:ascii="Cambria Math" w:hAnsi="Cambria Math"/>
              </w:rPr>
              <m:t>ANPL</m:t>
            </m:r>
          </m:e>
          <m:sub>
            <m:r>
              <w:rPr>
                <w:rFonts w:ascii="Cambria Math" w:hAnsi="Cambria Math"/>
              </w:rPr>
              <m:t>km</m:t>
            </m:r>
          </m:sub>
        </m:sSub>
        <m:r>
          <w:rPr>
            <w:rFonts w:ascii="Cambria Math" w:hAnsi="Cambria Math"/>
          </w:rPr>
          <m:t>/</m:t>
        </m:r>
        <m:sSub>
          <m:sSubPr>
            <m:ctrlPr>
              <w:rPr>
                <w:rFonts w:ascii="Cambria Math" w:hAnsi="Cambria Math"/>
                <w:i/>
              </w:rPr>
            </m:ctrlPr>
          </m:sSubPr>
          <m:e>
            <m:r>
              <w:rPr>
                <w:rFonts w:ascii="Cambria Math" w:hAnsi="Cambria Math"/>
              </w:rPr>
              <m:t>ACAR</m:t>
            </m:r>
          </m:e>
          <m:sub>
            <m:r>
              <w:rPr>
                <w:rFonts w:ascii="Cambria Math" w:hAnsi="Cambria Math"/>
              </w:rPr>
              <m:t>km</m:t>
            </m:r>
          </m:sub>
        </m:sSub>
      </m:oMath>
      <w:r w:rsidR="003955D8">
        <w:rPr>
          <w:rFonts w:asciiTheme="majorHAnsi" w:hAnsiTheme="majorHAnsi"/>
        </w:rPr>
        <w:t xml:space="preserve">. </w:t>
      </w:r>
      <w:r w:rsidR="005A14AF">
        <w:rPr>
          <w:rFonts w:asciiTheme="majorHAnsi" w:hAnsiTheme="majorHAnsi"/>
          <w:lang w:val="en-US"/>
        </w:rPr>
        <w:t>However,</w:t>
      </w:r>
      <w:r w:rsidR="0035060E">
        <w:rPr>
          <w:rFonts w:asciiTheme="majorHAnsi" w:hAnsiTheme="majorHAnsi"/>
          <w:lang w:val="en-US"/>
        </w:rPr>
        <w:t xml:space="preserve"> </w:t>
      </w:r>
      <w:r w:rsidR="003D28E6">
        <w:rPr>
          <w:rFonts w:asciiTheme="majorHAnsi" w:hAnsiTheme="majorHAnsi"/>
          <w:lang w:val="en-US"/>
        </w:rPr>
        <w:t>previous research suggests</w:t>
      </w:r>
      <w:r>
        <w:rPr>
          <w:rFonts w:asciiTheme="majorHAnsi" w:hAnsiTheme="majorHAnsi"/>
          <w:lang w:val="en-US"/>
        </w:rPr>
        <w:t xml:space="preserve"> that</w:t>
      </w:r>
      <w:r w:rsidR="003D28E6">
        <w:rPr>
          <w:rFonts w:asciiTheme="majorHAnsi" w:hAnsiTheme="majorHAnsi"/>
          <w:lang w:val="en-US"/>
        </w:rPr>
        <w:t xml:space="preserve"> </w:t>
      </w:r>
      <w:r w:rsidR="005A14AF">
        <w:rPr>
          <w:rFonts w:asciiTheme="majorHAnsi" w:hAnsiTheme="majorHAnsi"/>
          <w:lang w:val="en-US"/>
        </w:rPr>
        <w:t xml:space="preserve">a change in </w:t>
      </w:r>
      <w:r w:rsidR="00B631D2" w:rsidRPr="00FC6DF5">
        <w:rPr>
          <w:rFonts w:asciiTheme="majorHAnsi" w:hAnsiTheme="majorHAnsi"/>
          <w:i/>
          <w:lang w:val="en-US"/>
        </w:rPr>
        <w:t>A</w:t>
      </w:r>
      <w:r w:rsidR="005A14AF" w:rsidRPr="00FC6DF5">
        <w:rPr>
          <w:rFonts w:asciiTheme="majorHAnsi" w:hAnsiTheme="majorHAnsi"/>
          <w:i/>
          <w:lang w:val="en-US"/>
        </w:rPr>
        <w:t>ROI</w:t>
      </w:r>
      <w:r w:rsidR="005A14AF">
        <w:rPr>
          <w:rFonts w:asciiTheme="majorHAnsi" w:hAnsiTheme="majorHAnsi"/>
          <w:lang w:val="en-US"/>
        </w:rPr>
        <w:t xml:space="preserve"> </w:t>
      </w:r>
      <w:r w:rsidR="003D28E6">
        <w:rPr>
          <w:rFonts w:asciiTheme="majorHAnsi" w:hAnsiTheme="majorHAnsi"/>
          <w:lang w:val="en-US"/>
        </w:rPr>
        <w:t xml:space="preserve">may have a different influence on the chance of a trader deciding to stop trading </w:t>
      </w:r>
      <w:r w:rsidR="00974A75" w:rsidRPr="0024363A">
        <w:rPr>
          <w:rFonts w:asciiTheme="majorHAnsi" w:hAnsiTheme="majorHAnsi"/>
          <w:lang w:val="en-US"/>
        </w:rPr>
        <w:t xml:space="preserve">when </w:t>
      </w:r>
      <w:r w:rsidR="003D28E6" w:rsidRPr="0024363A">
        <w:rPr>
          <w:rFonts w:asciiTheme="majorHAnsi" w:hAnsiTheme="majorHAnsi"/>
          <w:lang w:val="en-US"/>
        </w:rPr>
        <w:t>they are</w:t>
      </w:r>
      <w:r w:rsidR="00974A75" w:rsidRPr="0024363A">
        <w:rPr>
          <w:rFonts w:asciiTheme="majorHAnsi" w:hAnsiTheme="majorHAnsi"/>
          <w:lang w:val="en-US"/>
        </w:rPr>
        <w:t xml:space="preserve"> in </w:t>
      </w:r>
      <w:r w:rsidR="005A14AF" w:rsidRPr="0024363A">
        <w:rPr>
          <w:rFonts w:asciiTheme="majorHAnsi" w:hAnsiTheme="majorHAnsi"/>
          <w:lang w:val="en-US"/>
        </w:rPr>
        <w:t xml:space="preserve">net gain </w:t>
      </w:r>
      <w:r w:rsidR="003D28E6" w:rsidRPr="0024363A">
        <w:rPr>
          <w:rFonts w:asciiTheme="majorHAnsi" w:hAnsiTheme="majorHAnsi"/>
          <w:lang w:val="en-US"/>
        </w:rPr>
        <w:t>or</w:t>
      </w:r>
      <w:r w:rsidR="00974A75" w:rsidRPr="0024363A">
        <w:rPr>
          <w:rFonts w:asciiTheme="majorHAnsi" w:hAnsiTheme="majorHAnsi"/>
          <w:lang w:val="en-US"/>
        </w:rPr>
        <w:t xml:space="preserve"> net </w:t>
      </w:r>
      <w:r w:rsidR="005A14AF" w:rsidRPr="0024363A">
        <w:rPr>
          <w:rFonts w:asciiTheme="majorHAnsi" w:hAnsiTheme="majorHAnsi"/>
          <w:lang w:val="en-US"/>
        </w:rPr>
        <w:t>loss</w:t>
      </w:r>
      <w:r w:rsidR="00BA5B92" w:rsidRPr="0024363A">
        <w:rPr>
          <w:rFonts w:asciiTheme="majorHAnsi" w:hAnsiTheme="majorHAnsi"/>
          <w:lang w:val="en-US"/>
        </w:rPr>
        <w:t>.</w:t>
      </w:r>
      <w:r w:rsidR="00BA5B92" w:rsidRPr="0024363A">
        <w:rPr>
          <w:rFonts w:asciiTheme="majorHAnsi" w:hAnsiTheme="majorHAnsi"/>
          <w:vertAlign w:val="superscript"/>
          <w:lang w:val="en-US"/>
        </w:rPr>
        <w:t>(17)</w:t>
      </w:r>
      <w:r w:rsidR="00BA5B92" w:rsidRPr="0024363A">
        <w:rPr>
          <w:rFonts w:asciiTheme="majorHAnsi" w:hAnsiTheme="majorHAnsi"/>
          <w:lang w:val="en-US"/>
        </w:rPr>
        <w:t xml:space="preserve"> </w:t>
      </w:r>
      <w:r w:rsidR="005A14AF" w:rsidRPr="0024363A">
        <w:rPr>
          <w:rFonts w:asciiTheme="majorHAnsi" w:hAnsiTheme="majorHAnsi"/>
          <w:lang w:val="en-US"/>
        </w:rPr>
        <w:t>Therefore</w:t>
      </w:r>
      <w:r w:rsidR="00677A58" w:rsidRPr="0024363A">
        <w:rPr>
          <w:rFonts w:asciiTheme="majorHAnsi" w:hAnsiTheme="majorHAnsi"/>
          <w:lang w:val="en-US"/>
        </w:rPr>
        <w:t>,</w:t>
      </w:r>
      <w:r w:rsidR="005A14AF" w:rsidRPr="0024363A">
        <w:rPr>
          <w:rFonts w:asciiTheme="majorHAnsi" w:hAnsiTheme="majorHAnsi"/>
          <w:lang w:val="en-US"/>
        </w:rPr>
        <w:t xml:space="preserve"> we separate the ROI for those traders in </w:t>
      </w:r>
      <w:r w:rsidR="00974A75" w:rsidRPr="0024363A">
        <w:rPr>
          <w:rFonts w:asciiTheme="majorHAnsi" w:hAnsiTheme="majorHAnsi"/>
          <w:lang w:val="en-US"/>
        </w:rPr>
        <w:t>long</w:t>
      </w:r>
      <w:r w:rsidR="009833A0" w:rsidRPr="0024363A">
        <w:rPr>
          <w:rFonts w:asciiTheme="majorHAnsi" w:hAnsiTheme="majorHAnsi"/>
          <w:lang w:val="en-US"/>
        </w:rPr>
        <w:t>-</w:t>
      </w:r>
      <w:r w:rsidR="00974A75" w:rsidRPr="0024363A">
        <w:rPr>
          <w:rFonts w:asciiTheme="majorHAnsi" w:hAnsiTheme="majorHAnsi"/>
          <w:lang w:val="en-US"/>
        </w:rPr>
        <w:t xml:space="preserve">run </w:t>
      </w:r>
      <w:r w:rsidR="005A14AF" w:rsidRPr="0024363A">
        <w:rPr>
          <w:rFonts w:asciiTheme="majorHAnsi" w:hAnsiTheme="majorHAnsi"/>
          <w:lang w:val="en-US"/>
        </w:rPr>
        <w:t xml:space="preserve">profit and in </w:t>
      </w:r>
      <w:r w:rsidR="00974A75" w:rsidRPr="0024363A">
        <w:rPr>
          <w:rFonts w:asciiTheme="majorHAnsi" w:hAnsiTheme="majorHAnsi"/>
          <w:lang w:val="en-US"/>
        </w:rPr>
        <w:t>long</w:t>
      </w:r>
      <w:r w:rsidR="009833A0" w:rsidRPr="0024363A">
        <w:rPr>
          <w:rFonts w:asciiTheme="majorHAnsi" w:hAnsiTheme="majorHAnsi"/>
          <w:lang w:val="en-US"/>
        </w:rPr>
        <w:t>-</w:t>
      </w:r>
      <w:r w:rsidR="00974A75" w:rsidRPr="0024363A">
        <w:rPr>
          <w:rFonts w:asciiTheme="majorHAnsi" w:hAnsiTheme="majorHAnsi"/>
          <w:lang w:val="en-US"/>
        </w:rPr>
        <w:t xml:space="preserve">run </w:t>
      </w:r>
      <w:r w:rsidR="005A14AF" w:rsidRPr="0024363A">
        <w:rPr>
          <w:rFonts w:asciiTheme="majorHAnsi" w:hAnsiTheme="majorHAnsi"/>
          <w:lang w:val="en-US"/>
        </w:rPr>
        <w:t>loss in month</w:t>
      </w:r>
      <w:r w:rsidR="005A14AF" w:rsidRPr="0024363A">
        <w:rPr>
          <w:rFonts w:asciiTheme="majorHAnsi" w:hAnsiTheme="majorHAnsi"/>
          <w:i/>
          <w:lang w:val="en-US"/>
        </w:rPr>
        <w:t xml:space="preserve"> m</w:t>
      </w:r>
      <w:r w:rsidR="00677A58" w:rsidRPr="0024363A">
        <w:rPr>
          <w:rFonts w:asciiTheme="majorHAnsi" w:hAnsiTheme="majorHAnsi"/>
          <w:lang w:val="en-US"/>
        </w:rPr>
        <w:t>, as follows:</w:t>
      </w:r>
      <w:r w:rsidR="005A14AF" w:rsidRPr="0024363A">
        <w:rPr>
          <w:rFonts w:asciiTheme="majorHAnsi" w:hAnsiTheme="majorHAnsi"/>
          <w:lang w:val="en-US"/>
        </w:rPr>
        <w:t xml:space="preserve"> </w:t>
      </w:r>
    </w:p>
    <w:bookmarkStart w:id="7" w:name="OLE_LINK49"/>
    <w:bookmarkStart w:id="8" w:name="OLE_LINK50"/>
    <w:p w14:paraId="34971397" w14:textId="7236E6D4" w:rsidR="00060C2F" w:rsidRPr="00060C2F" w:rsidRDefault="0034304F" w:rsidP="00F30438">
      <w:pPr>
        <w:pStyle w:val="MTDisplayEquation"/>
        <w:spacing w:line="480" w:lineRule="auto"/>
        <w:jc w:val="cente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ProfitROI</m:t>
                  </m:r>
                </m:e>
                <m:sub>
                  <m:r>
                    <w:rPr>
                      <w:rFonts w:ascii="Cambria Math" w:hAnsi="Cambria Math"/>
                    </w:rPr>
                    <m:t>km</m:t>
                  </m:r>
                </m:sub>
              </m:sSub>
              <m:r>
                <w:rPr>
                  <w:rFonts w:ascii="Cambria Math" w:hAnsi="Cambria Math"/>
                </w:rPr>
                <m:t>=</m:t>
              </m:r>
              <m:sSub>
                <m:sSubPr>
                  <m:ctrlPr>
                    <w:rPr>
                      <w:rFonts w:ascii="Cambria Math" w:hAnsi="Cambria Math"/>
                      <w:i/>
                    </w:rPr>
                  </m:ctrlPr>
                </m:sSubPr>
                <m:e>
                  <m:r>
                    <w:rPr>
                      <w:rFonts w:ascii="Cambria Math" w:hAnsi="Cambria Math"/>
                    </w:rPr>
                    <m:t>NetProfit</m:t>
                  </m:r>
                </m:e>
                <m:sub>
                  <m:r>
                    <w:rPr>
                      <w:rFonts w:ascii="Cambria Math" w:hAnsi="Cambria Math"/>
                    </w:rPr>
                    <m:t>km</m:t>
                  </m:r>
                </m:sub>
              </m:sSub>
              <m:r>
                <w:rPr>
                  <w:rFonts w:ascii="Cambria Math" w:hAnsi="Cambria Math"/>
                </w:rPr>
                <m:t>×</m:t>
              </m:r>
              <m:sSub>
                <m:sSubPr>
                  <m:ctrlPr>
                    <w:rPr>
                      <w:rFonts w:ascii="Cambria Math" w:hAnsi="Cambria Math"/>
                      <w:i/>
                    </w:rPr>
                  </m:ctrlPr>
                </m:sSubPr>
                <m:e>
                  <m:r>
                    <w:rPr>
                      <w:rFonts w:ascii="Cambria Math" w:hAnsi="Cambria Math"/>
                    </w:rPr>
                    <m:t>AROI</m:t>
                  </m:r>
                </m:e>
                <m:sub>
                  <m:r>
                    <w:rPr>
                      <w:rFonts w:ascii="Cambria Math" w:hAnsi="Cambria Math"/>
                    </w:rPr>
                    <m:t>km</m:t>
                  </m:r>
                </m:sub>
              </m:sSub>
              <m:r>
                <w:rPr>
                  <w:rFonts w:ascii="Cambria Math" w:hAnsi="Cambria Math"/>
                </w:rPr>
                <m:t>#</m:t>
              </m:r>
              <m:d>
                <m:dPr>
                  <m:ctrlPr>
                    <w:rPr>
                      <w:rFonts w:ascii="Cambria Math" w:hAnsi="Cambria Math"/>
                      <w:i/>
                    </w:rPr>
                  </m:ctrlPr>
                </m:dPr>
                <m:e>
                  <m:r>
                    <w:rPr>
                      <w:rFonts w:ascii="Cambria Math" w:hAnsi="Cambria Math"/>
                    </w:rPr>
                    <m:t>7</m:t>
                  </m:r>
                </m:e>
              </m:d>
            </m:e>
          </m:eqArr>
        </m:oMath>
      </m:oMathPara>
    </w:p>
    <w:bookmarkEnd w:id="7"/>
    <w:bookmarkEnd w:id="8"/>
    <w:p w14:paraId="23556024" w14:textId="67BE1BC4" w:rsidR="00653D2A" w:rsidRDefault="0034304F" w:rsidP="00F30438">
      <w:pPr>
        <w:pStyle w:val="MTDisplayEquation"/>
        <w:spacing w:line="480" w:lineRule="auto"/>
        <w:jc w:val="cente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LossROI</m:t>
                  </m:r>
                </m:e>
                <m:sub>
                  <m:r>
                    <w:rPr>
                      <w:rFonts w:ascii="Cambria Math" w:hAnsi="Cambria Math"/>
                    </w:rPr>
                    <m:t>km</m:t>
                  </m:r>
                </m:sub>
              </m:sSub>
              <m:r>
                <w:rPr>
                  <w:rFonts w:ascii="Cambria Math" w:hAnsi="Cambria Math"/>
                </w:rPr>
                <m:t>=</m:t>
              </m:r>
              <m:sSub>
                <m:sSubPr>
                  <m:ctrlPr>
                    <w:rPr>
                      <w:rFonts w:ascii="Cambria Math" w:hAnsi="Cambria Math"/>
                      <w:i/>
                    </w:rPr>
                  </m:ctrlPr>
                </m:sSubPr>
                <m:e>
                  <m:r>
                    <w:rPr>
                      <w:rFonts w:ascii="Cambria Math" w:hAnsi="Cambria Math"/>
                    </w:rPr>
                    <m:t>NetLoss</m:t>
                  </m:r>
                </m:e>
                <m:sub>
                  <m:r>
                    <w:rPr>
                      <w:rFonts w:ascii="Cambria Math" w:hAnsi="Cambria Math"/>
                    </w:rPr>
                    <m:t>km</m:t>
                  </m:r>
                </m:sub>
              </m:sSub>
              <m:r>
                <w:rPr>
                  <w:rFonts w:ascii="Cambria Math" w:hAnsi="Cambria Math"/>
                </w:rPr>
                <m:t>×</m:t>
              </m:r>
              <m:sSub>
                <m:sSubPr>
                  <m:ctrlPr>
                    <w:rPr>
                      <w:rFonts w:ascii="Cambria Math" w:hAnsi="Cambria Math"/>
                      <w:i/>
                    </w:rPr>
                  </m:ctrlPr>
                </m:sSubPr>
                <m:e>
                  <m:r>
                    <w:rPr>
                      <w:rFonts w:ascii="Cambria Math" w:hAnsi="Cambria Math"/>
                    </w:rPr>
                    <m:t>AROI</m:t>
                  </m:r>
                </m:e>
                <m:sub>
                  <m:r>
                    <w:rPr>
                      <w:rFonts w:ascii="Cambria Math" w:hAnsi="Cambria Math"/>
                    </w:rPr>
                    <m:t>km</m:t>
                  </m:r>
                </m:sub>
              </m:sSub>
              <m:r>
                <w:rPr>
                  <w:rFonts w:ascii="Cambria Math" w:hAnsi="Cambria Math"/>
                </w:rPr>
                <m:t>#</m:t>
              </m:r>
              <m:d>
                <m:dPr>
                  <m:ctrlPr>
                    <w:rPr>
                      <w:rFonts w:ascii="Cambria Math" w:hAnsi="Cambria Math"/>
                      <w:i/>
                    </w:rPr>
                  </m:ctrlPr>
                </m:dPr>
                <m:e>
                  <m:r>
                    <w:rPr>
                      <w:rFonts w:ascii="Cambria Math" w:hAnsi="Cambria Math"/>
                    </w:rPr>
                    <m:t>8</m:t>
                  </m:r>
                </m:e>
              </m:d>
            </m:e>
          </m:eqArr>
        </m:oMath>
      </m:oMathPara>
    </w:p>
    <w:p w14:paraId="66615590" w14:textId="02E04BD2" w:rsidR="005A14AF" w:rsidRPr="00275768" w:rsidRDefault="005A14AF" w:rsidP="005A14AF">
      <w:pPr>
        <w:spacing w:after="0" w:line="480" w:lineRule="auto"/>
        <w:rPr>
          <w:rFonts w:asciiTheme="majorHAnsi" w:hAnsiTheme="majorHAnsi"/>
          <w:i/>
          <w:lang w:val="en-US"/>
        </w:rPr>
      </w:pPr>
      <w:r w:rsidRPr="00275768">
        <w:rPr>
          <w:rFonts w:asciiTheme="majorHAnsi" w:hAnsiTheme="majorHAnsi"/>
          <w:i/>
          <w:lang w:val="en-US"/>
        </w:rPr>
        <w:t>2.2.</w:t>
      </w:r>
      <w:r w:rsidR="000769FC">
        <w:rPr>
          <w:rFonts w:asciiTheme="majorHAnsi" w:hAnsiTheme="majorHAnsi"/>
          <w:i/>
          <w:lang w:val="en-US"/>
        </w:rPr>
        <w:t>3</w:t>
      </w:r>
      <w:r w:rsidRPr="00275768">
        <w:rPr>
          <w:rFonts w:asciiTheme="majorHAnsi" w:hAnsiTheme="majorHAnsi"/>
          <w:i/>
          <w:lang w:val="en-US"/>
        </w:rPr>
        <w:t xml:space="preserve"> Other </w:t>
      </w:r>
      <w:r w:rsidR="009504D5" w:rsidRPr="00275768">
        <w:rPr>
          <w:rFonts w:asciiTheme="majorHAnsi" w:hAnsiTheme="majorHAnsi"/>
          <w:i/>
          <w:lang w:val="en-US"/>
        </w:rPr>
        <w:t>individual</w:t>
      </w:r>
      <w:r w:rsidRPr="00275768">
        <w:rPr>
          <w:rFonts w:asciiTheme="majorHAnsi" w:hAnsiTheme="majorHAnsi"/>
          <w:i/>
          <w:lang w:val="en-US"/>
        </w:rPr>
        <w:t>-</w:t>
      </w:r>
      <w:r w:rsidR="000E31D1" w:rsidRPr="00275768">
        <w:rPr>
          <w:rFonts w:asciiTheme="majorHAnsi" w:hAnsiTheme="majorHAnsi"/>
          <w:i/>
          <w:lang w:val="en-US"/>
        </w:rPr>
        <w:t>related c</w:t>
      </w:r>
      <w:r w:rsidRPr="00275768">
        <w:rPr>
          <w:rFonts w:asciiTheme="majorHAnsi" w:hAnsiTheme="majorHAnsi"/>
          <w:i/>
          <w:lang w:val="en-US"/>
        </w:rPr>
        <w:t xml:space="preserve">ontrol </w:t>
      </w:r>
      <w:r w:rsidR="000E31D1" w:rsidRPr="00275768">
        <w:rPr>
          <w:rFonts w:asciiTheme="majorHAnsi" w:hAnsiTheme="majorHAnsi"/>
          <w:i/>
          <w:lang w:val="en-US"/>
        </w:rPr>
        <w:t>f</w:t>
      </w:r>
      <w:r w:rsidRPr="00275768">
        <w:rPr>
          <w:rFonts w:asciiTheme="majorHAnsi" w:hAnsiTheme="majorHAnsi"/>
          <w:i/>
          <w:lang w:val="en-US"/>
        </w:rPr>
        <w:t>actors</w:t>
      </w:r>
    </w:p>
    <w:p w14:paraId="3F1C6DF3" w14:textId="2E4FA591" w:rsidR="005A14AF" w:rsidRDefault="0046781F" w:rsidP="0031500A">
      <w:pPr>
        <w:spacing w:after="0" w:line="480" w:lineRule="auto"/>
        <w:rPr>
          <w:rFonts w:asciiTheme="majorHAnsi" w:hAnsiTheme="majorHAnsi"/>
          <w:lang w:val="en-US"/>
        </w:rPr>
      </w:pPr>
      <w:r>
        <w:rPr>
          <w:rFonts w:asciiTheme="majorHAnsi" w:hAnsiTheme="majorHAnsi"/>
          <w:lang w:val="en-US"/>
        </w:rPr>
        <w:t>W</w:t>
      </w:r>
      <w:r w:rsidR="005A14AF">
        <w:rPr>
          <w:rFonts w:asciiTheme="majorHAnsi" w:hAnsiTheme="majorHAnsi"/>
          <w:lang w:val="en-US"/>
        </w:rPr>
        <w:t xml:space="preserve">e control for other factors that might influence </w:t>
      </w:r>
      <w:r w:rsidR="005C70D0">
        <w:rPr>
          <w:rFonts w:asciiTheme="majorHAnsi" w:hAnsiTheme="majorHAnsi"/>
          <w:lang w:val="en-US"/>
        </w:rPr>
        <w:t xml:space="preserve">an individual’s </w:t>
      </w:r>
      <w:r>
        <w:rPr>
          <w:rFonts w:asciiTheme="majorHAnsi" w:hAnsiTheme="majorHAnsi"/>
          <w:lang w:val="en-US"/>
        </w:rPr>
        <w:t>decision to stop trading.</w:t>
      </w:r>
      <w:r w:rsidR="005A14AF">
        <w:rPr>
          <w:rFonts w:asciiTheme="majorHAnsi" w:hAnsiTheme="majorHAnsi"/>
          <w:lang w:val="en-US"/>
        </w:rPr>
        <w:t xml:space="preserve"> The first </w:t>
      </w:r>
      <w:r w:rsidR="00F461A6">
        <w:rPr>
          <w:rFonts w:asciiTheme="majorHAnsi" w:hAnsiTheme="majorHAnsi"/>
          <w:lang w:val="en-US"/>
        </w:rPr>
        <w:t>two relate to the returns and the volatility of those returns on capital invested during a given month</w:t>
      </w:r>
      <w:r w:rsidR="00C70657">
        <w:rPr>
          <w:rFonts w:asciiTheme="majorHAnsi" w:hAnsiTheme="majorHAnsi"/>
          <w:lang w:val="en-US"/>
        </w:rPr>
        <w:t>; specifically</w:t>
      </w:r>
      <w:r w:rsidR="00B23745">
        <w:rPr>
          <w:rFonts w:asciiTheme="majorHAnsi" w:hAnsiTheme="majorHAnsi"/>
          <w:lang w:val="en-US"/>
        </w:rPr>
        <w:t xml:space="preserve">, </w:t>
      </w:r>
      <w:r w:rsidR="004915BD">
        <w:rPr>
          <w:rFonts w:asciiTheme="majorHAnsi" w:hAnsiTheme="majorHAnsi"/>
          <w:lang w:val="en-US"/>
        </w:rPr>
        <w:t xml:space="preserve">the </w:t>
      </w:r>
      <w:r w:rsidR="008A19D8">
        <w:rPr>
          <w:rFonts w:asciiTheme="majorHAnsi" w:hAnsiTheme="majorHAnsi"/>
          <w:lang w:val="en-US"/>
        </w:rPr>
        <w:t>mean</w:t>
      </w:r>
      <w:r w:rsidR="001030C9">
        <w:rPr>
          <w:rFonts w:asciiTheme="majorHAnsi" w:hAnsiTheme="majorHAnsi"/>
          <w:lang w:val="en-US"/>
        </w:rPr>
        <w:t xml:space="preserve"> (</w:t>
      </w:r>
      <w:r w:rsidR="001030C9" w:rsidRPr="008D12FA">
        <w:rPr>
          <w:rFonts w:asciiTheme="majorHAnsi" w:hAnsiTheme="majorHAnsi"/>
          <w:i/>
          <w:lang w:val="en-US"/>
        </w:rPr>
        <w:t>Return</w:t>
      </w:r>
      <w:r w:rsidR="001030C9" w:rsidRPr="008D12FA">
        <w:rPr>
          <w:rFonts w:asciiTheme="majorHAnsi" w:hAnsiTheme="majorHAnsi"/>
          <w:i/>
          <w:vertAlign w:val="subscript"/>
          <w:lang w:val="en-US"/>
        </w:rPr>
        <w:t>km</w:t>
      </w:r>
      <w:r w:rsidR="001030C9">
        <w:rPr>
          <w:rFonts w:asciiTheme="majorHAnsi" w:hAnsiTheme="majorHAnsi"/>
          <w:lang w:val="en-US"/>
        </w:rPr>
        <w:t>)</w:t>
      </w:r>
      <w:r w:rsidR="008A19D8">
        <w:rPr>
          <w:rFonts w:asciiTheme="majorHAnsi" w:hAnsiTheme="majorHAnsi"/>
          <w:lang w:val="en-US"/>
        </w:rPr>
        <w:t xml:space="preserve"> and the standard deviation</w:t>
      </w:r>
      <w:r w:rsidR="001030C9">
        <w:rPr>
          <w:rFonts w:asciiTheme="majorHAnsi" w:hAnsiTheme="majorHAnsi"/>
          <w:lang w:val="en-US"/>
        </w:rPr>
        <w:t xml:space="preserve"> (</w:t>
      </w:r>
      <w:r w:rsidR="001030C9">
        <w:rPr>
          <w:rFonts w:asciiTheme="majorHAnsi" w:hAnsiTheme="majorHAnsi"/>
          <w:i/>
          <w:lang w:val="en-US"/>
        </w:rPr>
        <w:t>Volatility</w:t>
      </w:r>
      <w:r w:rsidR="001030C9">
        <w:rPr>
          <w:rFonts w:asciiTheme="majorHAnsi" w:hAnsiTheme="majorHAnsi"/>
          <w:i/>
          <w:vertAlign w:val="subscript"/>
          <w:lang w:val="en-US"/>
        </w:rPr>
        <w:t>km</w:t>
      </w:r>
      <w:r w:rsidR="001030C9">
        <w:rPr>
          <w:rFonts w:asciiTheme="majorHAnsi" w:hAnsiTheme="majorHAnsi"/>
          <w:lang w:val="en-US"/>
        </w:rPr>
        <w:t>)</w:t>
      </w:r>
      <w:r w:rsidR="008A19D8">
        <w:rPr>
          <w:rFonts w:asciiTheme="majorHAnsi" w:hAnsiTheme="majorHAnsi"/>
          <w:lang w:val="en-US"/>
        </w:rPr>
        <w:t xml:space="preserve"> of their </w:t>
      </w:r>
      <w:r w:rsidR="004915BD">
        <w:rPr>
          <w:rFonts w:asciiTheme="majorHAnsi" w:hAnsiTheme="majorHAnsi"/>
          <w:lang w:val="en-US"/>
        </w:rPr>
        <w:t>return on capital at risk per trade</w:t>
      </w:r>
      <w:r w:rsidR="00F461A6">
        <w:rPr>
          <w:rFonts w:asciiTheme="majorHAnsi" w:hAnsiTheme="majorHAnsi"/>
          <w:lang w:val="en-US"/>
        </w:rPr>
        <w:t xml:space="preserve"> </w:t>
      </w:r>
      <w:r w:rsidR="001030C9">
        <w:rPr>
          <w:rFonts w:asciiTheme="majorHAnsi" w:hAnsiTheme="majorHAnsi"/>
          <w:lang w:val="en-US"/>
        </w:rPr>
        <w:t>in</w:t>
      </w:r>
      <w:r w:rsidR="00F461A6">
        <w:rPr>
          <w:rFonts w:asciiTheme="majorHAnsi" w:hAnsiTheme="majorHAnsi"/>
          <w:lang w:val="en-US"/>
        </w:rPr>
        <w:t xml:space="preserve"> a given month</w:t>
      </w:r>
      <w:r w:rsidR="001030C9">
        <w:rPr>
          <w:rFonts w:asciiTheme="majorHAnsi" w:hAnsiTheme="majorHAnsi"/>
          <w:lang w:val="en-US"/>
        </w:rPr>
        <w:t xml:space="preserve">. </w:t>
      </w:r>
      <w:r w:rsidR="00F461A6">
        <w:rPr>
          <w:rFonts w:asciiTheme="majorHAnsi" w:hAnsiTheme="majorHAnsi"/>
          <w:lang w:val="en-US"/>
        </w:rPr>
        <w:t xml:space="preserve">We also calculate </w:t>
      </w:r>
      <w:r w:rsidR="005A14AF">
        <w:rPr>
          <w:rFonts w:asciiTheme="majorHAnsi" w:hAnsiTheme="majorHAnsi"/>
          <w:lang w:val="en-US"/>
        </w:rPr>
        <w:t xml:space="preserve">the </w:t>
      </w:r>
      <w:r w:rsidR="008A19D8">
        <w:rPr>
          <w:rFonts w:asciiTheme="majorHAnsi" w:hAnsiTheme="majorHAnsi"/>
          <w:lang w:val="en-US"/>
        </w:rPr>
        <w:t>mean s</w:t>
      </w:r>
      <w:r w:rsidR="000E31D1">
        <w:rPr>
          <w:rFonts w:asciiTheme="majorHAnsi" w:hAnsiTheme="majorHAnsi"/>
          <w:lang w:val="en-US"/>
        </w:rPr>
        <w:t xml:space="preserve">take size of </w:t>
      </w:r>
      <w:r>
        <w:rPr>
          <w:rFonts w:asciiTheme="majorHAnsi" w:hAnsiTheme="majorHAnsi"/>
          <w:lang w:val="en-US"/>
        </w:rPr>
        <w:t xml:space="preserve">a </w:t>
      </w:r>
      <w:r w:rsidR="000E31D1">
        <w:rPr>
          <w:rFonts w:asciiTheme="majorHAnsi" w:hAnsiTheme="majorHAnsi"/>
          <w:lang w:val="en-US"/>
        </w:rPr>
        <w:t>trade</w:t>
      </w:r>
      <w:r w:rsidR="005A14AF">
        <w:rPr>
          <w:rFonts w:asciiTheme="majorHAnsi" w:hAnsiTheme="majorHAnsi"/>
          <w:lang w:val="en-US"/>
        </w:rPr>
        <w:t xml:space="preserve"> in a given month </w:t>
      </w:r>
      <w:r>
        <w:rPr>
          <w:rFonts w:asciiTheme="majorHAnsi" w:hAnsiTheme="majorHAnsi"/>
          <w:lang w:val="en-US"/>
        </w:rPr>
        <w:t>(</w:t>
      </w:r>
      <w:r w:rsidRPr="00314D0E">
        <w:rPr>
          <w:rFonts w:asciiTheme="majorHAnsi" w:hAnsiTheme="majorHAnsi"/>
          <w:i/>
          <w:lang w:val="en-US"/>
        </w:rPr>
        <w:t>Stake</w:t>
      </w:r>
      <w:r w:rsidR="004915BD">
        <w:rPr>
          <w:rFonts w:asciiTheme="majorHAnsi" w:hAnsiTheme="majorHAnsi"/>
          <w:i/>
          <w:vertAlign w:val="subscript"/>
          <w:lang w:val="en-US"/>
        </w:rPr>
        <w:t>km</w:t>
      </w:r>
      <w:r>
        <w:rPr>
          <w:rFonts w:asciiTheme="majorHAnsi" w:hAnsiTheme="majorHAnsi"/>
          <w:lang w:val="en-US"/>
        </w:rPr>
        <w:t>)</w:t>
      </w:r>
      <w:r w:rsidR="001249D4">
        <w:rPr>
          <w:rFonts w:asciiTheme="majorHAnsi" w:hAnsiTheme="majorHAnsi"/>
          <w:lang w:val="en-US"/>
        </w:rPr>
        <w:t xml:space="preserve">, </w:t>
      </w:r>
      <w:r>
        <w:rPr>
          <w:rFonts w:asciiTheme="majorHAnsi" w:hAnsiTheme="majorHAnsi"/>
          <w:lang w:val="en-US"/>
        </w:rPr>
        <w:t xml:space="preserve">because </w:t>
      </w:r>
      <w:r w:rsidR="005A14AF">
        <w:rPr>
          <w:rFonts w:asciiTheme="majorHAnsi" w:hAnsiTheme="majorHAnsi"/>
          <w:lang w:val="en-US"/>
        </w:rPr>
        <w:t xml:space="preserve">those </w:t>
      </w:r>
      <w:r w:rsidR="0031500A">
        <w:rPr>
          <w:rFonts w:asciiTheme="majorHAnsi" w:hAnsiTheme="majorHAnsi"/>
          <w:lang w:val="en-US"/>
        </w:rPr>
        <w:t xml:space="preserve">who </w:t>
      </w:r>
      <w:r w:rsidR="005A14AF">
        <w:rPr>
          <w:rFonts w:asciiTheme="majorHAnsi" w:hAnsiTheme="majorHAnsi"/>
          <w:lang w:val="en-US"/>
        </w:rPr>
        <w:t xml:space="preserve">tend to stake more </w:t>
      </w:r>
      <w:r w:rsidR="001249D4">
        <w:rPr>
          <w:rFonts w:asciiTheme="majorHAnsi" w:hAnsiTheme="majorHAnsi"/>
          <w:lang w:val="en-US"/>
        </w:rPr>
        <w:t xml:space="preserve">may </w:t>
      </w:r>
      <w:r w:rsidR="005A14AF">
        <w:rPr>
          <w:rFonts w:asciiTheme="majorHAnsi" w:hAnsiTheme="majorHAnsi"/>
          <w:lang w:val="en-US"/>
        </w:rPr>
        <w:t xml:space="preserve">do so because they </w:t>
      </w:r>
      <w:r w:rsidR="00DD7BC4">
        <w:rPr>
          <w:rFonts w:asciiTheme="majorHAnsi" w:hAnsiTheme="majorHAnsi"/>
          <w:lang w:val="en-US"/>
        </w:rPr>
        <w:t xml:space="preserve">believe they </w:t>
      </w:r>
      <w:r w:rsidR="005A14AF">
        <w:rPr>
          <w:rFonts w:asciiTheme="majorHAnsi" w:hAnsiTheme="majorHAnsi"/>
          <w:lang w:val="en-US"/>
        </w:rPr>
        <w:t>have more information and</w:t>
      </w:r>
      <w:r w:rsidR="0031500A">
        <w:rPr>
          <w:rFonts w:asciiTheme="majorHAnsi" w:hAnsiTheme="majorHAnsi"/>
          <w:lang w:val="en-US"/>
        </w:rPr>
        <w:t>,</w:t>
      </w:r>
      <w:r w:rsidR="005A14AF">
        <w:rPr>
          <w:rFonts w:asciiTheme="majorHAnsi" w:hAnsiTheme="majorHAnsi"/>
          <w:lang w:val="en-US"/>
        </w:rPr>
        <w:t xml:space="preserve"> hence</w:t>
      </w:r>
      <w:r w:rsidR="0031500A">
        <w:rPr>
          <w:rFonts w:asciiTheme="majorHAnsi" w:hAnsiTheme="majorHAnsi"/>
          <w:lang w:val="en-US"/>
        </w:rPr>
        <w:t>,</w:t>
      </w:r>
      <w:r w:rsidR="005A14AF">
        <w:rPr>
          <w:rFonts w:asciiTheme="majorHAnsi" w:hAnsiTheme="majorHAnsi"/>
          <w:lang w:val="en-US"/>
        </w:rPr>
        <w:t xml:space="preserve"> are less likely to stop trading that month. </w:t>
      </w:r>
      <w:r w:rsidR="008A19D8">
        <w:rPr>
          <w:rFonts w:asciiTheme="majorHAnsi" w:hAnsiTheme="majorHAnsi"/>
          <w:lang w:val="en-US"/>
        </w:rPr>
        <w:t>W</w:t>
      </w:r>
      <w:r>
        <w:rPr>
          <w:rFonts w:asciiTheme="majorHAnsi" w:hAnsiTheme="majorHAnsi"/>
          <w:lang w:val="en-US"/>
        </w:rPr>
        <w:t xml:space="preserve">e </w:t>
      </w:r>
      <w:r w:rsidR="008A19D8">
        <w:rPr>
          <w:rFonts w:asciiTheme="majorHAnsi" w:hAnsiTheme="majorHAnsi"/>
          <w:lang w:val="en-US"/>
        </w:rPr>
        <w:t xml:space="preserve">also </w:t>
      </w:r>
      <w:r>
        <w:rPr>
          <w:rFonts w:asciiTheme="majorHAnsi" w:hAnsiTheme="majorHAnsi"/>
          <w:lang w:val="en-US"/>
        </w:rPr>
        <w:t xml:space="preserve">incorporate </w:t>
      </w:r>
      <w:r w:rsidR="005A14AF">
        <w:rPr>
          <w:rFonts w:asciiTheme="majorHAnsi" w:hAnsiTheme="majorHAnsi"/>
          <w:lang w:val="en-US"/>
        </w:rPr>
        <w:t>the number of trades placed in a given month</w:t>
      </w:r>
      <w:r>
        <w:rPr>
          <w:rFonts w:asciiTheme="majorHAnsi" w:hAnsiTheme="majorHAnsi"/>
          <w:lang w:val="en-US"/>
        </w:rPr>
        <w:t xml:space="preserve"> (</w:t>
      </w:r>
      <w:r w:rsidRPr="00314D0E">
        <w:rPr>
          <w:rFonts w:asciiTheme="majorHAnsi" w:hAnsiTheme="majorHAnsi"/>
          <w:i/>
          <w:lang w:val="en-US"/>
        </w:rPr>
        <w:t>Trades</w:t>
      </w:r>
      <w:r w:rsidR="004915BD">
        <w:rPr>
          <w:rFonts w:asciiTheme="majorHAnsi" w:hAnsiTheme="majorHAnsi"/>
          <w:i/>
          <w:vertAlign w:val="subscript"/>
          <w:lang w:val="en-US"/>
        </w:rPr>
        <w:t>km</w:t>
      </w:r>
      <w:r>
        <w:rPr>
          <w:rFonts w:asciiTheme="majorHAnsi" w:hAnsiTheme="majorHAnsi"/>
          <w:lang w:val="en-US"/>
        </w:rPr>
        <w:t>)</w:t>
      </w:r>
      <w:r w:rsidR="008A19D8">
        <w:rPr>
          <w:rFonts w:asciiTheme="majorHAnsi" w:hAnsiTheme="majorHAnsi"/>
          <w:lang w:val="en-US"/>
        </w:rPr>
        <w:t xml:space="preserve"> because h</w:t>
      </w:r>
      <w:r w:rsidR="005A14AF">
        <w:rPr>
          <w:rFonts w:asciiTheme="majorHAnsi" w:hAnsiTheme="majorHAnsi"/>
          <w:lang w:val="en-US"/>
        </w:rPr>
        <w:t xml:space="preserve">igher trade frequency is </w:t>
      </w:r>
      <w:r>
        <w:rPr>
          <w:rFonts w:asciiTheme="majorHAnsi" w:hAnsiTheme="majorHAnsi"/>
          <w:lang w:val="en-US"/>
        </w:rPr>
        <w:t xml:space="preserve">generally </w:t>
      </w:r>
      <w:r w:rsidR="005A14AF">
        <w:rPr>
          <w:rFonts w:asciiTheme="majorHAnsi" w:hAnsiTheme="majorHAnsi"/>
          <w:lang w:val="en-US"/>
        </w:rPr>
        <w:t xml:space="preserve">associated with overconfidence </w:t>
      </w:r>
      <w:r w:rsidR="00DD7BC4">
        <w:rPr>
          <w:rFonts w:asciiTheme="majorHAnsi" w:hAnsiTheme="majorHAnsi"/>
          <w:lang w:val="en-US"/>
        </w:rPr>
        <w:t>and this</w:t>
      </w:r>
      <w:r w:rsidR="005A14AF">
        <w:rPr>
          <w:rFonts w:asciiTheme="majorHAnsi" w:hAnsiTheme="majorHAnsi"/>
          <w:lang w:val="en-US"/>
        </w:rPr>
        <w:t xml:space="preserve"> may be associated with a lower likelihood of </w:t>
      </w:r>
      <w:r>
        <w:rPr>
          <w:rFonts w:asciiTheme="majorHAnsi" w:hAnsiTheme="majorHAnsi"/>
          <w:lang w:val="en-US"/>
        </w:rPr>
        <w:t xml:space="preserve">an individual deciding to stop </w:t>
      </w:r>
      <w:r w:rsidR="005A14AF">
        <w:rPr>
          <w:rFonts w:asciiTheme="majorHAnsi" w:hAnsiTheme="majorHAnsi"/>
          <w:lang w:val="en-US"/>
        </w:rPr>
        <w:t>trading</w:t>
      </w:r>
      <w:r w:rsidR="00DD7BC4">
        <w:rPr>
          <w:rFonts w:asciiTheme="majorHAnsi" w:hAnsiTheme="majorHAnsi"/>
          <w:lang w:val="en-US"/>
        </w:rPr>
        <w:t>.</w:t>
      </w:r>
      <w:r w:rsidR="005A14AF">
        <w:rPr>
          <w:rFonts w:asciiTheme="majorHAnsi" w:hAnsiTheme="majorHAnsi"/>
          <w:lang w:val="en-US"/>
        </w:rPr>
        <w:t xml:space="preserve">  </w:t>
      </w:r>
      <w:r w:rsidR="001249D4">
        <w:rPr>
          <w:rFonts w:asciiTheme="majorHAnsi" w:hAnsiTheme="majorHAnsi"/>
          <w:lang w:val="en-US"/>
        </w:rPr>
        <w:t xml:space="preserve">We also </w:t>
      </w:r>
      <w:r>
        <w:rPr>
          <w:rFonts w:asciiTheme="majorHAnsi" w:hAnsiTheme="majorHAnsi"/>
          <w:lang w:val="en-US"/>
        </w:rPr>
        <w:t xml:space="preserve">incorporate </w:t>
      </w:r>
      <w:r w:rsidR="005A14AF">
        <w:rPr>
          <w:rFonts w:asciiTheme="majorHAnsi" w:hAnsiTheme="majorHAnsi"/>
          <w:lang w:val="en-US"/>
        </w:rPr>
        <w:t>the average duration</w:t>
      </w:r>
      <w:r w:rsidR="00C923D4">
        <w:rPr>
          <w:rFonts w:asciiTheme="majorHAnsi" w:hAnsiTheme="majorHAnsi"/>
          <w:lang w:val="en-US"/>
        </w:rPr>
        <w:t xml:space="preserve"> of trades closed</w:t>
      </w:r>
      <w:r>
        <w:rPr>
          <w:rFonts w:asciiTheme="majorHAnsi" w:hAnsiTheme="majorHAnsi"/>
          <w:lang w:val="en-US"/>
        </w:rPr>
        <w:t xml:space="preserve"> in a given month</w:t>
      </w:r>
      <w:r w:rsidR="001249D4">
        <w:rPr>
          <w:rFonts w:asciiTheme="majorHAnsi" w:hAnsiTheme="majorHAnsi"/>
          <w:lang w:val="en-US"/>
        </w:rPr>
        <w:t xml:space="preserve">, </w:t>
      </w:r>
      <w:r>
        <w:rPr>
          <w:rFonts w:asciiTheme="majorHAnsi" w:hAnsiTheme="majorHAnsi"/>
          <w:lang w:val="en-US"/>
        </w:rPr>
        <w:t>defined</w:t>
      </w:r>
      <w:r w:rsidR="00DD7BC4">
        <w:rPr>
          <w:rFonts w:asciiTheme="majorHAnsi" w:hAnsiTheme="majorHAnsi"/>
          <w:lang w:val="en-US"/>
        </w:rPr>
        <w:t xml:space="preserve"> </w:t>
      </w:r>
      <w:r>
        <w:rPr>
          <w:rFonts w:asciiTheme="majorHAnsi" w:hAnsiTheme="majorHAnsi"/>
          <w:lang w:val="en-US"/>
        </w:rPr>
        <w:t xml:space="preserve">as </w:t>
      </w:r>
      <w:r w:rsidR="005A14AF">
        <w:rPr>
          <w:rFonts w:asciiTheme="majorHAnsi" w:hAnsiTheme="majorHAnsi"/>
          <w:lang w:val="en-US"/>
        </w:rPr>
        <w:t xml:space="preserve">the average time in minutes from the opening to the closing </w:t>
      </w:r>
      <w:r>
        <w:rPr>
          <w:rFonts w:asciiTheme="majorHAnsi" w:hAnsiTheme="majorHAnsi"/>
          <w:lang w:val="en-US"/>
        </w:rPr>
        <w:t xml:space="preserve">of each </w:t>
      </w:r>
      <w:r w:rsidR="005A14AF">
        <w:rPr>
          <w:rFonts w:asciiTheme="majorHAnsi" w:hAnsiTheme="majorHAnsi"/>
          <w:lang w:val="en-US"/>
        </w:rPr>
        <w:t>transaction for each position</w:t>
      </w:r>
      <w:r w:rsidR="0031500A">
        <w:rPr>
          <w:rFonts w:asciiTheme="majorHAnsi" w:hAnsiTheme="majorHAnsi"/>
          <w:lang w:val="en-US"/>
        </w:rPr>
        <w:t xml:space="preserve"> </w:t>
      </w:r>
      <w:r>
        <w:rPr>
          <w:rFonts w:asciiTheme="majorHAnsi" w:hAnsiTheme="majorHAnsi"/>
          <w:lang w:val="en-US"/>
        </w:rPr>
        <w:t>(</w:t>
      </w:r>
      <w:r w:rsidRPr="00314D0E">
        <w:rPr>
          <w:rFonts w:asciiTheme="majorHAnsi" w:hAnsiTheme="majorHAnsi"/>
          <w:i/>
          <w:lang w:val="en-US"/>
        </w:rPr>
        <w:t>HoldTime</w:t>
      </w:r>
      <w:r w:rsidR="004915BD">
        <w:rPr>
          <w:rFonts w:asciiTheme="majorHAnsi" w:hAnsiTheme="majorHAnsi"/>
          <w:i/>
          <w:vertAlign w:val="subscript"/>
          <w:lang w:val="en-US"/>
        </w:rPr>
        <w:t>km</w:t>
      </w:r>
      <w:r>
        <w:rPr>
          <w:rFonts w:asciiTheme="majorHAnsi" w:hAnsiTheme="majorHAnsi"/>
          <w:lang w:val="en-US"/>
        </w:rPr>
        <w:t>)</w:t>
      </w:r>
      <w:r w:rsidR="005A14AF">
        <w:rPr>
          <w:rFonts w:asciiTheme="majorHAnsi" w:hAnsiTheme="majorHAnsi"/>
          <w:lang w:val="en-US"/>
        </w:rPr>
        <w:t xml:space="preserve">. </w:t>
      </w:r>
      <w:r>
        <w:rPr>
          <w:rFonts w:asciiTheme="majorHAnsi" w:hAnsiTheme="majorHAnsi"/>
          <w:lang w:val="en-US"/>
        </w:rPr>
        <w:t>H</w:t>
      </w:r>
      <w:r w:rsidR="005A14AF">
        <w:rPr>
          <w:rFonts w:asciiTheme="majorHAnsi" w:hAnsiTheme="majorHAnsi"/>
          <w:lang w:val="en-US"/>
        </w:rPr>
        <w:t>olding a position for longer may indicate greater confidence</w:t>
      </w:r>
      <w:r w:rsidR="00D0289B">
        <w:rPr>
          <w:rFonts w:asciiTheme="majorHAnsi" w:hAnsiTheme="majorHAnsi"/>
          <w:lang w:val="en-US"/>
        </w:rPr>
        <w:t xml:space="preserve">, </w:t>
      </w:r>
      <w:r w:rsidR="005A14AF">
        <w:rPr>
          <w:rFonts w:asciiTheme="majorHAnsi" w:hAnsiTheme="majorHAnsi"/>
          <w:lang w:val="en-US"/>
        </w:rPr>
        <w:t>as the</w:t>
      </w:r>
      <w:r w:rsidR="00044C87">
        <w:rPr>
          <w:rFonts w:asciiTheme="majorHAnsi" w:hAnsiTheme="majorHAnsi"/>
          <w:lang w:val="en-US"/>
        </w:rPr>
        <w:t xml:space="preserve"> individual </w:t>
      </w:r>
      <w:r w:rsidR="005A14AF">
        <w:rPr>
          <w:rFonts w:asciiTheme="majorHAnsi" w:hAnsiTheme="majorHAnsi"/>
          <w:lang w:val="en-US"/>
        </w:rPr>
        <w:t>spend</w:t>
      </w:r>
      <w:r w:rsidR="00044C87">
        <w:rPr>
          <w:rFonts w:asciiTheme="majorHAnsi" w:hAnsiTheme="majorHAnsi"/>
          <w:lang w:val="en-US"/>
        </w:rPr>
        <w:t>s</w:t>
      </w:r>
      <w:r w:rsidR="005A14AF">
        <w:rPr>
          <w:rFonts w:asciiTheme="majorHAnsi" w:hAnsiTheme="majorHAnsi"/>
          <w:lang w:val="en-US"/>
        </w:rPr>
        <w:t xml:space="preserve"> more time actively holding risk in the market.</w:t>
      </w:r>
      <w:r w:rsidR="00667824">
        <w:rPr>
          <w:rFonts w:asciiTheme="majorHAnsi" w:hAnsiTheme="majorHAnsi"/>
          <w:lang w:val="en-US"/>
        </w:rPr>
        <w:t xml:space="preserve"> </w:t>
      </w:r>
    </w:p>
    <w:p w14:paraId="78482583" w14:textId="77777777" w:rsidR="0031500A" w:rsidRDefault="0031500A" w:rsidP="0031500A">
      <w:pPr>
        <w:spacing w:after="0" w:line="480" w:lineRule="auto"/>
        <w:rPr>
          <w:rFonts w:asciiTheme="majorHAnsi" w:hAnsiTheme="majorHAnsi"/>
          <w:lang w:val="en-US"/>
        </w:rPr>
      </w:pPr>
    </w:p>
    <w:p w14:paraId="40B2C7B0" w14:textId="034F80A4" w:rsidR="005A14AF" w:rsidRPr="00275768" w:rsidRDefault="005A14AF" w:rsidP="005A14AF">
      <w:pPr>
        <w:spacing w:after="0" w:line="480" w:lineRule="auto"/>
        <w:rPr>
          <w:rFonts w:asciiTheme="majorHAnsi" w:hAnsiTheme="majorHAnsi"/>
          <w:i/>
          <w:lang w:val="en-US"/>
        </w:rPr>
      </w:pPr>
      <w:r w:rsidRPr="00275768">
        <w:rPr>
          <w:rFonts w:asciiTheme="majorHAnsi" w:hAnsiTheme="majorHAnsi"/>
          <w:i/>
          <w:lang w:val="en-US"/>
        </w:rPr>
        <w:t>2.2.</w:t>
      </w:r>
      <w:r w:rsidR="000769FC">
        <w:rPr>
          <w:rFonts w:asciiTheme="majorHAnsi" w:hAnsiTheme="majorHAnsi"/>
          <w:i/>
          <w:lang w:val="en-US"/>
        </w:rPr>
        <w:t>4</w:t>
      </w:r>
      <w:r w:rsidRPr="00275768">
        <w:rPr>
          <w:rFonts w:asciiTheme="majorHAnsi" w:hAnsiTheme="majorHAnsi"/>
          <w:i/>
          <w:lang w:val="en-US"/>
        </w:rPr>
        <w:t xml:space="preserve"> Market</w:t>
      </w:r>
      <w:r w:rsidR="000E31D1" w:rsidRPr="00275768">
        <w:rPr>
          <w:rFonts w:asciiTheme="majorHAnsi" w:hAnsiTheme="majorHAnsi"/>
          <w:i/>
          <w:lang w:val="en-US"/>
        </w:rPr>
        <w:t xml:space="preserve"> c</w:t>
      </w:r>
      <w:r w:rsidRPr="00275768">
        <w:rPr>
          <w:rFonts w:asciiTheme="majorHAnsi" w:hAnsiTheme="majorHAnsi"/>
          <w:i/>
          <w:lang w:val="en-US"/>
        </w:rPr>
        <w:t>ontrol</w:t>
      </w:r>
      <w:r w:rsidR="00556CE1" w:rsidRPr="00275768">
        <w:rPr>
          <w:rFonts w:asciiTheme="majorHAnsi" w:hAnsiTheme="majorHAnsi"/>
          <w:i/>
          <w:lang w:val="en-US"/>
        </w:rPr>
        <w:t xml:space="preserve"> </w:t>
      </w:r>
      <w:r w:rsidR="000E31D1" w:rsidRPr="00275768">
        <w:rPr>
          <w:rFonts w:asciiTheme="majorHAnsi" w:hAnsiTheme="majorHAnsi"/>
          <w:i/>
          <w:lang w:val="en-US"/>
        </w:rPr>
        <w:t>f</w:t>
      </w:r>
      <w:r w:rsidRPr="00275768">
        <w:rPr>
          <w:rFonts w:asciiTheme="majorHAnsi" w:hAnsiTheme="majorHAnsi"/>
          <w:i/>
          <w:lang w:val="en-US"/>
        </w:rPr>
        <w:t>actors</w:t>
      </w:r>
    </w:p>
    <w:p w14:paraId="5B67A581" w14:textId="7FABFE9C" w:rsidR="00B83961" w:rsidRPr="00314D0E" w:rsidRDefault="0053312E" w:rsidP="0016286A">
      <w:pPr>
        <w:spacing w:after="0" w:line="480" w:lineRule="auto"/>
        <w:jc w:val="both"/>
        <w:rPr>
          <w:rFonts w:asciiTheme="majorHAnsi" w:hAnsiTheme="majorHAnsi"/>
          <w:lang w:val="en-US"/>
        </w:rPr>
      </w:pPr>
      <w:r>
        <w:rPr>
          <w:rFonts w:asciiTheme="majorHAnsi" w:hAnsiTheme="majorHAnsi"/>
          <w:lang w:val="en-US"/>
        </w:rPr>
        <w:t xml:space="preserve">Our dataset begins </w:t>
      </w:r>
      <w:r w:rsidR="00DD7BC4">
        <w:rPr>
          <w:rFonts w:asciiTheme="majorHAnsi" w:hAnsiTheme="majorHAnsi"/>
          <w:lang w:val="en-US"/>
        </w:rPr>
        <w:t>in 2004</w:t>
      </w:r>
      <w:r>
        <w:rPr>
          <w:rFonts w:asciiTheme="majorHAnsi" w:hAnsiTheme="majorHAnsi"/>
          <w:lang w:val="en-US"/>
        </w:rPr>
        <w:t xml:space="preserve"> </w:t>
      </w:r>
      <w:r w:rsidR="00DD7BC4">
        <w:rPr>
          <w:rFonts w:asciiTheme="majorHAnsi" w:hAnsiTheme="majorHAnsi"/>
          <w:lang w:val="en-US"/>
        </w:rPr>
        <w:t xml:space="preserve">and ends in 2012. Consequently, </w:t>
      </w:r>
      <w:r>
        <w:rPr>
          <w:rFonts w:asciiTheme="majorHAnsi" w:hAnsiTheme="majorHAnsi"/>
          <w:lang w:val="en-US"/>
        </w:rPr>
        <w:t xml:space="preserve">it spans the recent financial crisis. </w:t>
      </w:r>
      <w:r w:rsidR="00B83961" w:rsidRPr="00314D0E">
        <w:rPr>
          <w:rFonts w:asciiTheme="majorHAnsi" w:hAnsiTheme="majorHAnsi"/>
          <w:lang w:val="en-US"/>
        </w:rPr>
        <w:t>In the FTSE 100 market, volatility was at its peak in October 2008</w:t>
      </w:r>
      <w:r w:rsidR="001249D4">
        <w:rPr>
          <w:rFonts w:asciiTheme="majorHAnsi" w:hAnsiTheme="majorHAnsi"/>
          <w:lang w:val="en-US"/>
        </w:rPr>
        <w:t>.</w:t>
      </w:r>
      <w:r w:rsidR="00B83961" w:rsidRPr="00314D0E">
        <w:rPr>
          <w:rFonts w:asciiTheme="majorHAnsi" w:hAnsiTheme="majorHAnsi"/>
          <w:lang w:val="en-US"/>
        </w:rPr>
        <w:t xml:space="preserve"> Notably, </w:t>
      </w:r>
      <w:r w:rsidR="005C70D0">
        <w:rPr>
          <w:rFonts w:asciiTheme="majorHAnsi" w:hAnsiTheme="majorHAnsi"/>
          <w:lang w:val="en-US"/>
        </w:rPr>
        <w:t xml:space="preserve">in September, </w:t>
      </w:r>
      <w:r w:rsidR="005C70D0" w:rsidRPr="00314D0E">
        <w:rPr>
          <w:rFonts w:asciiTheme="majorHAnsi" w:hAnsiTheme="majorHAnsi"/>
          <w:lang w:val="en-US"/>
        </w:rPr>
        <w:t xml:space="preserve">Merrill Lynch was sold to Bank of America </w:t>
      </w:r>
      <w:r w:rsidR="005C70D0">
        <w:rPr>
          <w:rFonts w:asciiTheme="majorHAnsi" w:hAnsiTheme="majorHAnsi"/>
          <w:lang w:val="en-US"/>
        </w:rPr>
        <w:t>and in October</w:t>
      </w:r>
      <w:r w:rsidR="00F74868">
        <w:rPr>
          <w:rFonts w:asciiTheme="majorHAnsi" w:hAnsiTheme="majorHAnsi"/>
          <w:lang w:val="en-US"/>
        </w:rPr>
        <w:t>,</w:t>
      </w:r>
      <w:r w:rsidR="00B83961" w:rsidRPr="00314D0E">
        <w:rPr>
          <w:rFonts w:asciiTheme="majorHAnsi" w:hAnsiTheme="majorHAnsi"/>
          <w:lang w:val="en-US"/>
        </w:rPr>
        <w:t xml:space="preserve"> Lehman Brothers announced that they would file for bankruptcy. In response to these and other news shocks, the FTSE100 fell dramatically, leading to significant volatility in the market. Overall, in 2008 and 2009 price volatility was on average 1.84% and 1.12% per day, respectively, compared to a daily mean of 0.83% and a median of 0.69% from 2004 to 2013. </w:t>
      </w:r>
    </w:p>
    <w:p w14:paraId="25A37E8F" w14:textId="26F77D8C" w:rsidR="005A14AF" w:rsidRDefault="005C70D0">
      <w:pPr>
        <w:spacing w:after="0" w:line="480" w:lineRule="auto"/>
        <w:ind w:firstLine="720"/>
        <w:rPr>
          <w:rFonts w:asciiTheme="majorHAnsi" w:hAnsiTheme="majorHAnsi"/>
          <w:lang w:val="en-US"/>
        </w:rPr>
      </w:pPr>
      <w:r>
        <w:rPr>
          <w:rFonts w:asciiTheme="majorHAnsi" w:hAnsiTheme="majorHAnsi"/>
          <w:lang w:val="en-US"/>
        </w:rPr>
        <w:t xml:space="preserve">Market volatility could be intimidating to traders. Consequently, we controlled for </w:t>
      </w:r>
      <w:r w:rsidR="00C5545B">
        <w:rPr>
          <w:rFonts w:asciiTheme="majorHAnsi" w:hAnsiTheme="majorHAnsi"/>
          <w:lang w:val="en-US"/>
        </w:rPr>
        <w:t xml:space="preserve">these effects </w:t>
      </w:r>
      <w:r>
        <w:rPr>
          <w:rFonts w:asciiTheme="majorHAnsi" w:hAnsiTheme="majorHAnsi"/>
          <w:lang w:val="en-US"/>
        </w:rPr>
        <w:t xml:space="preserve">by including </w:t>
      </w:r>
      <w:r w:rsidR="000840A8">
        <w:rPr>
          <w:rFonts w:asciiTheme="majorHAnsi" w:hAnsiTheme="majorHAnsi"/>
          <w:lang w:val="en-US"/>
        </w:rPr>
        <w:t xml:space="preserve">in our model </w:t>
      </w:r>
      <w:r w:rsidR="005A14AF">
        <w:rPr>
          <w:rFonts w:asciiTheme="majorHAnsi" w:hAnsiTheme="majorHAnsi"/>
          <w:lang w:val="en-US"/>
        </w:rPr>
        <w:t xml:space="preserve">both the </w:t>
      </w:r>
      <w:r w:rsidR="008A19D8">
        <w:rPr>
          <w:rFonts w:asciiTheme="majorHAnsi" w:hAnsiTheme="majorHAnsi"/>
          <w:lang w:val="en-US"/>
        </w:rPr>
        <w:t xml:space="preserve">mean and the standard deviation of </w:t>
      </w:r>
      <w:r w:rsidR="005A14AF">
        <w:rPr>
          <w:rFonts w:asciiTheme="majorHAnsi" w:hAnsiTheme="majorHAnsi"/>
          <w:lang w:val="en-US"/>
        </w:rPr>
        <w:t>daily market return</w:t>
      </w:r>
      <w:r w:rsidR="008A19D8">
        <w:rPr>
          <w:rFonts w:asciiTheme="majorHAnsi" w:hAnsiTheme="majorHAnsi"/>
          <w:lang w:val="en-US"/>
        </w:rPr>
        <w:t>s</w:t>
      </w:r>
      <w:r w:rsidR="005A14AF">
        <w:rPr>
          <w:rFonts w:asciiTheme="majorHAnsi" w:hAnsiTheme="majorHAnsi"/>
          <w:lang w:val="en-US"/>
        </w:rPr>
        <w:t xml:space="preserve"> (</w:t>
      </w:r>
      <w:r w:rsidR="005A14AF" w:rsidRPr="00FC6DF5">
        <w:rPr>
          <w:rFonts w:asciiTheme="majorHAnsi" w:hAnsiTheme="majorHAnsi"/>
          <w:i/>
          <w:lang w:val="en-US"/>
        </w:rPr>
        <w:t>MarketReturn</w:t>
      </w:r>
      <w:r w:rsidR="00B631D2" w:rsidRPr="00FC6DF5">
        <w:rPr>
          <w:rFonts w:asciiTheme="majorHAnsi" w:hAnsiTheme="majorHAnsi"/>
          <w:i/>
          <w:vertAlign w:val="subscript"/>
          <w:lang w:val="en-US"/>
        </w:rPr>
        <w:t>km</w:t>
      </w:r>
      <w:r w:rsidR="008A19D8">
        <w:rPr>
          <w:rFonts w:asciiTheme="majorHAnsi" w:hAnsiTheme="majorHAnsi"/>
          <w:lang w:val="en-US"/>
        </w:rPr>
        <w:t xml:space="preserve"> and </w:t>
      </w:r>
      <w:r w:rsidR="005A14AF" w:rsidRPr="00FC6DF5">
        <w:rPr>
          <w:rFonts w:asciiTheme="majorHAnsi" w:hAnsiTheme="majorHAnsi"/>
          <w:i/>
          <w:lang w:val="en-US"/>
        </w:rPr>
        <w:t>MarketVolatility</w:t>
      </w:r>
      <w:r w:rsidR="00B631D2">
        <w:rPr>
          <w:rFonts w:asciiTheme="majorHAnsi" w:hAnsiTheme="majorHAnsi"/>
          <w:i/>
          <w:vertAlign w:val="subscript"/>
          <w:lang w:val="en-US"/>
        </w:rPr>
        <w:t>km</w:t>
      </w:r>
      <w:r w:rsidR="008A19D8">
        <w:rPr>
          <w:rFonts w:asciiTheme="majorHAnsi" w:hAnsiTheme="majorHAnsi"/>
          <w:lang w:val="en-US"/>
        </w:rPr>
        <w:t>, respectively)</w:t>
      </w:r>
      <w:r w:rsidR="005A14AF">
        <w:rPr>
          <w:rFonts w:asciiTheme="majorHAnsi" w:hAnsiTheme="majorHAnsi"/>
          <w:lang w:val="en-US"/>
        </w:rPr>
        <w:t xml:space="preserve">. </w:t>
      </w:r>
      <w:r w:rsidR="00C5545B" w:rsidRPr="00FF117A">
        <w:rPr>
          <w:rFonts w:asciiTheme="majorHAnsi" w:hAnsiTheme="majorHAnsi"/>
          <w:lang w:val="en-US"/>
        </w:rPr>
        <w:t>We control</w:t>
      </w:r>
      <w:r w:rsidR="000E6744">
        <w:rPr>
          <w:rFonts w:asciiTheme="majorHAnsi" w:hAnsiTheme="majorHAnsi"/>
          <w:lang w:val="en-US"/>
        </w:rPr>
        <w:t>led</w:t>
      </w:r>
      <w:r w:rsidR="00C5545B" w:rsidRPr="00FF117A">
        <w:rPr>
          <w:rFonts w:asciiTheme="majorHAnsi" w:hAnsiTheme="majorHAnsi"/>
          <w:lang w:val="en-US"/>
        </w:rPr>
        <w:t xml:space="preserve"> for the time</w:t>
      </w:r>
      <w:r w:rsidR="00DD7BC4">
        <w:rPr>
          <w:rFonts w:asciiTheme="majorHAnsi" w:hAnsiTheme="majorHAnsi"/>
          <w:lang w:val="en-US"/>
        </w:rPr>
        <w:t>-</w:t>
      </w:r>
      <w:r w:rsidR="00C5545B" w:rsidRPr="00FF117A">
        <w:rPr>
          <w:rFonts w:asciiTheme="majorHAnsi" w:hAnsiTheme="majorHAnsi"/>
          <w:lang w:val="en-US"/>
        </w:rPr>
        <w:t>period of the crisis</w:t>
      </w:r>
      <w:r w:rsidR="00DD7BC4">
        <w:rPr>
          <w:rFonts w:asciiTheme="majorHAnsi" w:hAnsiTheme="majorHAnsi"/>
          <w:lang w:val="en-US"/>
        </w:rPr>
        <w:t>,</w:t>
      </w:r>
      <w:r w:rsidR="00C5545B" w:rsidRPr="00FF117A">
        <w:rPr>
          <w:rFonts w:asciiTheme="majorHAnsi" w:hAnsiTheme="majorHAnsi"/>
          <w:lang w:val="en-US"/>
        </w:rPr>
        <w:t xml:space="preserve"> to capture any additional effects of the fear associated with this period that cannot be explained by the market conditions variables.</w:t>
      </w:r>
      <w:r w:rsidR="00C5545B">
        <w:rPr>
          <w:rFonts w:asciiTheme="majorHAnsi" w:hAnsiTheme="majorHAnsi"/>
          <w:lang w:val="en-US"/>
        </w:rPr>
        <w:t xml:space="preserve"> In particular, </w:t>
      </w:r>
      <w:r w:rsidR="005A14AF">
        <w:rPr>
          <w:rFonts w:asciiTheme="majorHAnsi" w:hAnsiTheme="majorHAnsi"/>
          <w:lang w:val="en-US"/>
        </w:rPr>
        <w:t>we include</w:t>
      </w:r>
      <w:r w:rsidR="00CE3C33">
        <w:rPr>
          <w:rFonts w:asciiTheme="majorHAnsi" w:hAnsiTheme="majorHAnsi"/>
          <w:lang w:val="en-US"/>
        </w:rPr>
        <w:t>d</w:t>
      </w:r>
      <w:r w:rsidR="005A14AF">
        <w:rPr>
          <w:rFonts w:asciiTheme="majorHAnsi" w:hAnsiTheme="majorHAnsi"/>
          <w:lang w:val="en-US"/>
        </w:rPr>
        <w:t xml:space="preserve"> a factor for the year</w:t>
      </w:r>
      <w:r w:rsidR="00C5545B">
        <w:rPr>
          <w:rFonts w:asciiTheme="majorHAnsi" w:hAnsiTheme="majorHAnsi"/>
          <w:lang w:val="en-US"/>
        </w:rPr>
        <w:t>, the variable taking seven levels: ‘</w:t>
      </w:r>
      <w:r w:rsidR="005A14AF">
        <w:rPr>
          <w:rFonts w:asciiTheme="majorHAnsi" w:hAnsiTheme="majorHAnsi"/>
          <w:lang w:val="en-US"/>
        </w:rPr>
        <w:t xml:space="preserve">&lt;2006’ for any year prior to 2006, ‘2007’ for 2007, ‘2008’ for 2008, etc., and ‘2011+’ for the years from 2011 onwards. </w:t>
      </w:r>
    </w:p>
    <w:p w14:paraId="6F8FFED5" w14:textId="77777777" w:rsidR="008A7519" w:rsidRDefault="008A7519" w:rsidP="005A14AF">
      <w:pPr>
        <w:spacing w:after="0" w:line="480" w:lineRule="auto"/>
        <w:jc w:val="both"/>
        <w:rPr>
          <w:rFonts w:asciiTheme="majorHAnsi" w:hAnsiTheme="majorHAnsi"/>
          <w:b/>
          <w:lang w:val="en-US"/>
        </w:rPr>
      </w:pPr>
    </w:p>
    <w:p w14:paraId="04614AA9" w14:textId="1C06CA81" w:rsidR="005A14AF" w:rsidRDefault="005A14AF" w:rsidP="001410E6">
      <w:pPr>
        <w:spacing w:after="0" w:line="480" w:lineRule="auto"/>
        <w:jc w:val="both"/>
        <w:rPr>
          <w:rFonts w:asciiTheme="majorHAnsi" w:hAnsiTheme="majorHAnsi"/>
          <w:lang w:val="en-US"/>
        </w:rPr>
      </w:pPr>
      <w:r w:rsidRPr="005A66D4">
        <w:rPr>
          <w:rFonts w:asciiTheme="majorHAnsi" w:hAnsiTheme="majorHAnsi"/>
          <w:b/>
          <w:lang w:val="en-US"/>
        </w:rPr>
        <w:t xml:space="preserve">2.3 Time </w:t>
      </w:r>
      <w:r w:rsidR="000E31D1" w:rsidRPr="005A66D4">
        <w:rPr>
          <w:rFonts w:asciiTheme="majorHAnsi" w:hAnsiTheme="majorHAnsi"/>
          <w:b/>
          <w:lang w:val="en-US"/>
        </w:rPr>
        <w:t>d</w:t>
      </w:r>
      <w:r w:rsidRPr="005A66D4">
        <w:rPr>
          <w:rFonts w:asciiTheme="majorHAnsi" w:hAnsiTheme="majorHAnsi"/>
          <w:b/>
          <w:lang w:val="en-US"/>
        </w:rPr>
        <w:t xml:space="preserve">ependent </w:t>
      </w:r>
      <w:r w:rsidR="000E31D1" w:rsidRPr="005A66D4">
        <w:rPr>
          <w:rFonts w:asciiTheme="majorHAnsi" w:hAnsiTheme="majorHAnsi"/>
          <w:b/>
          <w:lang w:val="en-US"/>
        </w:rPr>
        <w:t>s</w:t>
      </w:r>
      <w:r w:rsidRPr="005A66D4">
        <w:rPr>
          <w:rFonts w:asciiTheme="majorHAnsi" w:hAnsiTheme="majorHAnsi"/>
          <w:b/>
          <w:lang w:val="en-US"/>
        </w:rPr>
        <w:t xml:space="preserve">urvival </w:t>
      </w:r>
      <w:r w:rsidR="000E31D1" w:rsidRPr="005A66D4">
        <w:rPr>
          <w:rFonts w:asciiTheme="majorHAnsi" w:hAnsiTheme="majorHAnsi"/>
          <w:b/>
          <w:lang w:val="en-US"/>
        </w:rPr>
        <w:t>a</w:t>
      </w:r>
      <w:r w:rsidRPr="005A66D4">
        <w:rPr>
          <w:rFonts w:asciiTheme="majorHAnsi" w:hAnsiTheme="majorHAnsi"/>
          <w:b/>
          <w:lang w:val="en-US"/>
        </w:rPr>
        <w:t xml:space="preserve">nalysis </w:t>
      </w:r>
      <w:r w:rsidR="000E31D1" w:rsidRPr="005A66D4">
        <w:rPr>
          <w:rFonts w:asciiTheme="majorHAnsi" w:hAnsiTheme="majorHAnsi"/>
          <w:b/>
          <w:lang w:val="en-US"/>
        </w:rPr>
        <w:t>m</w:t>
      </w:r>
      <w:r w:rsidRPr="005A66D4">
        <w:rPr>
          <w:rFonts w:asciiTheme="majorHAnsi" w:hAnsiTheme="majorHAnsi"/>
          <w:b/>
          <w:lang w:val="en-US"/>
        </w:rPr>
        <w:t>odels</w:t>
      </w:r>
    </w:p>
    <w:p w14:paraId="7F683E1A" w14:textId="72354AD6" w:rsidR="004F345E" w:rsidRDefault="00AE3F83">
      <w:pPr>
        <w:spacing w:after="0" w:line="480" w:lineRule="auto"/>
        <w:ind w:firstLine="720"/>
        <w:rPr>
          <w:rFonts w:asciiTheme="majorHAnsi" w:hAnsiTheme="majorHAnsi"/>
          <w:lang w:val="en-US"/>
        </w:rPr>
      </w:pPr>
      <w:r>
        <w:rPr>
          <w:rFonts w:asciiTheme="majorHAnsi" w:hAnsiTheme="majorHAnsi"/>
          <w:lang w:val="en-US"/>
        </w:rPr>
        <w:t>We</w:t>
      </w:r>
      <w:r w:rsidR="005A14AF" w:rsidRPr="008A05FC">
        <w:rPr>
          <w:rFonts w:asciiTheme="majorHAnsi" w:hAnsiTheme="majorHAnsi"/>
          <w:lang w:val="en-US"/>
        </w:rPr>
        <w:t xml:space="preserve"> employ </w:t>
      </w:r>
      <w:r w:rsidR="004F345E">
        <w:rPr>
          <w:rFonts w:asciiTheme="majorHAnsi" w:hAnsiTheme="majorHAnsi"/>
          <w:lang w:val="en-US"/>
        </w:rPr>
        <w:t>s</w:t>
      </w:r>
      <w:r w:rsidR="004F345E" w:rsidRPr="005A66D4">
        <w:rPr>
          <w:rFonts w:asciiTheme="majorHAnsi" w:hAnsiTheme="majorHAnsi"/>
          <w:lang w:val="en-US"/>
        </w:rPr>
        <w:t xml:space="preserve">urvival </w:t>
      </w:r>
      <w:r w:rsidR="004F345E">
        <w:rPr>
          <w:rFonts w:asciiTheme="majorHAnsi" w:hAnsiTheme="majorHAnsi"/>
          <w:lang w:val="en-US"/>
        </w:rPr>
        <w:t>a</w:t>
      </w:r>
      <w:r w:rsidR="004F345E" w:rsidRPr="005A66D4">
        <w:rPr>
          <w:rFonts w:asciiTheme="majorHAnsi" w:hAnsiTheme="majorHAnsi"/>
          <w:lang w:val="en-US"/>
        </w:rPr>
        <w:t xml:space="preserve">nalysis </w:t>
      </w:r>
      <w:r w:rsidR="004F345E">
        <w:rPr>
          <w:rFonts w:asciiTheme="majorHAnsi" w:hAnsiTheme="majorHAnsi"/>
          <w:lang w:val="en-US"/>
        </w:rPr>
        <w:t>(</w:t>
      </w:r>
      <w:r w:rsidR="005A14AF" w:rsidRPr="008A05FC">
        <w:rPr>
          <w:rFonts w:asciiTheme="majorHAnsi" w:hAnsiTheme="majorHAnsi"/>
          <w:lang w:val="en-US"/>
        </w:rPr>
        <w:t>SA</w:t>
      </w:r>
      <w:r w:rsidR="004F345E">
        <w:rPr>
          <w:rFonts w:asciiTheme="majorHAnsi" w:hAnsiTheme="majorHAnsi"/>
          <w:lang w:val="en-US"/>
        </w:rPr>
        <w:t>)</w:t>
      </w:r>
      <w:r w:rsidR="005A14AF" w:rsidRPr="008A05FC">
        <w:rPr>
          <w:rFonts w:asciiTheme="majorHAnsi" w:hAnsiTheme="majorHAnsi"/>
          <w:lang w:val="en-US"/>
        </w:rPr>
        <w:t xml:space="preserve"> to test our hypotheses related to the effect of a variety of covariates </w:t>
      </w:r>
      <w:r w:rsidR="004C28FD">
        <w:rPr>
          <w:rFonts w:asciiTheme="majorHAnsi" w:hAnsiTheme="majorHAnsi"/>
          <w:lang w:val="en-US"/>
        </w:rPr>
        <w:t xml:space="preserve">on the </w:t>
      </w:r>
      <w:r w:rsidR="005A14AF">
        <w:rPr>
          <w:rFonts w:asciiTheme="majorHAnsi" w:hAnsiTheme="majorHAnsi"/>
          <w:lang w:val="en-US"/>
        </w:rPr>
        <w:t>likelihood that</w:t>
      </w:r>
      <w:r w:rsidR="005A14AF" w:rsidRPr="008A05FC">
        <w:rPr>
          <w:rFonts w:asciiTheme="majorHAnsi" w:hAnsiTheme="majorHAnsi"/>
          <w:lang w:val="en-US"/>
        </w:rPr>
        <w:t xml:space="preserve"> a</w:t>
      </w:r>
      <w:r w:rsidR="009504D5">
        <w:rPr>
          <w:rFonts w:asciiTheme="majorHAnsi" w:hAnsiTheme="majorHAnsi"/>
          <w:lang w:val="en-US"/>
        </w:rPr>
        <w:t>n</w:t>
      </w:r>
      <w:r w:rsidR="005A14AF" w:rsidRPr="008A05FC">
        <w:rPr>
          <w:rFonts w:asciiTheme="majorHAnsi" w:hAnsiTheme="majorHAnsi"/>
          <w:lang w:val="en-US"/>
        </w:rPr>
        <w:t xml:space="preserve"> </w:t>
      </w:r>
      <w:r w:rsidR="009504D5">
        <w:rPr>
          <w:rFonts w:asciiTheme="majorHAnsi" w:hAnsiTheme="majorHAnsi"/>
          <w:lang w:val="en-US"/>
        </w:rPr>
        <w:t xml:space="preserve">individual </w:t>
      </w:r>
      <w:r w:rsidR="004C28FD">
        <w:rPr>
          <w:rFonts w:asciiTheme="majorHAnsi" w:hAnsiTheme="majorHAnsi"/>
          <w:lang w:val="en-US"/>
        </w:rPr>
        <w:t>decides to cease</w:t>
      </w:r>
      <w:r w:rsidR="005A14AF" w:rsidRPr="008A05FC">
        <w:rPr>
          <w:rFonts w:asciiTheme="majorHAnsi" w:hAnsiTheme="majorHAnsi"/>
          <w:lang w:val="en-US"/>
        </w:rPr>
        <w:t xml:space="preserve"> trading</w:t>
      </w:r>
      <w:r w:rsidR="005A14AF">
        <w:rPr>
          <w:rFonts w:asciiTheme="majorHAnsi" w:hAnsiTheme="majorHAnsi"/>
          <w:lang w:val="en-US"/>
        </w:rPr>
        <w:t xml:space="preserve"> </w:t>
      </w:r>
      <w:r w:rsidR="005A14AF" w:rsidRPr="008A05FC">
        <w:rPr>
          <w:rFonts w:asciiTheme="majorHAnsi" w:hAnsiTheme="majorHAnsi"/>
          <w:lang w:val="en-US"/>
        </w:rPr>
        <w:t xml:space="preserve">in </w:t>
      </w:r>
      <w:r w:rsidR="005A14AF">
        <w:rPr>
          <w:rFonts w:asciiTheme="majorHAnsi" w:hAnsiTheme="majorHAnsi"/>
          <w:lang w:val="en-US"/>
        </w:rPr>
        <w:t>a given month</w:t>
      </w:r>
      <w:r w:rsidR="005A14AF" w:rsidRPr="008A05FC">
        <w:rPr>
          <w:rFonts w:asciiTheme="majorHAnsi" w:hAnsiTheme="majorHAnsi"/>
          <w:lang w:val="en-US"/>
        </w:rPr>
        <w:t xml:space="preserve">. </w:t>
      </w:r>
      <w:r w:rsidR="004F345E">
        <w:rPr>
          <w:rFonts w:asciiTheme="majorHAnsi" w:hAnsiTheme="majorHAnsi"/>
          <w:lang w:val="en-US"/>
        </w:rPr>
        <w:t xml:space="preserve">SA </w:t>
      </w:r>
      <w:r w:rsidR="004F345E" w:rsidRPr="00BD3507">
        <w:rPr>
          <w:rFonts w:asciiTheme="majorHAnsi" w:hAnsiTheme="majorHAnsi"/>
          <w:lang w:val="en-US"/>
        </w:rPr>
        <w:t xml:space="preserve">allows the investigation of the probability distribution of </w:t>
      </w:r>
      <w:r w:rsidR="004F345E">
        <w:rPr>
          <w:rFonts w:asciiTheme="majorHAnsi" w:hAnsiTheme="majorHAnsi"/>
          <w:lang w:val="en-US"/>
        </w:rPr>
        <w:t>an</w:t>
      </w:r>
      <w:r w:rsidR="004F345E" w:rsidRPr="00BD3507">
        <w:rPr>
          <w:rFonts w:asciiTheme="majorHAnsi" w:hAnsiTheme="majorHAnsi"/>
          <w:lang w:val="en-US"/>
        </w:rPr>
        <w:t xml:space="preserve"> event’s occurrence at time </w:t>
      </w:r>
      <m:oMath>
        <m:r>
          <w:rPr>
            <w:rFonts w:ascii="Cambria Math" w:hAnsi="Cambria Math"/>
            <w:lang w:val="en-US"/>
          </w:rPr>
          <m:t>t</m:t>
        </m:r>
      </m:oMath>
      <w:r w:rsidR="004F345E" w:rsidRPr="00BD3507">
        <w:rPr>
          <w:rFonts w:asciiTheme="majorHAnsi" w:hAnsiTheme="majorHAnsi"/>
          <w:lang w:val="en-US"/>
        </w:rPr>
        <w:t xml:space="preserve"> given it did not occur </w:t>
      </w:r>
      <w:r w:rsidR="004F345E" w:rsidRPr="003613C9">
        <w:rPr>
          <w:rFonts w:asciiTheme="majorHAnsi" w:hAnsiTheme="majorHAnsi"/>
          <w:lang w:val="en-US"/>
        </w:rPr>
        <w:t>before</w:t>
      </w:r>
      <m:oMath>
        <m:r>
          <m:rPr>
            <m:sty m:val="p"/>
          </m:rPr>
          <w:rPr>
            <w:rFonts w:ascii="Cambria Math" w:hAnsi="Cambria Math"/>
            <w:lang w:val="en-US"/>
          </w:rPr>
          <m:t xml:space="preserve"> </m:t>
        </m:r>
        <m:r>
          <w:rPr>
            <w:rFonts w:ascii="Cambria Math" w:hAnsi="Cambria Math"/>
            <w:lang w:val="en-US"/>
          </w:rPr>
          <m:t>t</m:t>
        </m:r>
      </m:oMath>
      <w:r w:rsidR="004F345E">
        <w:rPr>
          <w:rFonts w:asciiTheme="majorHAnsi" w:eastAsiaTheme="minorEastAsia" w:hAnsiTheme="majorHAnsi"/>
          <w:iCs/>
          <w:lang w:val="en-US"/>
        </w:rPr>
        <w:t xml:space="preserve"> (e.g. a trader ceasing to trade at </w:t>
      </w:r>
      <w:r w:rsidR="004F345E" w:rsidRPr="00BD3507">
        <w:rPr>
          <w:rFonts w:asciiTheme="majorHAnsi" w:eastAsiaTheme="minorEastAsia" w:hAnsiTheme="majorHAnsi"/>
          <w:i/>
          <w:lang w:val="en-US"/>
        </w:rPr>
        <w:t>t</w:t>
      </w:r>
      <w:r w:rsidR="004F345E">
        <w:rPr>
          <w:rFonts w:asciiTheme="majorHAnsi" w:eastAsiaTheme="minorEastAsia" w:hAnsiTheme="majorHAnsi"/>
          <w:iCs/>
          <w:lang w:val="en-US"/>
        </w:rPr>
        <w:t>).</w:t>
      </w:r>
      <w:r w:rsidR="004F345E" w:rsidRPr="005A66D4">
        <w:rPr>
          <w:rFonts w:asciiTheme="majorHAnsi" w:hAnsiTheme="majorHAnsi"/>
          <w:lang w:val="en-US"/>
        </w:rPr>
        <w:t xml:space="preserve"> SA has been applied in many fields</w:t>
      </w:r>
      <w:r w:rsidR="004F345E">
        <w:rPr>
          <w:rFonts w:asciiTheme="majorHAnsi" w:hAnsiTheme="majorHAnsi"/>
          <w:lang w:val="en-US"/>
        </w:rPr>
        <w:t xml:space="preserve">, including </w:t>
      </w:r>
      <w:r w:rsidR="004F345E" w:rsidRPr="009D56E1">
        <w:rPr>
          <w:rFonts w:asciiTheme="majorHAnsi" w:hAnsiTheme="majorHAnsi"/>
          <w:lang w:val="en-US"/>
        </w:rPr>
        <w:t xml:space="preserve">political science, demography, </w:t>
      </w:r>
      <w:r w:rsidR="004F345E" w:rsidRPr="008A05FC">
        <w:rPr>
          <w:rFonts w:asciiTheme="majorHAnsi" w:hAnsiTheme="majorHAnsi"/>
          <w:lang w:val="en-US"/>
        </w:rPr>
        <w:t>sys</w:t>
      </w:r>
      <w:r w:rsidR="004F345E">
        <w:rPr>
          <w:rFonts w:asciiTheme="majorHAnsi" w:hAnsiTheme="majorHAnsi"/>
          <w:lang w:val="en-US"/>
        </w:rPr>
        <w:t xml:space="preserve">tems analysis, </w:t>
      </w:r>
      <w:r w:rsidR="004F345E" w:rsidRPr="009D56E1">
        <w:rPr>
          <w:rFonts w:asciiTheme="majorHAnsi" w:hAnsiTheme="majorHAnsi"/>
          <w:lang w:val="en-US"/>
        </w:rPr>
        <w:t>economics</w:t>
      </w:r>
      <w:r w:rsidR="004F345E">
        <w:rPr>
          <w:rFonts w:asciiTheme="majorHAnsi" w:hAnsiTheme="majorHAnsi"/>
          <w:lang w:val="en-US"/>
        </w:rPr>
        <w:t xml:space="preserve"> and finance.</w:t>
      </w:r>
      <w:r w:rsidR="004F345E" w:rsidRPr="00275768">
        <w:rPr>
          <w:rFonts w:asciiTheme="majorHAnsi" w:hAnsiTheme="majorHAnsi"/>
          <w:vertAlign w:val="superscript"/>
          <w:lang w:val="en-US"/>
        </w:rPr>
        <w:t>(35-44)</w:t>
      </w:r>
      <w:r w:rsidR="004F345E">
        <w:rPr>
          <w:rFonts w:asciiTheme="majorHAnsi" w:hAnsiTheme="majorHAnsi"/>
          <w:lang w:val="en-US"/>
        </w:rPr>
        <w:t xml:space="preserve"> </w:t>
      </w:r>
    </w:p>
    <w:p w14:paraId="2CC5926B" w14:textId="66BDE7A4" w:rsidR="00730039" w:rsidRDefault="004F345E">
      <w:pPr>
        <w:spacing w:after="0" w:line="480" w:lineRule="auto"/>
        <w:ind w:firstLine="720"/>
        <w:rPr>
          <w:rFonts w:asciiTheme="majorHAnsi" w:hAnsiTheme="majorHAnsi"/>
          <w:lang w:val="en-US"/>
        </w:rPr>
      </w:pPr>
      <w:r>
        <w:rPr>
          <w:rFonts w:asciiTheme="majorHAnsi" w:hAnsiTheme="majorHAnsi"/>
          <w:lang w:val="en-US"/>
        </w:rPr>
        <w:t>T</w:t>
      </w:r>
      <w:r w:rsidR="000E6744">
        <w:rPr>
          <w:rFonts w:asciiTheme="majorHAnsi" w:hAnsiTheme="majorHAnsi"/>
          <w:lang w:val="en-US"/>
        </w:rPr>
        <w:t>h</w:t>
      </w:r>
      <w:r w:rsidR="005A14AF" w:rsidRPr="008A05FC">
        <w:rPr>
          <w:rFonts w:asciiTheme="majorHAnsi" w:hAnsiTheme="majorHAnsi"/>
          <w:lang w:val="en-US"/>
        </w:rPr>
        <w:t xml:space="preserve">ere is no prior evidence concerning the probability distribution for the time </w:t>
      </w:r>
      <w:r w:rsidR="004C28FD">
        <w:rPr>
          <w:rFonts w:asciiTheme="majorHAnsi" w:hAnsiTheme="majorHAnsi"/>
          <w:lang w:val="en-US"/>
        </w:rPr>
        <w:t>until an individual stops trading</w:t>
      </w:r>
      <w:r w:rsidR="005A14AF">
        <w:rPr>
          <w:rFonts w:asciiTheme="majorHAnsi" w:hAnsiTheme="majorHAnsi"/>
          <w:lang w:val="en-US"/>
        </w:rPr>
        <w:t xml:space="preserve">. </w:t>
      </w:r>
      <w:r w:rsidR="004C28FD">
        <w:rPr>
          <w:rFonts w:asciiTheme="majorHAnsi" w:hAnsiTheme="majorHAnsi"/>
          <w:lang w:val="en-US"/>
        </w:rPr>
        <w:t>Consequently</w:t>
      </w:r>
      <w:r w:rsidR="005A14AF" w:rsidRPr="002D1041">
        <w:rPr>
          <w:rFonts w:asciiTheme="majorHAnsi" w:hAnsiTheme="majorHAnsi"/>
          <w:lang w:val="en-US"/>
        </w:rPr>
        <w:t>, we adopted the</w:t>
      </w:r>
      <w:r w:rsidR="00FA0DCC">
        <w:rPr>
          <w:rFonts w:asciiTheme="majorHAnsi" w:hAnsiTheme="majorHAnsi"/>
          <w:lang w:val="en-US"/>
        </w:rPr>
        <w:t xml:space="preserve"> Extended</w:t>
      </w:r>
      <w:r w:rsidR="005A14AF" w:rsidRPr="002D1041">
        <w:rPr>
          <w:rFonts w:asciiTheme="majorHAnsi" w:hAnsiTheme="majorHAnsi"/>
          <w:lang w:val="en-US"/>
        </w:rPr>
        <w:t xml:space="preserve"> </w:t>
      </w:r>
      <w:r w:rsidR="005A14AF" w:rsidRPr="008A05FC">
        <w:rPr>
          <w:rFonts w:asciiTheme="majorHAnsi" w:hAnsiTheme="majorHAnsi"/>
          <w:lang w:val="en-US"/>
        </w:rPr>
        <w:t>C</w:t>
      </w:r>
      <w:r w:rsidR="005A14AF">
        <w:rPr>
          <w:rFonts w:asciiTheme="majorHAnsi" w:hAnsiTheme="majorHAnsi"/>
          <w:lang w:val="en-US"/>
        </w:rPr>
        <w:t xml:space="preserve">ox </w:t>
      </w:r>
      <w:r w:rsidR="005A14AF" w:rsidRPr="008A05FC">
        <w:rPr>
          <w:rFonts w:asciiTheme="majorHAnsi" w:hAnsiTheme="majorHAnsi"/>
          <w:lang w:val="en-US"/>
        </w:rPr>
        <w:t>P</w:t>
      </w:r>
      <w:r w:rsidR="005A14AF">
        <w:rPr>
          <w:rFonts w:asciiTheme="majorHAnsi" w:hAnsiTheme="majorHAnsi"/>
          <w:lang w:val="en-US"/>
        </w:rPr>
        <w:t xml:space="preserve">roportional </w:t>
      </w:r>
      <w:r w:rsidR="005A14AF" w:rsidRPr="008A05FC">
        <w:rPr>
          <w:rFonts w:asciiTheme="majorHAnsi" w:hAnsiTheme="majorHAnsi"/>
          <w:lang w:val="en-US"/>
        </w:rPr>
        <w:t>H</w:t>
      </w:r>
      <w:r w:rsidR="005A14AF">
        <w:rPr>
          <w:rFonts w:asciiTheme="majorHAnsi" w:hAnsiTheme="majorHAnsi"/>
          <w:lang w:val="en-US"/>
        </w:rPr>
        <w:t>azard</w:t>
      </w:r>
      <w:r w:rsidR="005A14AF" w:rsidRPr="008A05FC">
        <w:rPr>
          <w:rFonts w:asciiTheme="majorHAnsi" w:hAnsiTheme="majorHAnsi"/>
          <w:lang w:val="en-US"/>
        </w:rPr>
        <w:t xml:space="preserve"> model</w:t>
      </w:r>
      <w:r w:rsidR="005A14AF">
        <w:rPr>
          <w:rFonts w:asciiTheme="majorHAnsi" w:hAnsiTheme="majorHAnsi"/>
          <w:lang w:val="en-US"/>
        </w:rPr>
        <w:t xml:space="preserve"> (CPH)</w:t>
      </w:r>
      <w:r w:rsidR="005A14AF" w:rsidRPr="008A05FC">
        <w:rPr>
          <w:rFonts w:asciiTheme="majorHAnsi" w:hAnsiTheme="majorHAnsi"/>
          <w:lang w:val="en-US"/>
        </w:rPr>
        <w:t xml:space="preserve"> </w:t>
      </w:r>
      <w:r w:rsidR="005A14AF">
        <w:rPr>
          <w:rFonts w:asciiTheme="majorHAnsi" w:hAnsiTheme="majorHAnsi"/>
          <w:lang w:val="en-US"/>
        </w:rPr>
        <w:t>with time-varying covariates</w:t>
      </w:r>
      <w:r>
        <w:rPr>
          <w:rFonts w:asciiTheme="majorHAnsi" w:hAnsiTheme="majorHAnsi"/>
          <w:lang w:val="en-US"/>
        </w:rPr>
        <w:t xml:space="preserve">; </w:t>
      </w:r>
      <w:r w:rsidR="00BA5B92" w:rsidRPr="00275768">
        <w:rPr>
          <w:rFonts w:asciiTheme="majorHAnsi" w:hAnsiTheme="majorHAnsi"/>
          <w:vertAlign w:val="superscript"/>
          <w:lang w:val="en-US"/>
        </w:rPr>
        <w:t>(45)</w:t>
      </w:r>
      <w:r w:rsidR="0019617B">
        <w:rPr>
          <w:rFonts w:asciiTheme="majorHAnsi" w:hAnsiTheme="majorHAnsi"/>
          <w:lang w:val="en-US"/>
        </w:rPr>
        <w:t xml:space="preserve"> </w:t>
      </w:r>
      <w:r w:rsidR="005A14AF" w:rsidRPr="008A05FC">
        <w:rPr>
          <w:rFonts w:asciiTheme="majorHAnsi" w:hAnsiTheme="majorHAnsi"/>
          <w:lang w:val="en-US"/>
        </w:rPr>
        <w:t xml:space="preserve">a powerful multiplicative regression </w:t>
      </w:r>
      <w:r w:rsidR="005A14AF">
        <w:rPr>
          <w:rFonts w:asciiTheme="majorHAnsi" w:hAnsiTheme="majorHAnsi"/>
          <w:lang w:val="en-US"/>
        </w:rPr>
        <w:t xml:space="preserve">SA model, which </w:t>
      </w:r>
      <w:r w:rsidR="005A14AF" w:rsidRPr="008A05FC">
        <w:rPr>
          <w:rFonts w:asciiTheme="majorHAnsi" w:hAnsiTheme="majorHAnsi"/>
          <w:lang w:val="en-US"/>
        </w:rPr>
        <w:t>avoids potentially biased prior distribution assumptions</w:t>
      </w:r>
      <w:r w:rsidR="004E1043">
        <w:rPr>
          <w:rFonts w:asciiTheme="majorHAnsi" w:hAnsiTheme="majorHAnsi"/>
          <w:lang w:val="en-US"/>
        </w:rPr>
        <w:t xml:space="preserve"> and </w:t>
      </w:r>
      <w:r w:rsidR="006829BE">
        <w:rPr>
          <w:rFonts w:asciiTheme="majorHAnsi" w:hAnsiTheme="majorHAnsi"/>
          <w:lang w:val="en-US"/>
        </w:rPr>
        <w:t>accounts</w:t>
      </w:r>
      <w:r w:rsidR="004E1043" w:rsidRPr="004E1043">
        <w:rPr>
          <w:rFonts w:asciiTheme="majorHAnsi" w:hAnsiTheme="majorHAnsi"/>
          <w:lang w:val="en-US"/>
        </w:rPr>
        <w:t xml:space="preserve"> for multiple risk factors simultaneously</w:t>
      </w:r>
      <w:r w:rsidR="00FC0A2B">
        <w:rPr>
          <w:rFonts w:asciiTheme="majorHAnsi" w:hAnsiTheme="majorHAnsi"/>
          <w:lang w:val="en-US"/>
        </w:rPr>
        <w:t xml:space="preserve"> (</w:t>
      </w:r>
      <w:r w:rsidR="006829BE">
        <w:rPr>
          <w:rFonts w:asciiTheme="majorHAnsi" w:hAnsiTheme="majorHAnsi"/>
          <w:lang w:val="en-US"/>
        </w:rPr>
        <w:t>i</w:t>
      </w:r>
      <w:r w:rsidR="00FC0A2B">
        <w:rPr>
          <w:rFonts w:asciiTheme="majorHAnsi" w:hAnsiTheme="majorHAnsi"/>
          <w:lang w:val="en-US"/>
        </w:rPr>
        <w:t>.e. covariate</w:t>
      </w:r>
      <w:r w:rsidR="000E6744">
        <w:rPr>
          <w:rFonts w:asciiTheme="majorHAnsi" w:hAnsiTheme="majorHAnsi"/>
          <w:lang w:val="en-US"/>
        </w:rPr>
        <w:t>s</w:t>
      </w:r>
      <w:r w:rsidR="00FC0A2B">
        <w:rPr>
          <w:rFonts w:asciiTheme="majorHAnsi" w:hAnsiTheme="majorHAnsi"/>
          <w:lang w:val="en-US"/>
        </w:rPr>
        <w:t>)</w:t>
      </w:r>
      <w:r w:rsidR="004E1043" w:rsidRPr="004E1043">
        <w:rPr>
          <w:rFonts w:asciiTheme="majorHAnsi" w:hAnsiTheme="majorHAnsi"/>
          <w:lang w:val="en-US"/>
        </w:rPr>
        <w:t>.</w:t>
      </w:r>
      <w:r w:rsidR="004C28FD" w:rsidRPr="008A05FC">
        <w:rPr>
          <w:rFonts w:asciiTheme="majorHAnsi" w:hAnsiTheme="majorHAnsi"/>
          <w:lang w:val="en-US"/>
        </w:rPr>
        <w:t xml:space="preserve"> </w:t>
      </w:r>
      <w:r w:rsidR="007C7CD8">
        <w:rPr>
          <w:rFonts w:asciiTheme="majorHAnsi" w:hAnsiTheme="majorHAnsi"/>
          <w:lang w:val="en-US"/>
        </w:rPr>
        <w:t>I</w:t>
      </w:r>
      <w:r w:rsidR="000840A8">
        <w:rPr>
          <w:rFonts w:asciiTheme="majorHAnsi" w:hAnsiTheme="majorHAnsi"/>
          <w:lang w:val="en-US"/>
        </w:rPr>
        <w:t xml:space="preserve">t </w:t>
      </w:r>
      <w:r w:rsidR="002554E2" w:rsidRPr="00FC6DF5">
        <w:rPr>
          <w:rFonts w:asciiTheme="majorHAnsi" w:hAnsiTheme="majorHAnsi"/>
          <w:lang w:val="en-US"/>
        </w:rPr>
        <w:t>has been successfully adopted in many domains</w:t>
      </w:r>
      <w:r w:rsidR="002554E2">
        <w:rPr>
          <w:rFonts w:asciiTheme="majorHAnsi" w:hAnsiTheme="majorHAnsi"/>
          <w:lang w:val="en-US"/>
        </w:rPr>
        <w:t>.</w:t>
      </w:r>
      <w:r w:rsidR="00BA5B92" w:rsidRPr="00275768">
        <w:rPr>
          <w:rFonts w:asciiTheme="majorHAnsi" w:hAnsiTheme="majorHAnsi"/>
          <w:vertAlign w:val="superscript"/>
          <w:lang w:val="en-US"/>
        </w:rPr>
        <w:t>(46,47)</w:t>
      </w:r>
      <w:r w:rsidR="002554E2">
        <w:rPr>
          <w:rFonts w:asciiTheme="majorHAnsi" w:hAnsiTheme="majorHAnsi"/>
          <w:lang w:val="en-US"/>
        </w:rPr>
        <w:t xml:space="preserve"> </w:t>
      </w:r>
      <w:r w:rsidR="009B5DD3">
        <w:rPr>
          <w:rFonts w:asciiTheme="majorHAnsi" w:hAnsiTheme="majorHAnsi"/>
          <w:lang w:val="en-US"/>
        </w:rPr>
        <w:t>Full details of the CPH model we employ are provided in appendix A.</w:t>
      </w:r>
    </w:p>
    <w:p w14:paraId="47CCCB18" w14:textId="2A0D09CB" w:rsidR="005A14AF" w:rsidRDefault="00D47562" w:rsidP="005A14AF">
      <w:pPr>
        <w:spacing w:after="0" w:line="480" w:lineRule="auto"/>
        <w:ind w:firstLine="709"/>
        <w:jc w:val="both"/>
        <w:rPr>
          <w:rFonts w:asciiTheme="majorHAnsi" w:hAnsiTheme="majorHAnsi"/>
          <w:color w:val="000000" w:themeColor="text1"/>
          <w:lang w:val="en-US" w:eastAsia="zh-CN"/>
        </w:rPr>
      </w:pPr>
      <w:r w:rsidRPr="00B560FE">
        <w:rPr>
          <w:rFonts w:asciiTheme="majorHAnsi" w:hAnsiTheme="majorHAnsi"/>
          <w:lang w:val="en-US"/>
        </w:rPr>
        <w:t xml:space="preserve">To </w:t>
      </w:r>
      <w:r>
        <w:rPr>
          <w:rFonts w:asciiTheme="majorHAnsi" w:hAnsiTheme="majorHAnsi"/>
          <w:lang w:val="en-US"/>
        </w:rPr>
        <w:t>examine the factors which influence the time until an</w:t>
      </w:r>
      <w:r w:rsidRPr="00B560FE">
        <w:rPr>
          <w:rFonts w:asciiTheme="majorHAnsi" w:hAnsiTheme="majorHAnsi"/>
          <w:lang w:val="en-US"/>
        </w:rPr>
        <w:t xml:space="preserve"> </w:t>
      </w:r>
      <w:r>
        <w:rPr>
          <w:rFonts w:asciiTheme="majorHAnsi" w:hAnsiTheme="majorHAnsi"/>
          <w:lang w:val="en-US"/>
        </w:rPr>
        <w:t>individual</w:t>
      </w:r>
      <w:r w:rsidRPr="00B560FE" w:rsidDel="009504D5">
        <w:rPr>
          <w:rFonts w:asciiTheme="majorHAnsi" w:hAnsiTheme="majorHAnsi"/>
          <w:lang w:val="en-US"/>
        </w:rPr>
        <w:t xml:space="preserve"> </w:t>
      </w:r>
      <w:r w:rsidRPr="00B560FE">
        <w:rPr>
          <w:rFonts w:asciiTheme="majorHAnsi" w:hAnsiTheme="majorHAnsi"/>
          <w:lang w:val="en-US"/>
        </w:rPr>
        <w:t>ceas</w:t>
      </w:r>
      <w:r>
        <w:rPr>
          <w:rFonts w:asciiTheme="majorHAnsi" w:hAnsiTheme="majorHAnsi"/>
          <w:lang w:val="en-US"/>
        </w:rPr>
        <w:t xml:space="preserve">es to </w:t>
      </w:r>
      <w:r w:rsidRPr="00B560FE">
        <w:rPr>
          <w:rFonts w:asciiTheme="majorHAnsi" w:hAnsiTheme="majorHAnsi"/>
          <w:lang w:val="en-US"/>
        </w:rPr>
        <w:t>trad</w:t>
      </w:r>
      <w:r>
        <w:rPr>
          <w:rFonts w:asciiTheme="majorHAnsi" w:hAnsiTheme="majorHAnsi"/>
          <w:lang w:val="en-US"/>
        </w:rPr>
        <w:t>e</w:t>
      </w:r>
      <w:r w:rsidRPr="00B560FE">
        <w:rPr>
          <w:rFonts w:asciiTheme="majorHAnsi" w:hAnsiTheme="majorHAnsi"/>
          <w:lang w:val="en-US"/>
        </w:rPr>
        <w:t>, we defin</w:t>
      </w:r>
      <w:r w:rsidR="00EF390A">
        <w:rPr>
          <w:rFonts w:asciiTheme="majorHAnsi" w:hAnsiTheme="majorHAnsi"/>
          <w:lang w:val="en-US"/>
        </w:rPr>
        <w:t>e</w:t>
      </w:r>
      <w:r w:rsidRPr="00B560FE">
        <w:rPr>
          <w:rFonts w:asciiTheme="majorHAnsi" w:hAnsiTheme="majorHAnsi"/>
          <w:lang w:val="en-US"/>
        </w:rPr>
        <w:t xml:space="preserve"> the hazard rate </w:t>
      </w:r>
      <m:oMath>
        <m:r>
          <w:rPr>
            <w:rFonts w:ascii="Cambria Math" w:hAnsi="Cambria Math"/>
            <w:lang w:val="en-US"/>
          </w:rPr>
          <m:t>h</m:t>
        </m:r>
        <m:d>
          <m:dPr>
            <m:ctrlPr>
              <w:rPr>
                <w:rFonts w:ascii="Cambria Math" w:hAnsi="Cambria Math"/>
                <w:i/>
                <w:lang w:val="en-US"/>
              </w:rPr>
            </m:ctrlPr>
          </m:dPr>
          <m:e>
            <m:r>
              <w:rPr>
                <w:rFonts w:ascii="Cambria Math" w:hAnsi="Cambria Math"/>
                <w:lang w:val="en-US"/>
              </w:rPr>
              <m:t>t,</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e>
        </m:d>
      </m:oMath>
      <w:r w:rsidRPr="00B560FE">
        <w:rPr>
          <w:rFonts w:asciiTheme="majorHAnsi" w:hAnsiTheme="majorHAnsi"/>
          <w:lang w:val="en-US"/>
        </w:rPr>
        <w:t xml:space="preserve"> as the instantaneous probability of </w:t>
      </w:r>
      <w:r>
        <w:rPr>
          <w:rFonts w:asciiTheme="majorHAnsi" w:hAnsiTheme="majorHAnsi"/>
          <w:lang w:val="en-US"/>
        </w:rPr>
        <w:t>individual</w:t>
      </w:r>
      <w:r w:rsidRPr="00B560FE" w:rsidDel="009504D5">
        <w:rPr>
          <w:rFonts w:asciiTheme="majorHAnsi" w:hAnsiTheme="majorHAnsi"/>
          <w:lang w:val="en-US"/>
        </w:rPr>
        <w:t xml:space="preserve"> </w:t>
      </w:r>
      <m:oMath>
        <m:r>
          <w:rPr>
            <w:rFonts w:ascii="Cambria Math" w:hAnsi="Cambria Math"/>
            <w:lang w:val="en-US"/>
          </w:rPr>
          <m:t>k</m:t>
        </m:r>
      </m:oMath>
      <w:r w:rsidRPr="00B560FE">
        <w:rPr>
          <w:rFonts w:asciiTheme="majorHAnsi" w:hAnsiTheme="majorHAnsi"/>
          <w:lang w:val="en-US"/>
        </w:rPr>
        <w:t xml:space="preserve"> ceasing to trade at</w:t>
      </w:r>
      <w:r>
        <w:rPr>
          <w:rFonts w:asciiTheme="majorHAnsi" w:hAnsiTheme="majorHAnsi"/>
          <w:lang w:val="en-US"/>
        </w:rPr>
        <w:t xml:space="preserve"> month </w:t>
      </w:r>
      <w:r w:rsidRPr="00275768">
        <w:rPr>
          <w:rFonts w:asciiTheme="majorHAnsi" w:hAnsiTheme="majorHAnsi"/>
          <w:i/>
          <w:lang w:val="en-US"/>
        </w:rPr>
        <w:t>m</w:t>
      </w:r>
      <w:r>
        <w:rPr>
          <w:rFonts w:asciiTheme="majorHAnsi" w:hAnsiTheme="majorHAnsi"/>
          <w:i/>
          <w:lang w:val="en-US"/>
        </w:rPr>
        <w:t xml:space="preserve"> </w:t>
      </w:r>
      <w:r>
        <w:rPr>
          <w:rFonts w:asciiTheme="majorHAnsi" w:hAnsiTheme="majorHAnsi"/>
          <w:lang w:val="en-US"/>
        </w:rPr>
        <w:t>(</w:t>
      </w:r>
      <w:r w:rsidRPr="00B560FE">
        <w:rPr>
          <w:rFonts w:asciiTheme="majorHAnsi" w:hAnsiTheme="majorHAnsi"/>
          <w:i/>
          <w:lang w:val="en-US"/>
        </w:rPr>
        <w:t>t</w:t>
      </w:r>
      <w:r>
        <w:rPr>
          <w:rFonts w:asciiTheme="majorHAnsi" w:hAnsiTheme="majorHAnsi"/>
          <w:i/>
          <w:lang w:val="en-US"/>
        </w:rPr>
        <w:t>=m</w:t>
      </w:r>
      <w:r w:rsidRPr="00B560FE">
        <w:rPr>
          <w:rFonts w:asciiTheme="majorHAnsi" w:hAnsiTheme="majorHAnsi"/>
          <w:lang w:val="en-US"/>
        </w:rPr>
        <w:t xml:space="preserve">, conditional on the </w:t>
      </w:r>
      <w:r>
        <w:rPr>
          <w:rFonts w:asciiTheme="majorHAnsi" w:hAnsiTheme="majorHAnsi"/>
          <w:lang w:val="en-US"/>
        </w:rPr>
        <w:t>‘</w:t>
      </w:r>
      <w:r w:rsidRPr="00B560FE">
        <w:rPr>
          <w:rFonts w:asciiTheme="majorHAnsi" w:hAnsiTheme="majorHAnsi"/>
          <w:lang w:val="en-US"/>
        </w:rPr>
        <w:t>cease trading</w:t>
      </w:r>
      <w:r>
        <w:rPr>
          <w:rFonts w:asciiTheme="majorHAnsi" w:hAnsiTheme="majorHAnsi"/>
          <w:lang w:val="en-US"/>
        </w:rPr>
        <w:t>’</w:t>
      </w:r>
      <w:r w:rsidRPr="00B560FE">
        <w:rPr>
          <w:rFonts w:asciiTheme="majorHAnsi" w:hAnsiTheme="majorHAnsi"/>
          <w:lang w:val="en-US"/>
        </w:rPr>
        <w:t xml:space="preserve"> event not taking place before </w:t>
      </w:r>
      <w:r w:rsidRPr="00B560FE">
        <w:rPr>
          <w:rFonts w:asciiTheme="majorHAnsi" w:hAnsiTheme="majorHAnsi"/>
          <w:i/>
          <w:lang w:val="en-US"/>
        </w:rPr>
        <w:t>t</w:t>
      </w:r>
      <w:r>
        <w:rPr>
          <w:rFonts w:asciiTheme="majorHAnsi" w:hAnsiTheme="majorHAnsi"/>
          <w:lang w:val="en-US"/>
        </w:rPr>
        <w:t>)</w:t>
      </w:r>
      <w:r w:rsidRPr="00B560FE">
        <w:rPr>
          <w:rFonts w:asciiTheme="majorHAnsi" w:hAnsiTheme="majorHAnsi"/>
          <w:lang w:val="en-US"/>
        </w:rPr>
        <w:t xml:space="preserve"> where variable</w:t>
      </w:r>
      <m:oMath>
        <m:r>
          <m:rPr>
            <m:sty m:val="p"/>
          </m:rPr>
          <w:rPr>
            <w:rFonts w:ascii="Cambria Math" w:hAnsi="Cambria Math"/>
            <w:lang w:val="en-US"/>
          </w:rPr>
          <m:t xml:space="preserve"> </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p"/>
          </m:rPr>
          <w:rPr>
            <w:rFonts w:ascii="Cambria Math" w:hAnsi="Cambria Math"/>
            <w:lang w:val="en-US"/>
          </w:rPr>
          <m:t>(</m:t>
        </m:r>
        <m:r>
          <w:rPr>
            <w:rFonts w:ascii="Cambria Math" w:hAnsi="Cambria Math"/>
            <w:lang w:val="en-US"/>
          </w:rPr>
          <m:t>t</m:t>
        </m:r>
        <m:r>
          <m:rPr>
            <m:sty m:val="p"/>
          </m:rPr>
          <w:rPr>
            <w:rFonts w:ascii="Cambria Math" w:hAnsi="Cambria Math"/>
            <w:lang w:val="en-US"/>
          </w:rPr>
          <m:t xml:space="preserve">) </m:t>
        </m:r>
      </m:oMath>
      <w:r w:rsidRPr="00B560FE">
        <w:rPr>
          <w:rFonts w:asciiTheme="majorHAnsi" w:hAnsiTheme="majorHAnsi"/>
          <w:lang w:val="en-US"/>
        </w:rPr>
        <w:t>represents a set of</w:t>
      </w:r>
      <w:r>
        <w:rPr>
          <w:rFonts w:asciiTheme="majorHAnsi" w:hAnsiTheme="majorHAnsi"/>
          <w:lang w:val="en-US"/>
        </w:rPr>
        <w:t xml:space="preserve"> time-varying</w:t>
      </w:r>
      <w:r w:rsidRPr="00B560FE">
        <w:rPr>
          <w:rFonts w:asciiTheme="majorHAnsi" w:hAnsiTheme="majorHAnsi"/>
          <w:lang w:val="en-US"/>
        </w:rPr>
        <w:t xml:space="preserve"> characteristics (e.g. </w:t>
      </w:r>
      <w:r>
        <w:rPr>
          <w:rFonts w:asciiTheme="majorHAnsi" w:hAnsiTheme="majorHAnsi"/>
          <w:lang w:val="en-US"/>
        </w:rPr>
        <w:t>returns</w:t>
      </w:r>
      <w:r w:rsidRPr="00B560FE">
        <w:rPr>
          <w:rFonts w:asciiTheme="majorHAnsi" w:hAnsiTheme="majorHAnsi"/>
          <w:lang w:val="en-US"/>
        </w:rPr>
        <w:t xml:space="preserve">) for trader </w:t>
      </w:r>
      <w:r w:rsidRPr="00B560FE">
        <w:rPr>
          <w:rFonts w:asciiTheme="majorHAnsi" w:hAnsiTheme="majorHAnsi"/>
          <w:i/>
          <w:lang w:val="en-US"/>
        </w:rPr>
        <w:t>k</w:t>
      </w:r>
      <w:r w:rsidRPr="00B560FE">
        <w:rPr>
          <w:rFonts w:asciiTheme="majorHAnsi" w:hAnsiTheme="majorHAnsi"/>
          <w:lang w:val="en-US"/>
        </w:rPr>
        <w:t>.</w:t>
      </w:r>
      <w:r>
        <w:rPr>
          <w:rFonts w:asciiTheme="majorHAnsi" w:hAnsiTheme="majorHAnsi"/>
          <w:lang w:val="en-US"/>
        </w:rPr>
        <w:t xml:space="preserve"> In particular, to test the hypotheses we explore how particular values of covariates affect an individual’s hazard rate, compared to the baseline hazard (i.e. </w:t>
      </w:r>
      <w:r w:rsidR="007C7CD8">
        <w:rPr>
          <w:rFonts w:asciiTheme="majorHAnsi" w:hAnsiTheme="majorHAnsi"/>
          <w:lang w:val="en-US"/>
        </w:rPr>
        <w:t xml:space="preserve">where </w:t>
      </w:r>
      <w:r>
        <w:rPr>
          <w:rFonts w:asciiTheme="majorHAnsi" w:hAnsiTheme="majorHAnsi"/>
          <w:lang w:val="en-US"/>
        </w:rPr>
        <w:t>covariates</w:t>
      </w:r>
      <w:r w:rsidR="007C7CD8">
        <w:rPr>
          <w:rFonts w:asciiTheme="majorHAnsi" w:hAnsiTheme="majorHAnsi"/>
          <w:lang w:val="en-US"/>
        </w:rPr>
        <w:t xml:space="preserve"> take baseline values, i.e.</w:t>
      </w:r>
      <w:r>
        <w:rPr>
          <w:rFonts w:asciiTheme="majorHAnsi" w:hAnsiTheme="majorHAnsi"/>
          <w:lang w:val="en-US"/>
        </w:rPr>
        <w:t xml:space="preserve"> </w:t>
      </w:r>
      <w:r w:rsidRPr="008A05FC">
        <w:rPr>
          <w:rFonts w:asciiTheme="majorHAnsi" w:hAnsiTheme="majorHAnsi"/>
          <w:lang w:val="en-US"/>
        </w:rPr>
        <w:t xml:space="preserve">when </w:t>
      </w:r>
      <m:oMath>
        <m:sSubSup>
          <m:sSubSupPr>
            <m:ctrlPr>
              <w:rPr>
                <w:rFonts w:ascii="Cambria Math" w:hAnsi="Cambria Math"/>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d>
          <m:dPr>
            <m:ctrlPr>
              <w:rPr>
                <w:rFonts w:ascii="Cambria Math" w:hAnsi="Cambria Math"/>
                <w:lang w:val="en-US"/>
              </w:rPr>
            </m:ctrlPr>
          </m:dPr>
          <m:e>
            <m:r>
              <w:rPr>
                <w:rFonts w:ascii="Cambria Math" w:hAnsi="Cambria Math"/>
                <w:lang w:val="en-US"/>
              </w:rPr>
              <m:t>t</m:t>
            </m:r>
          </m:e>
        </m:d>
        <m:r>
          <m:rPr>
            <m:sty m:val="p"/>
          </m:rPr>
          <w:rPr>
            <w:rFonts w:ascii="Cambria Math" w:hAnsi="Cambria Math"/>
            <w:lang w:val="en-US"/>
          </w:rPr>
          <m:t xml:space="preserve"> </m:t>
        </m:r>
      </m:oMath>
      <w:r w:rsidRPr="008A05FC">
        <w:rPr>
          <w:rFonts w:asciiTheme="majorHAnsi" w:hAnsiTheme="majorHAnsi"/>
          <w:lang w:val="en-US"/>
        </w:rPr>
        <w:t>equals zero</w:t>
      </w:r>
      <w:r>
        <w:rPr>
          <w:rFonts w:asciiTheme="majorHAnsi" w:hAnsiTheme="majorHAnsi"/>
          <w:lang w:val="en-US"/>
        </w:rPr>
        <w:t>)</w:t>
      </w:r>
      <w:r w:rsidR="004F345E">
        <w:rPr>
          <w:rFonts w:asciiTheme="majorHAnsi" w:hAnsiTheme="majorHAnsi"/>
          <w:lang w:val="en-US"/>
        </w:rPr>
        <w:t xml:space="preserve">; i.e. </w:t>
      </w:r>
      <w:r w:rsidR="004F345E">
        <w:rPr>
          <w:rFonts w:asciiTheme="majorHAnsi" w:hAnsiTheme="majorHAnsi"/>
          <w:color w:val="000000" w:themeColor="text1"/>
          <w:lang w:val="en-US" w:eastAsia="zh-CN"/>
        </w:rPr>
        <w:t>quantifying</w:t>
      </w:r>
      <w:r w:rsidR="004F345E" w:rsidRPr="009D56E1">
        <w:rPr>
          <w:rFonts w:asciiTheme="majorHAnsi" w:hAnsiTheme="majorHAnsi"/>
          <w:color w:val="000000" w:themeColor="text1"/>
          <w:lang w:val="en-US" w:eastAsia="zh-CN"/>
        </w:rPr>
        <w:t xml:space="preserve"> the effect of a range of factors</w:t>
      </w:r>
      <w:r w:rsidR="004F345E">
        <w:rPr>
          <w:rFonts w:asciiTheme="majorHAnsi" w:hAnsiTheme="majorHAnsi"/>
          <w:color w:val="000000" w:themeColor="text1"/>
          <w:lang w:val="en-US" w:eastAsia="zh-CN"/>
        </w:rPr>
        <w:t xml:space="preserve"> </w:t>
      </w:r>
      <w:r w:rsidR="004F345E" w:rsidRPr="009D56E1">
        <w:rPr>
          <w:rFonts w:asciiTheme="majorHAnsi" w:hAnsiTheme="majorHAnsi"/>
          <w:color w:val="000000" w:themeColor="text1"/>
          <w:lang w:val="en-US" w:eastAsia="zh-CN"/>
        </w:rPr>
        <w:t xml:space="preserve">on the </w:t>
      </w:r>
      <w:r w:rsidR="004F345E">
        <w:rPr>
          <w:rFonts w:asciiTheme="majorHAnsi" w:hAnsiTheme="majorHAnsi"/>
          <w:color w:val="000000" w:themeColor="text1"/>
          <w:lang w:val="en-US" w:eastAsia="zh-CN"/>
        </w:rPr>
        <w:t xml:space="preserve">risk of an individual ceasing to trade at a given time, </w:t>
      </w:r>
      <w:r w:rsidR="004F345E">
        <w:rPr>
          <w:rFonts w:asciiTheme="majorHAnsi" w:hAnsiTheme="majorHAnsi"/>
          <w:i/>
          <w:color w:val="000000" w:themeColor="text1"/>
          <w:lang w:val="en-US" w:eastAsia="zh-CN"/>
        </w:rPr>
        <w:t xml:space="preserve">t </w:t>
      </w:r>
      <w:r w:rsidR="004F345E">
        <w:rPr>
          <w:rFonts w:asciiTheme="majorHAnsi" w:hAnsiTheme="majorHAnsi"/>
          <w:color w:val="000000" w:themeColor="text1"/>
          <w:lang w:val="en-US" w:eastAsia="zh-CN"/>
        </w:rPr>
        <w:t xml:space="preserve">(e.g., </w:t>
      </w:r>
      <w:r w:rsidR="00822AC8">
        <w:rPr>
          <w:rFonts w:asciiTheme="majorHAnsi" w:hAnsiTheme="majorHAnsi"/>
          <w:color w:val="000000" w:themeColor="text1"/>
          <w:lang w:val="en-US" w:eastAsia="zh-CN"/>
        </w:rPr>
        <w:t>in</w:t>
      </w:r>
      <w:r w:rsidR="00822AC8" w:rsidRPr="00275768">
        <w:rPr>
          <w:rFonts w:asciiTheme="majorHAnsi" w:hAnsiTheme="majorHAnsi"/>
          <w:color w:val="000000" w:themeColor="text1"/>
          <w:lang w:val="en-US" w:eastAsia="zh-CN"/>
        </w:rPr>
        <w:t xml:space="preserve"> month </w:t>
      </w:r>
      <w:r w:rsidR="00822AC8" w:rsidRPr="00682289">
        <w:rPr>
          <w:rFonts w:asciiTheme="majorHAnsi" w:hAnsiTheme="majorHAnsi"/>
          <w:i/>
          <w:color w:val="000000" w:themeColor="text1"/>
          <w:lang w:val="en-US" w:eastAsia="zh-CN"/>
        </w:rPr>
        <w:t>m</w:t>
      </w:r>
      <w:r w:rsidR="00822AC8" w:rsidRPr="00275768">
        <w:rPr>
          <w:rFonts w:asciiTheme="majorHAnsi" w:hAnsiTheme="majorHAnsi"/>
          <w:color w:val="000000" w:themeColor="text1"/>
          <w:lang w:val="en-US" w:eastAsia="zh-CN"/>
        </w:rPr>
        <w:t>)</w:t>
      </w:r>
      <w:r w:rsidR="00F66C6E">
        <w:rPr>
          <w:rFonts w:asciiTheme="majorHAnsi" w:hAnsiTheme="majorHAnsi"/>
          <w:color w:val="000000" w:themeColor="text1"/>
          <w:lang w:val="en-US" w:eastAsia="zh-CN"/>
        </w:rPr>
        <w:t>.</w:t>
      </w:r>
      <w:r w:rsidR="005A14AF">
        <w:rPr>
          <w:rFonts w:asciiTheme="majorHAnsi" w:hAnsiTheme="majorHAnsi"/>
          <w:color w:val="000000" w:themeColor="text1"/>
          <w:lang w:val="en-US" w:eastAsia="zh-CN"/>
        </w:rPr>
        <w:t xml:space="preserve"> </w:t>
      </w:r>
    </w:p>
    <w:p w14:paraId="16982C77" w14:textId="2A03BC2B" w:rsidR="00FA15E3" w:rsidRPr="005D1063" w:rsidRDefault="00FA15E3" w:rsidP="00FA15E3">
      <w:pPr>
        <w:spacing w:after="0" w:line="480" w:lineRule="auto"/>
        <w:jc w:val="both"/>
        <w:rPr>
          <w:rFonts w:asciiTheme="majorHAnsi" w:hAnsiTheme="majorHAnsi"/>
          <w:b/>
          <w:color w:val="000000" w:themeColor="text1"/>
          <w:lang w:val="en-US" w:eastAsia="zh-CN"/>
        </w:rPr>
      </w:pPr>
      <w:r w:rsidRPr="005D1063">
        <w:rPr>
          <w:rFonts w:asciiTheme="majorHAnsi" w:hAnsiTheme="majorHAnsi"/>
          <w:b/>
          <w:color w:val="000000" w:themeColor="text1"/>
          <w:lang w:val="en-US" w:eastAsia="zh-CN"/>
        </w:rPr>
        <w:t>3</w:t>
      </w:r>
      <w:r w:rsidR="00832631" w:rsidRPr="005D1063">
        <w:rPr>
          <w:rFonts w:asciiTheme="majorHAnsi" w:hAnsiTheme="majorHAnsi"/>
          <w:b/>
          <w:color w:val="000000" w:themeColor="text1"/>
          <w:lang w:val="en-US" w:eastAsia="zh-CN"/>
        </w:rPr>
        <w:t>.</w:t>
      </w:r>
      <w:r w:rsidRPr="005D1063">
        <w:rPr>
          <w:rFonts w:asciiTheme="majorHAnsi" w:hAnsiTheme="majorHAnsi"/>
          <w:b/>
          <w:color w:val="000000" w:themeColor="text1"/>
          <w:lang w:val="en-US" w:eastAsia="zh-CN"/>
        </w:rPr>
        <w:t xml:space="preserve"> RESULTS</w:t>
      </w:r>
    </w:p>
    <w:p w14:paraId="66EE956A" w14:textId="77777777" w:rsidR="00FA15E3" w:rsidRPr="00485713" w:rsidRDefault="00FA15E3" w:rsidP="00FA15E3">
      <w:pPr>
        <w:spacing w:after="0" w:line="480" w:lineRule="auto"/>
        <w:jc w:val="both"/>
        <w:rPr>
          <w:rFonts w:asciiTheme="majorHAnsi" w:hAnsiTheme="majorHAnsi"/>
          <w:b/>
          <w:color w:val="000000" w:themeColor="text1"/>
          <w:lang w:val="en-US" w:eastAsia="zh-CN"/>
        </w:rPr>
      </w:pPr>
      <w:r w:rsidRPr="005D1063">
        <w:rPr>
          <w:rFonts w:asciiTheme="majorHAnsi" w:hAnsiTheme="majorHAnsi"/>
          <w:b/>
          <w:color w:val="000000" w:themeColor="text1"/>
          <w:lang w:val="en-US" w:eastAsia="zh-CN"/>
        </w:rPr>
        <w:t>3.1 Descriptive Statistics</w:t>
      </w:r>
    </w:p>
    <w:p w14:paraId="69E6E895" w14:textId="2D00DF0A" w:rsidR="00FA15E3" w:rsidRDefault="00FA15E3" w:rsidP="004D5D9C">
      <w:pPr>
        <w:spacing w:after="0" w:line="480" w:lineRule="auto"/>
        <w:ind w:firstLine="720"/>
        <w:jc w:val="both"/>
        <w:rPr>
          <w:rFonts w:asciiTheme="majorHAnsi" w:hAnsiTheme="majorHAnsi"/>
          <w:lang w:val="en-US"/>
        </w:rPr>
      </w:pPr>
      <w:r>
        <w:rPr>
          <w:rFonts w:asciiTheme="majorHAnsi" w:hAnsiTheme="majorHAnsi"/>
          <w:color w:val="000000" w:themeColor="text1"/>
          <w:lang w:val="en-US" w:eastAsia="zh-CN"/>
        </w:rPr>
        <w:t xml:space="preserve">Table </w:t>
      </w:r>
      <w:r w:rsidR="001D06ED">
        <w:rPr>
          <w:rFonts w:asciiTheme="majorHAnsi" w:hAnsiTheme="majorHAnsi"/>
          <w:color w:val="000000" w:themeColor="text1"/>
          <w:lang w:val="en-US" w:eastAsia="zh-CN"/>
        </w:rPr>
        <w:t xml:space="preserve">II </w:t>
      </w:r>
      <w:r w:rsidR="005F4158">
        <w:rPr>
          <w:rFonts w:asciiTheme="majorHAnsi" w:hAnsiTheme="majorHAnsi"/>
          <w:color w:val="000000" w:themeColor="text1"/>
          <w:lang w:val="en-US" w:eastAsia="zh-CN"/>
        </w:rPr>
        <w:t xml:space="preserve">displays </w:t>
      </w:r>
      <w:r>
        <w:rPr>
          <w:rFonts w:asciiTheme="majorHAnsi" w:hAnsiTheme="majorHAnsi"/>
          <w:color w:val="000000" w:themeColor="text1"/>
          <w:lang w:val="en-US" w:eastAsia="zh-CN"/>
        </w:rPr>
        <w:t>descriptive statistics for all variables included in the model for each year between 2006 and 2010</w:t>
      </w:r>
      <w:r w:rsidR="00FA106C">
        <w:rPr>
          <w:rFonts w:asciiTheme="majorHAnsi" w:hAnsiTheme="majorHAnsi"/>
          <w:color w:val="000000" w:themeColor="text1"/>
          <w:lang w:val="en-US" w:eastAsia="zh-CN"/>
        </w:rPr>
        <w:t xml:space="preserve"> and for the periods prior to 2006 and after 2010</w:t>
      </w:r>
      <w:r>
        <w:rPr>
          <w:rFonts w:asciiTheme="majorHAnsi" w:hAnsiTheme="majorHAnsi"/>
          <w:color w:val="000000" w:themeColor="text1"/>
          <w:lang w:val="en-US" w:eastAsia="zh-CN"/>
        </w:rPr>
        <w:t xml:space="preserve">. </w:t>
      </w:r>
      <w:r w:rsidR="00933BBD">
        <w:rPr>
          <w:rFonts w:asciiTheme="majorHAnsi" w:hAnsiTheme="majorHAnsi"/>
          <w:color w:val="000000" w:themeColor="text1"/>
          <w:lang w:val="en-US" w:eastAsia="zh-CN"/>
        </w:rPr>
        <w:t>The value of each</w:t>
      </w:r>
      <w:r>
        <w:rPr>
          <w:rFonts w:asciiTheme="majorHAnsi" w:hAnsiTheme="majorHAnsi"/>
          <w:color w:val="000000" w:themeColor="text1"/>
          <w:lang w:val="en-US" w:eastAsia="zh-CN"/>
        </w:rPr>
        <w:t xml:space="preserve"> statistic in each </w:t>
      </w:r>
      <w:r w:rsidR="00FA106C">
        <w:rPr>
          <w:rFonts w:asciiTheme="majorHAnsi" w:hAnsiTheme="majorHAnsi"/>
          <w:color w:val="000000" w:themeColor="text1"/>
          <w:lang w:val="en-US" w:eastAsia="zh-CN"/>
        </w:rPr>
        <w:t>period</w:t>
      </w:r>
      <w:r>
        <w:rPr>
          <w:rFonts w:asciiTheme="majorHAnsi" w:hAnsiTheme="majorHAnsi"/>
          <w:color w:val="000000" w:themeColor="text1"/>
          <w:lang w:val="en-US" w:eastAsia="zh-CN"/>
        </w:rPr>
        <w:t xml:space="preserve"> </w:t>
      </w:r>
      <w:r w:rsidR="00933BBD">
        <w:rPr>
          <w:rFonts w:asciiTheme="majorHAnsi" w:hAnsiTheme="majorHAnsi"/>
          <w:color w:val="000000" w:themeColor="text1"/>
          <w:lang w:val="en-US" w:eastAsia="zh-CN"/>
        </w:rPr>
        <w:t xml:space="preserve">is </w:t>
      </w:r>
      <w:r>
        <w:rPr>
          <w:rFonts w:asciiTheme="majorHAnsi" w:hAnsiTheme="majorHAnsi"/>
          <w:color w:val="000000" w:themeColor="text1"/>
          <w:lang w:val="en-US" w:eastAsia="zh-CN"/>
        </w:rPr>
        <w:t xml:space="preserve">compared </w:t>
      </w:r>
      <w:r w:rsidR="00933BBD">
        <w:rPr>
          <w:rFonts w:asciiTheme="majorHAnsi" w:hAnsiTheme="majorHAnsi"/>
          <w:color w:val="000000" w:themeColor="text1"/>
          <w:lang w:val="en-US" w:eastAsia="zh-CN"/>
        </w:rPr>
        <w:t>with</w:t>
      </w:r>
      <w:r>
        <w:rPr>
          <w:rFonts w:asciiTheme="majorHAnsi" w:hAnsiTheme="majorHAnsi"/>
          <w:color w:val="000000" w:themeColor="text1"/>
          <w:lang w:val="en-US" w:eastAsia="zh-CN"/>
        </w:rPr>
        <w:t xml:space="preserve"> the average value for the entire dataset</w:t>
      </w:r>
      <w:r w:rsidR="00933BBD">
        <w:rPr>
          <w:rFonts w:asciiTheme="majorHAnsi" w:hAnsiTheme="majorHAnsi"/>
          <w:color w:val="000000" w:themeColor="text1"/>
          <w:lang w:val="en-US" w:eastAsia="zh-CN"/>
        </w:rPr>
        <w:t>,</w:t>
      </w:r>
      <w:r>
        <w:rPr>
          <w:rFonts w:asciiTheme="majorHAnsi" w:hAnsiTheme="majorHAnsi"/>
          <w:color w:val="000000" w:themeColor="text1"/>
          <w:lang w:val="en-US" w:eastAsia="zh-CN"/>
        </w:rPr>
        <w:t xml:space="preserve"> excluding that </w:t>
      </w:r>
      <w:r w:rsidR="00FA106C">
        <w:rPr>
          <w:rFonts w:asciiTheme="majorHAnsi" w:hAnsiTheme="majorHAnsi"/>
          <w:color w:val="000000" w:themeColor="text1"/>
          <w:lang w:val="en-US" w:eastAsia="zh-CN"/>
        </w:rPr>
        <w:t>period</w:t>
      </w:r>
      <w:r w:rsidR="00933BBD">
        <w:rPr>
          <w:rFonts w:asciiTheme="majorHAnsi" w:hAnsiTheme="majorHAnsi"/>
          <w:color w:val="000000" w:themeColor="text1"/>
          <w:lang w:val="en-US" w:eastAsia="zh-CN"/>
        </w:rPr>
        <w:t xml:space="preserve">, </w:t>
      </w:r>
      <w:r>
        <w:rPr>
          <w:rFonts w:asciiTheme="majorHAnsi" w:hAnsiTheme="majorHAnsi"/>
          <w:color w:val="000000" w:themeColor="text1"/>
          <w:lang w:val="en-US" w:eastAsia="zh-CN"/>
        </w:rPr>
        <w:t xml:space="preserve">to determine if the value is particularly extreme. The </w:t>
      </w:r>
      <w:r w:rsidR="005F4158">
        <w:rPr>
          <w:rFonts w:asciiTheme="majorHAnsi" w:hAnsiTheme="majorHAnsi"/>
          <w:color w:val="000000" w:themeColor="text1"/>
          <w:lang w:val="en-US" w:eastAsia="zh-CN"/>
        </w:rPr>
        <w:t>‘</w:t>
      </w:r>
      <w:r>
        <w:rPr>
          <w:rFonts w:asciiTheme="majorHAnsi" w:hAnsiTheme="majorHAnsi"/>
          <w:color w:val="000000" w:themeColor="text1"/>
          <w:lang w:val="en-US" w:eastAsia="zh-CN"/>
        </w:rPr>
        <w:t>exit rate</w:t>
      </w:r>
      <w:r w:rsidR="005F4158">
        <w:rPr>
          <w:rFonts w:asciiTheme="majorHAnsi" w:hAnsiTheme="majorHAnsi"/>
          <w:color w:val="000000" w:themeColor="text1"/>
          <w:lang w:val="en-US" w:eastAsia="zh-CN"/>
        </w:rPr>
        <w:t>’</w:t>
      </w:r>
      <w:r>
        <w:rPr>
          <w:rFonts w:asciiTheme="majorHAnsi" w:hAnsiTheme="majorHAnsi"/>
          <w:color w:val="000000" w:themeColor="text1"/>
          <w:lang w:val="en-US" w:eastAsia="zh-CN"/>
        </w:rPr>
        <w:t xml:space="preserve"> shows the percentage of </w:t>
      </w:r>
      <w:r w:rsidR="00933BBD">
        <w:rPr>
          <w:rFonts w:asciiTheme="majorHAnsi" w:hAnsiTheme="majorHAnsi"/>
          <w:color w:val="000000" w:themeColor="text1"/>
          <w:lang w:val="en-US" w:eastAsia="zh-CN"/>
        </w:rPr>
        <w:t xml:space="preserve">individuals </w:t>
      </w:r>
      <w:r>
        <w:rPr>
          <w:rFonts w:asciiTheme="majorHAnsi" w:hAnsiTheme="majorHAnsi"/>
          <w:color w:val="000000" w:themeColor="text1"/>
          <w:lang w:val="en-US" w:eastAsia="zh-CN"/>
        </w:rPr>
        <w:t xml:space="preserve">whose last trade was recoded in </w:t>
      </w:r>
      <w:r w:rsidR="009C3B23">
        <w:rPr>
          <w:rFonts w:asciiTheme="majorHAnsi" w:hAnsiTheme="majorHAnsi"/>
          <w:color w:val="000000" w:themeColor="text1"/>
          <w:lang w:val="en-US" w:eastAsia="zh-CN"/>
        </w:rPr>
        <w:t>a given</w:t>
      </w:r>
      <w:r>
        <w:rPr>
          <w:rFonts w:asciiTheme="majorHAnsi" w:hAnsiTheme="majorHAnsi"/>
          <w:color w:val="000000" w:themeColor="text1"/>
          <w:lang w:val="en-US" w:eastAsia="zh-CN"/>
        </w:rPr>
        <w:t xml:space="preserve"> </w:t>
      </w:r>
      <w:r w:rsidR="00FA106C">
        <w:rPr>
          <w:rFonts w:asciiTheme="majorHAnsi" w:hAnsiTheme="majorHAnsi"/>
          <w:color w:val="000000" w:themeColor="text1"/>
          <w:lang w:val="en-US" w:eastAsia="zh-CN"/>
        </w:rPr>
        <w:t>period</w:t>
      </w:r>
      <w:r w:rsidR="009C3B23">
        <w:rPr>
          <w:rFonts w:asciiTheme="majorHAnsi" w:hAnsiTheme="majorHAnsi"/>
          <w:color w:val="000000" w:themeColor="text1"/>
          <w:lang w:val="en-US" w:eastAsia="zh-CN"/>
        </w:rPr>
        <w:t xml:space="preserve"> and this increased significantly</w:t>
      </w:r>
      <w:r>
        <w:rPr>
          <w:rFonts w:asciiTheme="majorHAnsi" w:hAnsiTheme="majorHAnsi"/>
          <w:color w:val="000000" w:themeColor="text1"/>
          <w:lang w:val="en-US" w:eastAsia="zh-CN"/>
        </w:rPr>
        <w:t xml:space="preserve"> in 2008 and 2009</w:t>
      </w:r>
      <w:r w:rsidR="00933BBD">
        <w:rPr>
          <w:rFonts w:asciiTheme="majorHAnsi" w:hAnsiTheme="majorHAnsi"/>
          <w:color w:val="000000" w:themeColor="text1"/>
          <w:lang w:val="en-US" w:eastAsia="zh-CN"/>
        </w:rPr>
        <w:t>,</w:t>
      </w:r>
      <w:r>
        <w:rPr>
          <w:rFonts w:asciiTheme="majorHAnsi" w:hAnsiTheme="majorHAnsi"/>
          <w:color w:val="000000" w:themeColor="text1"/>
          <w:lang w:val="en-US" w:eastAsia="zh-CN"/>
        </w:rPr>
        <w:t xml:space="preserve"> with around 3 in 4 </w:t>
      </w:r>
      <w:r w:rsidR="00933BBD">
        <w:rPr>
          <w:rFonts w:asciiTheme="majorHAnsi" w:hAnsiTheme="majorHAnsi"/>
          <w:color w:val="000000" w:themeColor="text1"/>
          <w:lang w:val="en-US" w:eastAsia="zh-CN"/>
        </w:rPr>
        <w:t xml:space="preserve">individuals </w:t>
      </w:r>
      <w:r>
        <w:rPr>
          <w:rFonts w:asciiTheme="majorHAnsi" w:hAnsiTheme="majorHAnsi"/>
          <w:color w:val="000000" w:themeColor="text1"/>
          <w:lang w:val="en-US" w:eastAsia="zh-CN"/>
        </w:rPr>
        <w:t xml:space="preserve">stopping in 2009. </w:t>
      </w:r>
      <w:r w:rsidR="009C3B23">
        <w:rPr>
          <w:rFonts w:asciiTheme="majorHAnsi" w:hAnsiTheme="majorHAnsi"/>
          <w:color w:val="000000" w:themeColor="text1"/>
          <w:lang w:val="en-US" w:eastAsia="zh-CN"/>
        </w:rPr>
        <w:t xml:space="preserve">Interestingly, </w:t>
      </w:r>
      <w:r w:rsidR="00FA106C">
        <w:rPr>
          <w:rFonts w:asciiTheme="majorHAnsi" w:hAnsiTheme="majorHAnsi"/>
          <w:color w:val="000000" w:themeColor="text1"/>
          <w:lang w:val="en-US" w:eastAsia="zh-CN"/>
        </w:rPr>
        <w:t xml:space="preserve">traders’ </w:t>
      </w:r>
      <w:r>
        <w:rPr>
          <w:rFonts w:asciiTheme="majorHAnsi" w:hAnsiTheme="majorHAnsi"/>
          <w:color w:val="000000" w:themeColor="text1"/>
          <w:lang w:val="en-US" w:eastAsia="zh-CN"/>
        </w:rPr>
        <w:t xml:space="preserve">returns </w:t>
      </w:r>
      <w:r w:rsidR="00FA106C">
        <w:rPr>
          <w:rFonts w:asciiTheme="majorHAnsi" w:hAnsiTheme="majorHAnsi"/>
          <w:color w:val="000000" w:themeColor="text1"/>
          <w:lang w:val="en-US" w:eastAsia="zh-CN"/>
        </w:rPr>
        <w:t xml:space="preserve">were </w:t>
      </w:r>
      <w:r>
        <w:rPr>
          <w:rFonts w:asciiTheme="majorHAnsi" w:hAnsiTheme="majorHAnsi"/>
          <w:color w:val="000000" w:themeColor="text1"/>
          <w:lang w:val="en-US" w:eastAsia="zh-CN"/>
        </w:rPr>
        <w:t>fairly consistent</w:t>
      </w:r>
      <w:r w:rsidR="004F0EA8" w:rsidRPr="004F0EA8">
        <w:rPr>
          <w:rFonts w:asciiTheme="majorHAnsi" w:hAnsiTheme="majorHAnsi"/>
          <w:color w:val="000000" w:themeColor="text1"/>
          <w:lang w:val="en-US" w:eastAsia="zh-CN"/>
        </w:rPr>
        <w:t xml:space="preserve"> </w:t>
      </w:r>
      <w:r w:rsidR="004F0EA8">
        <w:rPr>
          <w:rFonts w:asciiTheme="majorHAnsi" w:hAnsiTheme="majorHAnsi"/>
          <w:color w:val="000000" w:themeColor="text1"/>
          <w:lang w:val="en-US" w:eastAsia="zh-CN"/>
        </w:rPr>
        <w:t>throughout all the years,</w:t>
      </w:r>
      <w:r>
        <w:rPr>
          <w:rFonts w:asciiTheme="majorHAnsi" w:hAnsiTheme="majorHAnsi"/>
          <w:color w:val="000000" w:themeColor="text1"/>
          <w:lang w:val="en-US" w:eastAsia="zh-CN"/>
        </w:rPr>
        <w:t xml:space="preserve"> ranging from an average loss of −5.5% </w:t>
      </w:r>
      <w:r w:rsidR="00FA106C">
        <w:rPr>
          <w:rFonts w:asciiTheme="majorHAnsi" w:hAnsiTheme="majorHAnsi"/>
          <w:color w:val="000000" w:themeColor="text1"/>
          <w:lang w:val="en-US" w:eastAsia="zh-CN"/>
        </w:rPr>
        <w:t>to</w:t>
      </w:r>
      <w:r>
        <w:rPr>
          <w:rFonts w:asciiTheme="majorHAnsi" w:hAnsiTheme="majorHAnsi"/>
          <w:color w:val="000000" w:themeColor="text1"/>
          <w:lang w:val="en-US" w:eastAsia="zh-CN"/>
        </w:rPr>
        <w:t xml:space="preserve"> −3.5% per trade</w:t>
      </w:r>
      <w:r w:rsidR="009311C9">
        <w:rPr>
          <w:rFonts w:asciiTheme="majorHAnsi" w:hAnsiTheme="majorHAnsi"/>
          <w:color w:val="000000" w:themeColor="text1"/>
          <w:lang w:val="en-US" w:eastAsia="zh-CN"/>
        </w:rPr>
        <w:t xml:space="preserve">; values </w:t>
      </w:r>
      <w:r>
        <w:rPr>
          <w:rFonts w:asciiTheme="majorHAnsi" w:hAnsiTheme="majorHAnsi"/>
          <w:color w:val="000000" w:themeColor="text1"/>
          <w:lang w:val="en-US" w:eastAsia="zh-CN"/>
        </w:rPr>
        <w:t xml:space="preserve">consistent with </w:t>
      </w:r>
      <w:r w:rsidR="00854FF7">
        <w:rPr>
          <w:rFonts w:asciiTheme="majorHAnsi" w:hAnsiTheme="majorHAnsi"/>
          <w:color w:val="000000" w:themeColor="text1"/>
          <w:lang w:val="en-US" w:eastAsia="zh-CN"/>
        </w:rPr>
        <w:t xml:space="preserve">research exploring </w:t>
      </w:r>
      <w:r>
        <w:rPr>
          <w:rFonts w:asciiTheme="majorHAnsi" w:hAnsiTheme="majorHAnsi"/>
          <w:lang w:val="en-US"/>
        </w:rPr>
        <w:t>day traders' profitability.</w:t>
      </w:r>
      <w:r w:rsidR="00BA5B92" w:rsidRPr="00275768">
        <w:rPr>
          <w:rFonts w:asciiTheme="majorHAnsi" w:hAnsiTheme="majorHAnsi"/>
          <w:vertAlign w:val="superscript"/>
          <w:lang w:val="en-US"/>
        </w:rPr>
        <w:t>(50)</w:t>
      </w:r>
      <w:r>
        <w:rPr>
          <w:rFonts w:asciiTheme="majorHAnsi" w:hAnsiTheme="majorHAnsi"/>
          <w:lang w:val="en-US"/>
        </w:rPr>
        <w:t xml:space="preserve"> </w:t>
      </w:r>
      <w:r w:rsidR="00FA106C">
        <w:rPr>
          <w:rFonts w:asciiTheme="majorHAnsi" w:hAnsiTheme="majorHAnsi"/>
          <w:lang w:val="en-US"/>
        </w:rPr>
        <w:t xml:space="preserve">The </w:t>
      </w:r>
      <w:r>
        <w:rPr>
          <w:rFonts w:asciiTheme="majorHAnsi" w:hAnsiTheme="majorHAnsi"/>
          <w:lang w:val="en-US"/>
        </w:rPr>
        <w:t xml:space="preserve">consistency of </w:t>
      </w:r>
      <w:r w:rsidR="00FA106C">
        <w:rPr>
          <w:rFonts w:asciiTheme="majorHAnsi" w:hAnsiTheme="majorHAnsi"/>
          <w:lang w:val="en-US"/>
        </w:rPr>
        <w:t xml:space="preserve">traders’ </w:t>
      </w:r>
      <w:r>
        <w:rPr>
          <w:rFonts w:asciiTheme="majorHAnsi" w:hAnsiTheme="majorHAnsi"/>
          <w:lang w:val="en-US"/>
        </w:rPr>
        <w:t>returns is not reflected in the</w:t>
      </w:r>
      <w:r w:rsidR="004F0EA8">
        <w:rPr>
          <w:rFonts w:asciiTheme="majorHAnsi" w:hAnsiTheme="majorHAnsi"/>
          <w:lang w:val="en-US"/>
        </w:rPr>
        <w:t xml:space="preserve"> underlying market returns,</w:t>
      </w:r>
      <w:r>
        <w:rPr>
          <w:rFonts w:asciiTheme="majorHAnsi" w:hAnsiTheme="majorHAnsi"/>
          <w:lang w:val="en-US"/>
        </w:rPr>
        <w:t xml:space="preserve"> which ha</w:t>
      </w:r>
      <w:r w:rsidR="004F0EA8">
        <w:rPr>
          <w:rFonts w:asciiTheme="majorHAnsi" w:hAnsiTheme="majorHAnsi"/>
          <w:lang w:val="en-US"/>
        </w:rPr>
        <w:t>d</w:t>
      </w:r>
      <w:r>
        <w:rPr>
          <w:rFonts w:asciiTheme="majorHAnsi" w:hAnsiTheme="majorHAnsi"/>
          <w:lang w:val="en-US"/>
        </w:rPr>
        <w:t xml:space="preserve"> particularly significant negative </w:t>
      </w:r>
      <w:r w:rsidR="00FA106C">
        <w:rPr>
          <w:rFonts w:asciiTheme="majorHAnsi" w:hAnsiTheme="majorHAnsi"/>
          <w:lang w:val="en-US"/>
        </w:rPr>
        <w:t xml:space="preserve">average daily </w:t>
      </w:r>
      <w:r>
        <w:rPr>
          <w:rFonts w:asciiTheme="majorHAnsi" w:hAnsiTheme="majorHAnsi"/>
          <w:lang w:val="en-US"/>
        </w:rPr>
        <w:t xml:space="preserve">returns in 2008 </w:t>
      </w:r>
      <w:r w:rsidR="004F0EA8">
        <w:rPr>
          <w:rFonts w:asciiTheme="majorHAnsi" w:hAnsiTheme="majorHAnsi"/>
          <w:lang w:val="en-US"/>
        </w:rPr>
        <w:t>(</w:t>
      </w:r>
      <w:r>
        <w:rPr>
          <w:rFonts w:asciiTheme="majorHAnsi" w:hAnsiTheme="majorHAnsi"/>
          <w:color w:val="000000" w:themeColor="text1"/>
          <w:lang w:val="en-US" w:eastAsia="zh-CN"/>
        </w:rPr>
        <w:t>−</w:t>
      </w:r>
      <w:r>
        <w:rPr>
          <w:rFonts w:asciiTheme="majorHAnsi" w:hAnsiTheme="majorHAnsi"/>
          <w:lang w:val="en-US"/>
        </w:rPr>
        <w:t>0.2%</w:t>
      </w:r>
      <w:r w:rsidR="004F0EA8">
        <w:rPr>
          <w:rFonts w:asciiTheme="majorHAnsi" w:hAnsiTheme="majorHAnsi"/>
          <w:lang w:val="en-US"/>
        </w:rPr>
        <w:t>)</w:t>
      </w:r>
      <w:r>
        <w:rPr>
          <w:rFonts w:asciiTheme="majorHAnsi" w:hAnsiTheme="majorHAnsi"/>
          <w:lang w:val="en-US"/>
        </w:rPr>
        <w:t xml:space="preserve">. </w:t>
      </w:r>
      <w:r w:rsidR="00FA106C">
        <w:rPr>
          <w:rFonts w:asciiTheme="majorHAnsi" w:hAnsiTheme="majorHAnsi"/>
          <w:lang w:val="en-US"/>
        </w:rPr>
        <w:t>However, t</w:t>
      </w:r>
      <w:r>
        <w:rPr>
          <w:rFonts w:asciiTheme="majorHAnsi" w:hAnsiTheme="majorHAnsi"/>
          <w:lang w:val="en-US"/>
        </w:rPr>
        <w:t xml:space="preserve">he volatility of trader returns </w:t>
      </w:r>
      <w:r w:rsidR="004F0EA8">
        <w:rPr>
          <w:rFonts w:asciiTheme="majorHAnsi" w:hAnsiTheme="majorHAnsi"/>
          <w:lang w:val="en-US"/>
        </w:rPr>
        <w:t>wa</w:t>
      </w:r>
      <w:r>
        <w:rPr>
          <w:rFonts w:asciiTheme="majorHAnsi" w:hAnsiTheme="majorHAnsi"/>
          <w:lang w:val="en-US"/>
        </w:rPr>
        <w:t xml:space="preserve">s </w:t>
      </w:r>
      <w:r w:rsidR="00857CDD">
        <w:rPr>
          <w:rFonts w:asciiTheme="majorHAnsi" w:hAnsiTheme="majorHAnsi"/>
          <w:lang w:val="en-US"/>
        </w:rPr>
        <w:t xml:space="preserve">significantly </w:t>
      </w:r>
      <w:r>
        <w:rPr>
          <w:rFonts w:asciiTheme="majorHAnsi" w:hAnsiTheme="majorHAnsi"/>
          <w:lang w:val="en-US"/>
        </w:rPr>
        <w:t>higher in 2008</w:t>
      </w:r>
      <w:r w:rsidR="00FA106C">
        <w:rPr>
          <w:rFonts w:asciiTheme="majorHAnsi" w:hAnsiTheme="majorHAnsi"/>
          <w:lang w:val="en-US"/>
        </w:rPr>
        <w:t>,</w:t>
      </w:r>
      <w:r>
        <w:rPr>
          <w:rFonts w:asciiTheme="majorHAnsi" w:hAnsiTheme="majorHAnsi"/>
          <w:lang w:val="en-US"/>
        </w:rPr>
        <w:t xml:space="preserve"> reaching around 14% compared to the 11.6% observed on average across the other </w:t>
      </w:r>
      <w:r w:rsidR="00FA106C">
        <w:rPr>
          <w:rFonts w:asciiTheme="majorHAnsi" w:hAnsiTheme="majorHAnsi"/>
          <w:lang w:val="en-US"/>
        </w:rPr>
        <w:t>periods</w:t>
      </w:r>
      <w:r>
        <w:rPr>
          <w:rFonts w:asciiTheme="majorHAnsi" w:hAnsiTheme="majorHAnsi"/>
          <w:lang w:val="en-US"/>
        </w:rPr>
        <w:t xml:space="preserve">. Interestingly, ROI was no worse in 2008 than at other times and marginally improved in 2009. </w:t>
      </w:r>
      <w:r w:rsidR="00FA106C">
        <w:rPr>
          <w:rFonts w:asciiTheme="majorHAnsi" w:hAnsiTheme="majorHAnsi"/>
          <w:lang w:val="en-US"/>
        </w:rPr>
        <w:t>Traders could limit the impact of volatility by reducing stake size but</w:t>
      </w:r>
      <w:r w:rsidR="00334A6C">
        <w:rPr>
          <w:rFonts w:asciiTheme="majorHAnsi" w:hAnsiTheme="majorHAnsi"/>
          <w:lang w:val="en-US"/>
        </w:rPr>
        <w:t>,</w:t>
      </w:r>
      <w:r w:rsidR="00FA106C">
        <w:rPr>
          <w:rFonts w:asciiTheme="majorHAnsi" w:hAnsiTheme="majorHAnsi"/>
          <w:lang w:val="en-US"/>
        </w:rPr>
        <w:t xml:space="preserve"> </w:t>
      </w:r>
      <w:r>
        <w:rPr>
          <w:rFonts w:asciiTheme="majorHAnsi" w:hAnsiTheme="majorHAnsi"/>
          <w:lang w:val="en-US"/>
        </w:rPr>
        <w:t>surprising</w:t>
      </w:r>
      <w:r w:rsidR="00FA106C">
        <w:rPr>
          <w:rFonts w:asciiTheme="majorHAnsi" w:hAnsiTheme="majorHAnsi"/>
          <w:lang w:val="en-US"/>
        </w:rPr>
        <w:t>ly</w:t>
      </w:r>
      <w:r w:rsidR="00334A6C">
        <w:rPr>
          <w:rFonts w:asciiTheme="majorHAnsi" w:hAnsiTheme="majorHAnsi"/>
          <w:lang w:val="en-US"/>
        </w:rPr>
        <w:t>,</w:t>
      </w:r>
      <w:r>
        <w:rPr>
          <w:rFonts w:asciiTheme="majorHAnsi" w:hAnsiTheme="majorHAnsi"/>
          <w:lang w:val="en-US"/>
        </w:rPr>
        <w:t xml:space="preserve"> there is little evidence of any reduction despite the </w:t>
      </w:r>
      <w:r w:rsidR="00FA106C">
        <w:rPr>
          <w:rFonts w:asciiTheme="majorHAnsi" w:hAnsiTheme="majorHAnsi"/>
          <w:lang w:val="en-US"/>
        </w:rPr>
        <w:t xml:space="preserve">increased </w:t>
      </w:r>
      <w:r>
        <w:rPr>
          <w:rFonts w:asciiTheme="majorHAnsi" w:hAnsiTheme="majorHAnsi"/>
          <w:lang w:val="en-US"/>
        </w:rPr>
        <w:t xml:space="preserve">volatility. Similarly, </w:t>
      </w:r>
      <w:r w:rsidR="00C901B1">
        <w:rPr>
          <w:rFonts w:asciiTheme="majorHAnsi" w:hAnsiTheme="majorHAnsi"/>
          <w:lang w:val="en-US"/>
        </w:rPr>
        <w:t xml:space="preserve">individuals </w:t>
      </w:r>
      <w:r>
        <w:rPr>
          <w:rFonts w:asciiTheme="majorHAnsi" w:hAnsiTheme="majorHAnsi"/>
          <w:lang w:val="en-US"/>
        </w:rPr>
        <w:t xml:space="preserve">could have reduced their trade frequency to reduce their </w:t>
      </w:r>
      <w:r w:rsidR="009311C9">
        <w:rPr>
          <w:rFonts w:asciiTheme="majorHAnsi" w:hAnsiTheme="majorHAnsi"/>
          <w:lang w:val="en-US"/>
        </w:rPr>
        <w:t xml:space="preserve">risk </w:t>
      </w:r>
      <w:r>
        <w:rPr>
          <w:rFonts w:asciiTheme="majorHAnsi" w:hAnsiTheme="majorHAnsi"/>
          <w:lang w:val="en-US"/>
        </w:rPr>
        <w:t>exposure</w:t>
      </w:r>
      <w:r w:rsidR="00FA106C">
        <w:rPr>
          <w:rFonts w:asciiTheme="majorHAnsi" w:hAnsiTheme="majorHAnsi"/>
          <w:lang w:val="en-US"/>
        </w:rPr>
        <w:t xml:space="preserve">. However, </w:t>
      </w:r>
      <w:r>
        <w:rPr>
          <w:rFonts w:asciiTheme="majorHAnsi" w:hAnsiTheme="majorHAnsi"/>
          <w:lang w:val="en-US"/>
        </w:rPr>
        <w:t>in 2008 trade frequency</w:t>
      </w:r>
      <w:r w:rsidR="00FA106C">
        <w:rPr>
          <w:rFonts w:asciiTheme="majorHAnsi" w:hAnsiTheme="majorHAnsi"/>
          <w:lang w:val="en-US"/>
        </w:rPr>
        <w:t xml:space="preserve"> increased</w:t>
      </w:r>
      <w:r w:rsidR="004F0EA8">
        <w:rPr>
          <w:rFonts w:asciiTheme="majorHAnsi" w:hAnsiTheme="majorHAnsi"/>
          <w:lang w:val="en-US"/>
        </w:rPr>
        <w:t>,</w:t>
      </w:r>
      <w:r w:rsidR="004F518D">
        <w:rPr>
          <w:rFonts w:asciiTheme="majorHAnsi" w:hAnsiTheme="majorHAnsi"/>
          <w:lang w:val="en-US"/>
        </w:rPr>
        <w:t xml:space="preserve"> which</w:t>
      </w:r>
      <w:r>
        <w:rPr>
          <w:rFonts w:asciiTheme="majorHAnsi" w:hAnsiTheme="majorHAnsi"/>
          <w:lang w:val="en-US"/>
        </w:rPr>
        <w:t xml:space="preserve"> echoes </w:t>
      </w:r>
      <w:r w:rsidR="00854FF7">
        <w:rPr>
          <w:rFonts w:asciiTheme="majorHAnsi" w:hAnsiTheme="majorHAnsi"/>
          <w:lang w:val="en-US"/>
        </w:rPr>
        <w:t xml:space="preserve">previous findings </w:t>
      </w:r>
      <w:r>
        <w:rPr>
          <w:rFonts w:asciiTheme="majorHAnsi" w:hAnsiTheme="majorHAnsi"/>
          <w:lang w:val="en-US"/>
        </w:rPr>
        <w:t xml:space="preserve">that individual investors in equity markets continued to trade actively </w:t>
      </w:r>
      <w:r w:rsidR="009311C9">
        <w:rPr>
          <w:rFonts w:asciiTheme="majorHAnsi" w:hAnsiTheme="majorHAnsi"/>
          <w:lang w:val="en-US"/>
        </w:rPr>
        <w:t xml:space="preserve">throughout the crisis </w:t>
      </w:r>
      <w:r>
        <w:rPr>
          <w:rFonts w:asciiTheme="majorHAnsi" w:hAnsiTheme="majorHAnsi"/>
          <w:lang w:val="en-US"/>
        </w:rPr>
        <w:t xml:space="preserve">and did not </w:t>
      </w:r>
      <w:r w:rsidR="00FA106C">
        <w:rPr>
          <w:rFonts w:asciiTheme="majorHAnsi" w:hAnsiTheme="majorHAnsi"/>
          <w:lang w:val="en-US"/>
        </w:rPr>
        <w:t>reduce the risk of</w:t>
      </w:r>
      <w:r>
        <w:rPr>
          <w:rFonts w:asciiTheme="majorHAnsi" w:hAnsiTheme="majorHAnsi"/>
          <w:lang w:val="en-US"/>
        </w:rPr>
        <w:t xml:space="preserve"> their investment portfolios</w:t>
      </w:r>
      <w:r w:rsidR="004F518D">
        <w:rPr>
          <w:rFonts w:asciiTheme="majorHAnsi" w:hAnsiTheme="majorHAnsi"/>
          <w:lang w:val="en-US"/>
        </w:rPr>
        <w:t>.</w:t>
      </w:r>
      <w:r w:rsidR="004F518D" w:rsidRPr="00275768">
        <w:rPr>
          <w:rFonts w:asciiTheme="majorHAnsi" w:hAnsiTheme="majorHAnsi"/>
          <w:vertAlign w:val="superscript"/>
          <w:lang w:val="en-US"/>
        </w:rPr>
        <w:t>(51)</w:t>
      </w:r>
      <w:r w:rsidR="00854FF7">
        <w:rPr>
          <w:rFonts w:asciiTheme="majorHAnsi" w:hAnsiTheme="majorHAnsi"/>
          <w:lang w:val="en-US"/>
        </w:rPr>
        <w:t xml:space="preserve"> </w:t>
      </w:r>
      <w:r w:rsidR="009311C9">
        <w:rPr>
          <w:rFonts w:asciiTheme="majorHAnsi" w:hAnsiTheme="majorHAnsi"/>
          <w:lang w:val="en-US"/>
        </w:rPr>
        <w:t>However,</w:t>
      </w:r>
      <w:r w:rsidR="009311C9" w:rsidRPr="009311C9">
        <w:rPr>
          <w:rFonts w:asciiTheme="majorHAnsi" w:hAnsiTheme="majorHAnsi"/>
          <w:lang w:val="en-US"/>
        </w:rPr>
        <w:t xml:space="preserve"> </w:t>
      </w:r>
      <w:r w:rsidR="004F0EA8">
        <w:rPr>
          <w:rFonts w:asciiTheme="majorHAnsi" w:hAnsiTheme="majorHAnsi"/>
          <w:lang w:val="en-US"/>
        </w:rPr>
        <w:t xml:space="preserve">the fact that </w:t>
      </w:r>
      <w:r w:rsidR="009311C9">
        <w:rPr>
          <w:rFonts w:asciiTheme="majorHAnsi" w:hAnsiTheme="majorHAnsi"/>
          <w:lang w:val="en-US"/>
        </w:rPr>
        <w:t>stake sizes remained constant and</w:t>
      </w:r>
      <w:r>
        <w:rPr>
          <w:rFonts w:asciiTheme="majorHAnsi" w:hAnsiTheme="majorHAnsi"/>
          <w:lang w:val="en-US"/>
        </w:rPr>
        <w:t xml:space="preserve"> </w:t>
      </w:r>
      <w:r w:rsidR="004F0EA8">
        <w:rPr>
          <w:rFonts w:asciiTheme="majorHAnsi" w:hAnsiTheme="majorHAnsi"/>
          <w:lang w:val="en-US"/>
        </w:rPr>
        <w:t xml:space="preserve">position </w:t>
      </w:r>
      <w:r>
        <w:rPr>
          <w:rFonts w:asciiTheme="majorHAnsi" w:hAnsiTheme="majorHAnsi"/>
          <w:lang w:val="en-US"/>
        </w:rPr>
        <w:t>holding time</w:t>
      </w:r>
      <w:r w:rsidR="004F0EA8">
        <w:rPr>
          <w:rFonts w:asciiTheme="majorHAnsi" w:hAnsiTheme="majorHAnsi"/>
          <w:lang w:val="en-US"/>
        </w:rPr>
        <w:t>s</w:t>
      </w:r>
      <w:r w:rsidR="009311C9">
        <w:rPr>
          <w:rFonts w:asciiTheme="majorHAnsi" w:hAnsiTheme="majorHAnsi"/>
          <w:lang w:val="en-US"/>
        </w:rPr>
        <w:t xml:space="preserve"> were lower </w:t>
      </w:r>
      <w:r w:rsidR="004F0EA8">
        <w:rPr>
          <w:rFonts w:asciiTheme="majorHAnsi" w:hAnsiTheme="majorHAnsi"/>
          <w:lang w:val="en-US"/>
        </w:rPr>
        <w:t>between</w:t>
      </w:r>
      <w:r w:rsidR="00FA106C">
        <w:rPr>
          <w:rFonts w:asciiTheme="majorHAnsi" w:hAnsiTheme="majorHAnsi"/>
          <w:lang w:val="en-US"/>
        </w:rPr>
        <w:t xml:space="preserve"> </w:t>
      </w:r>
      <w:r>
        <w:rPr>
          <w:rFonts w:asciiTheme="majorHAnsi" w:hAnsiTheme="majorHAnsi"/>
          <w:lang w:val="en-US"/>
        </w:rPr>
        <w:t xml:space="preserve">2007 </w:t>
      </w:r>
      <w:r w:rsidR="004F0EA8">
        <w:rPr>
          <w:rFonts w:asciiTheme="majorHAnsi" w:hAnsiTheme="majorHAnsi"/>
          <w:lang w:val="en-US"/>
        </w:rPr>
        <w:t>and</w:t>
      </w:r>
      <w:r>
        <w:rPr>
          <w:rFonts w:asciiTheme="majorHAnsi" w:hAnsiTheme="majorHAnsi"/>
          <w:lang w:val="en-US"/>
        </w:rPr>
        <w:t xml:space="preserve"> 2009 </w:t>
      </w:r>
      <w:r w:rsidR="004F0EA8">
        <w:rPr>
          <w:rFonts w:asciiTheme="majorHAnsi" w:hAnsiTheme="majorHAnsi"/>
          <w:lang w:val="en-US"/>
        </w:rPr>
        <w:t>suggests that</w:t>
      </w:r>
      <w:r w:rsidR="00F42990">
        <w:rPr>
          <w:rFonts w:asciiTheme="majorHAnsi" w:hAnsiTheme="majorHAnsi"/>
          <w:lang w:val="en-US"/>
        </w:rPr>
        <w:t xml:space="preserve"> the</w:t>
      </w:r>
      <w:r>
        <w:rPr>
          <w:rFonts w:asciiTheme="majorHAnsi" w:hAnsiTheme="majorHAnsi"/>
          <w:lang w:val="en-US"/>
        </w:rPr>
        <w:t xml:space="preserve"> </w:t>
      </w:r>
      <w:r w:rsidR="00F42990">
        <w:rPr>
          <w:rFonts w:asciiTheme="majorHAnsi" w:hAnsiTheme="majorHAnsi"/>
          <w:lang w:val="en-US"/>
        </w:rPr>
        <w:t xml:space="preserve">greater </w:t>
      </w:r>
      <w:r>
        <w:rPr>
          <w:rFonts w:asciiTheme="majorHAnsi" w:hAnsiTheme="majorHAnsi"/>
          <w:lang w:val="en-US"/>
        </w:rPr>
        <w:t>volatility increased the rate at which price</w:t>
      </w:r>
      <w:r w:rsidR="00A867B3">
        <w:rPr>
          <w:rFonts w:asciiTheme="majorHAnsi" w:hAnsiTheme="majorHAnsi"/>
          <w:lang w:val="en-US"/>
        </w:rPr>
        <w:t xml:space="preserve"> changes</w:t>
      </w:r>
      <w:r>
        <w:rPr>
          <w:rFonts w:asciiTheme="majorHAnsi" w:hAnsiTheme="majorHAnsi"/>
          <w:lang w:val="en-US"/>
        </w:rPr>
        <w:t xml:space="preserve"> met the traders</w:t>
      </w:r>
      <w:r w:rsidR="00334A6C">
        <w:rPr>
          <w:rFonts w:asciiTheme="majorHAnsi" w:hAnsiTheme="majorHAnsi"/>
          <w:lang w:val="en-US"/>
        </w:rPr>
        <w:t>’</w:t>
      </w:r>
      <w:r>
        <w:rPr>
          <w:rFonts w:asciiTheme="majorHAnsi" w:hAnsiTheme="majorHAnsi"/>
          <w:lang w:val="en-US"/>
        </w:rPr>
        <w:t xml:space="preserve"> </w:t>
      </w:r>
      <w:r w:rsidR="007157CD">
        <w:rPr>
          <w:rFonts w:asciiTheme="majorHAnsi" w:hAnsiTheme="majorHAnsi"/>
          <w:lang w:val="en-US"/>
        </w:rPr>
        <w:t xml:space="preserve">profit/loss </w:t>
      </w:r>
      <w:r>
        <w:rPr>
          <w:rFonts w:asciiTheme="majorHAnsi" w:hAnsiTheme="majorHAnsi"/>
          <w:lang w:val="en-US"/>
        </w:rPr>
        <w:t xml:space="preserve">expectations for </w:t>
      </w:r>
      <w:r w:rsidR="00F42990">
        <w:rPr>
          <w:rFonts w:asciiTheme="majorHAnsi" w:hAnsiTheme="majorHAnsi"/>
          <w:lang w:val="en-US"/>
        </w:rPr>
        <w:t xml:space="preserve">position </w:t>
      </w:r>
      <w:r>
        <w:rPr>
          <w:rFonts w:asciiTheme="majorHAnsi" w:hAnsiTheme="majorHAnsi"/>
          <w:lang w:val="en-US"/>
        </w:rPr>
        <w:t xml:space="preserve">closure. </w:t>
      </w:r>
      <w:bookmarkStart w:id="9" w:name="_Hlk520298327"/>
      <w:r w:rsidR="004D5D9C">
        <w:rPr>
          <w:rFonts w:asciiTheme="majorHAnsi" w:hAnsiTheme="majorHAnsi"/>
          <w:lang w:val="en-US"/>
        </w:rPr>
        <w:t xml:space="preserve">These </w:t>
      </w:r>
      <w:r w:rsidR="003F780F">
        <w:rPr>
          <w:rFonts w:asciiTheme="majorHAnsi" w:hAnsiTheme="majorHAnsi"/>
          <w:lang w:val="en-US"/>
        </w:rPr>
        <w:t>mean hold</w:t>
      </w:r>
      <w:r w:rsidR="006B55AB">
        <w:rPr>
          <w:rFonts w:asciiTheme="majorHAnsi" w:hAnsiTheme="majorHAnsi"/>
          <w:lang w:val="en-US"/>
        </w:rPr>
        <w:t>ing</w:t>
      </w:r>
      <w:r w:rsidR="003F780F">
        <w:rPr>
          <w:rFonts w:asciiTheme="majorHAnsi" w:hAnsiTheme="majorHAnsi"/>
          <w:lang w:val="en-US"/>
        </w:rPr>
        <w:t xml:space="preserve"> times </w:t>
      </w:r>
      <w:r w:rsidR="004D5D9C">
        <w:rPr>
          <w:rFonts w:asciiTheme="majorHAnsi" w:hAnsiTheme="majorHAnsi"/>
          <w:lang w:val="en-US"/>
        </w:rPr>
        <w:t>should be considered alongside the knowledge that they follow a long-tailed distribution and that r</w:t>
      </w:r>
      <w:r w:rsidR="003F780F">
        <w:rPr>
          <w:rFonts w:asciiTheme="majorHAnsi" w:hAnsiTheme="majorHAnsi"/>
          <w:color w:val="000000" w:themeColor="text1"/>
          <w:lang w:val="en-US" w:eastAsia="zh-CN"/>
        </w:rPr>
        <w:t>etail investors in these markets are</w:t>
      </w:r>
      <w:r w:rsidR="004D5D9C">
        <w:rPr>
          <w:rFonts w:asciiTheme="majorHAnsi" w:hAnsiTheme="majorHAnsi"/>
          <w:color w:val="000000" w:themeColor="text1"/>
          <w:lang w:val="en-US" w:eastAsia="zh-CN"/>
        </w:rPr>
        <w:t xml:space="preserve"> actually</w:t>
      </w:r>
      <w:r w:rsidR="003F780F">
        <w:rPr>
          <w:rFonts w:asciiTheme="majorHAnsi" w:hAnsiTheme="majorHAnsi"/>
          <w:color w:val="000000" w:themeColor="text1"/>
          <w:lang w:val="en-US" w:eastAsia="zh-CN"/>
        </w:rPr>
        <w:t xml:space="preserve"> more akin to day-traders than long term investors. Indeed, 69.9% of the traders in our sample had a median trade duration of </w:t>
      </w:r>
      <w:r w:rsidR="004D5D9C">
        <w:rPr>
          <w:rFonts w:asciiTheme="majorHAnsi" w:hAnsiTheme="majorHAnsi"/>
          <w:color w:val="000000" w:themeColor="text1"/>
          <w:lang w:val="en-US" w:eastAsia="zh-CN"/>
        </w:rPr>
        <w:t>less</w:t>
      </w:r>
      <w:r w:rsidR="003F780F">
        <w:rPr>
          <w:rFonts w:asciiTheme="majorHAnsi" w:hAnsiTheme="majorHAnsi"/>
          <w:color w:val="000000" w:themeColor="text1"/>
          <w:lang w:val="en-US" w:eastAsia="zh-CN"/>
        </w:rPr>
        <w:t xml:space="preserve"> than one hour, 24.1% had a median hold</w:t>
      </w:r>
      <w:r w:rsidR="006B55AB">
        <w:rPr>
          <w:rFonts w:asciiTheme="majorHAnsi" w:hAnsiTheme="majorHAnsi"/>
          <w:color w:val="000000" w:themeColor="text1"/>
          <w:lang w:val="en-US" w:eastAsia="zh-CN"/>
        </w:rPr>
        <w:t>ing</w:t>
      </w:r>
      <w:r w:rsidR="003F780F">
        <w:rPr>
          <w:rFonts w:asciiTheme="majorHAnsi" w:hAnsiTheme="majorHAnsi"/>
          <w:color w:val="000000" w:themeColor="text1"/>
          <w:lang w:val="en-US" w:eastAsia="zh-CN"/>
        </w:rPr>
        <w:t xml:space="preserve"> time </w:t>
      </w:r>
      <w:r w:rsidR="004D5D9C">
        <w:rPr>
          <w:rFonts w:asciiTheme="majorHAnsi" w:hAnsiTheme="majorHAnsi"/>
          <w:color w:val="000000" w:themeColor="text1"/>
          <w:lang w:val="en-US" w:eastAsia="zh-CN"/>
        </w:rPr>
        <w:t>longer</w:t>
      </w:r>
      <w:r w:rsidR="003F780F">
        <w:rPr>
          <w:rFonts w:asciiTheme="majorHAnsi" w:hAnsiTheme="majorHAnsi"/>
          <w:color w:val="000000" w:themeColor="text1"/>
          <w:lang w:val="en-US" w:eastAsia="zh-CN"/>
        </w:rPr>
        <w:t xml:space="preserve"> than one hour but less than 24 hours, and only 5.9% </w:t>
      </w:r>
      <w:r w:rsidR="006B55AB">
        <w:rPr>
          <w:rFonts w:asciiTheme="majorHAnsi" w:hAnsiTheme="majorHAnsi"/>
          <w:color w:val="000000" w:themeColor="text1"/>
          <w:lang w:val="en-US" w:eastAsia="zh-CN"/>
        </w:rPr>
        <w:t>had a median</w:t>
      </w:r>
      <w:r w:rsidR="004D5D9C">
        <w:rPr>
          <w:rFonts w:asciiTheme="majorHAnsi" w:hAnsiTheme="majorHAnsi"/>
          <w:color w:val="000000" w:themeColor="text1"/>
          <w:lang w:val="en-US" w:eastAsia="zh-CN"/>
        </w:rPr>
        <w:t xml:space="preserve"> </w:t>
      </w:r>
      <w:r w:rsidR="006B55AB">
        <w:rPr>
          <w:rFonts w:asciiTheme="majorHAnsi" w:hAnsiTheme="majorHAnsi"/>
          <w:color w:val="000000" w:themeColor="text1"/>
          <w:lang w:val="en-US" w:eastAsia="zh-CN"/>
        </w:rPr>
        <w:t xml:space="preserve">holding time </w:t>
      </w:r>
      <w:r w:rsidR="004D5D9C">
        <w:rPr>
          <w:rFonts w:asciiTheme="majorHAnsi" w:hAnsiTheme="majorHAnsi"/>
          <w:color w:val="000000" w:themeColor="text1"/>
          <w:lang w:val="en-US" w:eastAsia="zh-CN"/>
        </w:rPr>
        <w:t>longer</w:t>
      </w:r>
      <w:r w:rsidR="003F780F">
        <w:rPr>
          <w:rFonts w:asciiTheme="majorHAnsi" w:hAnsiTheme="majorHAnsi"/>
          <w:color w:val="000000" w:themeColor="text1"/>
          <w:lang w:val="en-US" w:eastAsia="zh-CN"/>
        </w:rPr>
        <w:t xml:space="preserve"> than 24 hours.</w:t>
      </w:r>
    </w:p>
    <w:bookmarkEnd w:id="9"/>
    <w:p w14:paraId="770100EE" w14:textId="41424AEE" w:rsidR="00066A97" w:rsidRPr="007B2416" w:rsidRDefault="00066A97" w:rsidP="00DC568D">
      <w:pPr>
        <w:spacing w:after="0" w:line="480" w:lineRule="auto"/>
        <w:ind w:left="2160" w:firstLine="720"/>
        <w:rPr>
          <w:rFonts w:asciiTheme="majorHAnsi" w:hAnsiTheme="majorHAnsi"/>
          <w:lang w:val="en-US"/>
        </w:rPr>
      </w:pPr>
      <w:r>
        <w:rPr>
          <w:rFonts w:asciiTheme="majorHAnsi" w:hAnsiTheme="majorHAnsi"/>
          <w:lang w:val="en-US"/>
        </w:rPr>
        <w:t xml:space="preserve">[Table </w:t>
      </w:r>
      <w:r w:rsidR="001D06ED">
        <w:rPr>
          <w:rFonts w:asciiTheme="majorHAnsi" w:hAnsiTheme="majorHAnsi"/>
          <w:lang w:val="en-US"/>
        </w:rPr>
        <w:t xml:space="preserve">II </w:t>
      </w:r>
      <w:r w:rsidR="00B36B2B">
        <w:rPr>
          <w:rFonts w:asciiTheme="majorHAnsi" w:hAnsiTheme="majorHAnsi"/>
          <w:lang w:val="en-US"/>
        </w:rPr>
        <w:t>about</w:t>
      </w:r>
      <w:r>
        <w:rPr>
          <w:rFonts w:asciiTheme="majorHAnsi" w:hAnsiTheme="majorHAnsi"/>
          <w:lang w:val="en-US"/>
        </w:rPr>
        <w:t xml:space="preserve"> here]</w:t>
      </w:r>
    </w:p>
    <w:p w14:paraId="5A759D9B" w14:textId="42D0796E" w:rsidR="00FA15E3" w:rsidRDefault="00FA15E3" w:rsidP="0049512D">
      <w:pPr>
        <w:spacing w:after="0" w:line="480" w:lineRule="auto"/>
        <w:ind w:firstLine="720"/>
        <w:jc w:val="both"/>
        <w:rPr>
          <w:rFonts w:asciiTheme="majorHAnsi" w:hAnsiTheme="majorHAnsi"/>
          <w:lang w:val="en-US"/>
        </w:rPr>
      </w:pPr>
      <w:r>
        <w:rPr>
          <w:rFonts w:asciiTheme="majorHAnsi" w:hAnsiTheme="majorHAnsi"/>
          <w:lang w:val="en-US"/>
        </w:rPr>
        <w:t xml:space="preserve">Overall, the </w:t>
      </w:r>
      <w:r w:rsidR="00334A6C">
        <w:rPr>
          <w:rFonts w:asciiTheme="majorHAnsi" w:hAnsiTheme="majorHAnsi"/>
          <w:lang w:val="en-US"/>
        </w:rPr>
        <w:t>descriptive statistics</w:t>
      </w:r>
      <w:r>
        <w:rPr>
          <w:rFonts w:asciiTheme="majorHAnsi" w:hAnsiTheme="majorHAnsi"/>
          <w:lang w:val="en-US"/>
        </w:rPr>
        <w:t xml:space="preserve"> suggest that </w:t>
      </w:r>
      <w:r w:rsidR="00F42990">
        <w:rPr>
          <w:rFonts w:asciiTheme="majorHAnsi" w:hAnsiTheme="majorHAnsi"/>
          <w:lang w:val="en-US"/>
        </w:rPr>
        <w:t xml:space="preserve">individuals </w:t>
      </w:r>
      <w:r>
        <w:rPr>
          <w:rFonts w:asciiTheme="majorHAnsi" w:hAnsiTheme="majorHAnsi"/>
          <w:lang w:val="en-US"/>
        </w:rPr>
        <w:t xml:space="preserve">were most </w:t>
      </w:r>
      <w:r w:rsidR="00F42990">
        <w:rPr>
          <w:rFonts w:asciiTheme="majorHAnsi" w:hAnsiTheme="majorHAnsi"/>
          <w:lang w:val="en-US"/>
        </w:rPr>
        <w:t>li</w:t>
      </w:r>
      <w:r w:rsidR="007157CD">
        <w:rPr>
          <w:rFonts w:asciiTheme="majorHAnsi" w:hAnsiTheme="majorHAnsi"/>
          <w:lang w:val="en-US"/>
        </w:rPr>
        <w:t xml:space="preserve">kely to cease trading </w:t>
      </w:r>
      <w:r w:rsidR="009F128C">
        <w:rPr>
          <w:rFonts w:asciiTheme="majorHAnsi" w:hAnsiTheme="majorHAnsi"/>
          <w:lang w:val="en-US"/>
        </w:rPr>
        <w:t>i</w:t>
      </w:r>
      <w:r w:rsidR="007157CD">
        <w:rPr>
          <w:rFonts w:asciiTheme="majorHAnsi" w:hAnsiTheme="majorHAnsi"/>
          <w:lang w:val="en-US"/>
        </w:rPr>
        <w:t xml:space="preserve">n 2008 and 2009. </w:t>
      </w:r>
      <w:r w:rsidR="00F42990">
        <w:rPr>
          <w:rFonts w:asciiTheme="majorHAnsi" w:hAnsiTheme="majorHAnsi"/>
          <w:lang w:val="en-US"/>
        </w:rPr>
        <w:t xml:space="preserve"> However, </w:t>
      </w:r>
      <w:r>
        <w:rPr>
          <w:rFonts w:asciiTheme="majorHAnsi" w:hAnsiTheme="majorHAnsi"/>
          <w:lang w:val="en-US"/>
        </w:rPr>
        <w:t>other than a</w:t>
      </w:r>
      <w:r w:rsidR="00A92ED3">
        <w:rPr>
          <w:rFonts w:asciiTheme="majorHAnsi" w:hAnsiTheme="majorHAnsi"/>
          <w:lang w:val="en-US"/>
        </w:rPr>
        <w:t>n</w:t>
      </w:r>
      <w:r>
        <w:rPr>
          <w:rFonts w:asciiTheme="majorHAnsi" w:hAnsiTheme="majorHAnsi"/>
          <w:lang w:val="en-US"/>
        </w:rPr>
        <w:t xml:space="preserve"> increase in return volatility in 2008, profitability </w:t>
      </w:r>
      <w:r w:rsidR="007157CD">
        <w:rPr>
          <w:rFonts w:asciiTheme="majorHAnsi" w:hAnsiTheme="majorHAnsi"/>
          <w:lang w:val="en-US"/>
        </w:rPr>
        <w:t>did not appear to be</w:t>
      </w:r>
      <w:r>
        <w:rPr>
          <w:rFonts w:asciiTheme="majorHAnsi" w:hAnsiTheme="majorHAnsi"/>
          <w:lang w:val="en-US"/>
        </w:rPr>
        <w:t xml:space="preserve"> significantly worse during this period.</w:t>
      </w:r>
      <w:r w:rsidR="00CF10CF">
        <w:rPr>
          <w:rFonts w:asciiTheme="majorHAnsi" w:hAnsiTheme="majorHAnsi"/>
          <w:lang w:val="en-US"/>
        </w:rPr>
        <w:t xml:space="preserve"> </w:t>
      </w:r>
      <w:r w:rsidR="004F0EA8">
        <w:rPr>
          <w:rFonts w:asciiTheme="majorHAnsi" w:hAnsiTheme="majorHAnsi"/>
          <w:lang w:val="en-US"/>
        </w:rPr>
        <w:t xml:space="preserve">Consequently, </w:t>
      </w:r>
      <w:r>
        <w:rPr>
          <w:rFonts w:asciiTheme="majorHAnsi" w:hAnsiTheme="majorHAnsi"/>
          <w:lang w:val="en-US"/>
        </w:rPr>
        <w:t xml:space="preserve">to examine </w:t>
      </w:r>
      <w:r w:rsidR="00F42990">
        <w:rPr>
          <w:rFonts w:asciiTheme="majorHAnsi" w:hAnsiTheme="majorHAnsi"/>
          <w:lang w:val="en-US"/>
        </w:rPr>
        <w:t xml:space="preserve">the factors </w:t>
      </w:r>
      <w:r w:rsidR="00A417BC">
        <w:rPr>
          <w:rFonts w:asciiTheme="majorHAnsi" w:hAnsiTheme="majorHAnsi"/>
          <w:lang w:val="en-US"/>
        </w:rPr>
        <w:t xml:space="preserve">that </w:t>
      </w:r>
      <w:r w:rsidR="00F42990">
        <w:rPr>
          <w:rFonts w:asciiTheme="majorHAnsi" w:hAnsiTheme="majorHAnsi"/>
          <w:lang w:val="en-US"/>
        </w:rPr>
        <w:t>influenced individuals’ decisions to cease trading</w:t>
      </w:r>
      <w:r w:rsidR="00334A6C">
        <w:rPr>
          <w:rFonts w:asciiTheme="majorHAnsi" w:hAnsiTheme="majorHAnsi"/>
          <w:lang w:val="en-US"/>
        </w:rPr>
        <w:t>,</w:t>
      </w:r>
      <w:r w:rsidR="00D56311">
        <w:rPr>
          <w:rFonts w:asciiTheme="majorHAnsi" w:hAnsiTheme="majorHAnsi"/>
          <w:lang w:val="en-US"/>
        </w:rPr>
        <w:t xml:space="preserve"> </w:t>
      </w:r>
      <w:r w:rsidR="00E713B8">
        <w:rPr>
          <w:rFonts w:asciiTheme="majorHAnsi" w:hAnsiTheme="majorHAnsi"/>
          <w:lang w:val="en-US"/>
        </w:rPr>
        <w:t>we</w:t>
      </w:r>
      <w:r>
        <w:rPr>
          <w:rFonts w:asciiTheme="majorHAnsi" w:hAnsiTheme="majorHAnsi"/>
          <w:lang w:val="en-US"/>
        </w:rPr>
        <w:t xml:space="preserve"> examine</w:t>
      </w:r>
      <w:r w:rsidR="00E713B8">
        <w:rPr>
          <w:rFonts w:asciiTheme="majorHAnsi" w:hAnsiTheme="majorHAnsi"/>
          <w:lang w:val="en-US"/>
        </w:rPr>
        <w:t>d</w:t>
      </w:r>
      <w:r>
        <w:rPr>
          <w:rFonts w:asciiTheme="majorHAnsi" w:hAnsiTheme="majorHAnsi"/>
          <w:lang w:val="en-US"/>
        </w:rPr>
        <w:t xml:space="preserve"> the results of </w:t>
      </w:r>
      <w:r w:rsidR="00F42990">
        <w:rPr>
          <w:rFonts w:asciiTheme="majorHAnsi" w:hAnsiTheme="majorHAnsi"/>
          <w:lang w:val="en-US"/>
        </w:rPr>
        <w:t xml:space="preserve">the </w:t>
      </w:r>
      <w:r w:rsidR="0049512D">
        <w:rPr>
          <w:rFonts w:asciiTheme="majorHAnsi" w:hAnsiTheme="majorHAnsi"/>
          <w:lang w:val="en-US"/>
        </w:rPr>
        <w:t xml:space="preserve">time dependent </w:t>
      </w:r>
      <w:r w:rsidR="00A867B3">
        <w:rPr>
          <w:rFonts w:asciiTheme="majorHAnsi" w:hAnsiTheme="majorHAnsi"/>
          <w:lang w:val="en-US"/>
        </w:rPr>
        <w:t>SA</w:t>
      </w:r>
      <w:r w:rsidR="00F42990">
        <w:rPr>
          <w:rFonts w:asciiTheme="majorHAnsi" w:hAnsiTheme="majorHAnsi"/>
          <w:lang w:val="en-US"/>
        </w:rPr>
        <w:t xml:space="preserve"> </w:t>
      </w:r>
      <w:r>
        <w:rPr>
          <w:rFonts w:asciiTheme="majorHAnsi" w:hAnsiTheme="majorHAnsi"/>
          <w:lang w:val="en-US"/>
        </w:rPr>
        <w:t>model</w:t>
      </w:r>
      <w:r w:rsidR="0049512D">
        <w:rPr>
          <w:rFonts w:asciiTheme="majorHAnsi" w:hAnsiTheme="majorHAnsi"/>
          <w:lang w:val="en-US"/>
        </w:rPr>
        <w:t>s</w:t>
      </w:r>
      <w:r>
        <w:rPr>
          <w:rFonts w:asciiTheme="majorHAnsi" w:hAnsiTheme="majorHAnsi"/>
          <w:lang w:val="en-US"/>
        </w:rPr>
        <w:t>.</w:t>
      </w:r>
    </w:p>
    <w:p w14:paraId="23F4F4E5" w14:textId="77777777" w:rsidR="00167C23" w:rsidRPr="00461453" w:rsidRDefault="00167C23" w:rsidP="00FA15E3">
      <w:pPr>
        <w:spacing w:after="0" w:line="480" w:lineRule="auto"/>
        <w:ind w:firstLine="720"/>
        <w:jc w:val="both"/>
        <w:rPr>
          <w:rFonts w:asciiTheme="majorHAnsi" w:hAnsiTheme="majorHAnsi"/>
          <w:lang w:val="en-US"/>
        </w:rPr>
      </w:pPr>
    </w:p>
    <w:p w14:paraId="6D2C185A" w14:textId="6AD9F1A7" w:rsidR="00FA15E3" w:rsidRDefault="00FA15E3" w:rsidP="00FA15E3">
      <w:pPr>
        <w:spacing w:after="0" w:line="480" w:lineRule="auto"/>
        <w:rPr>
          <w:rFonts w:asciiTheme="majorHAnsi" w:hAnsiTheme="majorHAnsi"/>
          <w:b/>
          <w:lang w:val="en-US"/>
        </w:rPr>
      </w:pPr>
      <w:r w:rsidRPr="006812B2">
        <w:rPr>
          <w:rFonts w:asciiTheme="majorHAnsi" w:hAnsiTheme="majorHAnsi"/>
          <w:b/>
          <w:lang w:val="en-US"/>
        </w:rPr>
        <w:t xml:space="preserve">3.2 Survival Analysis </w:t>
      </w:r>
      <w:r w:rsidR="00F42990" w:rsidRPr="006812B2">
        <w:rPr>
          <w:rFonts w:asciiTheme="majorHAnsi" w:hAnsiTheme="majorHAnsi"/>
          <w:b/>
          <w:lang w:val="en-US"/>
        </w:rPr>
        <w:t>Results</w:t>
      </w:r>
    </w:p>
    <w:p w14:paraId="7F5B19A7" w14:textId="757F534D" w:rsidR="006812B2" w:rsidRDefault="00334A6C" w:rsidP="00FA15E3">
      <w:pPr>
        <w:spacing w:after="0" w:line="480" w:lineRule="auto"/>
        <w:ind w:firstLine="709"/>
        <w:rPr>
          <w:rFonts w:asciiTheme="majorHAnsi" w:hAnsiTheme="majorHAnsi"/>
          <w:lang w:val="en-US"/>
        </w:rPr>
      </w:pPr>
      <w:r>
        <w:rPr>
          <w:rFonts w:asciiTheme="majorHAnsi" w:hAnsiTheme="majorHAnsi"/>
          <w:lang w:val="en-US"/>
        </w:rPr>
        <w:t>W</w:t>
      </w:r>
      <w:r w:rsidR="00FA15E3" w:rsidRPr="009D56E1">
        <w:rPr>
          <w:rFonts w:asciiTheme="majorHAnsi" w:hAnsiTheme="majorHAnsi"/>
          <w:lang w:val="en-US"/>
        </w:rPr>
        <w:t xml:space="preserve">e first </w:t>
      </w:r>
      <w:r w:rsidR="00FA15E3">
        <w:rPr>
          <w:rFonts w:asciiTheme="majorHAnsi" w:hAnsiTheme="majorHAnsi"/>
          <w:lang w:val="en-US"/>
        </w:rPr>
        <w:t>fitted</w:t>
      </w:r>
      <w:r w:rsidR="00FA15E3" w:rsidRPr="009D56E1">
        <w:rPr>
          <w:rFonts w:asciiTheme="majorHAnsi" w:hAnsiTheme="majorHAnsi"/>
          <w:lang w:val="en-US"/>
        </w:rPr>
        <w:t xml:space="preserve"> a CPH model </w:t>
      </w:r>
      <w:r w:rsidR="006812B2">
        <w:rPr>
          <w:rFonts w:asciiTheme="majorHAnsi" w:hAnsiTheme="majorHAnsi"/>
          <w:lang w:val="en-US"/>
        </w:rPr>
        <w:t>incorporat</w:t>
      </w:r>
      <w:r w:rsidR="006812B2" w:rsidRPr="009D56E1">
        <w:rPr>
          <w:rFonts w:asciiTheme="majorHAnsi" w:hAnsiTheme="majorHAnsi"/>
          <w:lang w:val="en-US"/>
        </w:rPr>
        <w:t xml:space="preserve">ing </w:t>
      </w:r>
      <w:r w:rsidR="00FA15E3" w:rsidRPr="009D56E1">
        <w:rPr>
          <w:rFonts w:asciiTheme="majorHAnsi" w:hAnsiTheme="majorHAnsi"/>
          <w:lang w:val="en-US"/>
        </w:rPr>
        <w:t>all the trader pr</w:t>
      </w:r>
      <w:r w:rsidR="00FA15E3">
        <w:rPr>
          <w:rFonts w:asciiTheme="majorHAnsi" w:hAnsiTheme="majorHAnsi"/>
          <w:lang w:val="en-US"/>
        </w:rPr>
        <w:t xml:space="preserve">ofitability, trader discipline </w:t>
      </w:r>
      <w:r w:rsidR="00FA15E3" w:rsidRPr="009D56E1">
        <w:rPr>
          <w:rFonts w:asciiTheme="majorHAnsi" w:hAnsiTheme="majorHAnsi"/>
          <w:lang w:val="en-US"/>
        </w:rPr>
        <w:t>and other trading</w:t>
      </w:r>
      <w:r w:rsidR="00FA15E3">
        <w:rPr>
          <w:rFonts w:asciiTheme="majorHAnsi" w:hAnsiTheme="majorHAnsi"/>
          <w:lang w:val="en-US"/>
        </w:rPr>
        <w:t xml:space="preserve"> and market</w:t>
      </w:r>
      <w:r w:rsidR="00FA15E3" w:rsidRPr="009D56E1">
        <w:rPr>
          <w:rFonts w:asciiTheme="majorHAnsi" w:hAnsiTheme="majorHAnsi"/>
          <w:lang w:val="en-US"/>
        </w:rPr>
        <w:t xml:space="preserve"> characteristic covariates discussed in section 2.2.  The results of estimating this model are </w:t>
      </w:r>
      <w:r w:rsidR="006812B2">
        <w:rPr>
          <w:rFonts w:asciiTheme="majorHAnsi" w:hAnsiTheme="majorHAnsi"/>
          <w:lang w:val="en-US"/>
        </w:rPr>
        <w:t>presented</w:t>
      </w:r>
      <w:r w:rsidR="006812B2" w:rsidRPr="009D56E1">
        <w:rPr>
          <w:rFonts w:asciiTheme="majorHAnsi" w:hAnsiTheme="majorHAnsi"/>
          <w:lang w:val="en-US"/>
        </w:rPr>
        <w:t xml:space="preserve"> </w:t>
      </w:r>
      <w:r w:rsidR="00FA15E3" w:rsidRPr="009D56E1">
        <w:rPr>
          <w:rFonts w:asciiTheme="majorHAnsi" w:hAnsiTheme="majorHAnsi"/>
          <w:lang w:val="en-US"/>
        </w:rPr>
        <w:t xml:space="preserve">in Table </w:t>
      </w:r>
      <w:r w:rsidR="001D06ED">
        <w:rPr>
          <w:rFonts w:asciiTheme="majorHAnsi" w:hAnsiTheme="majorHAnsi"/>
          <w:lang w:val="en-US"/>
        </w:rPr>
        <w:t>III</w:t>
      </w:r>
      <w:r w:rsidR="00FA15E3" w:rsidRPr="009D56E1">
        <w:rPr>
          <w:rFonts w:asciiTheme="majorHAnsi" w:hAnsiTheme="majorHAnsi"/>
          <w:lang w:val="en-US"/>
        </w:rPr>
        <w:t>.</w:t>
      </w:r>
      <w:r w:rsidR="00FA15E3">
        <w:rPr>
          <w:rFonts w:asciiTheme="majorHAnsi" w:hAnsiTheme="majorHAnsi"/>
          <w:lang w:val="en-US"/>
        </w:rPr>
        <w:t xml:space="preserve"> </w:t>
      </w:r>
    </w:p>
    <w:p w14:paraId="0ABC04DC" w14:textId="5A50149C" w:rsidR="00FA15E3" w:rsidRDefault="000C52AA" w:rsidP="006D7181">
      <w:pPr>
        <w:spacing w:after="0" w:line="480" w:lineRule="auto"/>
        <w:ind w:firstLine="709"/>
        <w:rPr>
          <w:rFonts w:asciiTheme="majorHAnsi" w:eastAsia="Times New Roman" w:hAnsiTheme="majorHAnsi" w:cs="Consolas"/>
          <w:color w:val="000000"/>
          <w:lang w:eastAsia="en-GB"/>
        </w:rPr>
      </w:pPr>
      <w:r w:rsidRPr="00355A90">
        <w:rPr>
          <w:rFonts w:asciiTheme="majorHAnsi" w:hAnsiTheme="majorHAnsi"/>
          <w:lang w:val="en-US"/>
        </w:rPr>
        <w:t>T</w:t>
      </w:r>
      <w:r w:rsidR="00FA15E3" w:rsidRPr="00355A90">
        <w:rPr>
          <w:rFonts w:asciiTheme="majorHAnsi" w:hAnsiTheme="majorHAnsi"/>
          <w:lang w:val="en-US"/>
        </w:rPr>
        <w:t>hose who staked more</w:t>
      </w:r>
      <w:r w:rsidR="00D21BCC" w:rsidRPr="00355A90">
        <w:rPr>
          <w:rFonts w:asciiTheme="majorHAnsi" w:hAnsiTheme="majorHAnsi"/>
          <w:lang w:val="en-US"/>
        </w:rPr>
        <w:t xml:space="preserve">, or </w:t>
      </w:r>
      <w:r w:rsidR="002E1115" w:rsidRPr="00355A90">
        <w:rPr>
          <w:rFonts w:asciiTheme="majorHAnsi" w:hAnsiTheme="majorHAnsi"/>
          <w:lang w:val="en-US"/>
        </w:rPr>
        <w:t xml:space="preserve">traded more frequently, or </w:t>
      </w:r>
      <w:r w:rsidR="00FA15E3" w:rsidRPr="00355A90">
        <w:rPr>
          <w:rFonts w:asciiTheme="majorHAnsi" w:hAnsiTheme="majorHAnsi"/>
          <w:lang w:val="en-US"/>
        </w:rPr>
        <w:t xml:space="preserve">held positions </w:t>
      </w:r>
      <w:r w:rsidR="00357316" w:rsidRPr="00355A90">
        <w:rPr>
          <w:rFonts w:asciiTheme="majorHAnsi" w:hAnsiTheme="majorHAnsi"/>
          <w:lang w:val="en-US"/>
        </w:rPr>
        <w:t xml:space="preserve">for longer </w:t>
      </w:r>
      <w:r w:rsidR="00334A6C" w:rsidRPr="00355A90">
        <w:rPr>
          <w:rFonts w:asciiTheme="majorHAnsi" w:hAnsiTheme="majorHAnsi"/>
          <w:lang w:val="en-US"/>
        </w:rPr>
        <w:t xml:space="preserve">(perhaps indicating greater confidence) </w:t>
      </w:r>
      <w:r w:rsidR="002E1115" w:rsidRPr="00355A90">
        <w:rPr>
          <w:rFonts w:asciiTheme="majorHAnsi" w:hAnsiTheme="majorHAnsi"/>
          <w:lang w:val="en-US"/>
        </w:rPr>
        <w:t xml:space="preserve">tended to </w:t>
      </w:r>
      <w:r w:rsidR="00A867B3" w:rsidRPr="00355A90">
        <w:rPr>
          <w:rFonts w:asciiTheme="majorHAnsi" w:hAnsiTheme="majorHAnsi"/>
          <w:lang w:val="en-US"/>
        </w:rPr>
        <w:t xml:space="preserve">continue </w:t>
      </w:r>
      <w:r w:rsidR="002E1115" w:rsidRPr="00355A90">
        <w:rPr>
          <w:rFonts w:asciiTheme="majorHAnsi" w:hAnsiTheme="majorHAnsi"/>
          <w:lang w:val="en-US"/>
        </w:rPr>
        <w:t>trading longer.</w:t>
      </w:r>
      <w:r w:rsidR="00CF10CF">
        <w:rPr>
          <w:rFonts w:asciiTheme="majorHAnsi" w:hAnsiTheme="majorHAnsi"/>
          <w:lang w:val="en-US"/>
        </w:rPr>
        <w:t xml:space="preserve"> </w:t>
      </w:r>
      <w:r w:rsidR="004D623E">
        <w:rPr>
          <w:rFonts w:asciiTheme="majorHAnsi" w:hAnsiTheme="majorHAnsi"/>
          <w:lang w:val="en-US"/>
        </w:rPr>
        <w:t xml:space="preserve">In support of </w:t>
      </w:r>
      <w:r w:rsidR="00637B23">
        <w:rPr>
          <w:rFonts w:asciiTheme="majorHAnsi" w:eastAsia="Calibri" w:hAnsiTheme="majorHAnsi" w:cs="Cordia New"/>
          <w:lang w:bidi="th-TH"/>
        </w:rPr>
        <w:t>previous findings</w:t>
      </w:r>
      <w:r w:rsidR="004F518D">
        <w:rPr>
          <w:rFonts w:asciiTheme="majorHAnsi" w:eastAsia="Calibri" w:hAnsiTheme="majorHAnsi" w:cs="Cordia New"/>
          <w:lang w:bidi="th-TH"/>
        </w:rPr>
        <w:t>,</w:t>
      </w:r>
      <w:r w:rsidR="004F518D">
        <w:rPr>
          <w:rFonts w:asciiTheme="majorHAnsi" w:hAnsiTheme="majorHAnsi"/>
          <w:lang w:val="en-US"/>
        </w:rPr>
        <w:t xml:space="preserve"> our</w:t>
      </w:r>
      <w:r w:rsidR="00FA15E3">
        <w:rPr>
          <w:rFonts w:asciiTheme="majorHAnsi" w:hAnsiTheme="majorHAnsi"/>
          <w:lang w:val="en-US"/>
        </w:rPr>
        <w:t xml:space="preserve"> results show that there are different survival functions for </w:t>
      </w:r>
      <w:r w:rsidR="006812B2">
        <w:rPr>
          <w:rFonts w:asciiTheme="majorHAnsi" w:hAnsiTheme="majorHAnsi"/>
          <w:lang w:val="en-US"/>
        </w:rPr>
        <w:t xml:space="preserve">individuals </w:t>
      </w:r>
      <w:r w:rsidR="00D56970">
        <w:rPr>
          <w:rFonts w:asciiTheme="majorHAnsi" w:hAnsiTheme="majorHAnsi"/>
          <w:lang w:val="en-US"/>
        </w:rPr>
        <w:t>whose</w:t>
      </w:r>
      <w:r w:rsidR="00BD756F">
        <w:rPr>
          <w:rFonts w:asciiTheme="majorHAnsi" w:hAnsiTheme="majorHAnsi"/>
          <w:lang w:val="en-US"/>
        </w:rPr>
        <w:t xml:space="preserve"> </w:t>
      </w:r>
      <w:r w:rsidR="00A92ED3">
        <w:rPr>
          <w:rFonts w:asciiTheme="majorHAnsi" w:hAnsiTheme="majorHAnsi"/>
          <w:lang w:val="en-US"/>
        </w:rPr>
        <w:t>ROI</w:t>
      </w:r>
      <w:r w:rsidR="00BD756F">
        <w:rPr>
          <w:rFonts w:asciiTheme="majorHAnsi" w:hAnsiTheme="majorHAnsi"/>
          <w:lang w:val="en-US"/>
        </w:rPr>
        <w:t>s</w:t>
      </w:r>
      <w:r w:rsidR="00A92ED3">
        <w:rPr>
          <w:rFonts w:asciiTheme="majorHAnsi" w:hAnsiTheme="majorHAnsi"/>
          <w:lang w:val="en-US"/>
        </w:rPr>
        <w:t xml:space="preserve"> </w:t>
      </w:r>
      <w:r w:rsidR="006812B2">
        <w:rPr>
          <w:rFonts w:asciiTheme="majorHAnsi" w:hAnsiTheme="majorHAnsi"/>
          <w:lang w:val="en-US"/>
        </w:rPr>
        <w:t>were in</w:t>
      </w:r>
      <w:r w:rsidR="006812B2" w:rsidRPr="006812B2">
        <w:rPr>
          <w:rFonts w:asciiTheme="majorHAnsi" w:hAnsiTheme="majorHAnsi"/>
          <w:lang w:val="en-US"/>
        </w:rPr>
        <w:t xml:space="preserve"> </w:t>
      </w:r>
      <w:r w:rsidR="006812B2">
        <w:rPr>
          <w:rFonts w:asciiTheme="majorHAnsi" w:hAnsiTheme="majorHAnsi"/>
          <w:lang w:val="en-US"/>
        </w:rPr>
        <w:t xml:space="preserve">(a) profit and (b) loss, </w:t>
      </w:r>
      <w:r w:rsidR="00A92ED3">
        <w:rPr>
          <w:rFonts w:asciiTheme="majorHAnsi" w:hAnsiTheme="majorHAnsi"/>
          <w:lang w:val="en-US"/>
        </w:rPr>
        <w:t xml:space="preserve">since </w:t>
      </w:r>
      <w:r w:rsidR="006812B2">
        <w:rPr>
          <w:rFonts w:asciiTheme="majorHAnsi" w:hAnsiTheme="majorHAnsi"/>
          <w:lang w:val="en-US"/>
        </w:rPr>
        <w:t xml:space="preserve">they commenced </w:t>
      </w:r>
      <w:r w:rsidR="00A92ED3">
        <w:rPr>
          <w:rFonts w:asciiTheme="majorHAnsi" w:hAnsiTheme="majorHAnsi"/>
          <w:lang w:val="en-US"/>
        </w:rPr>
        <w:t>trading</w:t>
      </w:r>
      <w:r w:rsidR="00FA15E3">
        <w:rPr>
          <w:rFonts w:asciiTheme="majorHAnsi" w:hAnsiTheme="majorHAnsi"/>
          <w:lang w:val="en-US"/>
        </w:rPr>
        <w:t>.</w:t>
      </w:r>
      <w:r w:rsidR="004F518D" w:rsidRPr="00275768">
        <w:rPr>
          <w:rFonts w:asciiTheme="majorHAnsi" w:hAnsiTheme="majorHAnsi"/>
          <w:vertAlign w:val="superscript"/>
          <w:lang w:val="en-US"/>
        </w:rPr>
        <w:t>(17)</w:t>
      </w:r>
      <w:r w:rsidR="00FA15E3" w:rsidRPr="00275768">
        <w:rPr>
          <w:rFonts w:asciiTheme="majorHAnsi" w:hAnsiTheme="majorHAnsi"/>
          <w:vertAlign w:val="superscript"/>
          <w:lang w:val="en-US"/>
        </w:rPr>
        <w:t xml:space="preserve"> </w:t>
      </w:r>
      <w:r w:rsidR="00FA15E3">
        <w:rPr>
          <w:rFonts w:asciiTheme="majorHAnsi" w:hAnsiTheme="majorHAnsi"/>
          <w:lang w:val="en-US"/>
        </w:rPr>
        <w:t xml:space="preserve">The </w:t>
      </w:r>
      <w:r w:rsidR="00F0374A">
        <w:rPr>
          <w:rFonts w:asciiTheme="majorHAnsi" w:hAnsiTheme="majorHAnsi"/>
          <w:lang w:val="en-US"/>
        </w:rPr>
        <w:t xml:space="preserve">coefficient for </w:t>
      </w:r>
      <w:r w:rsidR="00F0374A" w:rsidRPr="00275768">
        <w:rPr>
          <w:rFonts w:asciiTheme="majorHAnsi" w:hAnsiTheme="majorHAnsi"/>
          <w:i/>
          <w:lang w:val="en-US"/>
        </w:rPr>
        <w:t>s</w:t>
      </w:r>
      <w:r w:rsidR="00F0374A" w:rsidRPr="00275768">
        <w:rPr>
          <w:rFonts w:asciiTheme="majorHAnsi" w:eastAsia="Times New Roman" w:hAnsiTheme="majorHAnsi" w:cs="Consolas"/>
          <w:i/>
          <w:color w:val="000000"/>
          <w:lang w:eastAsia="en-GB"/>
        </w:rPr>
        <w:t>qrt</w:t>
      </w:r>
      <w:r w:rsidR="00F0374A" w:rsidRPr="00CF10CF">
        <w:rPr>
          <w:rFonts w:asciiTheme="majorHAnsi" w:eastAsia="Times New Roman" w:hAnsiTheme="majorHAnsi" w:cs="Consolas"/>
          <w:color w:val="000000"/>
          <w:lang w:eastAsia="en-GB"/>
        </w:rPr>
        <w:t>(</w:t>
      </w:r>
      <w:r w:rsidR="00F0374A" w:rsidRPr="00275768">
        <w:rPr>
          <w:rFonts w:asciiTheme="majorHAnsi" w:eastAsia="Times New Roman" w:hAnsiTheme="majorHAnsi" w:cs="Consolas"/>
          <w:i/>
          <w:color w:val="000000"/>
          <w:lang w:eastAsia="en-GB"/>
        </w:rPr>
        <w:t>LossROI</w:t>
      </w:r>
      <w:r w:rsidR="00F0374A" w:rsidRPr="00CF10CF">
        <w:rPr>
          <w:rFonts w:asciiTheme="majorHAnsi" w:eastAsia="Times New Roman" w:hAnsiTheme="majorHAnsi" w:cs="Consolas"/>
          <w:color w:val="000000"/>
          <w:lang w:eastAsia="en-GB"/>
        </w:rPr>
        <w:t>)</w:t>
      </w:r>
      <w:r w:rsidR="00F0374A" w:rsidRPr="00F0374A">
        <w:rPr>
          <w:rFonts w:asciiTheme="majorHAnsi" w:hAnsiTheme="majorHAnsi"/>
          <w:lang w:val="en-US"/>
        </w:rPr>
        <w:t xml:space="preserve"> is significant and negative</w:t>
      </w:r>
      <w:r w:rsidR="00BD756F">
        <w:rPr>
          <w:rFonts w:asciiTheme="majorHAnsi" w:hAnsiTheme="majorHAnsi"/>
          <w:lang w:val="en-US"/>
        </w:rPr>
        <w:t>,</w:t>
      </w:r>
      <w:r w:rsidR="00F0374A" w:rsidRPr="00F0374A">
        <w:rPr>
          <w:rFonts w:asciiTheme="majorHAnsi" w:hAnsiTheme="majorHAnsi"/>
          <w:lang w:val="en-US"/>
        </w:rPr>
        <w:t xml:space="preserve"> indicating that the greater the loss incurred the greater the </w:t>
      </w:r>
      <w:r w:rsidR="00BD756F">
        <w:rPr>
          <w:rFonts w:asciiTheme="majorHAnsi" w:hAnsiTheme="majorHAnsi"/>
          <w:lang w:val="en-US"/>
        </w:rPr>
        <w:t>individual</w:t>
      </w:r>
      <w:r w:rsidR="00BD756F" w:rsidRPr="00F0374A">
        <w:rPr>
          <w:rFonts w:asciiTheme="majorHAnsi" w:hAnsiTheme="majorHAnsi"/>
          <w:lang w:val="en-US"/>
        </w:rPr>
        <w:t xml:space="preserve">’s </w:t>
      </w:r>
      <w:r w:rsidR="00334A6C">
        <w:rPr>
          <w:rFonts w:asciiTheme="majorHAnsi" w:hAnsiTheme="majorHAnsi"/>
          <w:lang w:val="en-US"/>
        </w:rPr>
        <w:t>ch</w:t>
      </w:r>
      <w:r w:rsidR="00D56970">
        <w:rPr>
          <w:rFonts w:asciiTheme="majorHAnsi" w:hAnsiTheme="majorHAnsi"/>
          <w:lang w:val="en-US"/>
        </w:rPr>
        <w:t>an</w:t>
      </w:r>
      <w:r w:rsidR="00334A6C">
        <w:rPr>
          <w:rFonts w:asciiTheme="majorHAnsi" w:hAnsiTheme="majorHAnsi"/>
          <w:lang w:val="en-US"/>
        </w:rPr>
        <w:t>ce</w:t>
      </w:r>
      <w:r w:rsidR="00334A6C" w:rsidRPr="00F0374A">
        <w:rPr>
          <w:rFonts w:asciiTheme="majorHAnsi" w:hAnsiTheme="majorHAnsi"/>
          <w:lang w:val="en-US"/>
        </w:rPr>
        <w:t xml:space="preserve"> </w:t>
      </w:r>
      <w:r w:rsidR="00F0374A" w:rsidRPr="00F0374A">
        <w:rPr>
          <w:rFonts w:asciiTheme="majorHAnsi" w:hAnsiTheme="majorHAnsi"/>
          <w:lang w:val="en-US"/>
        </w:rPr>
        <w:t xml:space="preserve">of </w:t>
      </w:r>
      <w:r w:rsidR="00BD756F">
        <w:rPr>
          <w:rFonts w:asciiTheme="majorHAnsi" w:hAnsiTheme="majorHAnsi"/>
          <w:lang w:val="en-US"/>
        </w:rPr>
        <w:t>ceas</w:t>
      </w:r>
      <w:r w:rsidR="004C54A1">
        <w:rPr>
          <w:rFonts w:asciiTheme="majorHAnsi" w:hAnsiTheme="majorHAnsi"/>
          <w:lang w:val="en-US"/>
        </w:rPr>
        <w:t>ing</w:t>
      </w:r>
      <w:r w:rsidR="00BD756F" w:rsidRPr="00F0374A">
        <w:rPr>
          <w:rFonts w:asciiTheme="majorHAnsi" w:hAnsiTheme="majorHAnsi"/>
          <w:lang w:val="en-US"/>
        </w:rPr>
        <w:t xml:space="preserve"> </w:t>
      </w:r>
      <w:r w:rsidR="00F0374A" w:rsidRPr="00F0374A">
        <w:rPr>
          <w:rFonts w:asciiTheme="majorHAnsi" w:hAnsiTheme="majorHAnsi"/>
          <w:lang w:val="en-US"/>
        </w:rPr>
        <w:t>trading. However, the total net returns on investment for accounts in profit (</w:t>
      </w:r>
      <w:r w:rsidR="00F0374A" w:rsidRPr="00275768">
        <w:rPr>
          <w:rFonts w:asciiTheme="majorHAnsi" w:hAnsiTheme="majorHAnsi"/>
          <w:i/>
          <w:lang w:val="en-US"/>
        </w:rPr>
        <w:t>s</w:t>
      </w:r>
      <w:r w:rsidR="00F0374A" w:rsidRPr="00275768">
        <w:rPr>
          <w:rFonts w:asciiTheme="majorHAnsi" w:eastAsia="Times New Roman" w:hAnsiTheme="majorHAnsi" w:cs="Consolas"/>
          <w:i/>
          <w:color w:val="000000"/>
          <w:lang w:eastAsia="en-GB"/>
        </w:rPr>
        <w:t>qrt</w:t>
      </w:r>
      <w:r w:rsidR="00F0374A" w:rsidRPr="00CF10CF">
        <w:rPr>
          <w:rFonts w:asciiTheme="majorHAnsi" w:eastAsia="Times New Roman" w:hAnsiTheme="majorHAnsi" w:cs="Consolas"/>
          <w:color w:val="000000"/>
          <w:lang w:eastAsia="en-GB"/>
        </w:rPr>
        <w:t>(</w:t>
      </w:r>
      <w:r w:rsidR="00F0374A" w:rsidRPr="00275768">
        <w:rPr>
          <w:rFonts w:asciiTheme="majorHAnsi" w:eastAsia="Times New Roman" w:hAnsiTheme="majorHAnsi" w:cs="Consolas"/>
          <w:i/>
          <w:color w:val="000000"/>
          <w:lang w:eastAsia="en-GB"/>
        </w:rPr>
        <w:t>ProfitROI</w:t>
      </w:r>
      <w:r w:rsidR="00F0374A" w:rsidRPr="00CF10CF">
        <w:rPr>
          <w:rFonts w:asciiTheme="majorHAnsi" w:eastAsia="Times New Roman" w:hAnsiTheme="majorHAnsi" w:cs="Consolas"/>
          <w:color w:val="000000"/>
          <w:lang w:eastAsia="en-GB"/>
        </w:rPr>
        <w:t>)</w:t>
      </w:r>
      <w:r w:rsidR="00F0374A" w:rsidRPr="00F0374A">
        <w:rPr>
          <w:rFonts w:asciiTheme="majorHAnsi" w:eastAsia="Times New Roman" w:hAnsiTheme="majorHAnsi" w:cs="Consolas"/>
          <w:color w:val="000000"/>
          <w:lang w:eastAsia="en-GB"/>
        </w:rPr>
        <w:t>) is not significant</w:t>
      </w:r>
      <w:r w:rsidR="00BD756F">
        <w:rPr>
          <w:rFonts w:asciiTheme="majorHAnsi" w:eastAsia="Times New Roman" w:hAnsiTheme="majorHAnsi" w:cs="Consolas"/>
          <w:color w:val="000000"/>
          <w:lang w:eastAsia="en-GB"/>
        </w:rPr>
        <w:t>,</w:t>
      </w:r>
      <w:r w:rsidR="00F0374A" w:rsidRPr="00F0374A">
        <w:rPr>
          <w:rFonts w:asciiTheme="majorHAnsi" w:eastAsia="Times New Roman" w:hAnsiTheme="majorHAnsi" w:cs="Consolas"/>
          <w:color w:val="000000"/>
          <w:lang w:eastAsia="en-GB"/>
        </w:rPr>
        <w:t xml:space="preserve"> indicating</w:t>
      </w:r>
      <w:r w:rsidR="00F0374A">
        <w:rPr>
          <w:rFonts w:asciiTheme="majorHAnsi" w:eastAsia="Times New Roman" w:hAnsiTheme="majorHAnsi" w:cs="Consolas"/>
          <w:color w:val="000000"/>
          <w:lang w:eastAsia="en-GB"/>
        </w:rPr>
        <w:t xml:space="preserve"> that the amount of </w:t>
      </w:r>
      <w:r w:rsidR="00334A6C">
        <w:rPr>
          <w:rFonts w:asciiTheme="majorHAnsi" w:eastAsia="Times New Roman" w:hAnsiTheme="majorHAnsi" w:cs="Consolas"/>
          <w:color w:val="000000"/>
          <w:lang w:eastAsia="en-GB"/>
        </w:rPr>
        <w:t xml:space="preserve">(positive) </w:t>
      </w:r>
      <w:r w:rsidR="00F0374A">
        <w:rPr>
          <w:rFonts w:asciiTheme="majorHAnsi" w:eastAsia="Times New Roman" w:hAnsiTheme="majorHAnsi" w:cs="Consolas"/>
          <w:color w:val="000000"/>
          <w:lang w:eastAsia="en-GB"/>
        </w:rPr>
        <w:t>profit made by a</w:t>
      </w:r>
      <w:r w:rsidR="00BD756F">
        <w:rPr>
          <w:rFonts w:asciiTheme="majorHAnsi" w:eastAsia="Times New Roman" w:hAnsiTheme="majorHAnsi" w:cs="Consolas"/>
          <w:color w:val="000000"/>
          <w:lang w:eastAsia="en-GB"/>
        </w:rPr>
        <w:t>n individual</w:t>
      </w:r>
      <w:r w:rsidR="00F0374A">
        <w:rPr>
          <w:rFonts w:asciiTheme="majorHAnsi" w:eastAsia="Times New Roman" w:hAnsiTheme="majorHAnsi" w:cs="Consolas"/>
          <w:color w:val="000000"/>
          <w:lang w:eastAsia="en-GB"/>
        </w:rPr>
        <w:t xml:space="preserve"> does not affect their </w:t>
      </w:r>
      <w:r w:rsidR="00BD756F">
        <w:rPr>
          <w:rFonts w:asciiTheme="majorHAnsi" w:eastAsia="Times New Roman" w:hAnsiTheme="majorHAnsi" w:cs="Consolas"/>
          <w:color w:val="000000"/>
          <w:lang w:eastAsia="en-GB"/>
        </w:rPr>
        <w:t xml:space="preserve">probability of ceasing </w:t>
      </w:r>
      <w:r w:rsidR="00F0374A">
        <w:rPr>
          <w:rFonts w:asciiTheme="majorHAnsi" w:eastAsia="Times New Roman" w:hAnsiTheme="majorHAnsi" w:cs="Consolas"/>
          <w:color w:val="000000"/>
          <w:lang w:eastAsia="en-GB"/>
        </w:rPr>
        <w:t xml:space="preserve">trading. </w:t>
      </w:r>
    </w:p>
    <w:p w14:paraId="6A13301B" w14:textId="22380865" w:rsidR="00FA15E3" w:rsidRPr="00EF1EB6" w:rsidRDefault="003B0386" w:rsidP="006C1831">
      <w:pPr>
        <w:spacing w:after="0" w:line="480" w:lineRule="auto"/>
        <w:ind w:firstLine="709"/>
        <w:rPr>
          <w:rFonts w:asciiTheme="majorHAnsi" w:hAnsiTheme="majorHAnsi"/>
          <w:lang w:val="en-US"/>
        </w:rPr>
      </w:pPr>
      <w:bookmarkStart w:id="10" w:name="_Hlk520299302"/>
      <w:r>
        <w:rPr>
          <w:rFonts w:asciiTheme="majorHAnsi" w:eastAsia="Times New Roman" w:hAnsiTheme="majorHAnsi" w:cs="Consolas"/>
          <w:color w:val="000000"/>
          <w:lang w:eastAsia="en-GB"/>
        </w:rPr>
        <w:t xml:space="preserve">Another interesting observation is that </w:t>
      </w:r>
      <w:r w:rsidR="006F09D5">
        <w:rPr>
          <w:rFonts w:asciiTheme="majorHAnsi" w:eastAsia="Times New Roman" w:hAnsiTheme="majorHAnsi" w:cs="Consolas"/>
          <w:color w:val="000000"/>
          <w:lang w:eastAsia="en-GB"/>
        </w:rPr>
        <w:t xml:space="preserve">due to the salience of a change from above to below </w:t>
      </w:r>
      <w:r w:rsidR="00BD756F">
        <w:rPr>
          <w:rFonts w:asciiTheme="majorHAnsi" w:eastAsia="Times New Roman" w:hAnsiTheme="majorHAnsi" w:cs="Consolas"/>
          <w:color w:val="000000"/>
          <w:lang w:eastAsia="en-GB"/>
        </w:rPr>
        <w:t xml:space="preserve">an individual’s </w:t>
      </w:r>
      <w:r w:rsidR="006F09D5">
        <w:rPr>
          <w:rFonts w:asciiTheme="majorHAnsi" w:eastAsia="Times New Roman" w:hAnsiTheme="majorHAnsi" w:cs="Consolas"/>
          <w:color w:val="000000"/>
          <w:lang w:eastAsia="en-GB"/>
        </w:rPr>
        <w:t xml:space="preserve">break-even point, a discontinuity in the survival function at the break-even point </w:t>
      </w:r>
      <w:r>
        <w:rPr>
          <w:rFonts w:asciiTheme="majorHAnsi" w:eastAsia="Times New Roman" w:hAnsiTheme="majorHAnsi" w:cs="Consolas"/>
          <w:color w:val="000000"/>
          <w:lang w:eastAsia="en-GB"/>
        </w:rPr>
        <w:t>exists</w:t>
      </w:r>
      <w:r w:rsidR="006F09D5">
        <w:rPr>
          <w:rFonts w:asciiTheme="majorHAnsi" w:eastAsia="Times New Roman" w:hAnsiTheme="majorHAnsi" w:cs="Consolas"/>
          <w:color w:val="000000"/>
          <w:lang w:eastAsia="en-GB"/>
        </w:rPr>
        <w:t xml:space="preserve">. </w:t>
      </w:r>
      <w:r w:rsidR="00FA15E3">
        <w:rPr>
          <w:rFonts w:asciiTheme="majorHAnsi" w:hAnsiTheme="majorHAnsi"/>
          <w:lang w:val="en-US"/>
        </w:rPr>
        <w:t xml:space="preserve">Our first evidence for this is the strongly significant coefficient for </w:t>
      </w:r>
      <w:r w:rsidRPr="00FC6DF5">
        <w:rPr>
          <w:rFonts w:asciiTheme="majorHAnsi" w:hAnsiTheme="majorHAnsi"/>
          <w:i/>
          <w:lang w:val="en-US"/>
        </w:rPr>
        <w:t>InLoss</w:t>
      </w:r>
      <w:r w:rsidR="00FA15E3">
        <w:rPr>
          <w:rFonts w:asciiTheme="majorHAnsi" w:hAnsiTheme="majorHAnsi"/>
          <w:i/>
          <w:vertAlign w:val="subscript"/>
          <w:lang w:val="en-US"/>
        </w:rPr>
        <w:t>km</w:t>
      </w:r>
      <w:r w:rsidR="00334A6C">
        <w:rPr>
          <w:rFonts w:asciiTheme="majorHAnsi" w:hAnsiTheme="majorHAnsi"/>
          <w:lang w:val="en-US"/>
        </w:rPr>
        <w:t xml:space="preserve">. This coefficient </w:t>
      </w:r>
      <w:r w:rsidR="00FA15E3">
        <w:rPr>
          <w:rFonts w:asciiTheme="majorHAnsi" w:hAnsiTheme="majorHAnsi"/>
          <w:lang w:val="en-US"/>
        </w:rPr>
        <w:t>suggests a</w:t>
      </w:r>
      <w:r>
        <w:rPr>
          <w:rFonts w:asciiTheme="majorHAnsi" w:hAnsiTheme="majorHAnsi"/>
          <w:lang w:val="en-US"/>
        </w:rPr>
        <w:t xml:space="preserve"> dramatic</w:t>
      </w:r>
      <w:r w:rsidR="001D6AEE">
        <w:rPr>
          <w:rFonts w:asciiTheme="majorHAnsi" w:hAnsiTheme="majorHAnsi"/>
          <w:lang w:val="en-US"/>
        </w:rPr>
        <w:t>,</w:t>
      </w:r>
      <w:r w:rsidR="00FA15E3">
        <w:rPr>
          <w:rFonts w:asciiTheme="majorHAnsi" w:hAnsiTheme="majorHAnsi"/>
          <w:lang w:val="en-US"/>
        </w:rPr>
        <w:t xml:space="preserve"> 9.</w:t>
      </w:r>
      <w:r w:rsidR="000C52AA">
        <w:rPr>
          <w:rFonts w:asciiTheme="majorHAnsi" w:hAnsiTheme="majorHAnsi"/>
          <w:lang w:val="en-US"/>
        </w:rPr>
        <w:t xml:space="preserve">77 </w:t>
      </w:r>
      <w:r w:rsidR="00FA15E3">
        <w:rPr>
          <w:rFonts w:asciiTheme="majorHAnsi" w:hAnsiTheme="majorHAnsi"/>
          <w:lang w:val="en-US"/>
        </w:rPr>
        <w:t xml:space="preserve">times increase in the </w:t>
      </w:r>
      <w:r w:rsidR="00A417BC">
        <w:rPr>
          <w:rFonts w:asciiTheme="majorHAnsi" w:hAnsiTheme="majorHAnsi"/>
          <w:lang w:val="en-US"/>
        </w:rPr>
        <w:t xml:space="preserve">likelihood </w:t>
      </w:r>
      <w:r w:rsidR="00BD756F">
        <w:rPr>
          <w:rFonts w:asciiTheme="majorHAnsi" w:hAnsiTheme="majorHAnsi"/>
          <w:lang w:val="en-US"/>
        </w:rPr>
        <w:t>of an individual ceasing to trade if their</w:t>
      </w:r>
      <w:r w:rsidR="00FA15E3">
        <w:rPr>
          <w:rFonts w:asciiTheme="majorHAnsi" w:hAnsiTheme="majorHAnsi"/>
          <w:lang w:val="en-US"/>
        </w:rPr>
        <w:t xml:space="preserve"> </w:t>
      </w:r>
      <w:r w:rsidRPr="00FC6DF5">
        <w:rPr>
          <w:rFonts w:asciiTheme="majorHAnsi" w:hAnsiTheme="majorHAnsi"/>
          <w:i/>
          <w:lang w:val="en-US"/>
        </w:rPr>
        <w:t>ANPL</w:t>
      </w:r>
      <w:r w:rsidRPr="003B0386">
        <w:rPr>
          <w:rFonts w:asciiTheme="majorHAnsi" w:hAnsiTheme="majorHAnsi"/>
          <w:i/>
          <w:vertAlign w:val="subscript"/>
          <w:lang w:val="en-US"/>
        </w:rPr>
        <w:t xml:space="preserve"> </w:t>
      </w:r>
      <w:r>
        <w:rPr>
          <w:rFonts w:asciiTheme="majorHAnsi" w:hAnsiTheme="majorHAnsi"/>
          <w:i/>
          <w:vertAlign w:val="subscript"/>
          <w:lang w:val="en-US"/>
        </w:rPr>
        <w:t>km</w:t>
      </w:r>
      <w:r w:rsidR="00FA15E3">
        <w:rPr>
          <w:rFonts w:asciiTheme="majorHAnsi" w:hAnsiTheme="majorHAnsi"/>
          <w:lang w:val="en-US"/>
        </w:rPr>
        <w:t xml:space="preserve"> </w:t>
      </w:r>
      <w:r w:rsidR="00334A6C">
        <w:rPr>
          <w:rFonts w:asciiTheme="majorHAnsi" w:hAnsiTheme="majorHAnsi"/>
          <w:lang w:val="en-US"/>
        </w:rPr>
        <w:t xml:space="preserve">at the end of a given month </w:t>
      </w:r>
      <w:r w:rsidR="00FA15E3">
        <w:rPr>
          <w:rFonts w:asciiTheme="majorHAnsi" w:hAnsiTheme="majorHAnsi"/>
          <w:lang w:val="en-US"/>
        </w:rPr>
        <w:t>is</w:t>
      </w:r>
      <w:r w:rsidR="00566967">
        <w:rPr>
          <w:rFonts w:asciiTheme="majorHAnsi" w:hAnsiTheme="majorHAnsi"/>
          <w:lang w:val="en-US"/>
        </w:rPr>
        <w:t xml:space="preserve"> a fraction</w:t>
      </w:r>
      <w:r w:rsidR="00FA15E3">
        <w:rPr>
          <w:rFonts w:asciiTheme="majorHAnsi" w:hAnsiTheme="majorHAnsi"/>
          <w:lang w:val="en-US"/>
        </w:rPr>
        <w:t xml:space="preserve"> less than zero </w:t>
      </w:r>
      <w:r w:rsidR="00BD756F">
        <w:rPr>
          <w:rFonts w:asciiTheme="majorHAnsi" w:hAnsiTheme="majorHAnsi"/>
          <w:lang w:val="en-US"/>
        </w:rPr>
        <w:t xml:space="preserve">(cf. </w:t>
      </w:r>
      <w:r w:rsidR="00FA15E3">
        <w:rPr>
          <w:rFonts w:asciiTheme="majorHAnsi" w:hAnsiTheme="majorHAnsi"/>
          <w:lang w:val="en-US"/>
        </w:rPr>
        <w:t xml:space="preserve">when it is </w:t>
      </w:r>
      <w:r w:rsidR="00566967">
        <w:rPr>
          <w:rFonts w:asciiTheme="majorHAnsi" w:hAnsiTheme="majorHAnsi"/>
          <w:lang w:val="en-US"/>
        </w:rPr>
        <w:t xml:space="preserve">just </w:t>
      </w:r>
      <w:r w:rsidR="00FA15E3">
        <w:rPr>
          <w:rFonts w:asciiTheme="majorHAnsi" w:hAnsiTheme="majorHAnsi"/>
          <w:lang w:val="en-US"/>
        </w:rPr>
        <w:t>greater than zero</w:t>
      </w:r>
      <w:r w:rsidR="00BD756F">
        <w:rPr>
          <w:rFonts w:asciiTheme="majorHAnsi" w:hAnsiTheme="majorHAnsi"/>
          <w:lang w:val="en-US"/>
        </w:rPr>
        <w:t>)</w:t>
      </w:r>
      <w:r w:rsidR="00FA15E3">
        <w:rPr>
          <w:rFonts w:asciiTheme="majorHAnsi" w:hAnsiTheme="majorHAnsi"/>
          <w:lang w:val="en-US"/>
        </w:rPr>
        <w:t xml:space="preserve">. </w:t>
      </w:r>
      <w:r w:rsidR="00743D46">
        <w:rPr>
          <w:rFonts w:asciiTheme="majorHAnsi" w:hAnsiTheme="majorHAnsi"/>
          <w:lang w:val="en-US"/>
        </w:rPr>
        <w:t xml:space="preserve">This large effect size is revealed in </w:t>
      </w:r>
      <w:r w:rsidR="00326E18">
        <w:rPr>
          <w:rFonts w:asciiTheme="majorHAnsi" w:hAnsiTheme="majorHAnsi"/>
          <w:lang w:val="en-US"/>
        </w:rPr>
        <w:t xml:space="preserve">Figure </w:t>
      </w:r>
      <w:r w:rsidR="0029243F">
        <w:rPr>
          <w:rFonts w:asciiTheme="majorHAnsi" w:hAnsiTheme="majorHAnsi"/>
          <w:lang w:val="en-US"/>
        </w:rPr>
        <w:t>2</w:t>
      </w:r>
      <w:r w:rsidR="00D853CD">
        <w:rPr>
          <w:rFonts w:asciiTheme="majorHAnsi" w:hAnsiTheme="majorHAnsi"/>
          <w:lang w:val="en-US"/>
        </w:rPr>
        <w:t>,</w:t>
      </w:r>
      <w:r w:rsidR="0029243F">
        <w:rPr>
          <w:rFonts w:asciiTheme="majorHAnsi" w:hAnsiTheme="majorHAnsi"/>
          <w:lang w:val="en-US"/>
        </w:rPr>
        <w:t xml:space="preserve"> </w:t>
      </w:r>
      <w:r w:rsidR="00743D46">
        <w:rPr>
          <w:rFonts w:asciiTheme="majorHAnsi" w:hAnsiTheme="majorHAnsi"/>
          <w:lang w:val="en-US"/>
        </w:rPr>
        <w:t xml:space="preserve">which </w:t>
      </w:r>
      <w:r w:rsidR="00FA15E3">
        <w:rPr>
          <w:rFonts w:asciiTheme="majorHAnsi" w:hAnsiTheme="majorHAnsi"/>
          <w:lang w:val="en-US"/>
        </w:rPr>
        <w:t xml:space="preserve">shows the </w:t>
      </w:r>
      <w:r w:rsidR="00566967">
        <w:rPr>
          <w:rFonts w:asciiTheme="majorHAnsi" w:hAnsiTheme="majorHAnsi"/>
          <w:lang w:val="en-US"/>
        </w:rPr>
        <w:t>change in likelihood</w:t>
      </w:r>
      <w:r w:rsidR="00FA15E3">
        <w:rPr>
          <w:rFonts w:asciiTheme="majorHAnsi" w:hAnsiTheme="majorHAnsi"/>
          <w:lang w:val="en-US"/>
        </w:rPr>
        <w:t xml:space="preserve"> of </w:t>
      </w:r>
      <w:r w:rsidR="00D56970">
        <w:rPr>
          <w:rFonts w:asciiTheme="majorHAnsi" w:hAnsiTheme="majorHAnsi"/>
          <w:lang w:val="en-US"/>
        </w:rPr>
        <w:t xml:space="preserve">ceasing to trade </w:t>
      </w:r>
      <w:r w:rsidR="004C54A1">
        <w:rPr>
          <w:rFonts w:asciiTheme="majorHAnsi" w:hAnsiTheme="majorHAnsi"/>
          <w:lang w:val="en-US"/>
        </w:rPr>
        <w:t>when</w:t>
      </w:r>
      <w:r w:rsidR="00FA15E3">
        <w:rPr>
          <w:rFonts w:asciiTheme="majorHAnsi" w:hAnsiTheme="majorHAnsi"/>
          <w:lang w:val="en-US"/>
        </w:rPr>
        <w:t xml:space="preserve"> </w:t>
      </w:r>
      <w:r w:rsidR="006C1831">
        <w:rPr>
          <w:rFonts w:asciiTheme="majorHAnsi" w:hAnsiTheme="majorHAnsi"/>
          <w:lang w:val="en-US"/>
        </w:rPr>
        <w:t xml:space="preserve">an individual’s </w:t>
      </w:r>
      <w:r w:rsidR="008D11A1">
        <w:rPr>
          <w:rFonts w:asciiTheme="majorHAnsi" w:hAnsiTheme="majorHAnsi"/>
          <w:lang w:val="en-US"/>
        </w:rPr>
        <w:t xml:space="preserve">cumulative </w:t>
      </w:r>
      <w:r w:rsidR="006C1831">
        <w:rPr>
          <w:rFonts w:asciiTheme="majorHAnsi" w:hAnsiTheme="majorHAnsi"/>
          <w:lang w:val="en-US"/>
        </w:rPr>
        <w:t>balance chang</w:t>
      </w:r>
      <w:r w:rsidR="004C54A1">
        <w:rPr>
          <w:rFonts w:asciiTheme="majorHAnsi" w:hAnsiTheme="majorHAnsi"/>
          <w:lang w:val="en-US"/>
        </w:rPr>
        <w:t>es</w:t>
      </w:r>
      <w:r w:rsidR="006C1831">
        <w:rPr>
          <w:rFonts w:asciiTheme="majorHAnsi" w:hAnsiTheme="majorHAnsi"/>
          <w:lang w:val="en-US"/>
        </w:rPr>
        <w:t xml:space="preserve"> sign</w:t>
      </w:r>
      <w:r w:rsidR="00566967">
        <w:rPr>
          <w:rFonts w:asciiTheme="majorHAnsi" w:hAnsiTheme="majorHAnsi"/>
          <w:lang w:val="en-US"/>
        </w:rPr>
        <w:t xml:space="preserve">. </w:t>
      </w:r>
      <w:r w:rsidR="009D0F5C">
        <w:rPr>
          <w:rFonts w:asciiTheme="majorHAnsi" w:hAnsiTheme="majorHAnsi"/>
          <w:lang w:val="en-US"/>
        </w:rPr>
        <w:t xml:space="preserve">The figure reveals that as individuals </w:t>
      </w:r>
      <w:r w:rsidR="004E31FA">
        <w:rPr>
          <w:rFonts w:asciiTheme="majorHAnsi" w:hAnsiTheme="majorHAnsi"/>
          <w:lang w:val="en-US"/>
        </w:rPr>
        <w:t>earn more money above the break-even point (zero on the x-axis) they have a gradual decrease in the likelihood of stopping trading. Similar</w:t>
      </w:r>
      <w:r w:rsidR="00A00871">
        <w:rPr>
          <w:rFonts w:asciiTheme="majorHAnsi" w:hAnsiTheme="majorHAnsi"/>
          <w:lang w:val="en-US"/>
        </w:rPr>
        <w:t>ly</w:t>
      </w:r>
      <w:r w:rsidR="004E31FA">
        <w:rPr>
          <w:rFonts w:asciiTheme="majorHAnsi" w:hAnsiTheme="majorHAnsi"/>
          <w:lang w:val="en-US"/>
        </w:rPr>
        <w:t xml:space="preserve">, although with a much greater effect, the more money </w:t>
      </w:r>
      <w:r w:rsidR="00A00871">
        <w:rPr>
          <w:rFonts w:asciiTheme="majorHAnsi" w:hAnsiTheme="majorHAnsi"/>
          <w:lang w:val="en-US"/>
        </w:rPr>
        <w:t>an</w:t>
      </w:r>
      <w:r w:rsidR="004E31FA">
        <w:rPr>
          <w:rFonts w:asciiTheme="majorHAnsi" w:hAnsiTheme="majorHAnsi"/>
          <w:lang w:val="en-US"/>
        </w:rPr>
        <w:t xml:space="preserve"> individual loses below the break-even point, the greater the likelihood of them stopping trading. This </w:t>
      </w:r>
      <w:r w:rsidR="00A00871">
        <w:rPr>
          <w:rFonts w:asciiTheme="majorHAnsi" w:hAnsiTheme="majorHAnsi"/>
          <w:lang w:val="en-US"/>
        </w:rPr>
        <w:t>may</w:t>
      </w:r>
      <w:r w:rsidR="004E31FA">
        <w:rPr>
          <w:rFonts w:asciiTheme="majorHAnsi" w:hAnsiTheme="majorHAnsi"/>
          <w:lang w:val="en-US"/>
        </w:rPr>
        <w:t xml:space="preserve"> not be </w:t>
      </w:r>
      <w:r w:rsidR="009F128C">
        <w:rPr>
          <w:rFonts w:asciiTheme="majorHAnsi" w:hAnsiTheme="majorHAnsi"/>
          <w:lang w:val="en-US"/>
        </w:rPr>
        <w:t>surprising</w:t>
      </w:r>
      <w:r w:rsidR="00A00871">
        <w:rPr>
          <w:rFonts w:asciiTheme="majorHAnsi" w:hAnsiTheme="majorHAnsi"/>
          <w:lang w:val="en-US"/>
        </w:rPr>
        <w:t>. H</w:t>
      </w:r>
      <w:r w:rsidR="004E31FA">
        <w:rPr>
          <w:rFonts w:asciiTheme="majorHAnsi" w:hAnsiTheme="majorHAnsi"/>
          <w:lang w:val="en-US"/>
        </w:rPr>
        <w:t xml:space="preserve">owever, the </w:t>
      </w:r>
      <w:r w:rsidR="00FA15E3">
        <w:rPr>
          <w:rFonts w:asciiTheme="majorHAnsi" w:hAnsiTheme="majorHAnsi"/>
          <w:lang w:val="en-US"/>
        </w:rPr>
        <w:t>sudden discontinuity around the break-even point</w:t>
      </w:r>
      <w:r w:rsidR="00A00871">
        <w:rPr>
          <w:rFonts w:asciiTheme="majorHAnsi" w:hAnsiTheme="majorHAnsi"/>
          <w:lang w:val="en-US"/>
        </w:rPr>
        <w:t xml:space="preserve"> is striking</w:t>
      </w:r>
      <w:r w:rsidR="00FA15E3">
        <w:rPr>
          <w:rFonts w:asciiTheme="majorHAnsi" w:hAnsiTheme="majorHAnsi"/>
          <w:lang w:val="en-US"/>
        </w:rPr>
        <w:t>.</w:t>
      </w:r>
      <w:r w:rsidR="004E31FA">
        <w:rPr>
          <w:rFonts w:asciiTheme="majorHAnsi" w:hAnsiTheme="majorHAnsi"/>
          <w:lang w:val="en-US"/>
        </w:rPr>
        <w:t xml:space="preserve"> A small change in wealth from above to below the break-even point leads to a dramatic increase in the likelihood of the individual stopping trading. </w:t>
      </w:r>
      <w:r w:rsidR="00EF1EB6">
        <w:rPr>
          <w:rFonts w:asciiTheme="majorHAnsi" w:hAnsiTheme="majorHAnsi"/>
          <w:lang w:val="en-US"/>
        </w:rPr>
        <w:t xml:space="preserve"> </w:t>
      </w:r>
      <w:r w:rsidR="004D623E">
        <w:rPr>
          <w:rFonts w:asciiTheme="majorHAnsi" w:hAnsiTheme="majorHAnsi"/>
          <w:lang w:val="en-US"/>
        </w:rPr>
        <w:t>T</w:t>
      </w:r>
      <w:r w:rsidR="00EF1EB6">
        <w:rPr>
          <w:rFonts w:asciiTheme="majorHAnsi" w:hAnsiTheme="majorHAnsi"/>
          <w:lang w:val="en-US"/>
        </w:rPr>
        <w:t xml:space="preserve">hese results </w:t>
      </w:r>
      <w:r w:rsidR="004D623E">
        <w:rPr>
          <w:rFonts w:asciiTheme="majorHAnsi" w:hAnsiTheme="majorHAnsi"/>
          <w:lang w:val="en-US"/>
        </w:rPr>
        <w:t>support H1</w:t>
      </w:r>
      <w:r w:rsidR="005D1063">
        <w:rPr>
          <w:rFonts w:asciiTheme="majorHAnsi" w:hAnsiTheme="majorHAnsi"/>
          <w:lang w:val="en-US"/>
        </w:rPr>
        <w:t>,</w:t>
      </w:r>
      <w:r w:rsidR="00EF1EB6">
        <w:rPr>
          <w:rFonts w:asciiTheme="majorHAnsi" w:hAnsiTheme="majorHAnsi"/>
          <w:lang w:val="en-US"/>
        </w:rPr>
        <w:t xml:space="preserve"> that </w:t>
      </w:r>
      <w:r w:rsidR="00EF1EB6" w:rsidRPr="00EF1EB6">
        <w:rPr>
          <w:rFonts w:asciiTheme="majorHAnsi" w:hAnsiTheme="majorHAnsi"/>
          <w:lang w:val="en-US"/>
        </w:rPr>
        <w:t>a</w:t>
      </w:r>
      <w:r w:rsidR="00EF1EB6" w:rsidRPr="00314D0E">
        <w:rPr>
          <w:rFonts w:asciiTheme="majorHAnsi" w:hAnsiTheme="majorHAnsi"/>
          <w:lang w:val="en-US"/>
        </w:rPr>
        <w:t xml:space="preserve"> significant increase in the probability of ceasing a </w:t>
      </w:r>
      <w:r w:rsidR="0015251B">
        <w:rPr>
          <w:rFonts w:asciiTheme="majorHAnsi" w:hAnsiTheme="majorHAnsi"/>
          <w:lang w:val="en-US"/>
        </w:rPr>
        <w:t>RA</w:t>
      </w:r>
      <w:r w:rsidR="00EF1EB6" w:rsidRPr="00314D0E">
        <w:rPr>
          <w:rFonts w:asciiTheme="majorHAnsi" w:hAnsiTheme="majorHAnsi"/>
          <w:lang w:val="en-US"/>
        </w:rPr>
        <w:t xml:space="preserve"> will occur when an </w:t>
      </w:r>
      <w:r w:rsidR="00EF1EB6" w:rsidRPr="006D7181">
        <w:rPr>
          <w:rFonts w:asciiTheme="majorHAnsi" w:hAnsiTheme="majorHAnsi"/>
          <w:lang w:val="en-US"/>
        </w:rPr>
        <w:t xml:space="preserve">individual’s </w:t>
      </w:r>
      <w:r w:rsidR="00B97797">
        <w:rPr>
          <w:rFonts w:asciiTheme="majorHAnsi" w:hAnsiTheme="majorHAnsi"/>
          <w:lang w:val="en-US"/>
        </w:rPr>
        <w:t xml:space="preserve">accumulated </w:t>
      </w:r>
      <w:r w:rsidR="00EF1EB6" w:rsidRPr="006D7181">
        <w:rPr>
          <w:rFonts w:asciiTheme="majorHAnsi" w:hAnsiTheme="majorHAnsi"/>
          <w:lang w:val="en-US"/>
        </w:rPr>
        <w:t>net return falls below their break-even point</w:t>
      </w:r>
      <w:r w:rsidR="004D623E" w:rsidRPr="006D7181">
        <w:rPr>
          <w:rFonts w:asciiTheme="majorHAnsi" w:hAnsiTheme="majorHAnsi"/>
          <w:lang w:val="en-US"/>
        </w:rPr>
        <w:t>. They also</w:t>
      </w:r>
      <w:r w:rsidR="00D212A9" w:rsidRPr="006D7181">
        <w:rPr>
          <w:rFonts w:asciiTheme="majorHAnsi" w:hAnsiTheme="majorHAnsi"/>
          <w:lang w:val="en-US"/>
        </w:rPr>
        <w:t xml:space="preserve"> reveal</w:t>
      </w:r>
      <w:r w:rsidR="004D623E" w:rsidRPr="006D7181">
        <w:rPr>
          <w:rFonts w:asciiTheme="majorHAnsi" w:hAnsiTheme="majorHAnsi"/>
          <w:lang w:val="en-US"/>
        </w:rPr>
        <w:t xml:space="preserve"> </w:t>
      </w:r>
      <w:r w:rsidR="00566967" w:rsidRPr="006D7181">
        <w:rPr>
          <w:rFonts w:asciiTheme="majorHAnsi" w:hAnsiTheme="majorHAnsi"/>
          <w:lang w:val="en-US"/>
        </w:rPr>
        <w:t xml:space="preserve">that the functions are very different </w:t>
      </w:r>
      <w:r w:rsidR="006D7181" w:rsidRPr="00275768">
        <w:rPr>
          <w:rFonts w:asciiTheme="majorHAnsi" w:hAnsiTheme="majorHAnsi"/>
        </w:rPr>
        <w:t xml:space="preserve">for those </w:t>
      </w:r>
      <w:r w:rsidR="0005453E">
        <w:rPr>
          <w:rFonts w:asciiTheme="majorHAnsi" w:hAnsiTheme="majorHAnsi"/>
          <w:lang w:val="en-US"/>
        </w:rPr>
        <w:t>with positive and those with negative cumulat</w:t>
      </w:r>
      <w:r w:rsidR="00444015">
        <w:rPr>
          <w:rFonts w:asciiTheme="majorHAnsi" w:hAnsiTheme="majorHAnsi"/>
          <w:lang w:val="en-US"/>
        </w:rPr>
        <w:t>ive</w:t>
      </w:r>
      <w:r w:rsidR="0005453E">
        <w:rPr>
          <w:rFonts w:asciiTheme="majorHAnsi" w:hAnsiTheme="majorHAnsi"/>
          <w:lang w:val="en-US"/>
        </w:rPr>
        <w:t xml:space="preserve"> return</w:t>
      </w:r>
      <w:r w:rsidR="00444015">
        <w:rPr>
          <w:rFonts w:asciiTheme="majorHAnsi" w:hAnsiTheme="majorHAnsi"/>
          <w:lang w:val="en-US"/>
        </w:rPr>
        <w:t>s</w:t>
      </w:r>
      <w:r w:rsidR="0005453E">
        <w:rPr>
          <w:rFonts w:asciiTheme="majorHAnsi" w:hAnsiTheme="majorHAnsi"/>
          <w:lang w:val="en-US"/>
        </w:rPr>
        <w:t>.</w:t>
      </w:r>
      <w:r w:rsidR="004E31FA">
        <w:rPr>
          <w:rFonts w:asciiTheme="majorHAnsi" w:hAnsiTheme="majorHAnsi"/>
          <w:lang w:val="en-US"/>
        </w:rPr>
        <w:t xml:space="preserve"> It should be noted that the difference between the shapes of the curves above and below the break-even point have more than a passing resemblance to the curves of prospect theory</w:t>
      </w:r>
      <w:r w:rsidR="009F128C">
        <w:rPr>
          <w:rFonts w:asciiTheme="majorHAnsi" w:hAnsiTheme="majorHAnsi"/>
          <w:lang w:val="en-US"/>
        </w:rPr>
        <w:t xml:space="preserve"> with respect to gains and losses</w:t>
      </w:r>
      <w:r w:rsidR="004E31FA">
        <w:rPr>
          <w:rFonts w:asciiTheme="majorHAnsi" w:hAnsiTheme="majorHAnsi"/>
          <w:lang w:val="en-US"/>
        </w:rPr>
        <w:t>.</w:t>
      </w:r>
    </w:p>
    <w:bookmarkEnd w:id="10"/>
    <w:p w14:paraId="7D2960E2" w14:textId="1F0BF289" w:rsidR="00FA15E3" w:rsidRPr="007B2416" w:rsidRDefault="00FA15E3" w:rsidP="00326E18">
      <w:pPr>
        <w:spacing w:after="0" w:line="480" w:lineRule="auto"/>
        <w:ind w:left="2160" w:firstLine="720"/>
        <w:rPr>
          <w:rFonts w:asciiTheme="majorHAnsi" w:hAnsiTheme="majorHAnsi"/>
          <w:lang w:val="en-US"/>
        </w:rPr>
      </w:pPr>
      <w:r>
        <w:rPr>
          <w:rFonts w:asciiTheme="majorHAnsi" w:hAnsiTheme="majorHAnsi"/>
          <w:lang w:val="en-US"/>
        </w:rPr>
        <w:t>[</w:t>
      </w:r>
      <w:r w:rsidR="00066A97">
        <w:rPr>
          <w:rFonts w:asciiTheme="majorHAnsi" w:hAnsiTheme="majorHAnsi"/>
          <w:lang w:val="en-US"/>
        </w:rPr>
        <w:t xml:space="preserve">Table </w:t>
      </w:r>
      <w:r w:rsidR="001D06ED">
        <w:rPr>
          <w:rFonts w:asciiTheme="majorHAnsi" w:hAnsiTheme="majorHAnsi"/>
          <w:lang w:val="en-US"/>
        </w:rPr>
        <w:t xml:space="preserve">III </w:t>
      </w:r>
      <w:r w:rsidR="00066A97">
        <w:rPr>
          <w:rFonts w:asciiTheme="majorHAnsi" w:hAnsiTheme="majorHAnsi"/>
          <w:lang w:val="en-US"/>
        </w:rPr>
        <w:t xml:space="preserve">&amp; </w:t>
      </w:r>
      <w:r w:rsidR="00326E18">
        <w:rPr>
          <w:rFonts w:asciiTheme="majorHAnsi" w:hAnsiTheme="majorHAnsi"/>
          <w:lang w:val="en-US"/>
        </w:rPr>
        <w:t xml:space="preserve">Figure </w:t>
      </w:r>
      <w:r>
        <w:rPr>
          <w:rFonts w:asciiTheme="majorHAnsi" w:hAnsiTheme="majorHAnsi"/>
          <w:lang w:val="en-US"/>
        </w:rPr>
        <w:t xml:space="preserve">2 </w:t>
      </w:r>
      <w:r w:rsidR="00B97797">
        <w:rPr>
          <w:rFonts w:asciiTheme="majorHAnsi" w:hAnsiTheme="majorHAnsi"/>
          <w:lang w:val="en-US"/>
        </w:rPr>
        <w:t xml:space="preserve">about </w:t>
      </w:r>
      <w:r>
        <w:rPr>
          <w:rFonts w:asciiTheme="majorHAnsi" w:hAnsiTheme="majorHAnsi"/>
          <w:lang w:val="en-US"/>
        </w:rPr>
        <w:t>here]</w:t>
      </w:r>
    </w:p>
    <w:p w14:paraId="5EAE8849" w14:textId="45D6CA11" w:rsidR="001B12D4" w:rsidRDefault="00EF1EB6" w:rsidP="00FC6DF5">
      <w:pPr>
        <w:spacing w:after="0" w:line="480" w:lineRule="auto"/>
        <w:ind w:firstLine="709"/>
        <w:rPr>
          <w:rFonts w:asciiTheme="majorHAnsi" w:hAnsiTheme="majorHAnsi"/>
          <w:lang w:val="en-US"/>
        </w:rPr>
      </w:pPr>
      <w:r>
        <w:rPr>
          <w:rFonts w:asciiTheme="majorHAnsi" w:hAnsiTheme="majorHAnsi"/>
          <w:lang w:val="en-US"/>
        </w:rPr>
        <w:t xml:space="preserve">We </w:t>
      </w:r>
      <w:r w:rsidR="00CA41A4">
        <w:rPr>
          <w:rFonts w:asciiTheme="majorHAnsi" w:hAnsiTheme="majorHAnsi"/>
          <w:lang w:val="en-US"/>
        </w:rPr>
        <w:t>propose</w:t>
      </w:r>
      <w:r>
        <w:rPr>
          <w:rFonts w:asciiTheme="majorHAnsi" w:hAnsiTheme="majorHAnsi"/>
          <w:lang w:val="en-US"/>
        </w:rPr>
        <w:t>d</w:t>
      </w:r>
      <w:r w:rsidR="00CA41A4">
        <w:rPr>
          <w:rFonts w:asciiTheme="majorHAnsi" w:hAnsiTheme="majorHAnsi"/>
          <w:lang w:val="en-US"/>
        </w:rPr>
        <w:t xml:space="preserve"> that the size of the discontinuity in the survival function w</w:t>
      </w:r>
      <w:r w:rsidR="00B110DE">
        <w:rPr>
          <w:rFonts w:asciiTheme="majorHAnsi" w:hAnsiTheme="majorHAnsi"/>
          <w:lang w:val="en-US"/>
        </w:rPr>
        <w:t>ould</w:t>
      </w:r>
      <w:r w:rsidR="00CA41A4">
        <w:rPr>
          <w:rFonts w:asciiTheme="majorHAnsi" w:hAnsiTheme="majorHAnsi"/>
          <w:lang w:val="en-US"/>
        </w:rPr>
        <w:t xml:space="preserve"> depend on </w:t>
      </w:r>
      <w:r w:rsidR="006C60A8">
        <w:rPr>
          <w:rFonts w:asciiTheme="majorHAnsi" w:hAnsiTheme="majorHAnsi"/>
          <w:lang w:val="en-US"/>
        </w:rPr>
        <w:t xml:space="preserve">how </w:t>
      </w:r>
      <w:r w:rsidR="00B110DE">
        <w:rPr>
          <w:rFonts w:asciiTheme="majorHAnsi" w:hAnsiTheme="majorHAnsi"/>
          <w:lang w:val="en-US"/>
        </w:rPr>
        <w:t>recent changes around the break-even point</w:t>
      </w:r>
      <w:r w:rsidR="00CA41A4">
        <w:rPr>
          <w:rFonts w:asciiTheme="majorHAnsi" w:hAnsiTheme="majorHAnsi"/>
          <w:lang w:val="en-US"/>
        </w:rPr>
        <w:t xml:space="preserve"> </w:t>
      </w:r>
      <w:r w:rsidR="006C60A8">
        <w:rPr>
          <w:rFonts w:asciiTheme="majorHAnsi" w:hAnsiTheme="majorHAnsi"/>
          <w:lang w:val="en-US"/>
        </w:rPr>
        <w:t xml:space="preserve">were </w:t>
      </w:r>
      <w:r w:rsidR="00B110DE">
        <w:rPr>
          <w:rFonts w:asciiTheme="majorHAnsi" w:hAnsiTheme="majorHAnsi"/>
          <w:lang w:val="en-US"/>
        </w:rPr>
        <w:t xml:space="preserve">perceived in relation to </w:t>
      </w:r>
      <w:r w:rsidR="006C60A8">
        <w:rPr>
          <w:rFonts w:asciiTheme="majorHAnsi" w:hAnsiTheme="majorHAnsi"/>
          <w:lang w:val="en-US"/>
        </w:rPr>
        <w:t xml:space="preserve">the individual’s </w:t>
      </w:r>
      <w:r w:rsidR="00B110DE">
        <w:rPr>
          <w:rFonts w:asciiTheme="majorHAnsi" w:hAnsiTheme="majorHAnsi"/>
          <w:lang w:val="en-US"/>
        </w:rPr>
        <w:t xml:space="preserve">longer-term </w:t>
      </w:r>
      <w:r w:rsidR="004022C3">
        <w:rPr>
          <w:rFonts w:asciiTheme="majorHAnsi" w:hAnsiTheme="majorHAnsi"/>
          <w:lang w:val="en-US"/>
        </w:rPr>
        <w:t>memory of their success</w:t>
      </w:r>
      <w:r>
        <w:rPr>
          <w:rFonts w:asciiTheme="majorHAnsi" w:hAnsiTheme="majorHAnsi"/>
          <w:lang w:val="en-US"/>
        </w:rPr>
        <w:t>.</w:t>
      </w:r>
      <w:r w:rsidR="00CA41A4">
        <w:rPr>
          <w:rFonts w:asciiTheme="majorHAnsi" w:hAnsiTheme="majorHAnsi"/>
          <w:lang w:val="en-US"/>
        </w:rPr>
        <w:t xml:space="preserve"> </w:t>
      </w:r>
      <w:r w:rsidR="004022C3">
        <w:rPr>
          <w:rFonts w:asciiTheme="majorHAnsi" w:hAnsiTheme="majorHAnsi"/>
          <w:lang w:val="en-US"/>
        </w:rPr>
        <w:t xml:space="preserve">We argue that this may be because those with </w:t>
      </w:r>
      <w:r w:rsidR="006C60A8">
        <w:rPr>
          <w:rFonts w:asciiTheme="majorHAnsi" w:hAnsiTheme="majorHAnsi"/>
          <w:lang w:val="en-US"/>
        </w:rPr>
        <w:t xml:space="preserve">more past </w:t>
      </w:r>
      <w:r w:rsidR="004022C3">
        <w:rPr>
          <w:rFonts w:asciiTheme="majorHAnsi" w:hAnsiTheme="majorHAnsi"/>
          <w:lang w:val="en-US"/>
        </w:rPr>
        <w:t xml:space="preserve">success may </w:t>
      </w:r>
      <w:r w:rsidR="00D56970">
        <w:rPr>
          <w:rFonts w:asciiTheme="majorHAnsi" w:hAnsiTheme="majorHAnsi"/>
          <w:lang w:val="en-US"/>
        </w:rPr>
        <w:t xml:space="preserve">develop </w:t>
      </w:r>
      <w:r w:rsidR="00DD05D0">
        <w:rPr>
          <w:rFonts w:asciiTheme="majorHAnsi" w:hAnsiTheme="majorHAnsi"/>
          <w:lang w:val="en-US"/>
        </w:rPr>
        <w:t xml:space="preserve">a </w:t>
      </w:r>
      <w:r w:rsidR="00D56970">
        <w:rPr>
          <w:rFonts w:asciiTheme="majorHAnsi" w:hAnsiTheme="majorHAnsi"/>
          <w:lang w:val="en-US"/>
        </w:rPr>
        <w:t>PMM</w:t>
      </w:r>
      <w:r w:rsidR="0005453E">
        <w:rPr>
          <w:rFonts w:asciiTheme="majorHAnsi" w:hAnsiTheme="majorHAnsi"/>
          <w:lang w:val="en-US"/>
        </w:rPr>
        <w:t xml:space="preserve"> and this could influence how they view </w:t>
      </w:r>
      <w:r w:rsidR="004022C3">
        <w:rPr>
          <w:rFonts w:asciiTheme="majorHAnsi" w:hAnsiTheme="majorHAnsi"/>
          <w:lang w:val="en-US"/>
        </w:rPr>
        <w:t xml:space="preserve">changes </w:t>
      </w:r>
      <w:r w:rsidR="00506535">
        <w:rPr>
          <w:rFonts w:asciiTheme="majorHAnsi" w:hAnsiTheme="majorHAnsi"/>
          <w:lang w:val="en-US"/>
        </w:rPr>
        <w:t xml:space="preserve">in wealth around the break-even point (i.e. </w:t>
      </w:r>
      <w:r w:rsidR="00CA41A4">
        <w:rPr>
          <w:rFonts w:asciiTheme="majorHAnsi" w:hAnsiTheme="majorHAnsi"/>
          <w:lang w:val="en-US"/>
        </w:rPr>
        <w:t xml:space="preserve">Hypotheses </w:t>
      </w:r>
      <w:r w:rsidR="00D212A9">
        <w:rPr>
          <w:rFonts w:asciiTheme="majorHAnsi" w:hAnsiTheme="majorHAnsi"/>
          <w:lang w:val="en-US"/>
        </w:rPr>
        <w:t>2</w:t>
      </w:r>
      <w:r w:rsidR="00CA41A4">
        <w:rPr>
          <w:rFonts w:asciiTheme="majorHAnsi" w:hAnsiTheme="majorHAnsi"/>
          <w:lang w:val="en-US"/>
        </w:rPr>
        <w:t xml:space="preserve"> </w:t>
      </w:r>
      <w:r w:rsidR="00BA44F4">
        <w:rPr>
          <w:rFonts w:asciiTheme="majorHAnsi" w:hAnsiTheme="majorHAnsi"/>
          <w:lang w:val="en-US"/>
        </w:rPr>
        <w:t xml:space="preserve">- </w:t>
      </w:r>
      <w:r w:rsidR="00D212A9">
        <w:rPr>
          <w:rFonts w:asciiTheme="majorHAnsi" w:hAnsiTheme="majorHAnsi"/>
          <w:lang w:val="en-US"/>
        </w:rPr>
        <w:t>4</w:t>
      </w:r>
      <w:r w:rsidR="00506535">
        <w:rPr>
          <w:rFonts w:asciiTheme="majorHAnsi" w:hAnsiTheme="majorHAnsi"/>
          <w:lang w:val="en-US"/>
        </w:rPr>
        <w:t>).</w:t>
      </w:r>
      <w:r w:rsidR="00681D5D">
        <w:rPr>
          <w:rFonts w:asciiTheme="majorHAnsi" w:hAnsiTheme="majorHAnsi"/>
          <w:lang w:val="en-US"/>
        </w:rPr>
        <w:t xml:space="preserve"> In order to test these hypotheses, we</w:t>
      </w:r>
      <w:r w:rsidR="00CA41A4">
        <w:rPr>
          <w:rFonts w:asciiTheme="majorHAnsi" w:hAnsiTheme="majorHAnsi"/>
          <w:lang w:val="en-US"/>
        </w:rPr>
        <w:t xml:space="preserve"> </w:t>
      </w:r>
      <w:r w:rsidR="00FA15E3">
        <w:rPr>
          <w:rFonts w:asciiTheme="majorHAnsi" w:hAnsiTheme="majorHAnsi"/>
          <w:lang w:val="en-US"/>
        </w:rPr>
        <w:t>examine</w:t>
      </w:r>
      <w:r w:rsidR="006C60A8">
        <w:rPr>
          <w:rFonts w:asciiTheme="majorHAnsi" w:hAnsiTheme="majorHAnsi"/>
          <w:lang w:val="en-US"/>
        </w:rPr>
        <w:t>d</w:t>
      </w:r>
      <w:r w:rsidR="00FA15E3">
        <w:rPr>
          <w:rFonts w:asciiTheme="majorHAnsi" w:hAnsiTheme="majorHAnsi"/>
          <w:lang w:val="en-US"/>
        </w:rPr>
        <w:t xml:space="preserve"> the effects associated with</w:t>
      </w:r>
      <w:r w:rsidR="00681D5D">
        <w:rPr>
          <w:rFonts w:asciiTheme="majorHAnsi" w:hAnsiTheme="majorHAnsi"/>
          <w:lang w:val="en-US"/>
        </w:rPr>
        <w:t xml:space="preserve"> </w:t>
      </w:r>
      <m:oMath>
        <m:r>
          <w:rPr>
            <w:rFonts w:ascii="Cambria Math" w:hAnsi="Cambria Math"/>
            <w:lang w:val="en-US"/>
          </w:rPr>
          <m:t>GenerallyProfitable</m:t>
        </m:r>
      </m:oMath>
      <w:r w:rsidR="00FA15E3">
        <w:rPr>
          <w:rFonts w:asciiTheme="majorHAnsi" w:hAnsiTheme="majorHAnsi"/>
          <w:i/>
          <w:vertAlign w:val="subscript"/>
          <w:lang w:val="en-US"/>
        </w:rPr>
        <w:t>km</w:t>
      </w:r>
      <w:r w:rsidR="00FA15E3">
        <w:rPr>
          <w:rFonts w:asciiTheme="majorHAnsi" w:hAnsiTheme="majorHAnsi"/>
          <w:lang w:val="en-US"/>
        </w:rPr>
        <w:t xml:space="preserve"> and StatusChange</w:t>
      </w:r>
      <w:r w:rsidR="00FA15E3" w:rsidRPr="00900F5F">
        <w:rPr>
          <w:rFonts w:asciiTheme="majorHAnsi" w:hAnsiTheme="majorHAnsi"/>
          <w:i/>
          <w:vertAlign w:val="subscript"/>
          <w:lang w:val="en-US"/>
        </w:rPr>
        <w:t>km</w:t>
      </w:r>
      <w:r w:rsidR="00FA15E3">
        <w:rPr>
          <w:rFonts w:asciiTheme="majorHAnsi" w:hAnsiTheme="majorHAnsi"/>
          <w:lang w:val="en-US"/>
        </w:rPr>
        <w:softHyphen/>
      </w:r>
      <w:r w:rsidR="00FA15E3">
        <w:rPr>
          <w:rFonts w:asciiTheme="majorHAnsi" w:hAnsiTheme="majorHAnsi"/>
          <w:lang w:val="en-US"/>
        </w:rPr>
        <w:softHyphen/>
      </w:r>
      <w:r w:rsidR="00FA15E3">
        <w:rPr>
          <w:rFonts w:asciiTheme="majorHAnsi" w:hAnsiTheme="majorHAnsi"/>
          <w:lang w:val="en-US"/>
        </w:rPr>
        <w:softHyphen/>
      </w:r>
      <w:r w:rsidR="00FA15E3">
        <w:rPr>
          <w:rFonts w:asciiTheme="majorHAnsi" w:hAnsiTheme="majorHAnsi"/>
          <w:lang w:val="en-US"/>
        </w:rPr>
        <w:softHyphen/>
      </w:r>
      <w:r w:rsidR="00FA15E3">
        <w:rPr>
          <w:rFonts w:asciiTheme="majorHAnsi" w:hAnsiTheme="majorHAnsi"/>
          <w:lang w:val="en-US"/>
        </w:rPr>
        <w:softHyphen/>
      </w:r>
      <w:r w:rsidR="00FA15E3">
        <w:rPr>
          <w:rFonts w:asciiTheme="majorHAnsi" w:hAnsiTheme="majorHAnsi"/>
          <w:lang w:val="en-US"/>
        </w:rPr>
        <w:softHyphen/>
      </w:r>
      <w:r w:rsidR="00FA15E3">
        <w:rPr>
          <w:rFonts w:asciiTheme="majorHAnsi" w:hAnsiTheme="majorHAnsi"/>
          <w:lang w:val="en-US"/>
        </w:rPr>
        <w:softHyphen/>
      </w:r>
      <w:r w:rsidR="00FA15E3">
        <w:rPr>
          <w:rFonts w:asciiTheme="majorHAnsi" w:hAnsiTheme="majorHAnsi"/>
          <w:lang w:val="en-US"/>
        </w:rPr>
        <w:softHyphen/>
      </w:r>
      <w:r w:rsidR="00FA15E3">
        <w:rPr>
          <w:rFonts w:asciiTheme="majorHAnsi" w:hAnsiTheme="majorHAnsi"/>
          <w:lang w:val="en-US"/>
        </w:rPr>
        <w:softHyphen/>
      </w:r>
      <w:r w:rsidR="00FA15E3">
        <w:rPr>
          <w:rFonts w:asciiTheme="majorHAnsi" w:hAnsiTheme="majorHAnsi"/>
          <w:lang w:val="en-US"/>
        </w:rPr>
        <w:softHyphen/>
        <w:t xml:space="preserve"> alongside </w:t>
      </w:r>
      <m:oMath>
        <m:r>
          <w:rPr>
            <w:rFonts w:ascii="Cambria Math" w:hAnsi="Cambria Math"/>
            <w:lang w:val="en-US"/>
          </w:rPr>
          <m:t>LossMonth</m:t>
        </m:r>
      </m:oMath>
      <w:r w:rsidR="00E2665C">
        <w:rPr>
          <w:rFonts w:asciiTheme="majorHAnsi" w:hAnsiTheme="majorHAnsi"/>
          <w:i/>
          <w:vertAlign w:val="subscript"/>
          <w:lang w:val="en-US"/>
        </w:rPr>
        <w:t>km</w:t>
      </w:r>
      <w:r w:rsidR="00E2665C" w:rsidDel="00E2665C">
        <w:rPr>
          <w:rFonts w:asciiTheme="majorHAnsi" w:hAnsiTheme="majorHAnsi"/>
          <w:lang w:val="en-US"/>
        </w:rPr>
        <w:t xml:space="preserve"> </w:t>
      </w:r>
      <w:r w:rsidR="00FA15E3">
        <w:rPr>
          <w:rFonts w:asciiTheme="majorHAnsi" w:hAnsiTheme="majorHAnsi"/>
          <w:lang w:val="en-US"/>
        </w:rPr>
        <w:t xml:space="preserve"> </w:t>
      </w:r>
      <w:r w:rsidR="00681D5D">
        <w:rPr>
          <w:rFonts w:asciiTheme="majorHAnsi" w:hAnsiTheme="majorHAnsi"/>
          <w:lang w:val="en-US"/>
        </w:rPr>
        <w:t>and</w:t>
      </w:r>
      <w:r w:rsidR="00FA15E3">
        <w:rPr>
          <w:rFonts w:asciiTheme="majorHAnsi" w:hAnsiTheme="majorHAnsi"/>
          <w:lang w:val="en-US"/>
        </w:rPr>
        <w:t xml:space="preserve"> </w:t>
      </w:r>
      <w:r w:rsidR="00681D5D">
        <w:rPr>
          <w:rFonts w:asciiTheme="majorHAnsi" w:hAnsiTheme="majorHAnsi"/>
          <w:lang w:val="en-US"/>
        </w:rPr>
        <w:t xml:space="preserve">the </w:t>
      </w:r>
      <w:r w:rsidR="00FA15E3">
        <w:rPr>
          <w:rFonts w:asciiTheme="majorHAnsi" w:hAnsiTheme="majorHAnsi"/>
          <w:lang w:val="en-US"/>
        </w:rPr>
        <w:t>significant interactions (</w:t>
      </w:r>
      <w:r w:rsidR="00681D5D">
        <w:rPr>
          <w:rFonts w:asciiTheme="majorHAnsi" w:hAnsiTheme="majorHAnsi"/>
          <w:lang w:val="en-US"/>
        </w:rPr>
        <w:t>i.e.</w:t>
      </w:r>
      <w:r w:rsidR="00A01AC4">
        <w:rPr>
          <w:rFonts w:asciiTheme="majorHAnsi" w:hAnsiTheme="majorHAnsi"/>
          <w:lang w:val="en-US"/>
        </w:rPr>
        <w:t xml:space="preserve"> </w:t>
      </w:r>
      <m:oMath>
        <m:r>
          <w:rPr>
            <w:rFonts w:ascii="Cambria Math" w:hAnsi="Cambria Math"/>
            <w:lang w:val="en-US"/>
          </w:rPr>
          <m:t>GenerallyProfitable</m:t>
        </m:r>
      </m:oMath>
      <w:r w:rsidR="00E2665C">
        <w:rPr>
          <w:rFonts w:asciiTheme="majorHAnsi" w:hAnsiTheme="majorHAnsi"/>
          <w:i/>
          <w:vertAlign w:val="subscript"/>
          <w:lang w:val="en-US"/>
        </w:rPr>
        <w:t xml:space="preserve"> </w:t>
      </w:r>
      <w:r w:rsidR="00FA15E3" w:rsidRPr="005054B5">
        <w:rPr>
          <w:rFonts w:asciiTheme="majorHAnsi" w:hAnsiTheme="majorHAnsi"/>
          <w:lang w:val="de-DE"/>
        </w:rPr>
        <w:t xml:space="preserve">× </w:t>
      </w:r>
      <m:oMath>
        <m:r>
          <w:rPr>
            <w:rFonts w:ascii="Cambria Math" w:hAnsi="Cambria Math"/>
            <w:lang w:val="en-US"/>
          </w:rPr>
          <m:t>LossMont</m:t>
        </m:r>
        <m:r>
          <w:rPr>
            <w:rFonts w:ascii="Cambria Math" w:hAnsi="Cambria Math"/>
            <w:lang w:val="de-DE"/>
          </w:rPr>
          <m:t>h</m:t>
        </m:r>
      </m:oMath>
      <w:r w:rsidR="00FA15E3" w:rsidRPr="005054B5">
        <w:rPr>
          <w:rFonts w:asciiTheme="majorHAnsi" w:hAnsiTheme="majorHAnsi"/>
          <w:lang w:val="de-DE"/>
        </w:rPr>
        <w:t>)</w:t>
      </w:r>
      <w:r w:rsidR="00FA15E3" w:rsidRPr="005054B5">
        <w:rPr>
          <w:rFonts w:asciiTheme="majorHAnsi" w:hAnsiTheme="majorHAnsi"/>
          <w:i/>
          <w:vertAlign w:val="subscript"/>
          <w:lang w:val="de-DE"/>
        </w:rPr>
        <w:t>km</w:t>
      </w:r>
      <w:r w:rsidR="00FA15E3" w:rsidRPr="005054B5">
        <w:rPr>
          <w:rFonts w:asciiTheme="majorHAnsi" w:hAnsiTheme="majorHAnsi"/>
          <w:lang w:val="de-DE"/>
        </w:rPr>
        <w:t>, (</w:t>
      </w:r>
      <m:oMath>
        <m:r>
          <w:rPr>
            <w:rFonts w:ascii="Cambria Math" w:hAnsi="Cambria Math"/>
            <w:lang w:val="en-US"/>
          </w:rPr>
          <m:t>GenerallyProfitable</m:t>
        </m:r>
      </m:oMath>
      <w:r w:rsidR="00E2665C" w:rsidRPr="005054B5">
        <w:rPr>
          <w:rFonts w:asciiTheme="majorHAnsi" w:hAnsiTheme="majorHAnsi"/>
          <w:i/>
          <w:vertAlign w:val="subscript"/>
          <w:lang w:val="de-DE"/>
        </w:rPr>
        <w:t xml:space="preserve"> </w:t>
      </w:r>
      <w:r w:rsidR="00FA15E3" w:rsidRPr="005054B5">
        <w:rPr>
          <w:rFonts w:asciiTheme="majorHAnsi" w:hAnsiTheme="majorHAnsi"/>
          <w:lang w:val="de-DE"/>
        </w:rPr>
        <w:t>× StatusChange)</w:t>
      </w:r>
      <w:r w:rsidR="00FA15E3" w:rsidRPr="005054B5">
        <w:rPr>
          <w:rFonts w:asciiTheme="majorHAnsi" w:hAnsiTheme="majorHAnsi"/>
          <w:i/>
          <w:vertAlign w:val="subscript"/>
          <w:lang w:val="de-DE"/>
        </w:rPr>
        <w:t>km</w:t>
      </w:r>
      <w:r w:rsidR="00FA15E3" w:rsidRPr="005054B5">
        <w:rPr>
          <w:rFonts w:asciiTheme="majorHAnsi" w:hAnsiTheme="majorHAnsi"/>
          <w:lang w:val="de-DE"/>
        </w:rPr>
        <w:t>, (</w:t>
      </w:r>
      <m:oMath>
        <m:r>
          <w:rPr>
            <w:rFonts w:ascii="Cambria Math" w:hAnsi="Cambria Math"/>
            <w:lang w:val="en-US"/>
          </w:rPr>
          <m:t>LossMont</m:t>
        </m:r>
        <m:r>
          <w:rPr>
            <w:rFonts w:ascii="Cambria Math" w:hAnsi="Cambria Math"/>
            <w:lang w:val="de-DE"/>
          </w:rPr>
          <m:t>h</m:t>
        </m:r>
      </m:oMath>
      <w:r w:rsidR="00FA15E3" w:rsidRPr="005054B5">
        <w:rPr>
          <w:rFonts w:asciiTheme="majorHAnsi" w:hAnsiTheme="majorHAnsi"/>
          <w:lang w:val="de-DE"/>
        </w:rPr>
        <w:t xml:space="preserve"> × StatusChange)</w:t>
      </w:r>
      <w:r w:rsidR="00FA15E3" w:rsidRPr="005054B5">
        <w:rPr>
          <w:rFonts w:asciiTheme="majorHAnsi" w:hAnsiTheme="majorHAnsi"/>
          <w:i/>
          <w:vertAlign w:val="subscript"/>
          <w:lang w:val="de-DE"/>
        </w:rPr>
        <w:t>km</w:t>
      </w:r>
      <w:r w:rsidR="00FA15E3" w:rsidRPr="005054B5">
        <w:rPr>
          <w:rFonts w:asciiTheme="majorHAnsi" w:hAnsiTheme="majorHAnsi"/>
          <w:lang w:val="de-DE"/>
        </w:rPr>
        <w:t xml:space="preserve"> and (</w:t>
      </w:r>
      <m:oMath>
        <m:r>
          <w:rPr>
            <w:rFonts w:ascii="Cambria Math" w:hAnsi="Cambria Math"/>
            <w:lang w:val="en-US"/>
          </w:rPr>
          <m:t>GenerallyProfitable</m:t>
        </m:r>
      </m:oMath>
      <w:r w:rsidR="00E2665C" w:rsidRPr="005054B5">
        <w:rPr>
          <w:rFonts w:asciiTheme="majorHAnsi" w:hAnsiTheme="majorHAnsi"/>
          <w:i/>
          <w:vertAlign w:val="subscript"/>
          <w:lang w:val="de-DE"/>
        </w:rPr>
        <w:t xml:space="preserve"> </w:t>
      </w:r>
      <w:r w:rsidR="00FA15E3" w:rsidRPr="005054B5">
        <w:rPr>
          <w:rFonts w:asciiTheme="majorHAnsi" w:hAnsiTheme="majorHAnsi"/>
          <w:lang w:val="de-DE"/>
        </w:rPr>
        <w:t xml:space="preserve">× </w:t>
      </w:r>
      <m:oMath>
        <m:r>
          <w:rPr>
            <w:rFonts w:ascii="Cambria Math" w:hAnsi="Cambria Math"/>
            <w:lang w:val="en-US"/>
          </w:rPr>
          <m:t>LossMont</m:t>
        </m:r>
        <m:r>
          <w:rPr>
            <w:rFonts w:ascii="Cambria Math" w:hAnsi="Cambria Math"/>
            <w:lang w:val="de-DE"/>
          </w:rPr>
          <m:t>h</m:t>
        </m:r>
      </m:oMath>
      <w:r w:rsidR="00FA15E3" w:rsidRPr="005054B5">
        <w:rPr>
          <w:rFonts w:asciiTheme="majorHAnsi" w:hAnsiTheme="majorHAnsi"/>
          <w:lang w:val="de-DE"/>
        </w:rPr>
        <w:t xml:space="preserve"> × StatusChange)</w:t>
      </w:r>
      <w:r w:rsidR="00FA15E3" w:rsidRPr="005054B5">
        <w:rPr>
          <w:rFonts w:asciiTheme="majorHAnsi" w:hAnsiTheme="majorHAnsi"/>
          <w:i/>
          <w:vertAlign w:val="subscript"/>
          <w:lang w:val="de-DE"/>
        </w:rPr>
        <w:t>km</w:t>
      </w:r>
      <w:r w:rsidR="00FA15E3" w:rsidRPr="005054B5">
        <w:rPr>
          <w:rFonts w:asciiTheme="majorHAnsi" w:hAnsiTheme="majorHAnsi"/>
          <w:lang w:val="de-DE"/>
        </w:rPr>
        <w:t>.</w:t>
      </w:r>
      <w:r w:rsidR="006C60A8" w:rsidRPr="005054B5">
        <w:rPr>
          <w:rFonts w:asciiTheme="majorHAnsi" w:hAnsiTheme="majorHAnsi"/>
          <w:lang w:val="de-DE"/>
        </w:rPr>
        <w:t xml:space="preserve"> </w:t>
      </w:r>
      <w:r w:rsidR="006C60A8">
        <w:rPr>
          <w:rFonts w:asciiTheme="majorHAnsi" w:hAnsiTheme="majorHAnsi"/>
          <w:lang w:val="en-US"/>
        </w:rPr>
        <w:t>We summari</w:t>
      </w:r>
      <w:r w:rsidR="00D56970">
        <w:rPr>
          <w:rFonts w:asciiTheme="majorHAnsi" w:hAnsiTheme="majorHAnsi"/>
          <w:lang w:val="en-US"/>
        </w:rPr>
        <w:t>z</w:t>
      </w:r>
      <w:r w:rsidR="006C60A8">
        <w:rPr>
          <w:rFonts w:asciiTheme="majorHAnsi" w:hAnsiTheme="majorHAnsi"/>
          <w:lang w:val="en-US"/>
        </w:rPr>
        <w:t>e</w:t>
      </w:r>
      <w:r w:rsidR="00FA15E3">
        <w:rPr>
          <w:rFonts w:asciiTheme="majorHAnsi" w:hAnsiTheme="majorHAnsi"/>
          <w:lang w:val="en-US"/>
        </w:rPr>
        <w:t xml:space="preserve"> these effects </w:t>
      </w:r>
      <w:r w:rsidR="00681D5D">
        <w:rPr>
          <w:rFonts w:asciiTheme="majorHAnsi" w:hAnsiTheme="majorHAnsi"/>
          <w:lang w:val="en-US"/>
        </w:rPr>
        <w:t xml:space="preserve">in </w:t>
      </w:r>
      <w:r w:rsidR="00A01AC4">
        <w:rPr>
          <w:rFonts w:asciiTheme="majorHAnsi" w:hAnsiTheme="majorHAnsi"/>
          <w:lang w:val="en-US"/>
        </w:rPr>
        <w:t>T</w:t>
      </w:r>
      <w:r w:rsidR="00681D5D">
        <w:rPr>
          <w:rFonts w:asciiTheme="majorHAnsi" w:hAnsiTheme="majorHAnsi"/>
          <w:lang w:val="en-US"/>
        </w:rPr>
        <w:t xml:space="preserve">able </w:t>
      </w:r>
      <w:r w:rsidR="001D06ED">
        <w:rPr>
          <w:rFonts w:asciiTheme="majorHAnsi" w:hAnsiTheme="majorHAnsi"/>
          <w:lang w:val="en-US"/>
        </w:rPr>
        <w:t>IV</w:t>
      </w:r>
      <w:r w:rsidR="00681D5D">
        <w:rPr>
          <w:rFonts w:asciiTheme="majorHAnsi" w:hAnsiTheme="majorHAnsi"/>
          <w:lang w:val="en-US"/>
        </w:rPr>
        <w:t xml:space="preserve">, </w:t>
      </w:r>
      <w:r w:rsidR="00FA15E3">
        <w:rPr>
          <w:rFonts w:asciiTheme="majorHAnsi" w:hAnsiTheme="majorHAnsi"/>
          <w:lang w:val="en-US"/>
        </w:rPr>
        <w:t xml:space="preserve">by showing the model’s estimated hazards associated with each possible combination of </w:t>
      </w:r>
      <m:oMath>
        <m:r>
          <w:rPr>
            <w:rFonts w:ascii="Cambria Math" w:hAnsi="Cambria Math"/>
            <w:lang w:val="en-US"/>
          </w:rPr>
          <m:t>GenerallyProfitable</m:t>
        </m:r>
      </m:oMath>
      <w:r w:rsidR="007D0A3C">
        <w:rPr>
          <w:rFonts w:asciiTheme="majorHAnsi" w:hAnsiTheme="majorHAnsi"/>
          <w:i/>
          <w:vertAlign w:val="subscript"/>
          <w:lang w:val="en-US"/>
        </w:rPr>
        <w:t>km</w:t>
      </w:r>
      <w:r w:rsidR="00FA15E3">
        <w:rPr>
          <w:rFonts w:asciiTheme="majorHAnsi" w:hAnsiTheme="majorHAnsi"/>
          <w:lang w:val="en-US"/>
        </w:rPr>
        <w:t>, StatusChange</w:t>
      </w:r>
      <w:r w:rsidR="00FA15E3">
        <w:rPr>
          <w:rFonts w:asciiTheme="majorHAnsi" w:hAnsiTheme="majorHAnsi"/>
          <w:i/>
          <w:vertAlign w:val="subscript"/>
          <w:lang w:val="en-US"/>
        </w:rPr>
        <w:t>km</w:t>
      </w:r>
      <w:r w:rsidR="00FA15E3">
        <w:rPr>
          <w:rFonts w:asciiTheme="majorHAnsi" w:hAnsiTheme="majorHAnsi"/>
          <w:lang w:val="en-US"/>
        </w:rPr>
        <w:t xml:space="preserve"> and </w:t>
      </w:r>
      <m:oMath>
        <m:r>
          <w:rPr>
            <w:rFonts w:ascii="Cambria Math" w:hAnsi="Cambria Math"/>
            <w:lang w:val="en-US"/>
          </w:rPr>
          <m:t>LossMonth</m:t>
        </m:r>
      </m:oMath>
      <w:r w:rsidR="00FA15E3">
        <w:rPr>
          <w:rFonts w:asciiTheme="majorHAnsi" w:hAnsiTheme="majorHAnsi"/>
          <w:i/>
          <w:vertAlign w:val="subscript"/>
          <w:lang w:val="en-US"/>
        </w:rPr>
        <w:t>km</w:t>
      </w:r>
      <w:r w:rsidR="00FA15E3">
        <w:rPr>
          <w:rFonts w:asciiTheme="majorHAnsi" w:hAnsiTheme="majorHAnsi"/>
          <w:lang w:val="en-US"/>
        </w:rPr>
        <w:t>.</w:t>
      </w:r>
      <w:r w:rsidR="006C1831">
        <w:rPr>
          <w:rFonts w:asciiTheme="majorHAnsi" w:hAnsiTheme="majorHAnsi"/>
          <w:lang w:val="en-US"/>
        </w:rPr>
        <w:t xml:space="preserve"> </w:t>
      </w:r>
      <w:r w:rsidR="00862C1D">
        <w:rPr>
          <w:rFonts w:asciiTheme="majorHAnsi" w:hAnsiTheme="majorHAnsi"/>
          <w:lang w:val="en-US"/>
        </w:rPr>
        <w:t>Those traders who</w:t>
      </w:r>
      <w:r w:rsidR="007D0A3C">
        <w:rPr>
          <w:rFonts w:asciiTheme="majorHAnsi" w:hAnsiTheme="majorHAnsi"/>
          <w:lang w:val="en-US"/>
        </w:rPr>
        <w:t xml:space="preserve"> </w:t>
      </w:r>
      <w:r w:rsidR="00862C1D">
        <w:rPr>
          <w:rFonts w:asciiTheme="majorHAnsi" w:hAnsiTheme="majorHAnsi"/>
          <w:lang w:val="en-US"/>
        </w:rPr>
        <w:t xml:space="preserve">have </w:t>
      </w:r>
      <w:r w:rsidR="007D0A3C">
        <w:rPr>
          <w:rFonts w:asciiTheme="majorHAnsi" w:hAnsiTheme="majorHAnsi"/>
          <w:lang w:val="en-US"/>
        </w:rPr>
        <w:t xml:space="preserve">experienced </w:t>
      </w:r>
      <w:r w:rsidR="00CF0224">
        <w:rPr>
          <w:rFonts w:asciiTheme="majorHAnsi" w:hAnsiTheme="majorHAnsi"/>
          <w:lang w:val="en-US"/>
        </w:rPr>
        <w:t>most</w:t>
      </w:r>
      <w:r w:rsidR="007D0A3C">
        <w:rPr>
          <w:rFonts w:asciiTheme="majorHAnsi" w:hAnsiTheme="majorHAnsi"/>
          <w:lang w:val="en-US"/>
        </w:rPr>
        <w:t xml:space="preserve"> periods of </w:t>
      </w:r>
      <w:r w:rsidR="007D0A3C" w:rsidRPr="00FC6DF5">
        <w:rPr>
          <w:rFonts w:asciiTheme="majorHAnsi" w:hAnsiTheme="majorHAnsi"/>
          <w:i/>
          <w:lang w:val="en-US"/>
        </w:rPr>
        <w:t>ANPL</w:t>
      </w:r>
      <w:r w:rsidR="007D0A3C" w:rsidRPr="00400BA6">
        <w:rPr>
          <w:rFonts w:asciiTheme="majorHAnsi" w:hAnsiTheme="majorHAnsi"/>
          <w:i/>
          <w:vertAlign w:val="subscript"/>
          <w:lang w:val="en-US"/>
        </w:rPr>
        <w:t>km</w:t>
      </w:r>
      <w:r w:rsidR="001B12D4" w:rsidRPr="007D0A3C">
        <w:rPr>
          <w:rFonts w:asciiTheme="majorHAnsi" w:hAnsiTheme="majorHAnsi"/>
          <w:lang w:val="en-US"/>
        </w:rPr>
        <w:t xml:space="preserve"> </w:t>
      </w:r>
      <w:r w:rsidR="00412B60">
        <w:rPr>
          <w:rFonts w:asciiTheme="majorHAnsi" w:hAnsiTheme="majorHAnsi"/>
          <w:lang w:val="en-US"/>
        </w:rPr>
        <w:t>in net profit</w:t>
      </w:r>
      <w:r w:rsidR="00A00871">
        <w:rPr>
          <w:rFonts w:asciiTheme="majorHAnsi" w:hAnsiTheme="majorHAnsi"/>
          <w:lang w:val="en-US"/>
        </w:rPr>
        <w:t xml:space="preserve"> or </w:t>
      </w:r>
      <w:r w:rsidR="0005453E">
        <w:rPr>
          <w:rFonts w:asciiTheme="majorHAnsi" w:hAnsiTheme="majorHAnsi"/>
          <w:lang w:val="en-US"/>
        </w:rPr>
        <w:t>loss</w:t>
      </w:r>
      <w:r w:rsidR="00412B60">
        <w:rPr>
          <w:rFonts w:asciiTheme="majorHAnsi" w:hAnsiTheme="majorHAnsi"/>
          <w:lang w:val="en-US"/>
        </w:rPr>
        <w:t xml:space="preserve"> </w:t>
      </w:r>
      <w:r w:rsidR="0005453E">
        <w:rPr>
          <w:rFonts w:asciiTheme="majorHAnsi" w:hAnsiTheme="majorHAnsi"/>
          <w:lang w:val="en-US"/>
        </w:rPr>
        <w:t xml:space="preserve">we </w:t>
      </w:r>
      <w:r w:rsidR="007D0A3C">
        <w:rPr>
          <w:rFonts w:asciiTheme="majorHAnsi" w:hAnsiTheme="majorHAnsi"/>
          <w:lang w:val="en-US"/>
        </w:rPr>
        <w:t xml:space="preserve">refer to as </w:t>
      </w:r>
      <w:r w:rsidR="0005453E">
        <w:rPr>
          <w:rFonts w:asciiTheme="majorHAnsi" w:hAnsiTheme="majorHAnsi"/>
          <w:lang w:val="en-US"/>
        </w:rPr>
        <w:t xml:space="preserve">the </w:t>
      </w:r>
      <w:r w:rsidR="006C60A8">
        <w:rPr>
          <w:rFonts w:asciiTheme="majorHAnsi" w:hAnsiTheme="majorHAnsi"/>
          <w:lang w:val="en-US"/>
        </w:rPr>
        <w:t>PMM</w:t>
      </w:r>
      <w:r w:rsidR="0005453E">
        <w:rPr>
          <w:rFonts w:asciiTheme="majorHAnsi" w:hAnsiTheme="majorHAnsi"/>
          <w:lang w:val="en-US"/>
        </w:rPr>
        <w:t xml:space="preserve"> (</w:t>
      </w:r>
      <m:oMath>
        <m:r>
          <w:rPr>
            <w:rFonts w:ascii="Cambria Math" w:hAnsi="Cambria Math"/>
            <w:lang w:val="en-US"/>
          </w:rPr>
          <m:t>GenerallyProfitable</m:t>
        </m:r>
      </m:oMath>
      <w:r w:rsidR="00862C1D" w:rsidRPr="007D0A3C">
        <w:rPr>
          <w:rFonts w:asciiTheme="majorHAnsi" w:hAnsiTheme="majorHAnsi"/>
          <w:i/>
          <w:vertAlign w:val="subscript"/>
          <w:lang w:val="en-US"/>
        </w:rPr>
        <w:t>km</w:t>
      </w:r>
      <w:r w:rsidR="00862C1D" w:rsidRPr="00FC6DF5">
        <w:rPr>
          <w:rFonts w:asciiTheme="majorHAnsi" w:hAnsiTheme="majorHAnsi"/>
          <w:lang w:val="en-US"/>
        </w:rPr>
        <w:t xml:space="preserve"> </w:t>
      </w:r>
      <w:r w:rsidR="00862C1D">
        <w:rPr>
          <w:rFonts w:asciiTheme="majorHAnsi" w:hAnsiTheme="majorHAnsi"/>
          <w:lang w:val="en-US"/>
        </w:rPr>
        <w:t xml:space="preserve"> = 1</w:t>
      </w:r>
      <w:r w:rsidR="00A00871">
        <w:rPr>
          <w:rFonts w:asciiTheme="majorHAnsi" w:hAnsiTheme="majorHAnsi"/>
          <w:lang w:val="en-US"/>
        </w:rPr>
        <w:t xml:space="preserve">) and </w:t>
      </w:r>
      <w:r w:rsidR="00412B60">
        <w:rPr>
          <w:rFonts w:asciiTheme="majorHAnsi" w:hAnsiTheme="majorHAnsi"/>
          <w:lang w:val="en-US"/>
        </w:rPr>
        <w:t>NMM</w:t>
      </w:r>
      <w:r w:rsidR="0005453E">
        <w:rPr>
          <w:rFonts w:asciiTheme="majorHAnsi" w:hAnsiTheme="majorHAnsi"/>
          <w:lang w:val="en-US"/>
        </w:rPr>
        <w:t xml:space="preserve"> </w:t>
      </w:r>
      <w:r w:rsidR="00862C1D">
        <w:rPr>
          <w:rFonts w:asciiTheme="majorHAnsi" w:hAnsiTheme="majorHAnsi"/>
          <w:lang w:val="en-US"/>
        </w:rPr>
        <w:t>(</w:t>
      </w:r>
      <m:oMath>
        <m:r>
          <w:rPr>
            <w:rFonts w:ascii="Cambria Math" w:hAnsi="Cambria Math"/>
            <w:lang w:val="en-US"/>
          </w:rPr>
          <m:t>GenerallyProfitable</m:t>
        </m:r>
      </m:oMath>
      <w:r w:rsidR="00862C1D" w:rsidRPr="00400BA6">
        <w:rPr>
          <w:rFonts w:asciiTheme="majorHAnsi" w:hAnsiTheme="majorHAnsi"/>
          <w:i/>
          <w:vertAlign w:val="subscript"/>
          <w:lang w:val="en-US"/>
        </w:rPr>
        <w:t>km</w:t>
      </w:r>
      <w:r w:rsidR="00862C1D" w:rsidRPr="00400BA6">
        <w:rPr>
          <w:rFonts w:asciiTheme="majorHAnsi" w:hAnsiTheme="majorHAnsi"/>
          <w:lang w:val="en-US"/>
        </w:rPr>
        <w:t xml:space="preserve"> </w:t>
      </w:r>
      <w:r w:rsidR="00862C1D">
        <w:rPr>
          <w:rFonts w:asciiTheme="majorHAnsi" w:hAnsiTheme="majorHAnsi"/>
          <w:lang w:val="en-US"/>
        </w:rPr>
        <w:t xml:space="preserve"> = </w:t>
      </w:r>
      <w:r w:rsidR="006D7181">
        <w:rPr>
          <w:rFonts w:asciiTheme="majorHAnsi" w:hAnsiTheme="majorHAnsi"/>
          <w:lang w:val="en-US"/>
        </w:rPr>
        <w:t>0</w:t>
      </w:r>
      <w:r w:rsidR="00862C1D">
        <w:rPr>
          <w:rFonts w:asciiTheme="majorHAnsi" w:hAnsiTheme="majorHAnsi"/>
          <w:lang w:val="en-US"/>
        </w:rPr>
        <w:t>)</w:t>
      </w:r>
      <w:r w:rsidR="0005453E">
        <w:rPr>
          <w:rFonts w:asciiTheme="majorHAnsi" w:hAnsiTheme="majorHAnsi"/>
          <w:lang w:val="en-US"/>
        </w:rPr>
        <w:t xml:space="preserve"> group</w:t>
      </w:r>
      <w:r w:rsidR="00A00871">
        <w:rPr>
          <w:rFonts w:asciiTheme="majorHAnsi" w:hAnsiTheme="majorHAnsi"/>
          <w:lang w:val="en-US"/>
        </w:rPr>
        <w:t>s, respectively</w:t>
      </w:r>
      <w:r w:rsidR="006C60A8">
        <w:rPr>
          <w:rFonts w:asciiTheme="majorHAnsi" w:hAnsiTheme="majorHAnsi"/>
          <w:lang w:val="en-US"/>
        </w:rPr>
        <w:t xml:space="preserve">. </w:t>
      </w:r>
    </w:p>
    <w:p w14:paraId="1C27AF09" w14:textId="11C57C0C" w:rsidR="0011079E" w:rsidRDefault="00FA15E3" w:rsidP="00FC6DF5">
      <w:pPr>
        <w:spacing w:after="0" w:line="480" w:lineRule="auto"/>
        <w:ind w:firstLine="709"/>
        <w:rPr>
          <w:rFonts w:asciiTheme="majorHAnsi" w:hAnsiTheme="majorHAnsi"/>
          <w:lang w:val="en-US"/>
        </w:rPr>
      </w:pPr>
      <w:r>
        <w:rPr>
          <w:rFonts w:asciiTheme="majorHAnsi" w:hAnsiTheme="majorHAnsi"/>
          <w:lang w:val="en-US"/>
        </w:rPr>
        <w:t xml:space="preserve">The first observation, unsurprisingly, </w:t>
      </w:r>
      <w:r w:rsidR="00D22DE3">
        <w:rPr>
          <w:rFonts w:asciiTheme="majorHAnsi" w:hAnsiTheme="majorHAnsi"/>
          <w:lang w:val="en-US"/>
        </w:rPr>
        <w:t xml:space="preserve">is that </w:t>
      </w:r>
      <w:r>
        <w:rPr>
          <w:rFonts w:asciiTheme="majorHAnsi" w:hAnsiTheme="majorHAnsi"/>
          <w:lang w:val="en-US"/>
        </w:rPr>
        <w:t xml:space="preserve">those </w:t>
      </w:r>
      <w:r w:rsidR="006C60A8">
        <w:rPr>
          <w:rFonts w:asciiTheme="majorHAnsi" w:hAnsiTheme="majorHAnsi"/>
          <w:lang w:val="en-US"/>
        </w:rPr>
        <w:t xml:space="preserve">whose </w:t>
      </w:r>
      <w:r w:rsidR="00444015">
        <w:rPr>
          <w:rFonts w:asciiTheme="majorHAnsi" w:hAnsiTheme="majorHAnsi"/>
          <w:lang w:val="en-US"/>
        </w:rPr>
        <w:t xml:space="preserve">cumulative </w:t>
      </w:r>
      <w:r w:rsidR="006C60A8">
        <w:rPr>
          <w:rFonts w:asciiTheme="majorHAnsi" w:hAnsiTheme="majorHAnsi"/>
          <w:lang w:val="en-US"/>
        </w:rPr>
        <w:t>returns remain in profit from one month to the next</w:t>
      </w:r>
      <w:r w:rsidR="00D22DE3">
        <w:rPr>
          <w:rFonts w:asciiTheme="majorHAnsi" w:hAnsiTheme="majorHAnsi"/>
          <w:lang w:val="en-US"/>
        </w:rPr>
        <w:t xml:space="preserve"> </w:t>
      </w:r>
      <w:r>
        <w:rPr>
          <w:rFonts w:asciiTheme="majorHAnsi" w:hAnsiTheme="majorHAnsi"/>
          <w:lang w:val="en-US"/>
        </w:rPr>
        <w:t xml:space="preserve">are </w:t>
      </w:r>
      <w:r w:rsidR="006C60A8">
        <w:rPr>
          <w:rFonts w:asciiTheme="majorHAnsi" w:hAnsiTheme="majorHAnsi"/>
          <w:lang w:val="en-US"/>
        </w:rPr>
        <w:t xml:space="preserve">the </w:t>
      </w:r>
      <w:r>
        <w:rPr>
          <w:rFonts w:asciiTheme="majorHAnsi" w:hAnsiTheme="majorHAnsi"/>
          <w:lang w:val="en-US"/>
        </w:rPr>
        <w:t xml:space="preserve">least likely to </w:t>
      </w:r>
      <w:r w:rsidR="003F18E2">
        <w:rPr>
          <w:rFonts w:asciiTheme="majorHAnsi" w:hAnsiTheme="majorHAnsi"/>
          <w:lang w:val="en-US"/>
        </w:rPr>
        <w:t xml:space="preserve">cease </w:t>
      </w:r>
      <w:r w:rsidR="001B12D4">
        <w:rPr>
          <w:rFonts w:asciiTheme="majorHAnsi" w:hAnsiTheme="majorHAnsi"/>
          <w:lang w:val="en-US"/>
        </w:rPr>
        <w:t>the RA</w:t>
      </w:r>
      <w:r>
        <w:rPr>
          <w:rFonts w:asciiTheme="majorHAnsi" w:hAnsiTheme="majorHAnsi"/>
          <w:lang w:val="en-US"/>
        </w:rPr>
        <w:t xml:space="preserve">. </w:t>
      </w:r>
      <w:r w:rsidR="00E8198A">
        <w:rPr>
          <w:rFonts w:asciiTheme="majorHAnsi" w:hAnsiTheme="majorHAnsi"/>
          <w:lang w:val="en-US"/>
        </w:rPr>
        <w:t>Importantly</w:t>
      </w:r>
      <w:r w:rsidR="005D4688">
        <w:rPr>
          <w:rFonts w:asciiTheme="majorHAnsi" w:hAnsiTheme="majorHAnsi"/>
          <w:lang w:val="en-US"/>
        </w:rPr>
        <w:t>,</w:t>
      </w:r>
      <w:r w:rsidR="00E8198A">
        <w:rPr>
          <w:rFonts w:asciiTheme="majorHAnsi" w:hAnsiTheme="majorHAnsi"/>
          <w:lang w:val="en-US"/>
        </w:rPr>
        <w:t xml:space="preserve"> we find that</w:t>
      </w:r>
      <w:r w:rsidR="005D4688">
        <w:rPr>
          <w:rFonts w:asciiTheme="majorHAnsi" w:hAnsiTheme="majorHAnsi"/>
          <w:lang w:val="en-US"/>
        </w:rPr>
        <w:t xml:space="preserve"> </w:t>
      </w:r>
      <w:r w:rsidR="001B12D4">
        <w:rPr>
          <w:rFonts w:asciiTheme="majorHAnsi" w:hAnsiTheme="majorHAnsi"/>
          <w:lang w:val="en-US"/>
        </w:rPr>
        <w:t>the NMM group</w:t>
      </w:r>
      <w:r w:rsidR="005D4688">
        <w:rPr>
          <w:rFonts w:asciiTheme="majorHAnsi" w:hAnsiTheme="majorHAnsi"/>
          <w:lang w:val="en-US"/>
        </w:rPr>
        <w:t xml:space="preserve"> were more likely to cease trading when they moved from net profit to net loss in that month than if they experienced consecutive periods in loss (</w:t>
      </w:r>
      <w:r w:rsidR="00D05629">
        <w:rPr>
          <w:rFonts w:asciiTheme="majorHAnsi" w:hAnsiTheme="majorHAnsi"/>
          <w:lang w:val="en-US"/>
        </w:rPr>
        <w:t>16.72</w:t>
      </w:r>
      <w:r w:rsidR="005D4688">
        <w:rPr>
          <w:rFonts w:asciiTheme="majorHAnsi" w:hAnsiTheme="majorHAnsi"/>
          <w:lang w:val="en-US"/>
        </w:rPr>
        <w:t xml:space="preserve"> vs. </w:t>
      </w:r>
      <w:r w:rsidR="00D05629">
        <w:rPr>
          <w:rFonts w:asciiTheme="majorHAnsi" w:hAnsiTheme="majorHAnsi"/>
          <w:lang w:val="en-US"/>
        </w:rPr>
        <w:t>9.77</w:t>
      </w:r>
      <w:r w:rsidR="005D4688">
        <w:rPr>
          <w:rFonts w:asciiTheme="majorHAnsi" w:hAnsiTheme="majorHAnsi"/>
          <w:lang w:val="en-US"/>
        </w:rPr>
        <w:t xml:space="preserve">, </w:t>
      </w:r>
      <w:r w:rsidR="00D05629" w:rsidRPr="006D7181">
        <w:rPr>
          <w:rFonts w:asciiTheme="majorHAnsi" w:hAnsiTheme="majorHAnsi"/>
          <w:lang w:val="en-US"/>
        </w:rPr>
        <w:t>exp</w:t>
      </w:r>
      <w:r w:rsidR="00D05629">
        <w:rPr>
          <w:rFonts w:asciiTheme="majorHAnsi" w:hAnsiTheme="majorHAnsi"/>
          <w:lang w:val="en-US"/>
        </w:rPr>
        <w:t>(</w:t>
      </w:r>
      <w:r w:rsidR="005D4688" w:rsidRPr="006D7181">
        <w:rPr>
          <w:rFonts w:asciiTheme="majorHAnsi" w:hAnsiTheme="majorHAnsi"/>
          <w:lang w:val="en-US"/>
        </w:rPr>
        <w:t>Δcoef</w:t>
      </w:r>
      <w:r w:rsidR="00D05629">
        <w:rPr>
          <w:rFonts w:asciiTheme="majorHAnsi" w:hAnsiTheme="majorHAnsi"/>
          <w:lang w:val="en-US"/>
        </w:rPr>
        <w:t>)</w:t>
      </w:r>
      <w:r w:rsidR="005D4688" w:rsidRPr="00AA3FDE">
        <w:rPr>
          <w:rFonts w:asciiTheme="majorHAnsi" w:hAnsiTheme="majorHAnsi"/>
          <w:lang w:val="en-US"/>
        </w:rPr>
        <w:t xml:space="preserve"> = </w:t>
      </w:r>
      <w:r w:rsidR="00D05629">
        <w:rPr>
          <w:rFonts w:asciiTheme="majorHAnsi" w:hAnsiTheme="majorHAnsi"/>
          <w:lang w:val="en-US"/>
        </w:rPr>
        <w:t>1.71</w:t>
      </w:r>
      <w:r w:rsidR="005D4688" w:rsidRPr="00AA3FDE">
        <w:rPr>
          <w:rFonts w:asciiTheme="majorHAnsi" w:hAnsiTheme="majorHAnsi"/>
          <w:lang w:val="en-US"/>
        </w:rPr>
        <w:t xml:space="preserve">, </w:t>
      </w:r>
      <w:r w:rsidR="005D4688" w:rsidRPr="00AA3FDE">
        <w:rPr>
          <w:rFonts w:asciiTheme="majorHAnsi" w:hAnsiTheme="majorHAnsi"/>
          <w:i/>
          <w:lang w:val="en-US"/>
        </w:rPr>
        <w:t>z</w:t>
      </w:r>
      <w:r w:rsidR="005D4688" w:rsidRPr="00AA3FDE">
        <w:rPr>
          <w:rFonts w:asciiTheme="majorHAnsi" w:hAnsiTheme="majorHAnsi"/>
          <w:lang w:val="en-US"/>
        </w:rPr>
        <w:t xml:space="preserve"> = </w:t>
      </w:r>
      <w:r w:rsidR="000C52AA">
        <w:rPr>
          <w:rFonts w:asciiTheme="majorHAnsi" w:hAnsiTheme="majorHAnsi"/>
          <w:lang w:val="en-US"/>
        </w:rPr>
        <w:t>10.95</w:t>
      </w:r>
      <w:r w:rsidR="005D4688" w:rsidRPr="00AA3FDE">
        <w:rPr>
          <w:rFonts w:asciiTheme="majorHAnsi" w:hAnsiTheme="majorHAnsi"/>
          <w:lang w:val="en-US"/>
        </w:rPr>
        <w:t xml:space="preserve">, </w:t>
      </w:r>
      <w:r w:rsidR="005D4688" w:rsidRPr="00AA3FDE">
        <w:rPr>
          <w:rFonts w:asciiTheme="majorHAnsi" w:hAnsiTheme="majorHAnsi"/>
          <w:i/>
          <w:lang w:val="en-US"/>
        </w:rPr>
        <w:t>p</w:t>
      </w:r>
      <w:r w:rsidR="005D4688" w:rsidRPr="00AA3FDE">
        <w:rPr>
          <w:rFonts w:asciiTheme="majorHAnsi" w:hAnsiTheme="majorHAnsi"/>
          <w:lang w:val="en-US"/>
        </w:rPr>
        <w:t xml:space="preserve"> &lt; .0</w:t>
      </w:r>
      <w:r w:rsidR="005D4688">
        <w:rPr>
          <w:rFonts w:asciiTheme="majorHAnsi" w:hAnsiTheme="majorHAnsi"/>
          <w:lang w:val="en-US"/>
        </w:rPr>
        <w:t>0</w:t>
      </w:r>
      <w:r w:rsidR="005D4688" w:rsidRPr="00AA3FDE">
        <w:rPr>
          <w:rFonts w:asciiTheme="majorHAnsi" w:hAnsiTheme="majorHAnsi"/>
          <w:lang w:val="en-US"/>
        </w:rPr>
        <w:t>1</w:t>
      </w:r>
      <w:r w:rsidR="005D4688">
        <w:rPr>
          <w:rFonts w:asciiTheme="majorHAnsi" w:hAnsiTheme="majorHAnsi"/>
          <w:lang w:val="en-US"/>
        </w:rPr>
        <w:t xml:space="preserve">). </w:t>
      </w:r>
      <w:r w:rsidR="001B12D4">
        <w:rPr>
          <w:rFonts w:asciiTheme="majorHAnsi" w:hAnsiTheme="majorHAnsi"/>
          <w:lang w:val="en-US"/>
        </w:rPr>
        <w:t xml:space="preserve">This suggests that the pain of falling below the break-even point is </w:t>
      </w:r>
      <w:r w:rsidR="00E8198A">
        <w:rPr>
          <w:rFonts w:asciiTheme="majorHAnsi" w:hAnsiTheme="majorHAnsi"/>
          <w:lang w:val="en-US"/>
        </w:rPr>
        <w:t xml:space="preserve">more salient than the pain of remaining in </w:t>
      </w:r>
      <w:r w:rsidR="000B3477">
        <w:rPr>
          <w:rFonts w:asciiTheme="majorHAnsi" w:hAnsiTheme="majorHAnsi"/>
          <w:lang w:val="en-US"/>
        </w:rPr>
        <w:t xml:space="preserve">net </w:t>
      </w:r>
      <w:r w:rsidR="00E8198A">
        <w:rPr>
          <w:rFonts w:asciiTheme="majorHAnsi" w:hAnsiTheme="majorHAnsi"/>
          <w:lang w:val="en-US"/>
        </w:rPr>
        <w:t>loss from one period to the next</w:t>
      </w:r>
      <w:r w:rsidR="007F4EF5">
        <w:rPr>
          <w:rFonts w:asciiTheme="majorHAnsi" w:hAnsiTheme="majorHAnsi"/>
          <w:lang w:val="en-US"/>
        </w:rPr>
        <w:t xml:space="preserve"> for the NMM group</w:t>
      </w:r>
      <w:r w:rsidR="00E8198A">
        <w:rPr>
          <w:rFonts w:asciiTheme="majorHAnsi" w:hAnsiTheme="majorHAnsi"/>
          <w:lang w:val="en-US"/>
        </w:rPr>
        <w:t xml:space="preserve">. However, </w:t>
      </w:r>
      <w:r w:rsidR="0005453E">
        <w:rPr>
          <w:rFonts w:asciiTheme="majorHAnsi" w:hAnsiTheme="majorHAnsi"/>
          <w:lang w:val="en-US"/>
        </w:rPr>
        <w:t>for</w:t>
      </w:r>
      <w:r w:rsidR="00E8198A">
        <w:rPr>
          <w:rFonts w:asciiTheme="majorHAnsi" w:hAnsiTheme="majorHAnsi"/>
          <w:lang w:val="en-US"/>
        </w:rPr>
        <w:t xml:space="preserve"> the PMM group</w:t>
      </w:r>
      <w:r w:rsidR="00D22DE3">
        <w:rPr>
          <w:rFonts w:asciiTheme="majorHAnsi" w:hAnsiTheme="majorHAnsi"/>
          <w:lang w:val="en-US"/>
        </w:rPr>
        <w:t>,</w:t>
      </w:r>
      <w:r w:rsidR="00D4336B">
        <w:rPr>
          <w:rFonts w:asciiTheme="majorHAnsi" w:hAnsiTheme="majorHAnsi"/>
          <w:lang w:val="en-US"/>
        </w:rPr>
        <w:t xml:space="preserve"> </w:t>
      </w:r>
      <w:r w:rsidR="00E8198A">
        <w:rPr>
          <w:rFonts w:asciiTheme="majorHAnsi" w:hAnsiTheme="majorHAnsi"/>
          <w:lang w:val="en-US"/>
        </w:rPr>
        <w:t xml:space="preserve">there was no significant difference in the probability of ceasing to trade when they moved from </w:t>
      </w:r>
      <w:r w:rsidR="000B3477">
        <w:rPr>
          <w:rFonts w:asciiTheme="majorHAnsi" w:hAnsiTheme="majorHAnsi"/>
          <w:lang w:val="en-US"/>
        </w:rPr>
        <w:t xml:space="preserve">net </w:t>
      </w:r>
      <w:r w:rsidR="00E8198A">
        <w:rPr>
          <w:rFonts w:asciiTheme="majorHAnsi" w:hAnsiTheme="majorHAnsi"/>
          <w:lang w:val="en-US"/>
        </w:rPr>
        <w:t xml:space="preserve">profit to </w:t>
      </w:r>
      <w:r w:rsidR="000B3477">
        <w:rPr>
          <w:rFonts w:asciiTheme="majorHAnsi" w:hAnsiTheme="majorHAnsi"/>
          <w:lang w:val="en-US"/>
        </w:rPr>
        <w:t xml:space="preserve">net </w:t>
      </w:r>
      <w:r w:rsidR="00E8198A">
        <w:rPr>
          <w:rFonts w:asciiTheme="majorHAnsi" w:hAnsiTheme="majorHAnsi"/>
          <w:lang w:val="en-US"/>
        </w:rPr>
        <w:t xml:space="preserve">loss and when they experienced consecutive periods in </w:t>
      </w:r>
      <w:r w:rsidR="000B3477">
        <w:rPr>
          <w:rFonts w:asciiTheme="majorHAnsi" w:hAnsiTheme="majorHAnsi"/>
          <w:lang w:val="en-US"/>
        </w:rPr>
        <w:t xml:space="preserve">net </w:t>
      </w:r>
      <w:r w:rsidR="00E8198A">
        <w:rPr>
          <w:rFonts w:asciiTheme="majorHAnsi" w:hAnsiTheme="majorHAnsi"/>
          <w:lang w:val="en-US"/>
        </w:rPr>
        <w:t>loss (7</w:t>
      </w:r>
      <w:r w:rsidR="00D05629">
        <w:rPr>
          <w:rFonts w:asciiTheme="majorHAnsi" w:hAnsiTheme="majorHAnsi"/>
          <w:lang w:val="en-US"/>
        </w:rPr>
        <w:t>.53</w:t>
      </w:r>
      <w:r w:rsidR="00E8198A">
        <w:rPr>
          <w:rFonts w:asciiTheme="majorHAnsi" w:hAnsiTheme="majorHAnsi"/>
          <w:lang w:val="en-US"/>
        </w:rPr>
        <w:t xml:space="preserve"> vs. 6.</w:t>
      </w:r>
      <w:r w:rsidR="00D05629">
        <w:rPr>
          <w:rFonts w:asciiTheme="majorHAnsi" w:hAnsiTheme="majorHAnsi"/>
          <w:lang w:val="en-US"/>
        </w:rPr>
        <w:t>03</w:t>
      </w:r>
      <w:r w:rsidR="00E8198A">
        <w:rPr>
          <w:rFonts w:asciiTheme="majorHAnsi" w:hAnsiTheme="majorHAnsi"/>
          <w:lang w:val="en-US"/>
        </w:rPr>
        <w:t xml:space="preserve">, </w:t>
      </w:r>
      <w:r w:rsidR="006D7181" w:rsidRPr="00351BC1">
        <w:rPr>
          <w:rFonts w:asciiTheme="majorHAnsi" w:hAnsiTheme="majorHAnsi"/>
          <w:i/>
          <w:lang w:val="en-US"/>
        </w:rPr>
        <w:t>exp</w:t>
      </w:r>
      <w:r w:rsidR="006D7181">
        <w:rPr>
          <w:rFonts w:asciiTheme="majorHAnsi" w:hAnsiTheme="majorHAnsi"/>
          <w:lang w:val="en-US"/>
        </w:rPr>
        <w:t>(</w:t>
      </w:r>
      <w:r w:rsidR="00E8198A" w:rsidRPr="00AA3FDE">
        <w:rPr>
          <w:rFonts w:asciiTheme="majorHAnsi" w:hAnsiTheme="majorHAnsi"/>
          <w:lang w:val="en-US"/>
        </w:rPr>
        <w:t>Δcoef</w:t>
      </w:r>
      <w:r w:rsidR="006D7181">
        <w:rPr>
          <w:rFonts w:asciiTheme="majorHAnsi" w:hAnsiTheme="majorHAnsi"/>
          <w:lang w:val="en-US"/>
        </w:rPr>
        <w:t>)</w:t>
      </w:r>
      <w:r w:rsidR="00E8198A" w:rsidRPr="00AA3FDE">
        <w:rPr>
          <w:rFonts w:asciiTheme="majorHAnsi" w:hAnsiTheme="majorHAnsi"/>
          <w:lang w:val="en-US"/>
        </w:rPr>
        <w:t xml:space="preserve">= </w:t>
      </w:r>
      <w:r w:rsidR="00D05629">
        <w:rPr>
          <w:rFonts w:asciiTheme="majorHAnsi" w:hAnsiTheme="majorHAnsi"/>
          <w:lang w:val="en-US"/>
        </w:rPr>
        <w:t>1.25</w:t>
      </w:r>
      <w:r w:rsidR="00E8198A" w:rsidRPr="00AA3FDE">
        <w:rPr>
          <w:rFonts w:asciiTheme="majorHAnsi" w:hAnsiTheme="majorHAnsi"/>
          <w:lang w:val="en-US"/>
        </w:rPr>
        <w:t xml:space="preserve">, </w:t>
      </w:r>
      <w:r w:rsidR="00E8198A" w:rsidRPr="00AA3FDE">
        <w:rPr>
          <w:rFonts w:asciiTheme="majorHAnsi" w:hAnsiTheme="majorHAnsi"/>
          <w:i/>
          <w:lang w:val="en-US"/>
        </w:rPr>
        <w:t>z</w:t>
      </w:r>
      <w:r w:rsidR="00E8198A" w:rsidRPr="00AA3FDE">
        <w:rPr>
          <w:rFonts w:asciiTheme="majorHAnsi" w:hAnsiTheme="majorHAnsi"/>
          <w:lang w:val="en-US"/>
        </w:rPr>
        <w:t xml:space="preserve"> = </w:t>
      </w:r>
      <w:r w:rsidR="00E8198A">
        <w:rPr>
          <w:rFonts w:asciiTheme="majorHAnsi" w:hAnsiTheme="majorHAnsi"/>
          <w:lang w:val="en-US"/>
        </w:rPr>
        <w:t>0.</w:t>
      </w:r>
      <w:r w:rsidR="00D05629">
        <w:rPr>
          <w:rFonts w:asciiTheme="majorHAnsi" w:hAnsiTheme="majorHAnsi"/>
          <w:lang w:val="en-US"/>
        </w:rPr>
        <w:t>93</w:t>
      </w:r>
      <w:r w:rsidR="00E8198A" w:rsidRPr="00AA3FDE">
        <w:rPr>
          <w:rFonts w:asciiTheme="majorHAnsi" w:hAnsiTheme="majorHAnsi"/>
          <w:lang w:val="en-US"/>
        </w:rPr>
        <w:t xml:space="preserve">, </w:t>
      </w:r>
      <w:r w:rsidR="00E8198A" w:rsidRPr="00AA3FDE">
        <w:rPr>
          <w:rFonts w:asciiTheme="majorHAnsi" w:hAnsiTheme="majorHAnsi"/>
          <w:i/>
          <w:lang w:val="en-US"/>
        </w:rPr>
        <w:t>p</w:t>
      </w:r>
      <w:r w:rsidR="00E8198A" w:rsidRPr="00AA3FDE">
        <w:rPr>
          <w:rFonts w:asciiTheme="majorHAnsi" w:hAnsiTheme="majorHAnsi"/>
          <w:lang w:val="en-US"/>
        </w:rPr>
        <w:t xml:space="preserve"> </w:t>
      </w:r>
      <w:r w:rsidR="00E8198A">
        <w:rPr>
          <w:rFonts w:asciiTheme="majorHAnsi" w:hAnsiTheme="majorHAnsi"/>
          <w:lang w:val="en-US"/>
        </w:rPr>
        <w:t>= .</w:t>
      </w:r>
      <w:r w:rsidR="00D05629">
        <w:rPr>
          <w:rFonts w:asciiTheme="majorHAnsi" w:hAnsiTheme="majorHAnsi"/>
          <w:lang w:val="en-US"/>
        </w:rPr>
        <w:t>353</w:t>
      </w:r>
      <w:r w:rsidR="00E8198A" w:rsidRPr="00D3702F">
        <w:rPr>
          <w:rFonts w:asciiTheme="majorHAnsi" w:hAnsiTheme="majorHAnsi"/>
          <w:lang w:val="en-US"/>
        </w:rPr>
        <w:t xml:space="preserve">). This supports our </w:t>
      </w:r>
      <w:r w:rsidR="00637B23" w:rsidRPr="00D3702F">
        <w:rPr>
          <w:rFonts w:asciiTheme="majorHAnsi" w:hAnsiTheme="majorHAnsi"/>
          <w:lang w:val="en-US"/>
        </w:rPr>
        <w:t xml:space="preserve">view </w:t>
      </w:r>
      <w:r w:rsidR="00E8198A" w:rsidRPr="00D3702F">
        <w:rPr>
          <w:rFonts w:asciiTheme="majorHAnsi" w:hAnsiTheme="majorHAnsi"/>
          <w:lang w:val="en-US"/>
        </w:rPr>
        <w:t xml:space="preserve">that a more </w:t>
      </w:r>
      <w:r w:rsidR="00D22DE3" w:rsidRPr="00D3702F">
        <w:rPr>
          <w:rFonts w:asciiTheme="majorHAnsi" w:hAnsiTheme="majorHAnsi"/>
          <w:lang w:val="en-US"/>
        </w:rPr>
        <w:t>PMM,</w:t>
      </w:r>
      <w:r w:rsidR="00E8198A" w:rsidRPr="00D3702F">
        <w:rPr>
          <w:rFonts w:asciiTheme="majorHAnsi" w:hAnsiTheme="majorHAnsi"/>
          <w:lang w:val="en-US"/>
        </w:rPr>
        <w:t xml:space="preserve"> constructed from memory of longer-term performance</w:t>
      </w:r>
      <w:r w:rsidR="00D22DE3" w:rsidRPr="00D3702F">
        <w:rPr>
          <w:rFonts w:asciiTheme="majorHAnsi" w:hAnsiTheme="majorHAnsi"/>
          <w:lang w:val="en-US"/>
        </w:rPr>
        <w:t>,</w:t>
      </w:r>
      <w:r w:rsidR="00E8198A" w:rsidRPr="00D3702F">
        <w:rPr>
          <w:rFonts w:asciiTheme="majorHAnsi" w:hAnsiTheme="majorHAnsi"/>
          <w:lang w:val="en-US"/>
        </w:rPr>
        <w:t xml:space="preserve"> can cushion the effect of falling below the break-even point.</w:t>
      </w:r>
      <w:r w:rsidR="00CA5B48" w:rsidRPr="00D3702F">
        <w:rPr>
          <w:rFonts w:asciiTheme="majorHAnsi" w:hAnsiTheme="majorHAnsi"/>
          <w:lang w:val="en-US"/>
        </w:rPr>
        <w:t xml:space="preserve"> Indeed</w:t>
      </w:r>
      <w:r w:rsidR="0052427E" w:rsidRPr="00D3702F">
        <w:rPr>
          <w:rFonts w:asciiTheme="majorHAnsi" w:hAnsiTheme="majorHAnsi"/>
          <w:lang w:val="en-US"/>
        </w:rPr>
        <w:t>, in support of H</w:t>
      </w:r>
      <w:r w:rsidR="00444C2C" w:rsidRPr="00D3702F">
        <w:rPr>
          <w:rFonts w:asciiTheme="majorHAnsi" w:hAnsiTheme="majorHAnsi"/>
          <w:lang w:val="en-US"/>
        </w:rPr>
        <w:t xml:space="preserve">ypothesis </w:t>
      </w:r>
      <w:r w:rsidR="00D05629" w:rsidRPr="00D3702F">
        <w:rPr>
          <w:rFonts w:asciiTheme="majorHAnsi" w:hAnsiTheme="majorHAnsi"/>
          <w:lang w:val="en-US"/>
        </w:rPr>
        <w:t>2</w:t>
      </w:r>
      <w:r w:rsidR="00CA5B48" w:rsidRPr="00D3702F">
        <w:rPr>
          <w:rFonts w:asciiTheme="majorHAnsi" w:hAnsiTheme="majorHAnsi"/>
          <w:lang w:val="en-US"/>
        </w:rPr>
        <w:t>,</w:t>
      </w:r>
      <w:r w:rsidR="00E8198A" w:rsidRPr="00D3702F">
        <w:rPr>
          <w:rFonts w:asciiTheme="majorHAnsi" w:hAnsiTheme="majorHAnsi"/>
          <w:lang w:val="en-US"/>
        </w:rPr>
        <w:t xml:space="preserve"> the NMM group</w:t>
      </w:r>
      <w:r w:rsidR="0011079E" w:rsidRPr="00D3702F">
        <w:rPr>
          <w:rFonts w:asciiTheme="majorHAnsi" w:hAnsiTheme="majorHAnsi"/>
          <w:lang w:val="en-US"/>
        </w:rPr>
        <w:t xml:space="preserve"> exhibited more than double the likelihood of </w:t>
      </w:r>
      <w:r w:rsidR="00D4336B" w:rsidRPr="00D3702F">
        <w:rPr>
          <w:rFonts w:asciiTheme="majorHAnsi" w:hAnsiTheme="majorHAnsi"/>
          <w:lang w:val="en-US"/>
        </w:rPr>
        <w:t xml:space="preserve">ceasing </w:t>
      </w:r>
      <w:r w:rsidR="00D22DE3" w:rsidRPr="00D3702F">
        <w:rPr>
          <w:rFonts w:asciiTheme="majorHAnsi" w:hAnsiTheme="majorHAnsi"/>
          <w:lang w:val="en-US"/>
        </w:rPr>
        <w:t xml:space="preserve">to trade </w:t>
      </w:r>
      <w:r w:rsidR="0011079E" w:rsidRPr="00D3702F">
        <w:rPr>
          <w:rFonts w:asciiTheme="majorHAnsi" w:hAnsiTheme="majorHAnsi"/>
          <w:lang w:val="en-US"/>
        </w:rPr>
        <w:t xml:space="preserve">when falling below the break-even point in </w:t>
      </w:r>
      <w:r w:rsidR="0052427E" w:rsidRPr="00D3702F">
        <w:rPr>
          <w:rFonts w:asciiTheme="majorHAnsi" w:hAnsiTheme="majorHAnsi"/>
          <w:lang w:val="en-US"/>
        </w:rPr>
        <w:t xml:space="preserve">a </w:t>
      </w:r>
      <w:r w:rsidR="0011079E" w:rsidRPr="00D3702F">
        <w:rPr>
          <w:rFonts w:asciiTheme="majorHAnsi" w:hAnsiTheme="majorHAnsi"/>
          <w:lang w:val="en-US"/>
        </w:rPr>
        <w:t xml:space="preserve">month compared to </w:t>
      </w:r>
      <w:r w:rsidR="00E8198A" w:rsidRPr="00D3702F">
        <w:rPr>
          <w:rFonts w:asciiTheme="majorHAnsi" w:hAnsiTheme="majorHAnsi"/>
          <w:lang w:val="en-US"/>
        </w:rPr>
        <w:t>the PMM group</w:t>
      </w:r>
      <w:r w:rsidR="0011079E" w:rsidRPr="00D3702F">
        <w:rPr>
          <w:rFonts w:asciiTheme="majorHAnsi" w:hAnsiTheme="majorHAnsi"/>
          <w:lang w:val="en-US"/>
        </w:rPr>
        <w:t xml:space="preserve"> (</w:t>
      </w:r>
      <w:r w:rsidR="00444C2C" w:rsidRPr="00D3702F">
        <w:rPr>
          <w:rFonts w:asciiTheme="majorHAnsi" w:hAnsiTheme="majorHAnsi"/>
          <w:lang w:val="en-US"/>
        </w:rPr>
        <w:t>16.72</w:t>
      </w:r>
      <w:r w:rsidR="0011079E" w:rsidRPr="00D3702F">
        <w:rPr>
          <w:rFonts w:asciiTheme="majorHAnsi" w:hAnsiTheme="majorHAnsi"/>
          <w:lang w:val="en-US"/>
        </w:rPr>
        <w:t xml:space="preserve"> vs. </w:t>
      </w:r>
      <w:r w:rsidR="00444C2C" w:rsidRPr="00D3702F">
        <w:rPr>
          <w:rFonts w:asciiTheme="majorHAnsi" w:hAnsiTheme="majorHAnsi"/>
          <w:lang w:val="en-US"/>
        </w:rPr>
        <w:t>7.52</w:t>
      </w:r>
      <w:r w:rsidR="0011079E" w:rsidRPr="00D3702F">
        <w:rPr>
          <w:rFonts w:asciiTheme="majorHAnsi" w:hAnsiTheme="majorHAnsi"/>
          <w:lang w:val="en-US"/>
        </w:rPr>
        <w:t>, exp(Δcoef) = 2.</w:t>
      </w:r>
      <w:r w:rsidR="00444C2C" w:rsidRPr="00D3702F">
        <w:rPr>
          <w:rFonts w:asciiTheme="majorHAnsi" w:hAnsiTheme="majorHAnsi"/>
          <w:lang w:val="en-US"/>
        </w:rPr>
        <w:t>22</w:t>
      </w:r>
      <w:r w:rsidR="0011079E" w:rsidRPr="00D3702F">
        <w:rPr>
          <w:rFonts w:asciiTheme="majorHAnsi" w:hAnsiTheme="majorHAnsi"/>
          <w:lang w:val="en-US"/>
        </w:rPr>
        <w:t xml:space="preserve">, </w:t>
      </w:r>
      <w:r w:rsidR="0011079E" w:rsidRPr="00D3702F">
        <w:rPr>
          <w:rFonts w:asciiTheme="majorHAnsi" w:hAnsiTheme="majorHAnsi"/>
          <w:i/>
          <w:lang w:val="en-US"/>
        </w:rPr>
        <w:t>z</w:t>
      </w:r>
      <w:r w:rsidR="0011079E" w:rsidRPr="00AA3FDE">
        <w:rPr>
          <w:rFonts w:asciiTheme="majorHAnsi" w:hAnsiTheme="majorHAnsi"/>
          <w:lang w:val="en-US"/>
        </w:rPr>
        <w:t xml:space="preserve"> = </w:t>
      </w:r>
      <w:r w:rsidR="0011079E">
        <w:rPr>
          <w:rFonts w:asciiTheme="majorHAnsi" w:hAnsiTheme="majorHAnsi"/>
          <w:lang w:val="en-US"/>
        </w:rPr>
        <w:t>5</w:t>
      </w:r>
      <w:r w:rsidR="0011079E" w:rsidRPr="00AA3FDE">
        <w:rPr>
          <w:rFonts w:asciiTheme="majorHAnsi" w:hAnsiTheme="majorHAnsi"/>
          <w:lang w:val="en-US"/>
        </w:rPr>
        <w:t>.</w:t>
      </w:r>
      <w:r w:rsidR="00444C2C">
        <w:rPr>
          <w:rFonts w:asciiTheme="majorHAnsi" w:hAnsiTheme="majorHAnsi"/>
          <w:lang w:val="en-US"/>
        </w:rPr>
        <w:t>51</w:t>
      </w:r>
      <w:r w:rsidR="0011079E" w:rsidRPr="00AA3FDE">
        <w:rPr>
          <w:rFonts w:asciiTheme="majorHAnsi" w:hAnsiTheme="majorHAnsi"/>
          <w:lang w:val="en-US"/>
        </w:rPr>
        <w:t xml:space="preserve">, </w:t>
      </w:r>
      <w:r w:rsidR="0011079E" w:rsidRPr="00AA3FDE">
        <w:rPr>
          <w:rFonts w:asciiTheme="majorHAnsi" w:hAnsiTheme="majorHAnsi"/>
          <w:i/>
          <w:lang w:val="en-US"/>
        </w:rPr>
        <w:t>p</w:t>
      </w:r>
      <w:r w:rsidR="0011079E" w:rsidRPr="00AA3FDE">
        <w:rPr>
          <w:rFonts w:asciiTheme="majorHAnsi" w:hAnsiTheme="majorHAnsi"/>
          <w:lang w:val="en-US"/>
        </w:rPr>
        <w:t xml:space="preserve"> &lt; .0</w:t>
      </w:r>
      <w:r w:rsidR="0011079E">
        <w:rPr>
          <w:rFonts w:asciiTheme="majorHAnsi" w:hAnsiTheme="majorHAnsi"/>
          <w:lang w:val="en-US"/>
        </w:rPr>
        <w:t>0</w:t>
      </w:r>
      <w:r w:rsidR="0011079E" w:rsidRPr="00AA3FDE">
        <w:rPr>
          <w:rFonts w:asciiTheme="majorHAnsi" w:hAnsiTheme="majorHAnsi"/>
          <w:lang w:val="en-US"/>
        </w:rPr>
        <w:t>1</w:t>
      </w:r>
      <w:r w:rsidR="0011079E">
        <w:rPr>
          <w:rFonts w:asciiTheme="majorHAnsi" w:hAnsiTheme="majorHAnsi"/>
          <w:lang w:val="en-US"/>
        </w:rPr>
        <w:t>).</w:t>
      </w:r>
    </w:p>
    <w:p w14:paraId="24DF5B10" w14:textId="7B11C07E" w:rsidR="00066A97" w:rsidRDefault="00066A97">
      <w:pPr>
        <w:spacing w:after="0" w:line="480" w:lineRule="auto"/>
        <w:ind w:left="2160" w:firstLine="720"/>
        <w:rPr>
          <w:rFonts w:asciiTheme="majorHAnsi" w:hAnsiTheme="majorHAnsi"/>
          <w:lang w:val="en-US"/>
        </w:rPr>
      </w:pPr>
      <w:r>
        <w:rPr>
          <w:rFonts w:asciiTheme="majorHAnsi" w:hAnsiTheme="majorHAnsi"/>
          <w:lang w:val="en-US"/>
        </w:rPr>
        <w:t>[Tabl</w:t>
      </w:r>
      <w:r w:rsidR="00D32EB3">
        <w:rPr>
          <w:rFonts w:asciiTheme="majorHAnsi" w:hAnsiTheme="majorHAnsi"/>
          <w:lang w:val="en-US"/>
        </w:rPr>
        <w:t>e</w:t>
      </w:r>
      <w:r>
        <w:rPr>
          <w:rFonts w:asciiTheme="majorHAnsi" w:hAnsiTheme="majorHAnsi"/>
          <w:lang w:val="en-US"/>
        </w:rPr>
        <w:t xml:space="preserve"> </w:t>
      </w:r>
      <w:r w:rsidR="001D06ED">
        <w:rPr>
          <w:rFonts w:asciiTheme="majorHAnsi" w:hAnsiTheme="majorHAnsi"/>
          <w:lang w:val="en-US"/>
        </w:rPr>
        <w:t xml:space="preserve">IV </w:t>
      </w:r>
      <w:r>
        <w:rPr>
          <w:rFonts w:asciiTheme="majorHAnsi" w:hAnsiTheme="majorHAnsi"/>
          <w:lang w:val="en-US"/>
        </w:rPr>
        <w:t>approx here]</w:t>
      </w:r>
    </w:p>
    <w:p w14:paraId="2CD4D63D" w14:textId="70813583" w:rsidR="005D4688" w:rsidRDefault="00BC7691" w:rsidP="0016286A">
      <w:pPr>
        <w:spacing w:after="0" w:line="480" w:lineRule="auto"/>
        <w:ind w:firstLine="720"/>
        <w:rPr>
          <w:rFonts w:asciiTheme="majorHAnsi" w:hAnsiTheme="majorHAnsi"/>
          <w:lang w:val="en-US"/>
        </w:rPr>
      </w:pPr>
      <w:r w:rsidRPr="008441ED">
        <w:rPr>
          <w:rFonts w:asciiTheme="majorHAnsi" w:hAnsiTheme="majorHAnsi"/>
          <w:lang w:val="en-US"/>
        </w:rPr>
        <w:t xml:space="preserve">As shown in Table </w:t>
      </w:r>
      <w:r w:rsidR="001D06ED" w:rsidRPr="008441ED">
        <w:rPr>
          <w:rFonts w:asciiTheme="majorHAnsi" w:hAnsiTheme="majorHAnsi"/>
          <w:lang w:val="en-US"/>
        </w:rPr>
        <w:t>IV</w:t>
      </w:r>
      <w:r w:rsidRPr="008441ED">
        <w:rPr>
          <w:rFonts w:asciiTheme="majorHAnsi" w:hAnsiTheme="majorHAnsi"/>
          <w:lang w:val="en-US"/>
        </w:rPr>
        <w:t>, i</w:t>
      </w:r>
      <w:r w:rsidR="00D4336B" w:rsidRPr="008441ED">
        <w:rPr>
          <w:rFonts w:asciiTheme="majorHAnsi" w:hAnsiTheme="majorHAnsi"/>
          <w:lang w:val="en-US"/>
        </w:rPr>
        <w:t xml:space="preserve">ndividuals in </w:t>
      </w:r>
      <w:r w:rsidR="00E8198A" w:rsidRPr="008441ED">
        <w:rPr>
          <w:rFonts w:asciiTheme="majorHAnsi" w:hAnsiTheme="majorHAnsi"/>
          <w:lang w:val="en-US"/>
        </w:rPr>
        <w:t>t</w:t>
      </w:r>
      <w:r w:rsidR="00FA15E3" w:rsidRPr="008441ED">
        <w:rPr>
          <w:rFonts w:asciiTheme="majorHAnsi" w:hAnsiTheme="majorHAnsi"/>
          <w:lang w:val="en-US"/>
        </w:rPr>
        <w:t xml:space="preserve">he </w:t>
      </w:r>
      <w:r w:rsidR="00E8198A" w:rsidRPr="008441ED">
        <w:rPr>
          <w:rFonts w:asciiTheme="majorHAnsi" w:hAnsiTheme="majorHAnsi"/>
          <w:lang w:val="en-US"/>
        </w:rPr>
        <w:t>NMM</w:t>
      </w:r>
      <w:r w:rsidR="00547F0F" w:rsidRPr="008441ED">
        <w:rPr>
          <w:rFonts w:asciiTheme="majorHAnsi" w:hAnsiTheme="majorHAnsi"/>
          <w:lang w:val="en-US"/>
        </w:rPr>
        <w:t xml:space="preserve"> </w:t>
      </w:r>
      <w:r w:rsidR="00D4336B" w:rsidRPr="008441ED">
        <w:rPr>
          <w:rFonts w:asciiTheme="majorHAnsi" w:hAnsiTheme="majorHAnsi"/>
          <w:lang w:val="en-US"/>
        </w:rPr>
        <w:t xml:space="preserve">group </w:t>
      </w:r>
      <w:r w:rsidR="000B3E1C" w:rsidRPr="008441ED">
        <w:rPr>
          <w:rFonts w:asciiTheme="majorHAnsi" w:hAnsiTheme="majorHAnsi"/>
          <w:lang w:val="en-US"/>
        </w:rPr>
        <w:t xml:space="preserve">who were in </w:t>
      </w:r>
      <w:r w:rsidR="000B3477">
        <w:rPr>
          <w:rFonts w:asciiTheme="majorHAnsi" w:hAnsiTheme="majorHAnsi"/>
          <w:lang w:val="en-US"/>
        </w:rPr>
        <w:t xml:space="preserve">net </w:t>
      </w:r>
      <w:r w:rsidR="000B3E1C" w:rsidRPr="008441ED">
        <w:rPr>
          <w:rFonts w:asciiTheme="majorHAnsi" w:hAnsiTheme="majorHAnsi"/>
          <w:lang w:val="en-US"/>
        </w:rPr>
        <w:t>loss in the previous month</w:t>
      </w:r>
      <w:r w:rsidR="00D4336B" w:rsidRPr="008441ED">
        <w:rPr>
          <w:rFonts w:asciiTheme="majorHAnsi" w:hAnsiTheme="majorHAnsi"/>
          <w:lang w:val="en-US"/>
        </w:rPr>
        <w:t>,</w:t>
      </w:r>
      <w:r w:rsidR="000B3E1C" w:rsidRPr="008441ED">
        <w:rPr>
          <w:rFonts w:asciiTheme="majorHAnsi" w:hAnsiTheme="majorHAnsi"/>
          <w:lang w:val="en-US"/>
        </w:rPr>
        <w:t xml:space="preserve"> </w:t>
      </w:r>
      <w:r w:rsidR="00FA15E3" w:rsidRPr="008441ED">
        <w:rPr>
          <w:rFonts w:asciiTheme="majorHAnsi" w:hAnsiTheme="majorHAnsi"/>
          <w:lang w:val="en-US"/>
        </w:rPr>
        <w:t xml:space="preserve">were almost </w:t>
      </w:r>
      <w:r w:rsidR="00CF00BC" w:rsidRPr="008441ED">
        <w:rPr>
          <w:rFonts w:asciiTheme="majorHAnsi" w:hAnsiTheme="majorHAnsi"/>
          <w:lang w:val="en-US"/>
        </w:rPr>
        <w:t xml:space="preserve">eleven </w:t>
      </w:r>
      <w:r w:rsidR="00FA15E3" w:rsidRPr="008441ED">
        <w:rPr>
          <w:rFonts w:asciiTheme="majorHAnsi" w:hAnsiTheme="majorHAnsi"/>
          <w:lang w:val="en-US"/>
        </w:rPr>
        <w:t xml:space="preserve">times more likely to stop trading if they moved into </w:t>
      </w:r>
      <w:r w:rsidR="000B3477">
        <w:rPr>
          <w:rFonts w:asciiTheme="majorHAnsi" w:hAnsiTheme="majorHAnsi"/>
          <w:lang w:val="en-US"/>
        </w:rPr>
        <w:t xml:space="preserve">net </w:t>
      </w:r>
      <w:r w:rsidR="00FA15E3" w:rsidRPr="008441ED">
        <w:rPr>
          <w:rFonts w:asciiTheme="majorHAnsi" w:hAnsiTheme="majorHAnsi"/>
          <w:lang w:val="en-US"/>
        </w:rPr>
        <w:t>profit in the current month</w:t>
      </w:r>
      <w:r w:rsidR="00713803" w:rsidRPr="008441ED">
        <w:rPr>
          <w:rFonts w:asciiTheme="majorHAnsi" w:hAnsiTheme="majorHAnsi"/>
          <w:lang w:val="en-US"/>
        </w:rPr>
        <w:t>,</w:t>
      </w:r>
      <w:r w:rsidR="00FA15E3" w:rsidRPr="008441ED">
        <w:rPr>
          <w:rFonts w:asciiTheme="majorHAnsi" w:hAnsiTheme="majorHAnsi"/>
          <w:lang w:val="en-US"/>
        </w:rPr>
        <w:t xml:space="preserve"> </w:t>
      </w:r>
      <w:r w:rsidR="00CF00BC" w:rsidRPr="008441ED">
        <w:rPr>
          <w:rFonts w:asciiTheme="majorHAnsi" w:hAnsiTheme="majorHAnsi"/>
          <w:lang w:val="en-US"/>
        </w:rPr>
        <w:t>and</w:t>
      </w:r>
      <w:r w:rsidR="000B3E1C" w:rsidRPr="008441ED">
        <w:rPr>
          <w:rFonts w:asciiTheme="majorHAnsi" w:hAnsiTheme="majorHAnsi"/>
          <w:lang w:val="en-US"/>
        </w:rPr>
        <w:t xml:space="preserve"> </w:t>
      </w:r>
      <w:r w:rsidR="006D7181" w:rsidRPr="008441ED">
        <w:rPr>
          <w:rFonts w:asciiTheme="majorHAnsi" w:hAnsiTheme="majorHAnsi"/>
          <w:lang w:val="en-US"/>
        </w:rPr>
        <w:t xml:space="preserve">almost ten </w:t>
      </w:r>
      <w:r w:rsidR="00FA15E3" w:rsidRPr="008441ED">
        <w:rPr>
          <w:rFonts w:asciiTheme="majorHAnsi" w:hAnsiTheme="majorHAnsi"/>
          <w:lang w:val="en-US"/>
        </w:rPr>
        <w:t xml:space="preserve">times </w:t>
      </w:r>
      <w:r w:rsidR="000B3E1C" w:rsidRPr="008441ED">
        <w:rPr>
          <w:rFonts w:asciiTheme="majorHAnsi" w:hAnsiTheme="majorHAnsi"/>
          <w:lang w:val="en-US"/>
        </w:rPr>
        <w:t xml:space="preserve">more likely to stop if they </w:t>
      </w:r>
      <w:r w:rsidR="00FA15E3" w:rsidRPr="008441ED">
        <w:rPr>
          <w:rFonts w:asciiTheme="majorHAnsi" w:hAnsiTheme="majorHAnsi"/>
          <w:lang w:val="en-US"/>
        </w:rPr>
        <w:t xml:space="preserve">remained in </w:t>
      </w:r>
      <w:r w:rsidR="000B3477">
        <w:rPr>
          <w:rFonts w:asciiTheme="majorHAnsi" w:hAnsiTheme="majorHAnsi"/>
          <w:lang w:val="en-US"/>
        </w:rPr>
        <w:t xml:space="preserve">net </w:t>
      </w:r>
      <w:r w:rsidR="00FA15E3" w:rsidRPr="008441ED">
        <w:rPr>
          <w:rFonts w:asciiTheme="majorHAnsi" w:hAnsiTheme="majorHAnsi"/>
          <w:lang w:val="en-US"/>
        </w:rPr>
        <w:t>loss in the current</w:t>
      </w:r>
      <w:r w:rsidR="00FA15E3">
        <w:rPr>
          <w:rFonts w:asciiTheme="majorHAnsi" w:hAnsiTheme="majorHAnsi"/>
          <w:lang w:val="en-US"/>
        </w:rPr>
        <w:t xml:space="preserve"> month</w:t>
      </w:r>
      <w:r w:rsidR="006D7181">
        <w:rPr>
          <w:rFonts w:asciiTheme="majorHAnsi" w:hAnsiTheme="majorHAnsi"/>
          <w:lang w:val="en-US"/>
        </w:rPr>
        <w:t xml:space="preserve"> (compared to the baseline)</w:t>
      </w:r>
      <w:r w:rsidR="00CF00BC">
        <w:rPr>
          <w:rFonts w:asciiTheme="majorHAnsi" w:hAnsiTheme="majorHAnsi"/>
          <w:lang w:val="en-US"/>
        </w:rPr>
        <w:t>. While the direction of this difference supports Hypothesis 3, the difference was not significant</w:t>
      </w:r>
      <w:r w:rsidR="00FA15E3">
        <w:rPr>
          <w:rFonts w:asciiTheme="majorHAnsi" w:hAnsiTheme="majorHAnsi"/>
          <w:lang w:val="en-US"/>
        </w:rPr>
        <w:t xml:space="preserve"> (11.</w:t>
      </w:r>
      <w:r w:rsidR="00444C2C">
        <w:rPr>
          <w:rFonts w:asciiTheme="majorHAnsi" w:hAnsiTheme="majorHAnsi"/>
          <w:lang w:val="en-US"/>
        </w:rPr>
        <w:t xml:space="preserve">23 </w:t>
      </w:r>
      <w:r w:rsidR="00FA15E3">
        <w:rPr>
          <w:rFonts w:asciiTheme="majorHAnsi" w:hAnsiTheme="majorHAnsi"/>
          <w:lang w:val="en-US"/>
        </w:rPr>
        <w:t xml:space="preserve">vs. </w:t>
      </w:r>
      <w:r w:rsidR="00444C2C">
        <w:rPr>
          <w:rFonts w:asciiTheme="majorHAnsi" w:hAnsiTheme="majorHAnsi"/>
          <w:lang w:val="en-US"/>
        </w:rPr>
        <w:t>9.77</w:t>
      </w:r>
      <w:r w:rsidR="00FA15E3">
        <w:rPr>
          <w:rFonts w:asciiTheme="majorHAnsi" w:hAnsiTheme="majorHAnsi"/>
          <w:lang w:val="en-US"/>
        </w:rPr>
        <w:t xml:space="preserve">, </w:t>
      </w:r>
      <w:r w:rsidR="00FA15E3" w:rsidRPr="00AA3FDE">
        <w:rPr>
          <w:rFonts w:asciiTheme="majorHAnsi" w:hAnsiTheme="majorHAnsi"/>
          <w:lang w:val="en-US"/>
        </w:rPr>
        <w:t xml:space="preserve">exp(Δcoef) = </w:t>
      </w:r>
      <w:r w:rsidR="00FA15E3">
        <w:rPr>
          <w:rFonts w:asciiTheme="majorHAnsi" w:hAnsiTheme="majorHAnsi"/>
          <w:lang w:val="en-US"/>
        </w:rPr>
        <w:t>1.</w:t>
      </w:r>
      <w:r w:rsidR="00CF00BC">
        <w:rPr>
          <w:rFonts w:asciiTheme="majorHAnsi" w:hAnsiTheme="majorHAnsi"/>
          <w:lang w:val="en-US"/>
        </w:rPr>
        <w:t>15</w:t>
      </w:r>
      <w:r w:rsidR="00FA15E3" w:rsidRPr="00AA3FDE">
        <w:rPr>
          <w:rFonts w:asciiTheme="majorHAnsi" w:hAnsiTheme="majorHAnsi"/>
          <w:lang w:val="en-US"/>
        </w:rPr>
        <w:t xml:space="preserve">, </w:t>
      </w:r>
      <w:r w:rsidR="00FA15E3" w:rsidRPr="00AA3FDE">
        <w:rPr>
          <w:rFonts w:asciiTheme="majorHAnsi" w:hAnsiTheme="majorHAnsi"/>
          <w:i/>
          <w:lang w:val="en-US"/>
        </w:rPr>
        <w:t>z</w:t>
      </w:r>
      <w:r w:rsidR="00FA15E3" w:rsidRPr="00AA3FDE">
        <w:rPr>
          <w:rFonts w:asciiTheme="majorHAnsi" w:hAnsiTheme="majorHAnsi"/>
          <w:lang w:val="en-US"/>
        </w:rPr>
        <w:t xml:space="preserve"> = </w:t>
      </w:r>
      <w:r w:rsidR="00CF00BC">
        <w:rPr>
          <w:rFonts w:asciiTheme="majorHAnsi" w:hAnsiTheme="majorHAnsi"/>
          <w:lang w:val="en-US"/>
        </w:rPr>
        <w:t>1.04</w:t>
      </w:r>
      <w:r w:rsidR="00FA15E3" w:rsidRPr="00AA3FDE">
        <w:rPr>
          <w:rFonts w:asciiTheme="majorHAnsi" w:hAnsiTheme="majorHAnsi"/>
          <w:lang w:val="en-US"/>
        </w:rPr>
        <w:t xml:space="preserve">, </w:t>
      </w:r>
      <w:r w:rsidR="00FA15E3" w:rsidRPr="00AA3FDE">
        <w:rPr>
          <w:rFonts w:asciiTheme="majorHAnsi" w:hAnsiTheme="majorHAnsi"/>
          <w:i/>
          <w:lang w:val="en-US"/>
        </w:rPr>
        <w:t>p</w:t>
      </w:r>
      <w:r w:rsidR="00FA15E3">
        <w:rPr>
          <w:rFonts w:asciiTheme="majorHAnsi" w:hAnsiTheme="majorHAnsi"/>
          <w:lang w:val="en-US"/>
        </w:rPr>
        <w:t xml:space="preserve"> </w:t>
      </w:r>
      <w:r w:rsidR="00CF00BC">
        <w:rPr>
          <w:rFonts w:asciiTheme="majorHAnsi" w:hAnsiTheme="majorHAnsi"/>
          <w:lang w:val="en-US"/>
        </w:rPr>
        <w:t>= .299</w:t>
      </w:r>
      <w:r w:rsidR="00FA15E3">
        <w:rPr>
          <w:rFonts w:asciiTheme="majorHAnsi" w:hAnsiTheme="majorHAnsi"/>
          <w:lang w:val="en-US"/>
        </w:rPr>
        <w:t xml:space="preserve">). </w:t>
      </w:r>
      <w:r w:rsidR="00CF00BC">
        <w:rPr>
          <w:rFonts w:asciiTheme="majorHAnsi" w:hAnsiTheme="majorHAnsi"/>
          <w:lang w:val="en-US"/>
        </w:rPr>
        <w:t xml:space="preserve">However, we did observe support for </w:t>
      </w:r>
      <w:r w:rsidR="00E8198A">
        <w:rPr>
          <w:rFonts w:asciiTheme="majorHAnsi" w:hAnsiTheme="majorHAnsi"/>
          <w:lang w:val="en-US"/>
        </w:rPr>
        <w:t xml:space="preserve">Hypothesis 4. </w:t>
      </w:r>
      <w:r w:rsidR="00CF00BC">
        <w:rPr>
          <w:rFonts w:asciiTheme="majorHAnsi" w:hAnsiTheme="majorHAnsi"/>
          <w:lang w:val="en-US"/>
        </w:rPr>
        <w:t>I</w:t>
      </w:r>
      <w:r w:rsidR="00E8198A">
        <w:rPr>
          <w:rFonts w:asciiTheme="majorHAnsi" w:hAnsiTheme="majorHAnsi"/>
          <w:lang w:val="en-US"/>
        </w:rPr>
        <w:t xml:space="preserve">n contrast to the NMM group, the PMM group </w:t>
      </w:r>
      <w:r w:rsidR="00F87081">
        <w:rPr>
          <w:rFonts w:asciiTheme="majorHAnsi" w:hAnsiTheme="majorHAnsi"/>
          <w:lang w:val="en-US"/>
        </w:rPr>
        <w:t>more</w:t>
      </w:r>
      <w:r w:rsidR="00E8198A">
        <w:rPr>
          <w:rFonts w:asciiTheme="majorHAnsi" w:hAnsiTheme="majorHAnsi"/>
          <w:lang w:val="en-US"/>
        </w:rPr>
        <w:t xml:space="preserve"> likely to cease trading if they </w:t>
      </w:r>
      <w:r w:rsidR="00F87081">
        <w:rPr>
          <w:rFonts w:asciiTheme="majorHAnsi" w:hAnsiTheme="majorHAnsi"/>
          <w:lang w:val="en-US"/>
        </w:rPr>
        <w:t xml:space="preserve">remain in net loss from one month to the next compared to moving </w:t>
      </w:r>
      <w:r w:rsidR="00907A6C">
        <w:rPr>
          <w:rFonts w:asciiTheme="majorHAnsi" w:hAnsiTheme="majorHAnsi"/>
          <w:lang w:val="en-US"/>
        </w:rPr>
        <w:t xml:space="preserve">from </w:t>
      </w:r>
      <w:r w:rsidR="00D4336B">
        <w:rPr>
          <w:rFonts w:asciiTheme="majorHAnsi" w:hAnsiTheme="majorHAnsi"/>
          <w:lang w:val="en-US"/>
        </w:rPr>
        <w:t xml:space="preserve">net </w:t>
      </w:r>
      <w:r w:rsidR="00907A6C">
        <w:rPr>
          <w:rFonts w:asciiTheme="majorHAnsi" w:hAnsiTheme="majorHAnsi"/>
          <w:lang w:val="en-US"/>
        </w:rPr>
        <w:t xml:space="preserve">loss in the previous month to </w:t>
      </w:r>
      <w:r w:rsidR="00D4336B">
        <w:rPr>
          <w:rFonts w:asciiTheme="majorHAnsi" w:hAnsiTheme="majorHAnsi"/>
          <w:lang w:val="en-US"/>
        </w:rPr>
        <w:t xml:space="preserve">net </w:t>
      </w:r>
      <w:r w:rsidR="00907A6C">
        <w:rPr>
          <w:rFonts w:asciiTheme="majorHAnsi" w:hAnsiTheme="majorHAnsi"/>
          <w:lang w:val="en-US"/>
        </w:rPr>
        <w:t xml:space="preserve">profit in the current month </w:t>
      </w:r>
      <w:r w:rsidR="00E8198A">
        <w:rPr>
          <w:rFonts w:asciiTheme="majorHAnsi" w:hAnsiTheme="majorHAnsi"/>
          <w:lang w:val="en-US"/>
        </w:rPr>
        <w:t>(6.</w:t>
      </w:r>
      <w:r w:rsidR="00CF00BC">
        <w:rPr>
          <w:rFonts w:asciiTheme="majorHAnsi" w:hAnsiTheme="majorHAnsi"/>
          <w:lang w:val="en-US"/>
        </w:rPr>
        <w:t xml:space="preserve">04 </w:t>
      </w:r>
      <w:r w:rsidR="00E8198A">
        <w:rPr>
          <w:rFonts w:asciiTheme="majorHAnsi" w:hAnsiTheme="majorHAnsi"/>
          <w:lang w:val="en-US"/>
        </w:rPr>
        <w:t>vs. 2.</w:t>
      </w:r>
      <w:r w:rsidR="00CF00BC">
        <w:rPr>
          <w:rFonts w:asciiTheme="majorHAnsi" w:hAnsiTheme="majorHAnsi"/>
          <w:lang w:val="en-US"/>
        </w:rPr>
        <w:t>32</w:t>
      </w:r>
      <w:r w:rsidR="00E8198A">
        <w:rPr>
          <w:rFonts w:asciiTheme="majorHAnsi" w:hAnsiTheme="majorHAnsi"/>
          <w:lang w:val="en-US"/>
        </w:rPr>
        <w:t xml:space="preserve">, </w:t>
      </w:r>
      <w:r w:rsidR="00E8198A" w:rsidRPr="00AA3FDE">
        <w:rPr>
          <w:rFonts w:asciiTheme="majorHAnsi" w:hAnsiTheme="majorHAnsi"/>
          <w:lang w:val="en-US"/>
        </w:rPr>
        <w:t xml:space="preserve">exp(Δcoef) = </w:t>
      </w:r>
      <w:r w:rsidR="00E8198A">
        <w:rPr>
          <w:rFonts w:asciiTheme="majorHAnsi" w:hAnsiTheme="majorHAnsi"/>
          <w:lang w:val="en-US"/>
        </w:rPr>
        <w:t>2.</w:t>
      </w:r>
      <w:r w:rsidR="00CF00BC">
        <w:rPr>
          <w:rFonts w:asciiTheme="majorHAnsi" w:hAnsiTheme="majorHAnsi"/>
          <w:lang w:val="en-US"/>
        </w:rPr>
        <w:t>60</w:t>
      </w:r>
      <w:r w:rsidR="00E8198A" w:rsidRPr="00AA3FDE">
        <w:rPr>
          <w:rFonts w:asciiTheme="majorHAnsi" w:hAnsiTheme="majorHAnsi"/>
          <w:lang w:val="en-US"/>
        </w:rPr>
        <w:t xml:space="preserve">, </w:t>
      </w:r>
      <w:r w:rsidR="00E8198A" w:rsidRPr="00AA3FDE">
        <w:rPr>
          <w:rFonts w:asciiTheme="majorHAnsi" w:hAnsiTheme="majorHAnsi"/>
          <w:i/>
          <w:lang w:val="en-US"/>
        </w:rPr>
        <w:t>z</w:t>
      </w:r>
      <w:r w:rsidR="00E8198A" w:rsidRPr="00AA3FDE">
        <w:rPr>
          <w:rFonts w:asciiTheme="majorHAnsi" w:hAnsiTheme="majorHAnsi"/>
          <w:lang w:val="en-US"/>
        </w:rPr>
        <w:t xml:space="preserve"> = </w:t>
      </w:r>
      <w:r w:rsidR="00E8198A">
        <w:rPr>
          <w:rFonts w:asciiTheme="majorHAnsi" w:hAnsiTheme="majorHAnsi"/>
          <w:lang w:val="en-US"/>
        </w:rPr>
        <w:t>2.</w:t>
      </w:r>
      <w:r w:rsidR="00CD320C">
        <w:rPr>
          <w:rFonts w:asciiTheme="majorHAnsi" w:hAnsiTheme="majorHAnsi"/>
          <w:lang w:val="en-US"/>
        </w:rPr>
        <w:t>38</w:t>
      </w:r>
      <w:r w:rsidR="00E8198A" w:rsidRPr="00AA3FDE">
        <w:rPr>
          <w:rFonts w:asciiTheme="majorHAnsi" w:hAnsiTheme="majorHAnsi"/>
          <w:lang w:val="en-US"/>
        </w:rPr>
        <w:t xml:space="preserve">, </w:t>
      </w:r>
      <w:r w:rsidR="00E8198A" w:rsidRPr="00AA3FDE">
        <w:rPr>
          <w:rFonts w:asciiTheme="majorHAnsi" w:hAnsiTheme="majorHAnsi"/>
          <w:i/>
          <w:lang w:val="en-US"/>
        </w:rPr>
        <w:t>p</w:t>
      </w:r>
      <w:r w:rsidR="00E8198A">
        <w:rPr>
          <w:rFonts w:asciiTheme="majorHAnsi" w:hAnsiTheme="majorHAnsi"/>
          <w:lang w:val="en-US"/>
        </w:rPr>
        <w:t xml:space="preserve"> &lt; .05).</w:t>
      </w:r>
      <w:r w:rsidR="00907A6C">
        <w:rPr>
          <w:rFonts w:asciiTheme="majorHAnsi" w:hAnsiTheme="majorHAnsi"/>
          <w:lang w:val="en-US"/>
        </w:rPr>
        <w:t xml:space="preserve"> This </w:t>
      </w:r>
      <w:r w:rsidR="00CD320C">
        <w:rPr>
          <w:rFonts w:asciiTheme="majorHAnsi" w:hAnsiTheme="majorHAnsi"/>
          <w:lang w:val="en-US"/>
        </w:rPr>
        <w:t xml:space="preserve">difference between the NMM and PMM groups </w:t>
      </w:r>
      <w:r w:rsidR="00907A6C">
        <w:rPr>
          <w:rFonts w:asciiTheme="majorHAnsi" w:hAnsiTheme="majorHAnsi"/>
          <w:lang w:val="en-US"/>
        </w:rPr>
        <w:t xml:space="preserve">reveals how the decision to stop a RA </w:t>
      </w:r>
      <w:r w:rsidR="00907A6C" w:rsidRPr="00AF5431">
        <w:rPr>
          <w:rFonts w:asciiTheme="majorHAnsi" w:hAnsiTheme="majorHAnsi"/>
          <w:lang w:val="en-US"/>
        </w:rPr>
        <w:t>appears to depend on an interaction between the memory of longer-term performance and recent outcomes, and particularly when those recent outcomes involve changes around the break-even point.</w:t>
      </w:r>
    </w:p>
    <w:p w14:paraId="43F1C07D" w14:textId="57F1CEBA" w:rsidR="00B87622" w:rsidRDefault="00AE3D1A" w:rsidP="00B87622">
      <w:pPr>
        <w:spacing w:after="0" w:line="480" w:lineRule="auto"/>
        <w:rPr>
          <w:rFonts w:asciiTheme="majorHAnsi" w:hAnsiTheme="majorHAnsi"/>
          <w:b/>
          <w:lang w:val="en-US"/>
        </w:rPr>
      </w:pPr>
      <w:r>
        <w:rPr>
          <w:rFonts w:asciiTheme="majorHAnsi" w:hAnsiTheme="majorHAnsi"/>
          <w:b/>
          <w:lang w:val="en-US"/>
        </w:rPr>
        <w:t>3.</w:t>
      </w:r>
      <w:r w:rsidR="00BE6BF4">
        <w:rPr>
          <w:rFonts w:asciiTheme="majorHAnsi" w:hAnsiTheme="majorHAnsi"/>
          <w:b/>
          <w:lang w:val="en-US"/>
        </w:rPr>
        <w:t>2.1</w:t>
      </w:r>
      <w:r>
        <w:rPr>
          <w:rFonts w:asciiTheme="majorHAnsi" w:hAnsiTheme="majorHAnsi"/>
          <w:b/>
          <w:lang w:val="en-US"/>
        </w:rPr>
        <w:t xml:space="preserve"> </w:t>
      </w:r>
      <w:r w:rsidR="005F6113" w:rsidRPr="001410E6">
        <w:rPr>
          <w:rFonts w:asciiTheme="majorHAnsi" w:hAnsiTheme="majorHAnsi"/>
          <w:i/>
          <w:lang w:val="en-US"/>
        </w:rPr>
        <w:t>Alternative Definitions of Historical Profitability</w:t>
      </w:r>
    </w:p>
    <w:p w14:paraId="3D902310" w14:textId="6B7B3D4F" w:rsidR="002F260D" w:rsidRDefault="005F6113" w:rsidP="00B87622">
      <w:pPr>
        <w:spacing w:after="0" w:line="480" w:lineRule="auto"/>
        <w:rPr>
          <w:rFonts w:asciiTheme="majorHAnsi" w:hAnsiTheme="majorHAnsi"/>
          <w:lang w:val="en-US"/>
        </w:rPr>
      </w:pPr>
      <w:r>
        <w:rPr>
          <w:rFonts w:asciiTheme="majorHAnsi" w:hAnsiTheme="majorHAnsi"/>
          <w:lang w:val="en-US"/>
        </w:rPr>
        <w:t>W</w:t>
      </w:r>
      <w:r w:rsidR="00C667ED">
        <w:rPr>
          <w:rFonts w:asciiTheme="majorHAnsi" w:hAnsiTheme="majorHAnsi"/>
          <w:lang w:val="en-US"/>
        </w:rPr>
        <w:t xml:space="preserve">e now extend our analysis over different definitions of </w:t>
      </w:r>
      <w:r w:rsidR="005C4929">
        <w:rPr>
          <w:rFonts w:asciiTheme="majorHAnsi" w:hAnsiTheme="majorHAnsi"/>
          <w:lang w:val="en-US"/>
        </w:rPr>
        <w:t>historical profitability</w:t>
      </w:r>
      <w:r w:rsidR="00C667ED">
        <w:rPr>
          <w:rFonts w:asciiTheme="majorHAnsi" w:hAnsiTheme="majorHAnsi"/>
          <w:lang w:val="en-US"/>
        </w:rPr>
        <w:t>.</w:t>
      </w:r>
      <w:r w:rsidR="001D7A76">
        <w:rPr>
          <w:rFonts w:asciiTheme="majorHAnsi" w:hAnsiTheme="majorHAnsi"/>
          <w:lang w:val="en-US"/>
        </w:rPr>
        <w:t xml:space="preserve"> The first change is that we </w:t>
      </w:r>
      <w:r w:rsidR="00C667ED">
        <w:rPr>
          <w:rFonts w:asciiTheme="majorHAnsi" w:hAnsiTheme="majorHAnsi"/>
          <w:lang w:val="en-US"/>
        </w:rPr>
        <w:t>now define those with a PMM</w:t>
      </w:r>
      <w:r w:rsidR="000775CB">
        <w:rPr>
          <w:rFonts w:asciiTheme="majorHAnsi" w:hAnsiTheme="majorHAnsi"/>
          <w:lang w:val="en-US"/>
        </w:rPr>
        <w:t>/NMM</w:t>
      </w:r>
      <w:r w:rsidR="00C667ED">
        <w:rPr>
          <w:rFonts w:asciiTheme="majorHAnsi" w:hAnsiTheme="majorHAnsi"/>
          <w:lang w:val="en-US"/>
        </w:rPr>
        <w:t xml:space="preserve"> as those who ha</w:t>
      </w:r>
      <w:r w:rsidR="005C4929">
        <w:rPr>
          <w:rFonts w:asciiTheme="majorHAnsi" w:hAnsiTheme="majorHAnsi"/>
          <w:lang w:val="en-US"/>
        </w:rPr>
        <w:t>ve</w:t>
      </w:r>
      <w:r w:rsidR="00C667ED">
        <w:rPr>
          <w:rFonts w:asciiTheme="majorHAnsi" w:hAnsiTheme="majorHAnsi"/>
          <w:lang w:val="en-US"/>
        </w:rPr>
        <w:t xml:space="preserve"> experience</w:t>
      </w:r>
      <w:r w:rsidR="00DA42A7">
        <w:rPr>
          <w:rFonts w:asciiTheme="majorHAnsi" w:hAnsiTheme="majorHAnsi"/>
          <w:lang w:val="en-US"/>
        </w:rPr>
        <w:t>d</w:t>
      </w:r>
      <w:r w:rsidR="00C667ED">
        <w:rPr>
          <w:rFonts w:asciiTheme="majorHAnsi" w:hAnsiTheme="majorHAnsi"/>
          <w:lang w:val="en-US"/>
        </w:rPr>
        <w:t xml:space="preserve"> </w:t>
      </w:r>
      <w:r w:rsidR="00BF6F1F">
        <w:rPr>
          <w:rFonts w:asciiTheme="majorHAnsi" w:hAnsiTheme="majorHAnsi"/>
          <w:lang w:val="en-US"/>
        </w:rPr>
        <w:t>at least</w:t>
      </w:r>
      <w:r w:rsidR="002F260D">
        <w:rPr>
          <w:rFonts w:asciiTheme="majorHAnsi" w:hAnsiTheme="majorHAnsi"/>
          <w:lang w:val="en-US"/>
        </w:rPr>
        <w:t xml:space="preserve"> 75% and</w:t>
      </w:r>
      <w:r w:rsidR="00BF6F1F">
        <w:rPr>
          <w:rFonts w:asciiTheme="majorHAnsi" w:hAnsiTheme="majorHAnsi"/>
          <w:lang w:val="en-US"/>
        </w:rPr>
        <w:t xml:space="preserve"> </w:t>
      </w:r>
      <w:r w:rsidR="00C667ED">
        <w:rPr>
          <w:rFonts w:asciiTheme="majorHAnsi" w:hAnsiTheme="majorHAnsi"/>
          <w:lang w:val="en-US"/>
        </w:rPr>
        <w:t xml:space="preserve">90% of months </w:t>
      </w:r>
      <w:r w:rsidR="00C73D52">
        <w:rPr>
          <w:rFonts w:asciiTheme="majorHAnsi" w:hAnsiTheme="majorHAnsi"/>
          <w:lang w:val="en-US"/>
        </w:rPr>
        <w:t>where their</w:t>
      </w:r>
      <w:r w:rsidR="00C667ED">
        <w:rPr>
          <w:rFonts w:asciiTheme="majorHAnsi" w:hAnsiTheme="majorHAnsi"/>
          <w:lang w:val="en-US"/>
        </w:rPr>
        <w:t xml:space="preserve"> </w:t>
      </w:r>
      <w:r w:rsidR="00F4154E">
        <w:rPr>
          <w:rFonts w:asciiTheme="majorHAnsi" w:hAnsiTheme="majorHAnsi"/>
          <w:lang w:val="en-US"/>
        </w:rPr>
        <w:t xml:space="preserve">accumulated </w:t>
      </w:r>
      <w:r w:rsidR="000B3477">
        <w:rPr>
          <w:rFonts w:asciiTheme="majorHAnsi" w:hAnsiTheme="majorHAnsi"/>
          <w:lang w:val="en-US"/>
        </w:rPr>
        <w:t>net return</w:t>
      </w:r>
      <w:r w:rsidR="00B35267">
        <w:rPr>
          <w:rFonts w:asciiTheme="majorHAnsi" w:hAnsiTheme="majorHAnsi"/>
          <w:lang w:val="en-US"/>
        </w:rPr>
        <w:t xml:space="preserve"> </w:t>
      </w:r>
      <w:r w:rsidR="00C73D52">
        <w:rPr>
          <w:rFonts w:asciiTheme="majorHAnsi" w:hAnsiTheme="majorHAnsi"/>
          <w:lang w:val="en-US"/>
        </w:rPr>
        <w:t>was positive</w:t>
      </w:r>
      <w:r w:rsidR="000775CB">
        <w:rPr>
          <w:rFonts w:asciiTheme="majorHAnsi" w:hAnsiTheme="majorHAnsi"/>
          <w:lang w:val="en-US"/>
        </w:rPr>
        <w:t>/negative</w:t>
      </w:r>
      <w:r w:rsidR="00C667ED">
        <w:rPr>
          <w:rFonts w:asciiTheme="majorHAnsi" w:hAnsiTheme="majorHAnsi"/>
          <w:lang w:val="en-US"/>
        </w:rPr>
        <w:t xml:space="preserve"> (rather than </w:t>
      </w:r>
      <w:r w:rsidR="00C73D52">
        <w:rPr>
          <w:rFonts w:asciiTheme="majorHAnsi" w:hAnsiTheme="majorHAnsi"/>
          <w:lang w:val="en-US"/>
        </w:rPr>
        <w:t xml:space="preserve">experiencing at least </w:t>
      </w:r>
      <w:r w:rsidR="00C667ED">
        <w:rPr>
          <w:rFonts w:asciiTheme="majorHAnsi" w:hAnsiTheme="majorHAnsi"/>
          <w:lang w:val="en-US"/>
        </w:rPr>
        <w:t xml:space="preserve">50% </w:t>
      </w:r>
      <w:r w:rsidR="00BF6F1F">
        <w:rPr>
          <w:rFonts w:asciiTheme="majorHAnsi" w:hAnsiTheme="majorHAnsi"/>
          <w:lang w:val="en-US"/>
        </w:rPr>
        <w:t xml:space="preserve">of months </w:t>
      </w:r>
      <w:r w:rsidR="00C73D52">
        <w:rPr>
          <w:rFonts w:asciiTheme="majorHAnsi" w:hAnsiTheme="majorHAnsi"/>
          <w:lang w:val="en-US"/>
        </w:rPr>
        <w:t xml:space="preserve">where their </w:t>
      </w:r>
      <w:r w:rsidR="00F4154E">
        <w:rPr>
          <w:rFonts w:asciiTheme="majorHAnsi" w:hAnsiTheme="majorHAnsi"/>
          <w:lang w:val="en-US"/>
        </w:rPr>
        <w:t xml:space="preserve">accumulated </w:t>
      </w:r>
      <w:r w:rsidR="0019266B">
        <w:rPr>
          <w:rFonts w:asciiTheme="majorHAnsi" w:hAnsiTheme="majorHAnsi"/>
          <w:lang w:val="en-US"/>
        </w:rPr>
        <w:t>net return</w:t>
      </w:r>
      <w:r w:rsidR="00C73D52">
        <w:rPr>
          <w:rFonts w:asciiTheme="majorHAnsi" w:hAnsiTheme="majorHAnsi"/>
          <w:lang w:val="en-US"/>
        </w:rPr>
        <w:t xml:space="preserve"> was </w:t>
      </w:r>
      <w:r w:rsidR="000775CB">
        <w:rPr>
          <w:rFonts w:asciiTheme="majorHAnsi" w:hAnsiTheme="majorHAnsi"/>
          <w:lang w:val="en-US"/>
        </w:rPr>
        <w:t>positive/negative</w:t>
      </w:r>
      <w:r w:rsidR="00C73D52">
        <w:rPr>
          <w:rFonts w:asciiTheme="majorHAnsi" w:hAnsiTheme="majorHAnsi"/>
          <w:lang w:val="en-US"/>
        </w:rPr>
        <w:t>, as in the previous definition</w:t>
      </w:r>
      <w:r w:rsidR="00C667ED">
        <w:rPr>
          <w:rFonts w:asciiTheme="majorHAnsi" w:hAnsiTheme="majorHAnsi"/>
          <w:lang w:val="en-US"/>
        </w:rPr>
        <w:t>).</w:t>
      </w:r>
      <w:r w:rsidR="0055339C">
        <w:rPr>
          <w:rFonts w:asciiTheme="majorHAnsi" w:hAnsiTheme="majorHAnsi"/>
          <w:lang w:val="en-US"/>
        </w:rPr>
        <w:t xml:space="preserve"> </w:t>
      </w:r>
      <w:r w:rsidR="002439D6">
        <w:rPr>
          <w:rFonts w:asciiTheme="majorHAnsi" w:hAnsiTheme="majorHAnsi"/>
          <w:lang w:val="en-US"/>
        </w:rPr>
        <w:t xml:space="preserve">We </w:t>
      </w:r>
      <w:r w:rsidR="00F87081">
        <w:rPr>
          <w:rFonts w:asciiTheme="majorHAnsi" w:hAnsiTheme="majorHAnsi"/>
          <w:lang w:val="en-US"/>
        </w:rPr>
        <w:t>might infer that</w:t>
      </w:r>
      <w:r w:rsidR="002439D6">
        <w:rPr>
          <w:rFonts w:asciiTheme="majorHAnsi" w:hAnsiTheme="majorHAnsi"/>
          <w:lang w:val="en-US"/>
        </w:rPr>
        <w:t xml:space="preserve"> these traders </w:t>
      </w:r>
      <w:r w:rsidR="00F87081">
        <w:rPr>
          <w:rFonts w:asciiTheme="majorHAnsi" w:hAnsiTheme="majorHAnsi"/>
          <w:lang w:val="en-US"/>
        </w:rPr>
        <w:t>have</w:t>
      </w:r>
      <w:r w:rsidR="002439D6">
        <w:rPr>
          <w:rFonts w:asciiTheme="majorHAnsi" w:hAnsiTheme="majorHAnsi"/>
          <w:lang w:val="en-US"/>
        </w:rPr>
        <w:t xml:space="preserve"> </w:t>
      </w:r>
      <w:r w:rsidR="008B13FE">
        <w:rPr>
          <w:rFonts w:asciiTheme="majorHAnsi" w:hAnsiTheme="majorHAnsi"/>
          <w:lang w:val="en-US"/>
        </w:rPr>
        <w:t xml:space="preserve">a </w:t>
      </w:r>
      <w:r w:rsidR="002439D6">
        <w:rPr>
          <w:rFonts w:asciiTheme="majorHAnsi" w:hAnsiTheme="majorHAnsi"/>
          <w:lang w:val="en-US"/>
        </w:rPr>
        <w:t>stronger PMM</w:t>
      </w:r>
      <w:r w:rsidR="008B13FE">
        <w:rPr>
          <w:rFonts w:asciiTheme="majorHAnsi" w:hAnsiTheme="majorHAnsi"/>
          <w:lang w:val="en-US"/>
        </w:rPr>
        <w:t>/</w:t>
      </w:r>
      <w:r w:rsidR="002439D6">
        <w:rPr>
          <w:rFonts w:asciiTheme="majorHAnsi" w:hAnsiTheme="majorHAnsi"/>
          <w:lang w:val="en-US"/>
        </w:rPr>
        <w:t>NMM</w:t>
      </w:r>
      <w:r w:rsidR="008B13FE">
        <w:rPr>
          <w:rFonts w:asciiTheme="majorHAnsi" w:hAnsiTheme="majorHAnsi"/>
          <w:lang w:val="en-US"/>
        </w:rPr>
        <w:t xml:space="preserve"> than those we identified using the previous definition.</w:t>
      </w:r>
      <w:r w:rsidR="00C667ED">
        <w:rPr>
          <w:rFonts w:asciiTheme="majorHAnsi" w:hAnsiTheme="majorHAnsi"/>
          <w:lang w:val="en-US"/>
        </w:rPr>
        <w:t xml:space="preserve"> </w:t>
      </w:r>
      <w:r w:rsidR="0055339C">
        <w:rPr>
          <w:rFonts w:asciiTheme="majorHAnsi" w:hAnsiTheme="majorHAnsi"/>
          <w:lang w:val="en-US"/>
        </w:rPr>
        <w:t xml:space="preserve">The results of the analyses employing these </w:t>
      </w:r>
      <w:r w:rsidR="008B13FE">
        <w:rPr>
          <w:rFonts w:asciiTheme="majorHAnsi" w:hAnsiTheme="majorHAnsi"/>
          <w:lang w:val="en-US"/>
        </w:rPr>
        <w:t>new</w:t>
      </w:r>
      <w:r w:rsidR="0055339C">
        <w:rPr>
          <w:rFonts w:asciiTheme="majorHAnsi" w:hAnsiTheme="majorHAnsi"/>
          <w:lang w:val="en-US"/>
        </w:rPr>
        <w:t xml:space="preserve"> definitions</w:t>
      </w:r>
      <w:r w:rsidR="002439D6">
        <w:rPr>
          <w:rFonts w:asciiTheme="majorHAnsi" w:hAnsiTheme="majorHAnsi"/>
          <w:lang w:val="en-US"/>
        </w:rPr>
        <w:t xml:space="preserve"> of PMM and NMM</w:t>
      </w:r>
      <w:r w:rsidR="0055339C">
        <w:rPr>
          <w:rFonts w:asciiTheme="majorHAnsi" w:hAnsiTheme="majorHAnsi"/>
          <w:lang w:val="en-US"/>
        </w:rPr>
        <w:t xml:space="preserve"> are presented in Table IV,  The</w:t>
      </w:r>
      <w:r w:rsidR="00F4154E">
        <w:rPr>
          <w:rFonts w:asciiTheme="majorHAnsi" w:hAnsiTheme="majorHAnsi"/>
          <w:lang w:val="en-US"/>
        </w:rPr>
        <w:t>y</w:t>
      </w:r>
      <w:r w:rsidR="0055339C">
        <w:rPr>
          <w:rFonts w:asciiTheme="majorHAnsi" w:hAnsiTheme="majorHAnsi"/>
          <w:lang w:val="en-US"/>
        </w:rPr>
        <w:t xml:space="preserve"> demonstrate that</w:t>
      </w:r>
      <w:r w:rsidR="00660C81">
        <w:rPr>
          <w:rFonts w:asciiTheme="majorHAnsi" w:hAnsiTheme="majorHAnsi"/>
          <w:lang w:val="en-US"/>
        </w:rPr>
        <w:t xml:space="preserve"> the general pattern</w:t>
      </w:r>
      <w:r w:rsidR="008A50C3">
        <w:rPr>
          <w:rFonts w:asciiTheme="majorHAnsi" w:hAnsiTheme="majorHAnsi"/>
          <w:lang w:val="en-US"/>
        </w:rPr>
        <w:t xml:space="preserve">s </w:t>
      </w:r>
      <w:r w:rsidR="0055339C">
        <w:rPr>
          <w:rFonts w:asciiTheme="majorHAnsi" w:hAnsiTheme="majorHAnsi"/>
          <w:lang w:val="en-US"/>
        </w:rPr>
        <w:t xml:space="preserve">discussed above </w:t>
      </w:r>
      <w:r w:rsidR="008A50C3">
        <w:rPr>
          <w:rFonts w:asciiTheme="majorHAnsi" w:hAnsiTheme="majorHAnsi"/>
          <w:lang w:val="en-US"/>
        </w:rPr>
        <w:t>persist</w:t>
      </w:r>
      <w:r w:rsidR="0055339C">
        <w:rPr>
          <w:rFonts w:asciiTheme="majorHAnsi" w:hAnsiTheme="majorHAnsi"/>
          <w:lang w:val="en-US"/>
        </w:rPr>
        <w:t>. However</w:t>
      </w:r>
      <w:r w:rsidR="00F4154E">
        <w:rPr>
          <w:rFonts w:asciiTheme="majorHAnsi" w:hAnsiTheme="majorHAnsi"/>
          <w:lang w:val="en-US"/>
        </w:rPr>
        <w:t>,</w:t>
      </w:r>
      <w:r w:rsidR="007C034E" w:rsidRPr="007C034E">
        <w:rPr>
          <w:rFonts w:asciiTheme="majorHAnsi" w:hAnsiTheme="majorHAnsi"/>
          <w:lang w:val="en-US"/>
        </w:rPr>
        <w:t xml:space="preserve"> </w:t>
      </w:r>
      <w:r w:rsidR="007C034E">
        <w:rPr>
          <w:rFonts w:asciiTheme="majorHAnsi" w:hAnsiTheme="majorHAnsi"/>
          <w:lang w:val="en-US"/>
        </w:rPr>
        <w:t xml:space="preserve">whatever the change in their cumulative </w:t>
      </w:r>
      <w:r w:rsidR="00F4154E">
        <w:rPr>
          <w:rFonts w:asciiTheme="majorHAnsi" w:hAnsiTheme="majorHAnsi"/>
          <w:lang w:val="en-US"/>
        </w:rPr>
        <w:t>net return</w:t>
      </w:r>
      <w:r w:rsidR="007C034E">
        <w:rPr>
          <w:rFonts w:asciiTheme="majorHAnsi" w:hAnsiTheme="majorHAnsi"/>
          <w:lang w:val="en-US"/>
        </w:rPr>
        <w:t xml:space="preserve"> from one month to the next.</w:t>
      </w:r>
      <w:r w:rsidR="00AB0F61">
        <w:rPr>
          <w:rFonts w:asciiTheme="majorHAnsi" w:hAnsiTheme="majorHAnsi"/>
          <w:lang w:val="en-US"/>
        </w:rPr>
        <w:t xml:space="preserve">  the overall likelihood of </w:t>
      </w:r>
      <w:r w:rsidR="007C034E">
        <w:rPr>
          <w:rFonts w:asciiTheme="majorHAnsi" w:hAnsiTheme="majorHAnsi"/>
          <w:lang w:val="en-US"/>
        </w:rPr>
        <w:t xml:space="preserve">an individual </w:t>
      </w:r>
      <w:r w:rsidR="008B13FE">
        <w:rPr>
          <w:rFonts w:asciiTheme="majorHAnsi" w:hAnsiTheme="majorHAnsi"/>
          <w:lang w:val="en-US"/>
        </w:rPr>
        <w:t>ceasing</w:t>
      </w:r>
      <w:r w:rsidR="00AB0F61">
        <w:rPr>
          <w:rFonts w:asciiTheme="majorHAnsi" w:hAnsiTheme="majorHAnsi"/>
          <w:lang w:val="en-US"/>
        </w:rPr>
        <w:t xml:space="preserve"> trading decreases monotonically as the percentage of months</w:t>
      </w:r>
      <w:r w:rsidR="008A50C3">
        <w:rPr>
          <w:rFonts w:asciiTheme="majorHAnsi" w:hAnsiTheme="majorHAnsi"/>
          <w:lang w:val="en-US"/>
        </w:rPr>
        <w:t xml:space="preserve"> in profit/loss </w:t>
      </w:r>
      <w:r w:rsidR="007C034E">
        <w:rPr>
          <w:rFonts w:asciiTheme="majorHAnsi" w:hAnsiTheme="majorHAnsi"/>
          <w:lang w:val="en-US"/>
        </w:rPr>
        <w:t>since commencing trading,</w:t>
      </w:r>
      <w:r w:rsidR="00AB0F61">
        <w:rPr>
          <w:rFonts w:asciiTheme="majorHAnsi" w:hAnsiTheme="majorHAnsi"/>
          <w:lang w:val="en-US"/>
        </w:rPr>
        <w:t xml:space="preserve"> increases.</w:t>
      </w:r>
      <w:r w:rsidR="00BA0595">
        <w:rPr>
          <w:rFonts w:asciiTheme="majorHAnsi" w:hAnsiTheme="majorHAnsi"/>
          <w:lang w:val="en-US"/>
        </w:rPr>
        <w:t xml:space="preserve"> </w:t>
      </w:r>
      <w:r w:rsidR="008B13FE">
        <w:rPr>
          <w:rFonts w:asciiTheme="majorHAnsi" w:hAnsiTheme="majorHAnsi"/>
          <w:lang w:val="en-US"/>
        </w:rPr>
        <w:t>Consequently,</w:t>
      </w:r>
      <w:r w:rsidR="0055339C">
        <w:rPr>
          <w:rFonts w:asciiTheme="majorHAnsi" w:hAnsiTheme="majorHAnsi"/>
          <w:lang w:val="en-US"/>
        </w:rPr>
        <w:t xml:space="preserve"> </w:t>
      </w:r>
      <w:r w:rsidR="008B13FE">
        <w:rPr>
          <w:rFonts w:asciiTheme="majorHAnsi" w:hAnsiTheme="majorHAnsi"/>
          <w:lang w:val="en-US"/>
        </w:rPr>
        <w:t xml:space="preserve">we might infer that the stronger a trader’s </w:t>
      </w:r>
      <w:r w:rsidR="0055339C">
        <w:rPr>
          <w:rFonts w:asciiTheme="majorHAnsi" w:hAnsiTheme="majorHAnsi"/>
          <w:lang w:val="en-US"/>
        </w:rPr>
        <w:t xml:space="preserve">NMM </w:t>
      </w:r>
      <w:r w:rsidR="008B13FE">
        <w:rPr>
          <w:rFonts w:asciiTheme="majorHAnsi" w:hAnsiTheme="majorHAnsi"/>
          <w:lang w:val="en-US"/>
        </w:rPr>
        <w:t>or</w:t>
      </w:r>
      <w:r w:rsidR="0055339C">
        <w:rPr>
          <w:rFonts w:asciiTheme="majorHAnsi" w:hAnsiTheme="majorHAnsi"/>
          <w:lang w:val="en-US"/>
        </w:rPr>
        <w:t xml:space="preserve"> PMM</w:t>
      </w:r>
      <w:r w:rsidR="008B13FE">
        <w:rPr>
          <w:rFonts w:asciiTheme="majorHAnsi" w:hAnsiTheme="majorHAnsi"/>
          <w:lang w:val="en-US"/>
        </w:rPr>
        <w:t xml:space="preserve"> the less likely they are to cease trading</w:t>
      </w:r>
      <w:r w:rsidR="007C034E">
        <w:rPr>
          <w:rFonts w:asciiTheme="majorHAnsi" w:hAnsiTheme="majorHAnsi"/>
          <w:lang w:val="en-US"/>
        </w:rPr>
        <w:t>,</w:t>
      </w:r>
      <w:r w:rsidR="008B13FE">
        <w:rPr>
          <w:rFonts w:asciiTheme="majorHAnsi" w:hAnsiTheme="majorHAnsi"/>
          <w:lang w:val="en-US"/>
        </w:rPr>
        <w:t xml:space="preserve"> </w:t>
      </w:r>
      <w:bookmarkStart w:id="11" w:name="_Hlk520219312"/>
      <w:r w:rsidR="008B13FE">
        <w:rPr>
          <w:rFonts w:asciiTheme="majorHAnsi" w:hAnsiTheme="majorHAnsi"/>
          <w:lang w:val="en-US"/>
        </w:rPr>
        <w:t>whatever the change in their lifetime profit position from one month to the next.</w:t>
      </w:r>
      <w:bookmarkEnd w:id="11"/>
    </w:p>
    <w:p w14:paraId="0286E5A1" w14:textId="672C0599" w:rsidR="009F128C" w:rsidRDefault="00AB0F61">
      <w:pPr>
        <w:spacing w:after="0" w:line="480" w:lineRule="auto"/>
        <w:rPr>
          <w:rFonts w:asciiTheme="majorHAnsi" w:hAnsiTheme="majorHAnsi"/>
          <w:lang w:val="en-US"/>
        </w:rPr>
      </w:pPr>
      <w:r>
        <w:rPr>
          <w:rFonts w:asciiTheme="majorHAnsi" w:hAnsiTheme="majorHAnsi"/>
          <w:lang w:val="en-US"/>
        </w:rPr>
        <w:tab/>
        <w:t xml:space="preserve">In our introduction we discussed the </w:t>
      </w:r>
      <w:r w:rsidR="00633212">
        <w:rPr>
          <w:rFonts w:asciiTheme="majorHAnsi" w:hAnsiTheme="majorHAnsi"/>
          <w:lang w:val="en-US"/>
        </w:rPr>
        <w:t>fact</w:t>
      </w:r>
      <w:r>
        <w:rPr>
          <w:rFonts w:asciiTheme="majorHAnsi" w:hAnsiTheme="majorHAnsi"/>
          <w:lang w:val="en-US"/>
        </w:rPr>
        <w:t xml:space="preserve"> that research </w:t>
      </w:r>
      <w:r w:rsidR="007C034E">
        <w:rPr>
          <w:rFonts w:asciiTheme="majorHAnsi" w:hAnsiTheme="majorHAnsi"/>
          <w:lang w:val="en-US"/>
        </w:rPr>
        <w:t>h</w:t>
      </w:r>
      <w:r>
        <w:rPr>
          <w:rFonts w:asciiTheme="majorHAnsi" w:hAnsiTheme="majorHAnsi"/>
          <w:lang w:val="en-US"/>
        </w:rPr>
        <w:t xml:space="preserve">as </w:t>
      </w:r>
      <w:r w:rsidR="00D31CE3">
        <w:rPr>
          <w:rFonts w:asciiTheme="majorHAnsi" w:hAnsiTheme="majorHAnsi"/>
          <w:lang w:val="en-US"/>
        </w:rPr>
        <w:t xml:space="preserve">tended to focus on changes in value from </w:t>
      </w:r>
      <w:r w:rsidR="004177A1">
        <w:rPr>
          <w:rFonts w:asciiTheme="majorHAnsi" w:hAnsiTheme="majorHAnsi"/>
          <w:lang w:val="en-US"/>
        </w:rPr>
        <w:t>‘</w:t>
      </w:r>
      <w:r w:rsidR="00D31CE3">
        <w:rPr>
          <w:rFonts w:asciiTheme="majorHAnsi" w:hAnsiTheme="majorHAnsi"/>
          <w:lang w:val="en-US"/>
        </w:rPr>
        <w:t>local</w:t>
      </w:r>
      <w:r w:rsidR="004177A1">
        <w:rPr>
          <w:rFonts w:asciiTheme="majorHAnsi" w:hAnsiTheme="majorHAnsi"/>
          <w:lang w:val="en-US"/>
        </w:rPr>
        <w:t>’</w:t>
      </w:r>
      <w:r w:rsidR="00D31CE3">
        <w:rPr>
          <w:rFonts w:asciiTheme="majorHAnsi" w:hAnsiTheme="majorHAnsi"/>
          <w:lang w:val="en-US"/>
        </w:rPr>
        <w:t xml:space="preserve"> reference points, rather than the more </w:t>
      </w:r>
      <w:r w:rsidR="004177A1">
        <w:rPr>
          <w:rFonts w:asciiTheme="majorHAnsi" w:hAnsiTheme="majorHAnsi"/>
          <w:lang w:val="en-US"/>
        </w:rPr>
        <w:t>‘</w:t>
      </w:r>
      <w:r w:rsidR="00D31CE3">
        <w:rPr>
          <w:rFonts w:asciiTheme="majorHAnsi" w:hAnsiTheme="majorHAnsi"/>
          <w:lang w:val="en-US"/>
        </w:rPr>
        <w:t>global</w:t>
      </w:r>
      <w:r w:rsidR="004177A1">
        <w:rPr>
          <w:rFonts w:asciiTheme="majorHAnsi" w:hAnsiTheme="majorHAnsi"/>
          <w:lang w:val="en-US"/>
        </w:rPr>
        <w:t>’</w:t>
      </w:r>
      <w:r w:rsidR="00D31CE3">
        <w:rPr>
          <w:rFonts w:asciiTheme="majorHAnsi" w:hAnsiTheme="majorHAnsi"/>
          <w:lang w:val="en-US"/>
        </w:rPr>
        <w:t xml:space="preserve"> break-even point since beginning the RA. In the following analysis, for comparison, we examine </w:t>
      </w:r>
      <w:r w:rsidR="004177A1">
        <w:rPr>
          <w:rFonts w:asciiTheme="majorHAnsi" w:hAnsiTheme="majorHAnsi"/>
          <w:lang w:val="en-US"/>
        </w:rPr>
        <w:t>‘</w:t>
      </w:r>
      <w:r w:rsidR="00D31CE3">
        <w:rPr>
          <w:rFonts w:asciiTheme="majorHAnsi" w:hAnsiTheme="majorHAnsi"/>
          <w:lang w:val="en-US"/>
        </w:rPr>
        <w:t>local</w:t>
      </w:r>
      <w:r w:rsidR="004177A1">
        <w:rPr>
          <w:rFonts w:asciiTheme="majorHAnsi" w:hAnsiTheme="majorHAnsi"/>
          <w:lang w:val="en-US"/>
        </w:rPr>
        <w:t>’</w:t>
      </w:r>
      <w:r w:rsidR="00D31CE3">
        <w:rPr>
          <w:rFonts w:asciiTheme="majorHAnsi" w:hAnsiTheme="majorHAnsi"/>
          <w:lang w:val="en-US"/>
        </w:rPr>
        <w:t xml:space="preserve"> </w:t>
      </w:r>
      <w:r w:rsidR="004177A1">
        <w:rPr>
          <w:rFonts w:asciiTheme="majorHAnsi" w:hAnsiTheme="majorHAnsi"/>
          <w:lang w:val="en-US"/>
        </w:rPr>
        <w:t>break-even</w:t>
      </w:r>
      <w:r w:rsidR="00D31CE3">
        <w:rPr>
          <w:rFonts w:asciiTheme="majorHAnsi" w:hAnsiTheme="majorHAnsi"/>
          <w:lang w:val="en-US"/>
        </w:rPr>
        <w:t xml:space="preserve"> points based on recent changes in wealth.</w:t>
      </w:r>
      <w:r w:rsidR="00D31CE3" w:rsidRPr="00D31CE3">
        <w:rPr>
          <w:rFonts w:asciiTheme="majorHAnsi" w:hAnsiTheme="majorHAnsi"/>
          <w:lang w:val="en-US"/>
        </w:rPr>
        <w:t xml:space="preserve"> </w:t>
      </w:r>
      <w:r w:rsidR="00D31CE3">
        <w:rPr>
          <w:rFonts w:asciiTheme="majorHAnsi" w:hAnsiTheme="majorHAnsi"/>
          <w:lang w:val="en-US"/>
        </w:rPr>
        <w:t xml:space="preserve">Instead of considering an individual’s </w:t>
      </w:r>
      <w:r w:rsidR="004177A1">
        <w:rPr>
          <w:rFonts w:asciiTheme="majorHAnsi" w:hAnsiTheme="majorHAnsi"/>
          <w:lang w:val="en-US"/>
        </w:rPr>
        <w:t xml:space="preserve">accumulated </w:t>
      </w:r>
      <w:r w:rsidR="00D31CE3">
        <w:rPr>
          <w:rFonts w:asciiTheme="majorHAnsi" w:hAnsiTheme="majorHAnsi"/>
          <w:lang w:val="en-US"/>
        </w:rPr>
        <w:t xml:space="preserve">net return over all the months since they began trading up until the current month, we now employ a ‘look-back window’ to only consider </w:t>
      </w:r>
      <w:r w:rsidR="004177A1">
        <w:rPr>
          <w:rFonts w:asciiTheme="majorHAnsi" w:hAnsiTheme="majorHAnsi"/>
          <w:lang w:val="en-US"/>
        </w:rPr>
        <w:t xml:space="preserve">accumulated </w:t>
      </w:r>
      <w:r w:rsidR="00D31CE3">
        <w:rPr>
          <w:rFonts w:asciiTheme="majorHAnsi" w:hAnsiTheme="majorHAnsi"/>
          <w:lang w:val="en-US"/>
        </w:rPr>
        <w:t>net return in the most recent months prior to the current month. For this analysis we employed the definition</w:t>
      </w:r>
      <w:r w:rsidR="00633212">
        <w:rPr>
          <w:rFonts w:asciiTheme="majorHAnsi" w:hAnsiTheme="majorHAnsi"/>
          <w:lang w:val="en-US"/>
        </w:rPr>
        <w:t>s</w:t>
      </w:r>
      <w:r w:rsidR="00D31CE3">
        <w:rPr>
          <w:rFonts w:asciiTheme="majorHAnsi" w:hAnsiTheme="majorHAnsi"/>
          <w:lang w:val="en-US"/>
        </w:rPr>
        <w:t xml:space="preserve"> of PMM and NMM based on 90% of months in profit and 90% in loss</w:t>
      </w:r>
      <w:r w:rsidR="00633212">
        <w:rPr>
          <w:rFonts w:asciiTheme="majorHAnsi" w:hAnsiTheme="majorHAnsi"/>
          <w:lang w:val="en-US"/>
        </w:rPr>
        <w:t>,</w:t>
      </w:r>
      <w:r w:rsidR="00D31CE3">
        <w:rPr>
          <w:rFonts w:asciiTheme="majorHAnsi" w:hAnsiTheme="majorHAnsi"/>
          <w:lang w:val="en-US"/>
        </w:rPr>
        <w:t xml:space="preserve"> respectively.</w:t>
      </w:r>
      <w:r w:rsidR="00314812">
        <w:rPr>
          <w:rFonts w:asciiTheme="majorHAnsi" w:hAnsiTheme="majorHAnsi"/>
          <w:lang w:val="en-US"/>
        </w:rPr>
        <w:t xml:space="preserve"> The</w:t>
      </w:r>
      <w:r w:rsidR="007C034E">
        <w:rPr>
          <w:rFonts w:asciiTheme="majorHAnsi" w:hAnsiTheme="majorHAnsi"/>
          <w:lang w:val="en-US"/>
        </w:rPr>
        <w:t>se</w:t>
      </w:r>
      <w:r w:rsidR="00D31CE3">
        <w:rPr>
          <w:rFonts w:asciiTheme="majorHAnsi" w:hAnsiTheme="majorHAnsi"/>
          <w:lang w:val="en-US"/>
        </w:rPr>
        <w:t xml:space="preserve"> definitions </w:t>
      </w:r>
      <w:r w:rsidR="007C034E">
        <w:rPr>
          <w:rFonts w:asciiTheme="majorHAnsi" w:hAnsiTheme="majorHAnsi"/>
          <w:lang w:val="en-US"/>
        </w:rPr>
        <w:t>are employed as they</w:t>
      </w:r>
      <w:r w:rsidR="004177A1">
        <w:rPr>
          <w:rFonts w:asciiTheme="majorHAnsi" w:hAnsiTheme="majorHAnsi"/>
          <w:lang w:val="en-US"/>
        </w:rPr>
        <w:t xml:space="preserve"> </w:t>
      </w:r>
      <w:r w:rsidR="00E92235">
        <w:rPr>
          <w:rFonts w:asciiTheme="majorHAnsi" w:hAnsiTheme="majorHAnsi"/>
          <w:lang w:val="en-US"/>
        </w:rPr>
        <w:t>should mo</w:t>
      </w:r>
      <w:r w:rsidR="00D31CE3">
        <w:rPr>
          <w:rFonts w:asciiTheme="majorHAnsi" w:hAnsiTheme="majorHAnsi"/>
          <w:lang w:val="en-US"/>
        </w:rPr>
        <w:t>st</w:t>
      </w:r>
      <w:r w:rsidR="00E92235">
        <w:rPr>
          <w:rFonts w:asciiTheme="majorHAnsi" w:hAnsiTheme="majorHAnsi"/>
          <w:lang w:val="en-US"/>
        </w:rPr>
        <w:t xml:space="preserve"> clearly differentiate between those with a PMM and NMM</w:t>
      </w:r>
      <w:r w:rsidR="00BF6F1F">
        <w:rPr>
          <w:rFonts w:asciiTheme="majorHAnsi" w:hAnsiTheme="majorHAnsi"/>
          <w:lang w:val="en-US"/>
        </w:rPr>
        <w:t>,</w:t>
      </w:r>
      <w:r w:rsidR="00E92235">
        <w:rPr>
          <w:rFonts w:asciiTheme="majorHAnsi" w:hAnsiTheme="majorHAnsi"/>
          <w:lang w:val="en-US"/>
        </w:rPr>
        <w:t xml:space="preserve"> since we are only</w:t>
      </w:r>
      <w:r w:rsidR="004D5B2D">
        <w:rPr>
          <w:rFonts w:asciiTheme="majorHAnsi" w:hAnsiTheme="majorHAnsi"/>
          <w:lang w:val="en-US"/>
        </w:rPr>
        <w:t xml:space="preserve"> examining subset</w:t>
      </w:r>
      <w:r w:rsidR="00BE6BF4">
        <w:rPr>
          <w:rFonts w:asciiTheme="majorHAnsi" w:hAnsiTheme="majorHAnsi"/>
          <w:lang w:val="en-US"/>
        </w:rPr>
        <w:t>s</w:t>
      </w:r>
      <w:r w:rsidR="004D5B2D">
        <w:rPr>
          <w:rFonts w:asciiTheme="majorHAnsi" w:hAnsiTheme="majorHAnsi"/>
          <w:lang w:val="en-US"/>
        </w:rPr>
        <w:t xml:space="preserve"> of individuals at opposite </w:t>
      </w:r>
      <w:r w:rsidR="004A2BA0">
        <w:rPr>
          <w:rFonts w:asciiTheme="majorHAnsi" w:hAnsiTheme="majorHAnsi"/>
          <w:lang w:val="en-US"/>
        </w:rPr>
        <w:t>extremes</w:t>
      </w:r>
      <w:r w:rsidR="004D5B2D">
        <w:rPr>
          <w:rFonts w:asciiTheme="majorHAnsi" w:hAnsiTheme="majorHAnsi"/>
          <w:lang w:val="en-US"/>
        </w:rPr>
        <w:t xml:space="preserve"> of the spectrum</w:t>
      </w:r>
      <w:r w:rsidR="00E92235">
        <w:rPr>
          <w:rFonts w:asciiTheme="majorHAnsi" w:hAnsiTheme="majorHAnsi"/>
          <w:lang w:val="en-US"/>
        </w:rPr>
        <w:t xml:space="preserve">.  </w:t>
      </w:r>
      <w:r w:rsidR="007C034E">
        <w:rPr>
          <w:rFonts w:asciiTheme="majorHAnsi" w:hAnsiTheme="majorHAnsi"/>
          <w:lang w:val="en-US"/>
        </w:rPr>
        <w:t xml:space="preserve">We </w:t>
      </w:r>
      <w:r w:rsidR="00BD72D1">
        <w:rPr>
          <w:rFonts w:asciiTheme="majorHAnsi" w:hAnsiTheme="majorHAnsi"/>
          <w:lang w:val="en-US"/>
        </w:rPr>
        <w:t xml:space="preserve">vary </w:t>
      </w:r>
      <w:r w:rsidR="007C034E">
        <w:rPr>
          <w:rFonts w:asciiTheme="majorHAnsi" w:hAnsiTheme="majorHAnsi"/>
          <w:lang w:val="en-US"/>
        </w:rPr>
        <w:t>the look-back window</w:t>
      </w:r>
      <w:r w:rsidR="009308E1">
        <w:rPr>
          <w:rFonts w:asciiTheme="majorHAnsi" w:hAnsiTheme="majorHAnsi"/>
          <w:lang w:val="en-US"/>
        </w:rPr>
        <w:t xml:space="preserve"> size (between 6</w:t>
      </w:r>
      <w:r w:rsidR="00BD72D1">
        <w:rPr>
          <w:rFonts w:asciiTheme="majorHAnsi" w:hAnsiTheme="majorHAnsi"/>
          <w:lang w:val="en-US"/>
        </w:rPr>
        <w:t xml:space="preserve"> months to 36 months) </w:t>
      </w:r>
      <w:r w:rsidR="007C034E">
        <w:rPr>
          <w:rFonts w:asciiTheme="majorHAnsi" w:hAnsiTheme="majorHAnsi"/>
          <w:lang w:val="en-US"/>
        </w:rPr>
        <w:t>in order to</w:t>
      </w:r>
      <w:r w:rsidR="00BD72D1">
        <w:rPr>
          <w:rFonts w:asciiTheme="majorHAnsi" w:hAnsiTheme="majorHAnsi"/>
          <w:lang w:val="en-US"/>
        </w:rPr>
        <w:t xml:space="preserve"> examine how a short</w:t>
      </w:r>
      <w:r w:rsidR="004A2BA0">
        <w:rPr>
          <w:rFonts w:asciiTheme="majorHAnsi" w:hAnsiTheme="majorHAnsi"/>
          <w:lang w:val="en-US"/>
        </w:rPr>
        <w:t>er</w:t>
      </w:r>
      <w:r w:rsidR="00BD72D1">
        <w:rPr>
          <w:rFonts w:asciiTheme="majorHAnsi" w:hAnsiTheme="majorHAnsi"/>
          <w:lang w:val="en-US"/>
        </w:rPr>
        <w:t xml:space="preserve"> versus a long</w:t>
      </w:r>
      <w:r w:rsidR="004A2BA0">
        <w:rPr>
          <w:rFonts w:asciiTheme="majorHAnsi" w:hAnsiTheme="majorHAnsi"/>
          <w:lang w:val="en-US"/>
        </w:rPr>
        <w:t>er</w:t>
      </w:r>
      <w:r w:rsidR="00BD72D1">
        <w:rPr>
          <w:rFonts w:asciiTheme="majorHAnsi" w:hAnsiTheme="majorHAnsi"/>
          <w:lang w:val="en-US"/>
        </w:rPr>
        <w:t xml:space="preserve"> history of </w:t>
      </w:r>
      <w:r w:rsidR="00BF6F1F">
        <w:rPr>
          <w:rFonts w:asciiTheme="majorHAnsi" w:hAnsiTheme="majorHAnsi"/>
          <w:lang w:val="en-US"/>
        </w:rPr>
        <w:t xml:space="preserve">more than </w:t>
      </w:r>
      <w:r w:rsidR="00BD72D1">
        <w:rPr>
          <w:rFonts w:asciiTheme="majorHAnsi" w:hAnsiTheme="majorHAnsi"/>
          <w:lang w:val="en-US"/>
        </w:rPr>
        <w:t>90%</w:t>
      </w:r>
      <w:r w:rsidR="0067541E">
        <w:rPr>
          <w:rFonts w:asciiTheme="majorHAnsi" w:hAnsiTheme="majorHAnsi"/>
          <w:lang w:val="en-US"/>
        </w:rPr>
        <w:t xml:space="preserve"> of</w:t>
      </w:r>
      <w:r w:rsidR="00BD72D1">
        <w:rPr>
          <w:rFonts w:asciiTheme="majorHAnsi" w:hAnsiTheme="majorHAnsi"/>
          <w:lang w:val="en-US"/>
        </w:rPr>
        <w:t xml:space="preserve"> month</w:t>
      </w:r>
      <w:r w:rsidR="0067541E">
        <w:rPr>
          <w:rFonts w:asciiTheme="majorHAnsi" w:hAnsiTheme="majorHAnsi"/>
          <w:lang w:val="en-US"/>
        </w:rPr>
        <w:t xml:space="preserve">s in </w:t>
      </w:r>
      <w:r w:rsidR="0019266B">
        <w:rPr>
          <w:rFonts w:asciiTheme="majorHAnsi" w:hAnsiTheme="majorHAnsi"/>
          <w:lang w:val="en-US"/>
        </w:rPr>
        <w:t>net</w:t>
      </w:r>
      <w:r w:rsidR="000775CB">
        <w:rPr>
          <w:rFonts w:asciiTheme="majorHAnsi" w:hAnsiTheme="majorHAnsi"/>
          <w:lang w:val="en-US"/>
        </w:rPr>
        <w:t xml:space="preserve"> </w:t>
      </w:r>
      <w:r w:rsidR="0067541E">
        <w:rPr>
          <w:rFonts w:asciiTheme="majorHAnsi" w:hAnsiTheme="majorHAnsi"/>
          <w:lang w:val="en-US"/>
        </w:rPr>
        <w:t>profit</w:t>
      </w:r>
      <w:r w:rsidR="00BD72D1">
        <w:rPr>
          <w:rFonts w:asciiTheme="majorHAnsi" w:hAnsiTheme="majorHAnsi"/>
          <w:lang w:val="en-US"/>
        </w:rPr>
        <w:t xml:space="preserve"> </w:t>
      </w:r>
      <w:r w:rsidR="0019266B">
        <w:rPr>
          <w:rFonts w:asciiTheme="majorHAnsi" w:hAnsiTheme="majorHAnsi"/>
          <w:lang w:val="en-US"/>
        </w:rPr>
        <w:t xml:space="preserve">or loss </w:t>
      </w:r>
      <w:r w:rsidR="00BD72D1">
        <w:rPr>
          <w:rFonts w:asciiTheme="majorHAnsi" w:hAnsiTheme="majorHAnsi"/>
          <w:lang w:val="en-US"/>
        </w:rPr>
        <w:t>might affect the likelihood of ceasing trading in the current month</w:t>
      </w:r>
      <w:r w:rsidR="004177A1">
        <w:rPr>
          <w:rFonts w:asciiTheme="majorHAnsi" w:hAnsiTheme="majorHAnsi"/>
          <w:lang w:val="en-US"/>
        </w:rPr>
        <w:t>,</w:t>
      </w:r>
      <w:r w:rsidR="00BD72D1">
        <w:rPr>
          <w:rFonts w:asciiTheme="majorHAnsi" w:hAnsiTheme="majorHAnsi"/>
          <w:lang w:val="en-US"/>
        </w:rPr>
        <w:t xml:space="preserve"> given a change in</w:t>
      </w:r>
      <w:r w:rsidR="004177A1">
        <w:rPr>
          <w:rFonts w:asciiTheme="majorHAnsi" w:hAnsiTheme="majorHAnsi"/>
          <w:lang w:val="en-US"/>
        </w:rPr>
        <w:t xml:space="preserve"> accumulated</w:t>
      </w:r>
      <w:r w:rsidR="00BD72D1">
        <w:rPr>
          <w:rFonts w:asciiTheme="majorHAnsi" w:hAnsiTheme="majorHAnsi"/>
          <w:lang w:val="en-US"/>
        </w:rPr>
        <w:t xml:space="preserve"> net </w:t>
      </w:r>
      <w:r w:rsidR="0019266B">
        <w:rPr>
          <w:rFonts w:asciiTheme="majorHAnsi" w:hAnsiTheme="majorHAnsi"/>
          <w:lang w:val="en-US"/>
        </w:rPr>
        <w:t>return</w:t>
      </w:r>
      <w:r w:rsidR="005C4929">
        <w:rPr>
          <w:rFonts w:asciiTheme="majorHAnsi" w:hAnsiTheme="majorHAnsi"/>
          <w:lang w:val="en-US"/>
        </w:rPr>
        <w:t xml:space="preserve"> (i.e. </w:t>
      </w:r>
      <w:r w:rsidR="00EF5832">
        <w:rPr>
          <w:rFonts w:asciiTheme="majorHAnsi" w:hAnsiTheme="majorHAnsi"/>
          <w:lang w:val="en-US"/>
        </w:rPr>
        <w:t xml:space="preserve">a change from negative to positive or positive to negative </w:t>
      </w:r>
      <w:r w:rsidR="0019266B">
        <w:rPr>
          <w:rFonts w:asciiTheme="majorHAnsi" w:hAnsiTheme="majorHAnsi"/>
          <w:lang w:val="en-US"/>
        </w:rPr>
        <w:t xml:space="preserve">return </w:t>
      </w:r>
      <w:r w:rsidR="00EF5832">
        <w:rPr>
          <w:rFonts w:asciiTheme="majorHAnsi" w:hAnsiTheme="majorHAnsi"/>
          <w:lang w:val="en-US"/>
        </w:rPr>
        <w:t>over the whole look-back window)</w:t>
      </w:r>
      <w:r w:rsidR="00BD72D1">
        <w:rPr>
          <w:rFonts w:asciiTheme="majorHAnsi" w:hAnsiTheme="majorHAnsi"/>
          <w:lang w:val="en-US"/>
        </w:rPr>
        <w:t xml:space="preserve">. </w:t>
      </w:r>
      <w:r w:rsidR="00BF6F1F">
        <w:rPr>
          <w:rFonts w:asciiTheme="majorHAnsi" w:hAnsiTheme="majorHAnsi"/>
          <w:lang w:val="en-US"/>
        </w:rPr>
        <w:t xml:space="preserve">The results of this analysis are displayed in </w:t>
      </w:r>
      <w:r w:rsidR="00BD72D1">
        <w:rPr>
          <w:rFonts w:asciiTheme="majorHAnsi" w:hAnsiTheme="majorHAnsi"/>
          <w:lang w:val="en-US"/>
        </w:rPr>
        <w:t>Figure</w:t>
      </w:r>
      <w:r w:rsidR="000775CB">
        <w:rPr>
          <w:rFonts w:asciiTheme="majorHAnsi" w:hAnsiTheme="majorHAnsi"/>
          <w:lang w:val="en-US"/>
        </w:rPr>
        <w:t>s</w:t>
      </w:r>
      <w:r w:rsidR="00BD72D1">
        <w:rPr>
          <w:rFonts w:asciiTheme="majorHAnsi" w:hAnsiTheme="majorHAnsi"/>
          <w:lang w:val="en-US"/>
        </w:rPr>
        <w:t xml:space="preserve"> 3(a-d)</w:t>
      </w:r>
      <w:r w:rsidR="00BF6F1F">
        <w:rPr>
          <w:rFonts w:asciiTheme="majorHAnsi" w:hAnsiTheme="majorHAnsi"/>
          <w:lang w:val="en-US"/>
        </w:rPr>
        <w:t>. These figures show</w:t>
      </w:r>
      <w:r w:rsidR="00BD72D1">
        <w:rPr>
          <w:rFonts w:asciiTheme="majorHAnsi" w:hAnsiTheme="majorHAnsi"/>
          <w:lang w:val="en-US"/>
        </w:rPr>
        <w:t xml:space="preserve"> </w:t>
      </w:r>
      <w:r w:rsidR="008416A4">
        <w:rPr>
          <w:rFonts w:asciiTheme="majorHAnsi" w:hAnsiTheme="majorHAnsi"/>
          <w:lang w:val="en-US"/>
        </w:rPr>
        <w:t xml:space="preserve">how </w:t>
      </w:r>
      <w:r w:rsidR="00BF6F1F">
        <w:rPr>
          <w:rFonts w:asciiTheme="majorHAnsi" w:hAnsiTheme="majorHAnsi"/>
          <w:lang w:val="en-US"/>
        </w:rPr>
        <w:t>the</w:t>
      </w:r>
      <w:r w:rsidR="00BD72D1">
        <w:rPr>
          <w:rFonts w:asciiTheme="majorHAnsi" w:hAnsiTheme="majorHAnsi"/>
          <w:lang w:val="en-US"/>
        </w:rPr>
        <w:t xml:space="preserve"> </w:t>
      </w:r>
      <w:r w:rsidR="00F85D14">
        <w:rPr>
          <w:rFonts w:asciiTheme="majorHAnsi" w:hAnsiTheme="majorHAnsi"/>
          <w:lang w:val="en-US"/>
        </w:rPr>
        <w:t>likelihood of ceas</w:t>
      </w:r>
      <w:r w:rsidR="00BD72D1">
        <w:rPr>
          <w:rFonts w:asciiTheme="majorHAnsi" w:hAnsiTheme="majorHAnsi"/>
          <w:lang w:val="en-US"/>
        </w:rPr>
        <w:t xml:space="preserve">ing </w:t>
      </w:r>
      <w:r w:rsidR="0019266B">
        <w:rPr>
          <w:rFonts w:asciiTheme="majorHAnsi" w:hAnsiTheme="majorHAnsi"/>
          <w:lang w:val="en-US"/>
        </w:rPr>
        <w:t xml:space="preserve">to </w:t>
      </w:r>
      <w:r w:rsidR="00BD72D1">
        <w:rPr>
          <w:rFonts w:asciiTheme="majorHAnsi" w:hAnsiTheme="majorHAnsi"/>
          <w:lang w:val="en-US"/>
        </w:rPr>
        <w:t>trad</w:t>
      </w:r>
      <w:r w:rsidR="0019266B">
        <w:rPr>
          <w:rFonts w:asciiTheme="majorHAnsi" w:hAnsiTheme="majorHAnsi"/>
          <w:lang w:val="en-US"/>
        </w:rPr>
        <w:t>e</w:t>
      </w:r>
      <w:r w:rsidR="00BD72D1">
        <w:rPr>
          <w:rFonts w:asciiTheme="majorHAnsi" w:hAnsiTheme="majorHAnsi"/>
          <w:lang w:val="en-US"/>
        </w:rPr>
        <w:t xml:space="preserve"> (indicated by the </w:t>
      </w:r>
      <w:r w:rsidR="004177A1">
        <w:rPr>
          <w:rFonts w:asciiTheme="majorHAnsi" w:hAnsiTheme="majorHAnsi"/>
          <w:lang w:val="en-US"/>
        </w:rPr>
        <w:t xml:space="preserve">hazard rate </w:t>
      </w:r>
      <w:r w:rsidR="00BD72D1">
        <w:rPr>
          <w:rFonts w:asciiTheme="majorHAnsi" w:hAnsiTheme="majorHAnsi"/>
          <w:lang w:val="en-US"/>
        </w:rPr>
        <w:t>estimated by CPH models)</w:t>
      </w:r>
      <w:r w:rsidR="00F85D14">
        <w:rPr>
          <w:rFonts w:asciiTheme="majorHAnsi" w:hAnsiTheme="majorHAnsi"/>
          <w:lang w:val="en-US"/>
        </w:rPr>
        <w:t xml:space="preserve"> depends</w:t>
      </w:r>
      <w:r w:rsidR="00BD72D1">
        <w:rPr>
          <w:rFonts w:asciiTheme="majorHAnsi" w:hAnsiTheme="majorHAnsi"/>
          <w:lang w:val="en-US"/>
        </w:rPr>
        <w:t xml:space="preserve"> </w:t>
      </w:r>
      <w:r w:rsidR="00633212">
        <w:rPr>
          <w:rFonts w:asciiTheme="majorHAnsi" w:hAnsiTheme="majorHAnsi"/>
          <w:lang w:val="en-US"/>
        </w:rPr>
        <w:t>on the individual’s mental model, whether they move from profit to loss or loss to profit in a given month</w:t>
      </w:r>
      <w:r w:rsidR="00EF5832">
        <w:rPr>
          <w:rFonts w:asciiTheme="majorHAnsi" w:hAnsiTheme="majorHAnsi"/>
          <w:lang w:val="en-US"/>
        </w:rPr>
        <w:t xml:space="preserve"> </w:t>
      </w:r>
      <w:r w:rsidR="008416A4">
        <w:rPr>
          <w:rFonts w:asciiTheme="majorHAnsi" w:hAnsiTheme="majorHAnsi"/>
          <w:lang w:val="en-US"/>
        </w:rPr>
        <w:t>and the look</w:t>
      </w:r>
      <w:r w:rsidR="00B47208">
        <w:rPr>
          <w:rFonts w:asciiTheme="majorHAnsi" w:hAnsiTheme="majorHAnsi"/>
          <w:lang w:val="en-US"/>
        </w:rPr>
        <w:t>-</w:t>
      </w:r>
      <w:r w:rsidR="008416A4">
        <w:rPr>
          <w:rFonts w:asciiTheme="majorHAnsi" w:hAnsiTheme="majorHAnsi"/>
          <w:lang w:val="en-US"/>
        </w:rPr>
        <w:t>back window size.</w:t>
      </w:r>
      <w:r w:rsidR="00BD72D1">
        <w:rPr>
          <w:rFonts w:asciiTheme="majorHAnsi" w:hAnsiTheme="majorHAnsi"/>
          <w:lang w:val="en-US"/>
        </w:rPr>
        <w:t xml:space="preserve"> </w:t>
      </w:r>
    </w:p>
    <w:p w14:paraId="34D9F346" w14:textId="5AD175C6" w:rsidR="00EF5832" w:rsidRDefault="00BD72D1" w:rsidP="001410E6">
      <w:pPr>
        <w:spacing w:after="0" w:line="480" w:lineRule="auto"/>
        <w:ind w:firstLine="720"/>
        <w:rPr>
          <w:rFonts w:asciiTheme="majorHAnsi" w:hAnsiTheme="majorHAnsi"/>
          <w:lang w:val="en-US"/>
        </w:rPr>
      </w:pPr>
      <w:r>
        <w:rPr>
          <w:rFonts w:asciiTheme="majorHAnsi" w:hAnsiTheme="majorHAnsi"/>
          <w:lang w:val="en-US"/>
        </w:rPr>
        <w:t>The first observatio</w:t>
      </w:r>
      <w:r w:rsidR="006B2E45">
        <w:rPr>
          <w:rFonts w:asciiTheme="majorHAnsi" w:hAnsiTheme="majorHAnsi"/>
          <w:lang w:val="en-US"/>
        </w:rPr>
        <w:t xml:space="preserve">n is that, </w:t>
      </w:r>
      <w:r w:rsidR="00F679F1">
        <w:rPr>
          <w:rFonts w:asciiTheme="majorHAnsi" w:hAnsiTheme="majorHAnsi"/>
          <w:lang w:val="en-US"/>
        </w:rPr>
        <w:t xml:space="preserve">having </w:t>
      </w:r>
      <w:r w:rsidR="000775CB">
        <w:rPr>
          <w:rFonts w:asciiTheme="majorHAnsi" w:hAnsiTheme="majorHAnsi"/>
          <w:lang w:val="en-US"/>
        </w:rPr>
        <w:t xml:space="preserve">changed our definition of the PMM and NMM groups to </w:t>
      </w:r>
      <w:r w:rsidR="00F679F1">
        <w:rPr>
          <w:rFonts w:asciiTheme="majorHAnsi" w:hAnsiTheme="majorHAnsi"/>
          <w:lang w:val="en-US"/>
        </w:rPr>
        <w:t xml:space="preserve">increase the </w:t>
      </w:r>
      <w:r w:rsidR="00B47208">
        <w:rPr>
          <w:rFonts w:asciiTheme="majorHAnsi" w:hAnsiTheme="majorHAnsi"/>
          <w:lang w:val="en-US"/>
        </w:rPr>
        <w:t>proportion</w:t>
      </w:r>
      <w:r w:rsidR="00683C99">
        <w:rPr>
          <w:rFonts w:asciiTheme="majorHAnsi" w:hAnsiTheme="majorHAnsi"/>
          <w:lang w:val="en-US"/>
        </w:rPr>
        <w:t xml:space="preserve"> of months </w:t>
      </w:r>
      <w:r w:rsidR="000775CB">
        <w:rPr>
          <w:rFonts w:asciiTheme="majorHAnsi" w:hAnsiTheme="majorHAnsi"/>
          <w:lang w:val="en-US"/>
        </w:rPr>
        <w:t xml:space="preserve">in </w:t>
      </w:r>
      <w:r w:rsidR="0019266B">
        <w:rPr>
          <w:rFonts w:asciiTheme="majorHAnsi" w:hAnsiTheme="majorHAnsi"/>
          <w:lang w:val="en-US"/>
        </w:rPr>
        <w:t>net</w:t>
      </w:r>
      <w:r w:rsidR="000775CB">
        <w:rPr>
          <w:rFonts w:asciiTheme="majorHAnsi" w:hAnsiTheme="majorHAnsi"/>
          <w:lang w:val="en-US"/>
        </w:rPr>
        <w:t xml:space="preserve"> profit and loss</w:t>
      </w:r>
      <w:r w:rsidR="004177A1">
        <w:rPr>
          <w:rFonts w:asciiTheme="majorHAnsi" w:hAnsiTheme="majorHAnsi"/>
          <w:lang w:val="en-US"/>
        </w:rPr>
        <w:t>,</w:t>
      </w:r>
      <w:r w:rsidR="004177A1" w:rsidRPr="004177A1">
        <w:rPr>
          <w:rFonts w:asciiTheme="majorHAnsi" w:hAnsiTheme="majorHAnsi"/>
          <w:lang w:val="en-US"/>
        </w:rPr>
        <w:t xml:space="preserve"> </w:t>
      </w:r>
      <w:r w:rsidR="004177A1">
        <w:rPr>
          <w:rFonts w:asciiTheme="majorHAnsi" w:hAnsiTheme="majorHAnsi"/>
          <w:lang w:val="en-US"/>
        </w:rPr>
        <w:t>respectively,</w:t>
      </w:r>
      <w:r w:rsidR="0019266B" w:rsidRPr="0019266B">
        <w:rPr>
          <w:rFonts w:asciiTheme="majorHAnsi" w:hAnsiTheme="majorHAnsi"/>
          <w:lang w:val="en-US"/>
        </w:rPr>
        <w:t xml:space="preserve"> </w:t>
      </w:r>
      <w:r w:rsidR="0019266B">
        <w:rPr>
          <w:rFonts w:asciiTheme="majorHAnsi" w:hAnsiTheme="majorHAnsi"/>
          <w:lang w:val="en-US"/>
        </w:rPr>
        <w:t>during the look back window</w:t>
      </w:r>
      <w:r w:rsidR="000775CB">
        <w:rPr>
          <w:rFonts w:asciiTheme="majorHAnsi" w:hAnsiTheme="majorHAnsi"/>
          <w:lang w:val="en-US"/>
        </w:rPr>
        <w:t>,</w:t>
      </w:r>
      <w:r w:rsidR="00BE6BF4">
        <w:rPr>
          <w:rFonts w:asciiTheme="majorHAnsi" w:hAnsiTheme="majorHAnsi"/>
          <w:lang w:val="en-US"/>
        </w:rPr>
        <w:t xml:space="preserve"> </w:t>
      </w:r>
      <w:r w:rsidR="00683C99">
        <w:rPr>
          <w:rFonts w:asciiTheme="majorHAnsi" w:hAnsiTheme="majorHAnsi"/>
          <w:lang w:val="en-US"/>
        </w:rPr>
        <w:t>from 50% to 90%</w:t>
      </w:r>
      <w:r w:rsidR="00F85D14">
        <w:rPr>
          <w:rFonts w:asciiTheme="majorHAnsi" w:hAnsiTheme="majorHAnsi"/>
          <w:lang w:val="en-US"/>
        </w:rPr>
        <w:t>,</w:t>
      </w:r>
      <w:r w:rsidR="00683C99">
        <w:rPr>
          <w:rFonts w:asciiTheme="majorHAnsi" w:hAnsiTheme="majorHAnsi"/>
          <w:lang w:val="en-US"/>
        </w:rPr>
        <w:t xml:space="preserve"> </w:t>
      </w:r>
      <w:r w:rsidR="004177A1">
        <w:rPr>
          <w:rFonts w:asciiTheme="majorHAnsi" w:hAnsiTheme="majorHAnsi"/>
          <w:lang w:val="en-US"/>
        </w:rPr>
        <w:t xml:space="preserve">individuals in both the PMM and NMM groups </w:t>
      </w:r>
      <w:r w:rsidR="00683C99">
        <w:rPr>
          <w:rFonts w:asciiTheme="majorHAnsi" w:hAnsiTheme="majorHAnsi"/>
          <w:lang w:val="en-US"/>
        </w:rPr>
        <w:t xml:space="preserve">were unlikely to stop trading having moved from </w:t>
      </w:r>
      <w:r w:rsidR="0019266B">
        <w:rPr>
          <w:rFonts w:asciiTheme="majorHAnsi" w:hAnsiTheme="majorHAnsi"/>
          <w:lang w:val="en-US"/>
        </w:rPr>
        <w:t xml:space="preserve">net </w:t>
      </w:r>
      <w:r w:rsidR="00683C99">
        <w:rPr>
          <w:rFonts w:asciiTheme="majorHAnsi" w:hAnsiTheme="majorHAnsi"/>
          <w:lang w:val="en-US"/>
        </w:rPr>
        <w:t xml:space="preserve">loss to </w:t>
      </w:r>
      <w:r w:rsidR="0019266B">
        <w:rPr>
          <w:rFonts w:asciiTheme="majorHAnsi" w:hAnsiTheme="majorHAnsi"/>
          <w:lang w:val="en-US"/>
        </w:rPr>
        <w:t xml:space="preserve">net </w:t>
      </w:r>
      <w:r w:rsidR="00683C99">
        <w:rPr>
          <w:rFonts w:asciiTheme="majorHAnsi" w:hAnsiTheme="majorHAnsi"/>
          <w:lang w:val="en-US"/>
        </w:rPr>
        <w:t xml:space="preserve">profit (hazard rate </w:t>
      </w:r>
      <w:r w:rsidR="00683C99">
        <w:rPr>
          <w:rFonts w:asciiTheme="majorHAnsi" w:hAnsiTheme="majorHAnsi"/>
          <w:lang w:val="en-US"/>
        </w:rPr>
        <w:sym w:font="Symbol" w:char="F0BB"/>
      </w:r>
      <w:r w:rsidR="00683C99">
        <w:rPr>
          <w:rFonts w:asciiTheme="majorHAnsi" w:hAnsiTheme="majorHAnsi"/>
          <w:lang w:val="en-US"/>
        </w:rPr>
        <w:t xml:space="preserve"> 0 for all)</w:t>
      </w:r>
      <w:r w:rsidR="008416A4">
        <w:rPr>
          <w:rFonts w:asciiTheme="majorHAnsi" w:hAnsiTheme="majorHAnsi"/>
          <w:lang w:val="en-US"/>
        </w:rPr>
        <w:t>, whatever the look</w:t>
      </w:r>
      <w:r w:rsidR="00B47208">
        <w:rPr>
          <w:rFonts w:asciiTheme="majorHAnsi" w:hAnsiTheme="majorHAnsi"/>
          <w:lang w:val="en-US"/>
        </w:rPr>
        <w:t>-</w:t>
      </w:r>
      <w:r w:rsidR="008416A4">
        <w:rPr>
          <w:rFonts w:asciiTheme="majorHAnsi" w:hAnsiTheme="majorHAnsi"/>
          <w:lang w:val="en-US"/>
        </w:rPr>
        <w:t xml:space="preserve">back window. </w:t>
      </w:r>
      <w:r w:rsidR="009308E1">
        <w:rPr>
          <w:rFonts w:asciiTheme="majorHAnsi" w:hAnsiTheme="majorHAnsi"/>
          <w:lang w:val="en-US"/>
        </w:rPr>
        <w:t>The main difference here is that in our previous analysis the NMM group</w:t>
      </w:r>
      <w:r w:rsidR="00633212">
        <w:rPr>
          <w:rFonts w:asciiTheme="majorHAnsi" w:hAnsiTheme="majorHAnsi"/>
          <w:lang w:val="en-US"/>
        </w:rPr>
        <w:t xml:space="preserve"> (based on their </w:t>
      </w:r>
      <w:r w:rsidR="00204A34">
        <w:rPr>
          <w:rFonts w:asciiTheme="majorHAnsi" w:hAnsiTheme="majorHAnsi"/>
          <w:lang w:val="en-US"/>
        </w:rPr>
        <w:t>complete trading history)</w:t>
      </w:r>
      <w:r w:rsidR="009807C7">
        <w:rPr>
          <w:rFonts w:asciiTheme="majorHAnsi" w:hAnsiTheme="majorHAnsi"/>
          <w:lang w:val="en-US"/>
        </w:rPr>
        <w:t xml:space="preserve"> </w:t>
      </w:r>
      <w:r w:rsidR="00314812">
        <w:rPr>
          <w:rFonts w:asciiTheme="majorHAnsi" w:hAnsiTheme="majorHAnsi"/>
          <w:lang w:val="en-US"/>
        </w:rPr>
        <w:t>tended to</w:t>
      </w:r>
      <w:r w:rsidR="009308E1">
        <w:rPr>
          <w:rFonts w:asciiTheme="majorHAnsi" w:hAnsiTheme="majorHAnsi"/>
          <w:lang w:val="en-US"/>
        </w:rPr>
        <w:t xml:space="preserve"> stop trading w</w:t>
      </w:r>
      <w:r w:rsidR="001F30A2">
        <w:rPr>
          <w:rFonts w:asciiTheme="majorHAnsi" w:hAnsiTheme="majorHAnsi"/>
          <w:lang w:val="en-US"/>
        </w:rPr>
        <w:t>hen they passed the break-even point and made a</w:t>
      </w:r>
      <w:r w:rsidR="009308E1">
        <w:rPr>
          <w:rFonts w:asciiTheme="majorHAnsi" w:hAnsiTheme="majorHAnsi"/>
          <w:lang w:val="en-US"/>
        </w:rPr>
        <w:t xml:space="preserve"> profit</w:t>
      </w:r>
      <w:r w:rsidR="009807C7">
        <w:rPr>
          <w:rFonts w:asciiTheme="majorHAnsi" w:hAnsiTheme="majorHAnsi"/>
          <w:lang w:val="en-US"/>
        </w:rPr>
        <w:t xml:space="preserve">. However, </w:t>
      </w:r>
      <w:r w:rsidR="00EF5832">
        <w:rPr>
          <w:rFonts w:asciiTheme="majorHAnsi" w:hAnsiTheme="majorHAnsi"/>
          <w:lang w:val="en-US"/>
        </w:rPr>
        <w:t xml:space="preserve">using our alternative definition of the </w:t>
      </w:r>
      <w:r w:rsidR="009308E1">
        <w:rPr>
          <w:rFonts w:asciiTheme="majorHAnsi" w:hAnsiTheme="majorHAnsi"/>
          <w:lang w:val="en-US"/>
        </w:rPr>
        <w:t>NMM</w:t>
      </w:r>
      <w:r w:rsidR="005C2CB9">
        <w:rPr>
          <w:rFonts w:asciiTheme="majorHAnsi" w:hAnsiTheme="majorHAnsi"/>
          <w:lang w:val="en-US"/>
        </w:rPr>
        <w:t xml:space="preserve"> group</w:t>
      </w:r>
      <w:r w:rsidR="00314812">
        <w:rPr>
          <w:rFonts w:asciiTheme="majorHAnsi" w:hAnsiTheme="majorHAnsi"/>
          <w:lang w:val="en-US"/>
        </w:rPr>
        <w:t xml:space="preserve"> </w:t>
      </w:r>
      <w:r w:rsidR="00633212">
        <w:rPr>
          <w:rFonts w:asciiTheme="majorHAnsi" w:hAnsiTheme="majorHAnsi"/>
          <w:lang w:val="en-US"/>
        </w:rPr>
        <w:t>based on their more recent trading history</w:t>
      </w:r>
      <w:r w:rsidR="00EF5832">
        <w:rPr>
          <w:rFonts w:asciiTheme="majorHAnsi" w:hAnsiTheme="majorHAnsi"/>
          <w:lang w:val="en-US"/>
        </w:rPr>
        <w:t>,</w:t>
      </w:r>
      <w:r w:rsidR="009308E1">
        <w:rPr>
          <w:rFonts w:asciiTheme="majorHAnsi" w:hAnsiTheme="majorHAnsi"/>
          <w:lang w:val="en-US"/>
        </w:rPr>
        <w:t xml:space="preserve"> </w:t>
      </w:r>
      <w:r w:rsidR="00EF5832">
        <w:rPr>
          <w:rFonts w:asciiTheme="majorHAnsi" w:hAnsiTheme="majorHAnsi"/>
          <w:lang w:val="en-US"/>
        </w:rPr>
        <w:t xml:space="preserve">they </w:t>
      </w:r>
      <w:r w:rsidR="009308E1">
        <w:rPr>
          <w:rFonts w:asciiTheme="majorHAnsi" w:hAnsiTheme="majorHAnsi"/>
          <w:lang w:val="en-US"/>
        </w:rPr>
        <w:t xml:space="preserve">do not </w:t>
      </w:r>
      <w:r w:rsidR="009807C7">
        <w:rPr>
          <w:rFonts w:asciiTheme="majorHAnsi" w:hAnsiTheme="majorHAnsi"/>
          <w:lang w:val="en-US"/>
        </w:rPr>
        <w:t xml:space="preserve">tend to </w:t>
      </w:r>
      <w:r w:rsidR="009308E1">
        <w:rPr>
          <w:rFonts w:asciiTheme="majorHAnsi" w:hAnsiTheme="majorHAnsi"/>
          <w:lang w:val="en-US"/>
        </w:rPr>
        <w:t>cease</w:t>
      </w:r>
      <w:r w:rsidR="004D5B2D">
        <w:rPr>
          <w:rFonts w:asciiTheme="majorHAnsi" w:hAnsiTheme="majorHAnsi"/>
          <w:lang w:val="en-US"/>
        </w:rPr>
        <w:t xml:space="preserve"> </w:t>
      </w:r>
      <w:r w:rsidR="00BE6BF4">
        <w:rPr>
          <w:rFonts w:asciiTheme="majorHAnsi" w:hAnsiTheme="majorHAnsi"/>
          <w:lang w:val="en-US"/>
        </w:rPr>
        <w:t>trading in this situation</w:t>
      </w:r>
      <w:r w:rsidR="001F30A2" w:rsidRPr="00DA4CC2">
        <w:rPr>
          <w:rFonts w:asciiTheme="majorHAnsi" w:hAnsiTheme="majorHAnsi"/>
          <w:lang w:val="en-US"/>
        </w:rPr>
        <w:t xml:space="preserve">. </w:t>
      </w:r>
      <w:r w:rsidR="009308E1" w:rsidRPr="00DA4CC2">
        <w:rPr>
          <w:rFonts w:asciiTheme="majorHAnsi" w:hAnsiTheme="majorHAnsi"/>
          <w:lang w:val="en-US"/>
        </w:rPr>
        <w:t xml:space="preserve"> </w:t>
      </w:r>
      <w:r w:rsidR="00BE6BF4" w:rsidRPr="00D3702F">
        <w:rPr>
          <w:rFonts w:asciiTheme="majorHAnsi" w:hAnsiTheme="majorHAnsi"/>
          <w:lang w:val="en-US"/>
        </w:rPr>
        <w:t>Consequently, i</w:t>
      </w:r>
      <w:r w:rsidR="005C2CB9" w:rsidRPr="00D3702F">
        <w:rPr>
          <w:rFonts w:asciiTheme="majorHAnsi" w:hAnsiTheme="majorHAnsi"/>
          <w:lang w:val="en-US"/>
        </w:rPr>
        <w:t>t appears that the desire to stop trading when</w:t>
      </w:r>
      <w:r w:rsidR="00444015" w:rsidRPr="00D3702F">
        <w:rPr>
          <w:rFonts w:asciiTheme="majorHAnsi" w:hAnsiTheme="majorHAnsi"/>
          <w:lang w:val="en-US"/>
        </w:rPr>
        <w:t xml:space="preserve"> </w:t>
      </w:r>
      <w:r w:rsidR="00BC3314" w:rsidRPr="00D3702F">
        <w:rPr>
          <w:rFonts w:asciiTheme="majorHAnsi" w:hAnsiTheme="majorHAnsi"/>
          <w:lang w:val="en-US"/>
        </w:rPr>
        <w:t>net</w:t>
      </w:r>
      <w:r w:rsidR="00444015" w:rsidRPr="00D3702F">
        <w:rPr>
          <w:rFonts w:asciiTheme="majorHAnsi" w:hAnsiTheme="majorHAnsi"/>
          <w:lang w:val="en-US"/>
        </w:rPr>
        <w:t xml:space="preserve"> </w:t>
      </w:r>
      <w:r w:rsidR="001A4E11" w:rsidRPr="00D3702F">
        <w:rPr>
          <w:rFonts w:asciiTheme="majorHAnsi" w:hAnsiTheme="majorHAnsi"/>
          <w:lang w:val="en-US"/>
        </w:rPr>
        <w:t>returns become positive</w:t>
      </w:r>
      <w:r w:rsidR="005C2CB9" w:rsidRPr="00D3702F">
        <w:rPr>
          <w:rFonts w:asciiTheme="majorHAnsi" w:hAnsiTheme="majorHAnsi"/>
          <w:lang w:val="en-US"/>
        </w:rPr>
        <w:t xml:space="preserve"> occurs when</w:t>
      </w:r>
      <w:r w:rsidR="001A4E11" w:rsidRPr="00D3702F">
        <w:rPr>
          <w:rFonts w:asciiTheme="majorHAnsi" w:hAnsiTheme="majorHAnsi"/>
          <w:lang w:val="en-US"/>
        </w:rPr>
        <w:t xml:space="preserve"> </w:t>
      </w:r>
      <w:r w:rsidR="005C2CB9" w:rsidRPr="00D3702F">
        <w:rPr>
          <w:rFonts w:asciiTheme="majorHAnsi" w:hAnsiTheme="majorHAnsi"/>
          <w:lang w:val="en-US"/>
        </w:rPr>
        <w:t xml:space="preserve">the individual </w:t>
      </w:r>
      <w:r w:rsidR="000775CB" w:rsidRPr="00D3702F">
        <w:rPr>
          <w:rFonts w:asciiTheme="majorHAnsi" w:hAnsiTheme="majorHAnsi"/>
          <w:lang w:val="en-US"/>
        </w:rPr>
        <w:t>experiences</w:t>
      </w:r>
      <w:r w:rsidR="005C2CB9" w:rsidRPr="00D3702F">
        <w:rPr>
          <w:rFonts w:asciiTheme="majorHAnsi" w:hAnsiTheme="majorHAnsi"/>
          <w:lang w:val="en-US"/>
        </w:rPr>
        <w:t xml:space="preserve"> </w:t>
      </w:r>
      <w:r w:rsidR="001A4E11" w:rsidRPr="00D3702F">
        <w:rPr>
          <w:rFonts w:asciiTheme="majorHAnsi" w:hAnsiTheme="majorHAnsi"/>
          <w:lang w:val="en-US"/>
        </w:rPr>
        <w:t xml:space="preserve">more than 50% of </w:t>
      </w:r>
      <w:r w:rsidR="000775CB" w:rsidRPr="00D3702F">
        <w:rPr>
          <w:rFonts w:asciiTheme="majorHAnsi" w:hAnsiTheme="majorHAnsi"/>
          <w:lang w:val="en-US"/>
        </w:rPr>
        <w:t>months</w:t>
      </w:r>
      <w:r w:rsidR="009807C7" w:rsidRPr="00D3702F">
        <w:rPr>
          <w:rFonts w:asciiTheme="majorHAnsi" w:hAnsiTheme="majorHAnsi"/>
          <w:lang w:val="en-US"/>
        </w:rPr>
        <w:t xml:space="preserve"> </w:t>
      </w:r>
      <w:r w:rsidR="000775CB" w:rsidRPr="00D3702F">
        <w:rPr>
          <w:rFonts w:asciiTheme="majorHAnsi" w:hAnsiTheme="majorHAnsi"/>
          <w:lang w:val="en-US"/>
        </w:rPr>
        <w:t xml:space="preserve">when </w:t>
      </w:r>
      <w:r w:rsidR="00444015" w:rsidRPr="00D3702F">
        <w:rPr>
          <w:rFonts w:asciiTheme="majorHAnsi" w:hAnsiTheme="majorHAnsi"/>
          <w:lang w:val="en-US"/>
        </w:rPr>
        <w:t>cumulative</w:t>
      </w:r>
      <w:r w:rsidR="000775CB" w:rsidRPr="00D3702F">
        <w:rPr>
          <w:rFonts w:asciiTheme="majorHAnsi" w:hAnsiTheme="majorHAnsi"/>
          <w:lang w:val="en-US"/>
        </w:rPr>
        <w:t xml:space="preserve"> returns are negative </w:t>
      </w:r>
      <w:r w:rsidR="001A4E11" w:rsidRPr="00D3702F">
        <w:rPr>
          <w:rFonts w:asciiTheme="majorHAnsi" w:hAnsiTheme="majorHAnsi"/>
          <w:i/>
          <w:lang w:val="en-US"/>
        </w:rPr>
        <w:t>throughout their trading history</w:t>
      </w:r>
      <w:r w:rsidR="000775CB" w:rsidRPr="00D3702F">
        <w:rPr>
          <w:rFonts w:asciiTheme="majorHAnsi" w:hAnsiTheme="majorHAnsi"/>
          <w:lang w:val="en-US"/>
        </w:rPr>
        <w:t xml:space="preserve">. </w:t>
      </w:r>
      <w:r w:rsidR="0033598A" w:rsidRPr="00D3702F">
        <w:rPr>
          <w:rFonts w:asciiTheme="majorHAnsi" w:hAnsiTheme="majorHAnsi"/>
          <w:lang w:val="en-US"/>
        </w:rPr>
        <w:t>However, t</w:t>
      </w:r>
      <w:r w:rsidR="000775CB" w:rsidRPr="00D3702F">
        <w:rPr>
          <w:rFonts w:asciiTheme="majorHAnsi" w:hAnsiTheme="majorHAnsi"/>
          <w:lang w:val="en-US"/>
        </w:rPr>
        <w:t>his does not seem to be the case</w:t>
      </w:r>
      <w:r w:rsidR="005C2CB9" w:rsidRPr="00D3702F">
        <w:rPr>
          <w:rFonts w:asciiTheme="majorHAnsi" w:hAnsiTheme="majorHAnsi"/>
          <w:lang w:val="en-US"/>
        </w:rPr>
        <w:t xml:space="preserve"> if </w:t>
      </w:r>
      <w:r w:rsidR="0033598A" w:rsidRPr="00D3702F">
        <w:rPr>
          <w:rFonts w:asciiTheme="majorHAnsi" w:hAnsiTheme="majorHAnsi"/>
          <w:lang w:val="en-US"/>
        </w:rPr>
        <w:t xml:space="preserve">individuals simply </w:t>
      </w:r>
      <w:r w:rsidR="001A4E11" w:rsidRPr="00D3702F">
        <w:rPr>
          <w:rFonts w:asciiTheme="majorHAnsi" w:hAnsiTheme="majorHAnsi"/>
          <w:lang w:val="en-US"/>
        </w:rPr>
        <w:t xml:space="preserve">experience </w:t>
      </w:r>
      <w:r w:rsidR="00BC3314" w:rsidRPr="00D3702F">
        <w:rPr>
          <w:rFonts w:asciiTheme="majorHAnsi" w:hAnsiTheme="majorHAnsi"/>
          <w:lang w:val="en-US"/>
        </w:rPr>
        <w:t>net losses</w:t>
      </w:r>
      <w:r w:rsidR="000775CB" w:rsidRPr="00D3702F">
        <w:rPr>
          <w:rFonts w:asciiTheme="majorHAnsi" w:hAnsiTheme="majorHAnsi"/>
          <w:lang w:val="en-US"/>
        </w:rPr>
        <w:t xml:space="preserve"> </w:t>
      </w:r>
      <w:r w:rsidR="008416A4" w:rsidRPr="00D3702F">
        <w:rPr>
          <w:rFonts w:asciiTheme="majorHAnsi" w:hAnsiTheme="majorHAnsi"/>
          <w:lang w:val="en-US"/>
        </w:rPr>
        <w:t xml:space="preserve">in a large proportion of </w:t>
      </w:r>
      <w:r w:rsidR="000775CB" w:rsidRPr="00D3702F">
        <w:rPr>
          <w:rFonts w:asciiTheme="majorHAnsi" w:hAnsiTheme="majorHAnsi"/>
          <w:lang w:val="en-US"/>
        </w:rPr>
        <w:t xml:space="preserve">recent </w:t>
      </w:r>
      <w:r w:rsidR="008416A4" w:rsidRPr="00D3702F">
        <w:rPr>
          <w:rFonts w:asciiTheme="majorHAnsi" w:hAnsiTheme="majorHAnsi"/>
          <w:lang w:val="en-US"/>
        </w:rPr>
        <w:t>months</w:t>
      </w:r>
      <w:r w:rsidR="0033598A" w:rsidRPr="00D3702F">
        <w:rPr>
          <w:rFonts w:asciiTheme="majorHAnsi" w:hAnsiTheme="majorHAnsi"/>
          <w:lang w:val="en-US"/>
        </w:rPr>
        <w:t>, even if this proportion is as high as 90% and the period examined is as long as three years.</w:t>
      </w:r>
    </w:p>
    <w:p w14:paraId="5067C843" w14:textId="30A0203F" w:rsidR="00BD72D1" w:rsidRDefault="005C2CB9" w:rsidP="001410E6">
      <w:pPr>
        <w:spacing w:after="0" w:line="480" w:lineRule="auto"/>
        <w:ind w:firstLine="720"/>
        <w:rPr>
          <w:rFonts w:asciiTheme="majorHAnsi" w:hAnsiTheme="majorHAnsi"/>
          <w:lang w:val="en-US"/>
        </w:rPr>
      </w:pPr>
      <w:r>
        <w:rPr>
          <w:rFonts w:asciiTheme="majorHAnsi" w:hAnsiTheme="majorHAnsi"/>
          <w:lang w:val="en-US"/>
        </w:rPr>
        <w:t>There are numerous possible explanations for why this might occur</w:t>
      </w:r>
      <w:r w:rsidR="00247DC2">
        <w:rPr>
          <w:rFonts w:asciiTheme="majorHAnsi" w:hAnsiTheme="majorHAnsi"/>
          <w:lang w:val="en-US"/>
        </w:rPr>
        <w:t>.</w:t>
      </w:r>
      <w:r>
        <w:rPr>
          <w:rFonts w:asciiTheme="majorHAnsi" w:hAnsiTheme="majorHAnsi"/>
          <w:lang w:val="en-US"/>
        </w:rPr>
        <w:t xml:space="preserve"> For example, it could be that </w:t>
      </w:r>
      <w:r w:rsidR="001A4E11">
        <w:rPr>
          <w:rFonts w:asciiTheme="majorHAnsi" w:hAnsiTheme="majorHAnsi"/>
          <w:lang w:val="en-US"/>
        </w:rPr>
        <w:t xml:space="preserve">facing </w:t>
      </w:r>
      <w:r w:rsidR="0033598A">
        <w:rPr>
          <w:rFonts w:asciiTheme="majorHAnsi" w:hAnsiTheme="majorHAnsi"/>
          <w:lang w:val="en-US"/>
        </w:rPr>
        <w:t xml:space="preserve">accumulated </w:t>
      </w:r>
      <w:r w:rsidR="00BC3314">
        <w:rPr>
          <w:rFonts w:asciiTheme="majorHAnsi" w:hAnsiTheme="majorHAnsi"/>
          <w:lang w:val="en-US"/>
        </w:rPr>
        <w:t>net</w:t>
      </w:r>
      <w:r w:rsidR="001A4E11">
        <w:rPr>
          <w:rFonts w:asciiTheme="majorHAnsi" w:hAnsiTheme="majorHAnsi"/>
          <w:lang w:val="en-US"/>
        </w:rPr>
        <w:t xml:space="preserve"> </w:t>
      </w:r>
      <w:r>
        <w:rPr>
          <w:rFonts w:asciiTheme="majorHAnsi" w:hAnsiTheme="majorHAnsi"/>
          <w:lang w:val="en-US"/>
        </w:rPr>
        <w:t>lo</w:t>
      </w:r>
      <w:r w:rsidR="00BC3314">
        <w:rPr>
          <w:rFonts w:asciiTheme="majorHAnsi" w:hAnsiTheme="majorHAnsi"/>
          <w:lang w:val="en-US"/>
        </w:rPr>
        <w:t>s</w:t>
      </w:r>
      <w:r>
        <w:rPr>
          <w:rFonts w:asciiTheme="majorHAnsi" w:hAnsiTheme="majorHAnsi"/>
          <w:lang w:val="en-US"/>
        </w:rPr>
        <w:t>s</w:t>
      </w:r>
      <w:r w:rsidR="001A4E11">
        <w:rPr>
          <w:rFonts w:asciiTheme="majorHAnsi" w:hAnsiTheme="majorHAnsi"/>
          <w:lang w:val="en-US"/>
        </w:rPr>
        <w:t>es</w:t>
      </w:r>
      <w:r>
        <w:rPr>
          <w:rFonts w:asciiTheme="majorHAnsi" w:hAnsiTheme="majorHAnsi"/>
          <w:lang w:val="en-US"/>
        </w:rPr>
        <w:t xml:space="preserve"> </w:t>
      </w:r>
      <w:r w:rsidR="008416A4">
        <w:rPr>
          <w:rFonts w:asciiTheme="majorHAnsi" w:hAnsiTheme="majorHAnsi"/>
          <w:lang w:val="en-US"/>
        </w:rPr>
        <w:t xml:space="preserve">for a large proportion of </w:t>
      </w:r>
      <w:r w:rsidR="00B47208">
        <w:rPr>
          <w:rFonts w:asciiTheme="majorHAnsi" w:hAnsiTheme="majorHAnsi"/>
          <w:lang w:val="en-US"/>
        </w:rPr>
        <w:t xml:space="preserve">recent </w:t>
      </w:r>
      <w:r w:rsidR="008416A4">
        <w:rPr>
          <w:rFonts w:asciiTheme="majorHAnsi" w:hAnsiTheme="majorHAnsi"/>
          <w:lang w:val="en-US"/>
        </w:rPr>
        <w:t>months</w:t>
      </w:r>
      <w:r>
        <w:rPr>
          <w:rFonts w:asciiTheme="majorHAnsi" w:hAnsiTheme="majorHAnsi"/>
          <w:lang w:val="en-US"/>
        </w:rPr>
        <w:t xml:space="preserve"> produces such a strong NMM that cognitive biases are employed to explain away this negative information</w:t>
      </w:r>
      <w:r w:rsidR="00EF5832">
        <w:rPr>
          <w:rFonts w:asciiTheme="majorHAnsi" w:hAnsiTheme="majorHAnsi"/>
          <w:lang w:val="en-US"/>
        </w:rPr>
        <w:t>,</w:t>
      </w:r>
      <w:r>
        <w:rPr>
          <w:rFonts w:asciiTheme="majorHAnsi" w:hAnsiTheme="majorHAnsi"/>
          <w:lang w:val="en-US"/>
        </w:rPr>
        <w:t xml:space="preserve"> to protect the individual from the cognitive dissonance. </w:t>
      </w:r>
      <w:r w:rsidR="009F128C">
        <w:rPr>
          <w:rFonts w:asciiTheme="majorHAnsi" w:hAnsiTheme="majorHAnsi"/>
          <w:lang w:val="en-US"/>
        </w:rPr>
        <w:t>Another possibility is that</w:t>
      </w:r>
      <w:r>
        <w:rPr>
          <w:rFonts w:asciiTheme="majorHAnsi" w:hAnsiTheme="majorHAnsi"/>
          <w:lang w:val="en-US"/>
        </w:rPr>
        <w:t xml:space="preserve"> there may be a selection bias resulting from this new definition</w:t>
      </w:r>
      <w:r w:rsidR="002C3BFD">
        <w:rPr>
          <w:rFonts w:asciiTheme="majorHAnsi" w:hAnsiTheme="majorHAnsi"/>
          <w:lang w:val="en-US"/>
        </w:rPr>
        <w:t xml:space="preserve">. In particular, </w:t>
      </w:r>
      <w:r>
        <w:rPr>
          <w:rFonts w:asciiTheme="majorHAnsi" w:hAnsiTheme="majorHAnsi"/>
          <w:lang w:val="en-US"/>
        </w:rPr>
        <w:t>the types of personality associated with individuals in the</w:t>
      </w:r>
      <w:r w:rsidR="00153871">
        <w:rPr>
          <w:rFonts w:asciiTheme="majorHAnsi" w:hAnsiTheme="majorHAnsi"/>
          <w:lang w:val="en-US"/>
        </w:rPr>
        <w:t xml:space="preserve"> NMM group</w:t>
      </w:r>
      <w:r>
        <w:rPr>
          <w:rFonts w:asciiTheme="majorHAnsi" w:hAnsiTheme="majorHAnsi"/>
          <w:lang w:val="en-US"/>
        </w:rPr>
        <w:t xml:space="preserve"> </w:t>
      </w:r>
      <w:r w:rsidR="00EF5832">
        <w:rPr>
          <w:rFonts w:asciiTheme="majorHAnsi" w:hAnsiTheme="majorHAnsi"/>
          <w:lang w:val="en-US"/>
        </w:rPr>
        <w:t xml:space="preserve">defined by their </w:t>
      </w:r>
      <w:r w:rsidR="001A4E11">
        <w:rPr>
          <w:rFonts w:asciiTheme="majorHAnsi" w:hAnsiTheme="majorHAnsi"/>
          <w:lang w:val="en-US"/>
        </w:rPr>
        <w:t xml:space="preserve">facing </w:t>
      </w:r>
      <w:r w:rsidR="00BC3314">
        <w:rPr>
          <w:rFonts w:asciiTheme="majorHAnsi" w:hAnsiTheme="majorHAnsi"/>
          <w:lang w:val="en-US"/>
        </w:rPr>
        <w:t>net losses</w:t>
      </w:r>
      <w:r w:rsidR="00EF5832">
        <w:rPr>
          <w:rFonts w:asciiTheme="majorHAnsi" w:hAnsiTheme="majorHAnsi"/>
          <w:lang w:val="en-US"/>
        </w:rPr>
        <w:t xml:space="preserve"> in</w:t>
      </w:r>
      <w:r w:rsidR="008416A4">
        <w:rPr>
          <w:rFonts w:asciiTheme="majorHAnsi" w:hAnsiTheme="majorHAnsi"/>
          <w:lang w:val="en-US"/>
        </w:rPr>
        <w:t xml:space="preserve"> more than 90% </w:t>
      </w:r>
      <w:r w:rsidR="00EF5832">
        <w:rPr>
          <w:rFonts w:asciiTheme="majorHAnsi" w:hAnsiTheme="majorHAnsi"/>
          <w:lang w:val="en-US"/>
        </w:rPr>
        <w:t>of recent</w:t>
      </w:r>
      <w:r w:rsidR="008416A4">
        <w:rPr>
          <w:rFonts w:asciiTheme="majorHAnsi" w:hAnsiTheme="majorHAnsi"/>
          <w:lang w:val="en-US"/>
        </w:rPr>
        <w:t xml:space="preserve"> months, </w:t>
      </w:r>
      <w:r w:rsidR="002C3BFD">
        <w:rPr>
          <w:rFonts w:asciiTheme="majorHAnsi" w:hAnsiTheme="majorHAnsi"/>
          <w:lang w:val="en-US"/>
        </w:rPr>
        <w:t>may be</w:t>
      </w:r>
      <w:r>
        <w:rPr>
          <w:rFonts w:asciiTheme="majorHAnsi" w:hAnsiTheme="majorHAnsi"/>
          <w:lang w:val="en-US"/>
        </w:rPr>
        <w:t xml:space="preserve"> </w:t>
      </w:r>
      <w:r w:rsidR="00153871">
        <w:rPr>
          <w:rFonts w:asciiTheme="majorHAnsi" w:hAnsiTheme="majorHAnsi"/>
          <w:lang w:val="en-US"/>
        </w:rPr>
        <w:t>different from those in the NMM group</w:t>
      </w:r>
      <w:r w:rsidR="008416A4">
        <w:rPr>
          <w:rFonts w:asciiTheme="majorHAnsi" w:hAnsiTheme="majorHAnsi"/>
          <w:lang w:val="en-US"/>
        </w:rPr>
        <w:t xml:space="preserve"> </w:t>
      </w:r>
      <w:r w:rsidR="00EF5832">
        <w:rPr>
          <w:rFonts w:asciiTheme="majorHAnsi" w:hAnsiTheme="majorHAnsi"/>
          <w:lang w:val="en-US"/>
        </w:rPr>
        <w:t xml:space="preserve">defined by their </w:t>
      </w:r>
      <w:r w:rsidR="001A4E11">
        <w:rPr>
          <w:rFonts w:asciiTheme="majorHAnsi" w:hAnsiTheme="majorHAnsi"/>
          <w:lang w:val="en-US"/>
        </w:rPr>
        <w:t xml:space="preserve">experiencing </w:t>
      </w:r>
      <w:r w:rsidR="00BC3314">
        <w:rPr>
          <w:rFonts w:asciiTheme="majorHAnsi" w:hAnsiTheme="majorHAnsi"/>
          <w:lang w:val="en-US"/>
        </w:rPr>
        <w:t>net losses</w:t>
      </w:r>
      <w:r w:rsidR="00EF5832">
        <w:rPr>
          <w:rFonts w:asciiTheme="majorHAnsi" w:hAnsiTheme="majorHAnsi"/>
          <w:lang w:val="en-US"/>
        </w:rPr>
        <w:t xml:space="preserve"> in more than </w:t>
      </w:r>
      <w:r w:rsidR="008416A4">
        <w:rPr>
          <w:rFonts w:asciiTheme="majorHAnsi" w:hAnsiTheme="majorHAnsi"/>
          <w:lang w:val="en-US"/>
        </w:rPr>
        <w:t xml:space="preserve">50% of months </w:t>
      </w:r>
      <w:r w:rsidR="00EF5832">
        <w:rPr>
          <w:rFonts w:asciiTheme="majorHAnsi" w:hAnsiTheme="majorHAnsi"/>
          <w:lang w:val="en-US"/>
        </w:rPr>
        <w:t>since they began trading</w:t>
      </w:r>
      <w:r w:rsidR="00153871">
        <w:rPr>
          <w:rFonts w:asciiTheme="majorHAnsi" w:hAnsiTheme="majorHAnsi"/>
          <w:lang w:val="en-US"/>
        </w:rPr>
        <w:t>. It is certainly possible that someone who</w:t>
      </w:r>
      <w:r w:rsidR="00FF6514">
        <w:rPr>
          <w:rFonts w:asciiTheme="majorHAnsi" w:hAnsiTheme="majorHAnsi"/>
          <w:lang w:val="en-US"/>
        </w:rPr>
        <w:t xml:space="preserve"> stubbornly</w:t>
      </w:r>
      <w:r w:rsidR="00153871">
        <w:rPr>
          <w:rFonts w:asciiTheme="majorHAnsi" w:hAnsiTheme="majorHAnsi"/>
          <w:lang w:val="en-US"/>
        </w:rPr>
        <w:t xml:space="preserve"> remains trading </w:t>
      </w:r>
      <w:r w:rsidR="00DD1F5C">
        <w:rPr>
          <w:rFonts w:asciiTheme="majorHAnsi" w:hAnsiTheme="majorHAnsi"/>
          <w:lang w:val="en-US"/>
        </w:rPr>
        <w:t>over the last</w:t>
      </w:r>
      <w:r w:rsidR="00153871">
        <w:rPr>
          <w:rFonts w:asciiTheme="majorHAnsi" w:hAnsiTheme="majorHAnsi"/>
          <w:lang w:val="en-US"/>
        </w:rPr>
        <w:t xml:space="preserve"> 36 months </w:t>
      </w:r>
      <w:r w:rsidR="00B47208">
        <w:rPr>
          <w:rFonts w:asciiTheme="majorHAnsi" w:hAnsiTheme="majorHAnsi"/>
          <w:lang w:val="en-US"/>
        </w:rPr>
        <w:t>whilst</w:t>
      </w:r>
      <w:r w:rsidR="00FF6514">
        <w:rPr>
          <w:rFonts w:asciiTheme="majorHAnsi" w:hAnsiTheme="majorHAnsi"/>
          <w:lang w:val="en-US"/>
        </w:rPr>
        <w:t xml:space="preserve"> experienc</w:t>
      </w:r>
      <w:r w:rsidR="00B47208">
        <w:rPr>
          <w:rFonts w:asciiTheme="majorHAnsi" w:hAnsiTheme="majorHAnsi"/>
          <w:lang w:val="en-US"/>
        </w:rPr>
        <w:t xml:space="preserve">ing </w:t>
      </w:r>
      <w:r w:rsidR="00BC3314">
        <w:rPr>
          <w:rFonts w:asciiTheme="majorHAnsi" w:hAnsiTheme="majorHAnsi"/>
          <w:lang w:val="en-US"/>
        </w:rPr>
        <w:t>net</w:t>
      </w:r>
      <w:r w:rsidR="001A4E11">
        <w:rPr>
          <w:rFonts w:asciiTheme="majorHAnsi" w:hAnsiTheme="majorHAnsi"/>
          <w:lang w:val="en-US"/>
        </w:rPr>
        <w:t xml:space="preserve"> </w:t>
      </w:r>
      <w:r w:rsidR="00FF6514">
        <w:rPr>
          <w:rFonts w:asciiTheme="majorHAnsi" w:hAnsiTheme="majorHAnsi"/>
          <w:lang w:val="en-US"/>
        </w:rPr>
        <w:t>losses</w:t>
      </w:r>
      <w:r w:rsidR="00153871">
        <w:rPr>
          <w:rFonts w:asciiTheme="majorHAnsi" w:hAnsiTheme="majorHAnsi"/>
          <w:lang w:val="en-US"/>
        </w:rPr>
        <w:t xml:space="preserve"> in 90% of those months could be very different from </w:t>
      </w:r>
      <w:r w:rsidR="008416A4">
        <w:rPr>
          <w:rFonts w:asciiTheme="majorHAnsi" w:hAnsiTheme="majorHAnsi"/>
          <w:lang w:val="en-US"/>
        </w:rPr>
        <w:t>an</w:t>
      </w:r>
      <w:r w:rsidR="00153871">
        <w:rPr>
          <w:rFonts w:asciiTheme="majorHAnsi" w:hAnsiTheme="majorHAnsi"/>
          <w:lang w:val="en-US"/>
        </w:rPr>
        <w:t xml:space="preserve"> individual who experiences </w:t>
      </w:r>
      <w:r w:rsidR="00BD2B7D">
        <w:rPr>
          <w:rFonts w:asciiTheme="majorHAnsi" w:hAnsiTheme="majorHAnsi"/>
          <w:lang w:val="en-US"/>
        </w:rPr>
        <w:t>just</w:t>
      </w:r>
      <w:r w:rsidR="008416A4">
        <w:rPr>
          <w:rFonts w:asciiTheme="majorHAnsi" w:hAnsiTheme="majorHAnsi"/>
          <w:lang w:val="en-US"/>
        </w:rPr>
        <w:t xml:space="preserve"> 50% </w:t>
      </w:r>
      <w:r w:rsidR="00BD2B7D">
        <w:rPr>
          <w:rFonts w:asciiTheme="majorHAnsi" w:hAnsiTheme="majorHAnsi"/>
          <w:lang w:val="en-US"/>
        </w:rPr>
        <w:t>or more of</w:t>
      </w:r>
      <w:r w:rsidR="008416A4">
        <w:rPr>
          <w:rFonts w:asciiTheme="majorHAnsi" w:hAnsiTheme="majorHAnsi"/>
          <w:lang w:val="en-US"/>
        </w:rPr>
        <w:t xml:space="preserve"> months </w:t>
      </w:r>
      <w:r w:rsidR="001A4E11">
        <w:rPr>
          <w:rFonts w:asciiTheme="majorHAnsi" w:hAnsiTheme="majorHAnsi"/>
          <w:lang w:val="en-US"/>
        </w:rPr>
        <w:t xml:space="preserve">of </w:t>
      </w:r>
      <w:r w:rsidR="00BC3314">
        <w:rPr>
          <w:rFonts w:asciiTheme="majorHAnsi" w:hAnsiTheme="majorHAnsi"/>
          <w:lang w:val="en-US"/>
        </w:rPr>
        <w:t>net</w:t>
      </w:r>
      <w:r w:rsidR="001A4E11">
        <w:rPr>
          <w:rFonts w:asciiTheme="majorHAnsi" w:hAnsiTheme="majorHAnsi"/>
          <w:lang w:val="en-US"/>
        </w:rPr>
        <w:t xml:space="preserve"> losses</w:t>
      </w:r>
      <w:r w:rsidR="008416A4">
        <w:rPr>
          <w:rFonts w:asciiTheme="majorHAnsi" w:hAnsiTheme="majorHAnsi"/>
          <w:lang w:val="en-US"/>
        </w:rPr>
        <w:t xml:space="preserve"> </w:t>
      </w:r>
      <w:r w:rsidR="002C3BFD">
        <w:rPr>
          <w:rFonts w:asciiTheme="majorHAnsi" w:hAnsiTheme="majorHAnsi"/>
          <w:lang w:val="en-US"/>
        </w:rPr>
        <w:t>since beginning trading</w:t>
      </w:r>
      <w:r w:rsidR="00153871">
        <w:rPr>
          <w:rFonts w:asciiTheme="majorHAnsi" w:hAnsiTheme="majorHAnsi"/>
          <w:lang w:val="en-US"/>
        </w:rPr>
        <w:t xml:space="preserve">. Clearly, therefore, this interesting </w:t>
      </w:r>
      <w:r w:rsidR="00244B25">
        <w:rPr>
          <w:rFonts w:asciiTheme="majorHAnsi" w:hAnsiTheme="majorHAnsi"/>
          <w:lang w:val="en-US"/>
        </w:rPr>
        <w:t>finding</w:t>
      </w:r>
      <w:r w:rsidR="00153871">
        <w:rPr>
          <w:rFonts w:asciiTheme="majorHAnsi" w:hAnsiTheme="majorHAnsi"/>
          <w:lang w:val="en-US"/>
        </w:rPr>
        <w:t xml:space="preserve"> requires more research to determine precisely </w:t>
      </w:r>
      <w:r w:rsidR="00BC3314">
        <w:rPr>
          <w:rFonts w:asciiTheme="majorHAnsi" w:hAnsiTheme="majorHAnsi"/>
          <w:lang w:val="en-US"/>
        </w:rPr>
        <w:t>the</w:t>
      </w:r>
      <w:r w:rsidR="00153871">
        <w:rPr>
          <w:rFonts w:asciiTheme="majorHAnsi" w:hAnsiTheme="majorHAnsi"/>
          <w:lang w:val="en-US"/>
        </w:rPr>
        <w:t xml:space="preserve"> mechanisms behind these effects</w:t>
      </w:r>
      <w:r w:rsidR="00BC3314">
        <w:rPr>
          <w:rFonts w:asciiTheme="majorHAnsi" w:hAnsiTheme="majorHAnsi"/>
          <w:lang w:val="en-US"/>
        </w:rPr>
        <w:t>. In</w:t>
      </w:r>
      <w:r w:rsidR="0051720B">
        <w:rPr>
          <w:rFonts w:asciiTheme="majorHAnsi" w:hAnsiTheme="majorHAnsi"/>
          <w:lang w:val="en-US"/>
        </w:rPr>
        <w:t xml:space="preserve"> </w:t>
      </w:r>
      <w:r w:rsidR="00535B8C">
        <w:rPr>
          <w:rFonts w:asciiTheme="majorHAnsi" w:hAnsiTheme="majorHAnsi"/>
          <w:lang w:val="en-US"/>
        </w:rPr>
        <w:t>particular</w:t>
      </w:r>
      <w:r w:rsidR="002C3BFD">
        <w:rPr>
          <w:rFonts w:asciiTheme="majorHAnsi" w:hAnsiTheme="majorHAnsi"/>
          <w:lang w:val="en-US"/>
        </w:rPr>
        <w:t>,</w:t>
      </w:r>
      <w:r w:rsidR="00535B8C">
        <w:rPr>
          <w:rFonts w:asciiTheme="majorHAnsi" w:hAnsiTheme="majorHAnsi"/>
          <w:lang w:val="en-US"/>
        </w:rPr>
        <w:t xml:space="preserve"> </w:t>
      </w:r>
      <w:r w:rsidR="00BC3314">
        <w:rPr>
          <w:rFonts w:asciiTheme="majorHAnsi" w:hAnsiTheme="majorHAnsi"/>
          <w:lang w:val="en-US"/>
        </w:rPr>
        <w:t xml:space="preserve">it would be helpful to explore </w:t>
      </w:r>
      <w:r w:rsidR="00535B8C">
        <w:rPr>
          <w:rFonts w:asciiTheme="majorHAnsi" w:hAnsiTheme="majorHAnsi"/>
          <w:lang w:val="en-US"/>
        </w:rPr>
        <w:t xml:space="preserve">whether </w:t>
      </w:r>
      <w:r w:rsidR="00166D9E">
        <w:rPr>
          <w:rFonts w:asciiTheme="majorHAnsi" w:hAnsiTheme="majorHAnsi"/>
          <w:lang w:val="en-US"/>
        </w:rPr>
        <w:t xml:space="preserve">individuals in the NMM group defined as </w:t>
      </w:r>
      <w:r w:rsidR="001A4E11">
        <w:rPr>
          <w:rFonts w:asciiTheme="majorHAnsi" w:hAnsiTheme="majorHAnsi"/>
          <w:lang w:val="en-US"/>
        </w:rPr>
        <w:t xml:space="preserve">experiencing </w:t>
      </w:r>
      <w:r w:rsidR="00166D9E">
        <w:rPr>
          <w:rFonts w:asciiTheme="majorHAnsi" w:hAnsiTheme="majorHAnsi"/>
          <w:lang w:val="en-US"/>
        </w:rPr>
        <w:t xml:space="preserve">more than </w:t>
      </w:r>
      <w:r w:rsidR="00535B8C">
        <w:rPr>
          <w:rFonts w:asciiTheme="majorHAnsi" w:hAnsiTheme="majorHAnsi"/>
          <w:lang w:val="en-US"/>
        </w:rPr>
        <w:t xml:space="preserve">90% </w:t>
      </w:r>
      <w:r w:rsidR="008416A4">
        <w:rPr>
          <w:rFonts w:asciiTheme="majorHAnsi" w:hAnsiTheme="majorHAnsi"/>
          <w:lang w:val="en-US"/>
        </w:rPr>
        <w:t xml:space="preserve">of </w:t>
      </w:r>
      <w:r w:rsidR="001A4E11">
        <w:rPr>
          <w:rFonts w:asciiTheme="majorHAnsi" w:hAnsiTheme="majorHAnsi"/>
          <w:lang w:val="en-US"/>
        </w:rPr>
        <w:t xml:space="preserve">the most recent </w:t>
      </w:r>
      <w:r w:rsidR="008416A4">
        <w:rPr>
          <w:rFonts w:asciiTheme="majorHAnsi" w:hAnsiTheme="majorHAnsi"/>
          <w:lang w:val="en-US"/>
        </w:rPr>
        <w:t xml:space="preserve">months </w:t>
      </w:r>
      <w:r w:rsidR="00BC3314">
        <w:rPr>
          <w:rFonts w:asciiTheme="majorHAnsi" w:hAnsiTheme="majorHAnsi"/>
          <w:lang w:val="en-US"/>
        </w:rPr>
        <w:t>in net loss</w:t>
      </w:r>
      <w:r w:rsidR="00166D9E">
        <w:rPr>
          <w:rFonts w:asciiTheme="majorHAnsi" w:hAnsiTheme="majorHAnsi"/>
          <w:lang w:val="en-US"/>
        </w:rPr>
        <w:t xml:space="preserve">, </w:t>
      </w:r>
      <w:r w:rsidR="0051720B">
        <w:rPr>
          <w:rFonts w:asciiTheme="majorHAnsi" w:hAnsiTheme="majorHAnsi"/>
          <w:lang w:val="en-US"/>
        </w:rPr>
        <w:t xml:space="preserve">tend to </w:t>
      </w:r>
      <w:r w:rsidR="00166D9E">
        <w:rPr>
          <w:rFonts w:asciiTheme="majorHAnsi" w:hAnsiTheme="majorHAnsi"/>
          <w:lang w:val="en-US"/>
        </w:rPr>
        <w:t>be</w:t>
      </w:r>
      <w:r w:rsidR="0051720B">
        <w:rPr>
          <w:rFonts w:asciiTheme="majorHAnsi" w:hAnsiTheme="majorHAnsi"/>
          <w:lang w:val="en-US"/>
        </w:rPr>
        <w:t xml:space="preserve"> more problem gambler types</w:t>
      </w:r>
      <w:r w:rsidR="00153871">
        <w:rPr>
          <w:rFonts w:asciiTheme="majorHAnsi" w:hAnsiTheme="majorHAnsi"/>
          <w:lang w:val="en-US"/>
        </w:rPr>
        <w:t>.</w:t>
      </w:r>
      <w:r w:rsidR="00244B25">
        <w:rPr>
          <w:rFonts w:asciiTheme="majorHAnsi" w:hAnsiTheme="majorHAnsi"/>
          <w:lang w:val="en-US"/>
        </w:rPr>
        <w:t xml:space="preserve"> Unfortunately, our data do not allow us to undertake such an analysis.</w:t>
      </w:r>
    </w:p>
    <w:p w14:paraId="709A51D1" w14:textId="0A01D945" w:rsidR="00153871" w:rsidRDefault="00153871" w:rsidP="00B87622">
      <w:pPr>
        <w:spacing w:after="0" w:line="480" w:lineRule="auto"/>
        <w:rPr>
          <w:rFonts w:asciiTheme="majorHAnsi" w:hAnsiTheme="majorHAnsi"/>
          <w:lang w:val="en-US"/>
        </w:rPr>
      </w:pPr>
      <w:r>
        <w:rPr>
          <w:rFonts w:asciiTheme="majorHAnsi" w:hAnsiTheme="majorHAnsi"/>
          <w:lang w:val="en-US"/>
        </w:rPr>
        <w:tab/>
      </w:r>
      <w:r w:rsidR="001F6132">
        <w:rPr>
          <w:rFonts w:asciiTheme="majorHAnsi" w:hAnsiTheme="majorHAnsi"/>
          <w:lang w:val="en-US"/>
        </w:rPr>
        <w:t>We also explore the</w:t>
      </w:r>
      <w:r w:rsidRPr="0067541E">
        <w:rPr>
          <w:rFonts w:asciiTheme="majorHAnsi" w:hAnsiTheme="majorHAnsi"/>
          <w:lang w:val="en-US"/>
        </w:rPr>
        <w:t xml:space="preserve"> </w:t>
      </w:r>
      <w:r w:rsidR="001F6132">
        <w:rPr>
          <w:rFonts w:asciiTheme="majorHAnsi" w:hAnsiTheme="majorHAnsi"/>
          <w:lang w:val="en-US"/>
        </w:rPr>
        <w:t>contrasing behavior of</w:t>
      </w:r>
      <w:r w:rsidRPr="0067541E">
        <w:rPr>
          <w:rFonts w:asciiTheme="majorHAnsi" w:hAnsiTheme="majorHAnsi"/>
          <w:lang w:val="en-US"/>
        </w:rPr>
        <w:t xml:space="preserve"> the PMM and NMM group</w:t>
      </w:r>
      <w:r w:rsidR="00B47208">
        <w:rPr>
          <w:rFonts w:asciiTheme="majorHAnsi" w:hAnsiTheme="majorHAnsi"/>
          <w:lang w:val="en-US"/>
        </w:rPr>
        <w:t>s</w:t>
      </w:r>
      <w:r w:rsidR="001F6132">
        <w:rPr>
          <w:rFonts w:asciiTheme="majorHAnsi" w:hAnsiTheme="majorHAnsi"/>
          <w:lang w:val="en-US"/>
        </w:rPr>
        <w:t>,</w:t>
      </w:r>
      <w:r w:rsidR="0067541E" w:rsidRPr="0067541E">
        <w:rPr>
          <w:rFonts w:asciiTheme="majorHAnsi" w:hAnsiTheme="majorHAnsi"/>
          <w:lang w:val="en-US"/>
        </w:rPr>
        <w:t xml:space="preserve"> </w:t>
      </w:r>
      <w:r w:rsidR="00166D9E">
        <w:rPr>
          <w:rFonts w:asciiTheme="majorHAnsi" w:hAnsiTheme="majorHAnsi"/>
          <w:lang w:val="en-US"/>
        </w:rPr>
        <w:t xml:space="preserve">now defined in terms of their having </w:t>
      </w:r>
      <w:r w:rsidR="001A4E11">
        <w:rPr>
          <w:rFonts w:asciiTheme="majorHAnsi" w:hAnsiTheme="majorHAnsi"/>
          <w:lang w:val="en-US"/>
        </w:rPr>
        <w:t xml:space="preserve">experienced </w:t>
      </w:r>
      <w:r w:rsidR="00166D9E">
        <w:rPr>
          <w:rFonts w:asciiTheme="majorHAnsi" w:hAnsiTheme="majorHAnsi"/>
          <w:lang w:val="en-US"/>
        </w:rPr>
        <w:t xml:space="preserve">more than 90% of </w:t>
      </w:r>
      <w:r w:rsidR="001A4E11">
        <w:rPr>
          <w:rFonts w:asciiTheme="majorHAnsi" w:hAnsiTheme="majorHAnsi"/>
          <w:lang w:val="en-US"/>
        </w:rPr>
        <w:t>the most recent</w:t>
      </w:r>
      <w:r w:rsidR="00166D9E">
        <w:rPr>
          <w:rFonts w:asciiTheme="majorHAnsi" w:hAnsiTheme="majorHAnsi"/>
          <w:lang w:val="en-US"/>
        </w:rPr>
        <w:t xml:space="preserve"> months in </w:t>
      </w:r>
      <w:r w:rsidR="001F6132">
        <w:rPr>
          <w:rFonts w:asciiTheme="majorHAnsi" w:hAnsiTheme="majorHAnsi"/>
          <w:lang w:val="en-US"/>
        </w:rPr>
        <w:t xml:space="preserve">net </w:t>
      </w:r>
      <w:r w:rsidR="00166D9E">
        <w:rPr>
          <w:rFonts w:asciiTheme="majorHAnsi" w:hAnsiTheme="majorHAnsi"/>
          <w:lang w:val="en-US"/>
        </w:rPr>
        <w:t xml:space="preserve">profit or loss, when they </w:t>
      </w:r>
      <w:r w:rsidR="0067541E" w:rsidRPr="0076288A">
        <w:rPr>
          <w:rFonts w:asciiTheme="majorHAnsi" w:hAnsiTheme="majorHAnsi"/>
          <w:lang w:val="en-US"/>
        </w:rPr>
        <w:t xml:space="preserve">move from </w:t>
      </w:r>
      <w:r w:rsidR="001F6132">
        <w:rPr>
          <w:rFonts w:asciiTheme="majorHAnsi" w:hAnsiTheme="majorHAnsi"/>
          <w:lang w:val="en-US"/>
        </w:rPr>
        <w:t>net</w:t>
      </w:r>
      <w:r w:rsidR="001A4E11">
        <w:rPr>
          <w:rFonts w:asciiTheme="majorHAnsi" w:hAnsiTheme="majorHAnsi"/>
          <w:lang w:val="en-US"/>
        </w:rPr>
        <w:t xml:space="preserve"> </w:t>
      </w:r>
      <w:r w:rsidR="0067541E" w:rsidRPr="0076288A">
        <w:rPr>
          <w:rFonts w:asciiTheme="majorHAnsi" w:hAnsiTheme="majorHAnsi"/>
          <w:lang w:val="en-US"/>
        </w:rPr>
        <w:t>profit to loss</w:t>
      </w:r>
      <w:r w:rsidRPr="0067541E">
        <w:rPr>
          <w:rFonts w:asciiTheme="majorHAnsi" w:hAnsiTheme="majorHAnsi"/>
          <w:lang w:val="en-US"/>
        </w:rPr>
        <w:t>.</w:t>
      </w:r>
      <w:r w:rsidR="00A45A36" w:rsidRPr="0067541E">
        <w:rPr>
          <w:rFonts w:asciiTheme="majorHAnsi" w:hAnsiTheme="majorHAnsi"/>
          <w:lang w:val="en-US"/>
        </w:rPr>
        <w:t xml:space="preserve"> </w:t>
      </w:r>
      <w:r w:rsidR="001F6132">
        <w:rPr>
          <w:rFonts w:asciiTheme="majorHAnsi" w:hAnsiTheme="majorHAnsi"/>
          <w:lang w:val="en-US"/>
        </w:rPr>
        <w:t>T</w:t>
      </w:r>
      <w:r w:rsidR="00A45A36" w:rsidRPr="0067541E">
        <w:rPr>
          <w:rFonts w:asciiTheme="majorHAnsi" w:hAnsiTheme="majorHAnsi"/>
          <w:lang w:val="en-US"/>
        </w:rPr>
        <w:t>he results show</w:t>
      </w:r>
      <w:r w:rsidR="00A45A36">
        <w:rPr>
          <w:rFonts w:asciiTheme="majorHAnsi" w:hAnsiTheme="majorHAnsi"/>
          <w:lang w:val="en-US"/>
        </w:rPr>
        <w:t xml:space="preserve"> that the NMM </w:t>
      </w:r>
      <w:r w:rsidR="00B01430">
        <w:rPr>
          <w:rFonts w:asciiTheme="majorHAnsi" w:hAnsiTheme="majorHAnsi"/>
          <w:lang w:val="en-US"/>
        </w:rPr>
        <w:t xml:space="preserve">group </w:t>
      </w:r>
      <w:r w:rsidR="00A45A36">
        <w:rPr>
          <w:rFonts w:asciiTheme="majorHAnsi" w:hAnsiTheme="majorHAnsi"/>
          <w:lang w:val="en-US"/>
        </w:rPr>
        <w:t xml:space="preserve">are </w:t>
      </w:r>
      <w:r w:rsidR="0067541E">
        <w:rPr>
          <w:rFonts w:asciiTheme="majorHAnsi" w:hAnsiTheme="majorHAnsi"/>
          <w:lang w:val="en-US"/>
        </w:rPr>
        <w:t>far</w:t>
      </w:r>
      <w:r w:rsidR="00A45A36">
        <w:rPr>
          <w:rFonts w:asciiTheme="majorHAnsi" w:hAnsiTheme="majorHAnsi"/>
          <w:lang w:val="en-US"/>
        </w:rPr>
        <w:t xml:space="preserve"> more likely to stop trading compared to the PMM group</w:t>
      </w:r>
      <w:r w:rsidR="001F6132">
        <w:rPr>
          <w:rFonts w:asciiTheme="majorHAnsi" w:hAnsiTheme="majorHAnsi"/>
          <w:lang w:val="en-US"/>
        </w:rPr>
        <w:t>, as was the case when we employed our previous definitions of the NMM and PMM groups</w:t>
      </w:r>
      <w:r w:rsidR="00A45A36">
        <w:rPr>
          <w:rFonts w:asciiTheme="majorHAnsi" w:hAnsiTheme="majorHAnsi"/>
          <w:lang w:val="en-US"/>
        </w:rPr>
        <w:t xml:space="preserve">. However, </w:t>
      </w:r>
      <w:r w:rsidR="0067541E">
        <w:rPr>
          <w:rFonts w:asciiTheme="majorHAnsi" w:hAnsiTheme="majorHAnsi"/>
          <w:lang w:val="en-US"/>
        </w:rPr>
        <w:t>the results demonstrate that</w:t>
      </w:r>
      <w:r w:rsidR="00A45A36">
        <w:rPr>
          <w:rFonts w:asciiTheme="majorHAnsi" w:hAnsiTheme="majorHAnsi"/>
          <w:lang w:val="en-US"/>
        </w:rPr>
        <w:t xml:space="preserve"> the </w:t>
      </w:r>
      <w:r w:rsidR="001F6132">
        <w:rPr>
          <w:rFonts w:asciiTheme="majorHAnsi" w:hAnsiTheme="majorHAnsi"/>
          <w:lang w:val="en-US"/>
        </w:rPr>
        <w:t>probability of</w:t>
      </w:r>
      <w:r w:rsidR="00A45A36">
        <w:rPr>
          <w:rFonts w:asciiTheme="majorHAnsi" w:hAnsiTheme="majorHAnsi"/>
          <w:lang w:val="en-US"/>
        </w:rPr>
        <w:t xml:space="preserve"> </w:t>
      </w:r>
      <w:r w:rsidR="00B47208">
        <w:rPr>
          <w:rFonts w:asciiTheme="majorHAnsi" w:hAnsiTheme="majorHAnsi"/>
          <w:lang w:val="en-US"/>
        </w:rPr>
        <w:t>ceas</w:t>
      </w:r>
      <w:r w:rsidR="001F6132">
        <w:rPr>
          <w:rFonts w:asciiTheme="majorHAnsi" w:hAnsiTheme="majorHAnsi"/>
          <w:lang w:val="en-US"/>
        </w:rPr>
        <w:t>ing to trade</w:t>
      </w:r>
      <w:r w:rsidR="00A45A36">
        <w:rPr>
          <w:rFonts w:asciiTheme="majorHAnsi" w:hAnsiTheme="majorHAnsi"/>
          <w:lang w:val="en-US"/>
        </w:rPr>
        <w:t xml:space="preserve"> is </w:t>
      </w:r>
      <w:r w:rsidR="00204A34">
        <w:rPr>
          <w:rFonts w:asciiTheme="majorHAnsi" w:hAnsiTheme="majorHAnsi"/>
          <w:lang w:val="en-US"/>
        </w:rPr>
        <w:t xml:space="preserve">also </w:t>
      </w:r>
      <w:r w:rsidR="00A45A36">
        <w:rPr>
          <w:rFonts w:asciiTheme="majorHAnsi" w:hAnsiTheme="majorHAnsi"/>
          <w:lang w:val="en-US"/>
        </w:rPr>
        <w:t>affected by the</w:t>
      </w:r>
      <w:r w:rsidR="00B01430">
        <w:rPr>
          <w:rFonts w:asciiTheme="majorHAnsi" w:hAnsiTheme="majorHAnsi"/>
          <w:lang w:val="en-US"/>
        </w:rPr>
        <w:t xml:space="preserve"> period they</w:t>
      </w:r>
      <w:r w:rsidR="00A45A36">
        <w:rPr>
          <w:rFonts w:asciiTheme="majorHAnsi" w:hAnsiTheme="majorHAnsi"/>
          <w:lang w:val="en-US"/>
        </w:rPr>
        <w:t xml:space="preserve"> experience </w:t>
      </w:r>
      <w:r w:rsidR="00B47208">
        <w:rPr>
          <w:rFonts w:asciiTheme="majorHAnsi" w:hAnsiTheme="majorHAnsi"/>
          <w:lang w:val="en-US"/>
        </w:rPr>
        <w:t>a high proportion of</w:t>
      </w:r>
      <w:r w:rsidR="00A45A36">
        <w:rPr>
          <w:rFonts w:asciiTheme="majorHAnsi" w:hAnsiTheme="majorHAnsi"/>
          <w:lang w:val="en-US"/>
        </w:rPr>
        <w:t xml:space="preserve"> </w:t>
      </w:r>
      <w:r w:rsidR="00166D9E">
        <w:rPr>
          <w:rFonts w:asciiTheme="majorHAnsi" w:hAnsiTheme="majorHAnsi"/>
          <w:lang w:val="en-US"/>
        </w:rPr>
        <w:t xml:space="preserve">months </w:t>
      </w:r>
      <w:r w:rsidR="001A4E11">
        <w:rPr>
          <w:rFonts w:asciiTheme="majorHAnsi" w:hAnsiTheme="majorHAnsi"/>
          <w:lang w:val="en-US"/>
        </w:rPr>
        <w:t xml:space="preserve">where their </w:t>
      </w:r>
      <w:r w:rsidR="001F6132">
        <w:rPr>
          <w:rFonts w:asciiTheme="majorHAnsi" w:hAnsiTheme="majorHAnsi"/>
          <w:lang w:val="en-US"/>
        </w:rPr>
        <w:t>net</w:t>
      </w:r>
      <w:r w:rsidR="001A4E11">
        <w:rPr>
          <w:rFonts w:asciiTheme="majorHAnsi" w:hAnsiTheme="majorHAnsi"/>
          <w:lang w:val="en-US"/>
        </w:rPr>
        <w:t xml:space="preserve"> returns </w:t>
      </w:r>
      <w:r w:rsidR="001F6132">
        <w:rPr>
          <w:rFonts w:asciiTheme="majorHAnsi" w:hAnsiTheme="majorHAnsi"/>
          <w:lang w:val="en-US"/>
        </w:rPr>
        <w:t>are</w:t>
      </w:r>
      <w:r w:rsidR="001A4E11">
        <w:rPr>
          <w:rFonts w:asciiTheme="majorHAnsi" w:hAnsiTheme="majorHAnsi"/>
          <w:lang w:val="en-US"/>
        </w:rPr>
        <w:t xml:space="preserve"> positive or negative</w:t>
      </w:r>
      <w:r w:rsidR="00A45A36">
        <w:rPr>
          <w:rFonts w:asciiTheme="majorHAnsi" w:hAnsiTheme="majorHAnsi"/>
          <w:lang w:val="en-US"/>
        </w:rPr>
        <w:t>. For the PMM group</w:t>
      </w:r>
      <w:r w:rsidR="00102F60">
        <w:rPr>
          <w:rFonts w:asciiTheme="majorHAnsi" w:hAnsiTheme="majorHAnsi"/>
          <w:lang w:val="en-US"/>
        </w:rPr>
        <w:t xml:space="preserve"> (Figure 3b)</w:t>
      </w:r>
      <w:r w:rsidR="00A45A36">
        <w:rPr>
          <w:rFonts w:asciiTheme="majorHAnsi" w:hAnsiTheme="majorHAnsi"/>
          <w:lang w:val="en-US"/>
        </w:rPr>
        <w:t xml:space="preserve">, there is an upward trend, whereby the longer </w:t>
      </w:r>
      <w:r w:rsidR="00B01430">
        <w:rPr>
          <w:rFonts w:asciiTheme="majorHAnsi" w:hAnsiTheme="majorHAnsi"/>
          <w:lang w:val="en-US"/>
        </w:rPr>
        <w:t>an</w:t>
      </w:r>
      <w:r w:rsidR="00A45A36">
        <w:rPr>
          <w:rFonts w:asciiTheme="majorHAnsi" w:hAnsiTheme="majorHAnsi"/>
          <w:lang w:val="en-US"/>
        </w:rPr>
        <w:t xml:space="preserve"> individual experience</w:t>
      </w:r>
      <w:r w:rsidR="00B01430">
        <w:rPr>
          <w:rFonts w:asciiTheme="majorHAnsi" w:hAnsiTheme="majorHAnsi"/>
          <w:lang w:val="en-US"/>
        </w:rPr>
        <w:t>s</w:t>
      </w:r>
      <w:r w:rsidR="00A45A36">
        <w:rPr>
          <w:rFonts w:asciiTheme="majorHAnsi" w:hAnsiTheme="majorHAnsi"/>
          <w:lang w:val="en-US"/>
        </w:rPr>
        <w:t xml:space="preserve"> </w:t>
      </w:r>
      <w:r w:rsidR="00B47208">
        <w:rPr>
          <w:rFonts w:asciiTheme="majorHAnsi" w:hAnsiTheme="majorHAnsi"/>
          <w:lang w:val="en-US"/>
        </w:rPr>
        <w:t xml:space="preserve">a high proportion of months </w:t>
      </w:r>
      <w:r w:rsidR="001F6132">
        <w:rPr>
          <w:rFonts w:asciiTheme="majorHAnsi" w:hAnsiTheme="majorHAnsi"/>
          <w:lang w:val="en-US"/>
        </w:rPr>
        <w:t>in net profit</w:t>
      </w:r>
      <w:r w:rsidR="00A45A36">
        <w:rPr>
          <w:rFonts w:asciiTheme="majorHAnsi" w:hAnsiTheme="majorHAnsi"/>
          <w:lang w:val="en-US"/>
        </w:rPr>
        <w:t xml:space="preserve"> the more likely </w:t>
      </w:r>
      <w:r w:rsidR="0067541E">
        <w:rPr>
          <w:rFonts w:asciiTheme="majorHAnsi" w:hAnsiTheme="majorHAnsi"/>
          <w:lang w:val="en-US"/>
        </w:rPr>
        <w:t xml:space="preserve">they </w:t>
      </w:r>
      <w:r w:rsidR="00B01430">
        <w:rPr>
          <w:rFonts w:asciiTheme="majorHAnsi" w:hAnsiTheme="majorHAnsi"/>
          <w:lang w:val="en-US"/>
        </w:rPr>
        <w:t>are</w:t>
      </w:r>
      <w:r w:rsidR="0067541E">
        <w:rPr>
          <w:rFonts w:asciiTheme="majorHAnsi" w:hAnsiTheme="majorHAnsi"/>
          <w:lang w:val="en-US"/>
        </w:rPr>
        <w:t xml:space="preserve"> </w:t>
      </w:r>
      <w:r w:rsidR="00A45A36">
        <w:rPr>
          <w:rFonts w:asciiTheme="majorHAnsi" w:hAnsiTheme="majorHAnsi"/>
          <w:lang w:val="en-US"/>
        </w:rPr>
        <w:t xml:space="preserve">to </w:t>
      </w:r>
      <w:r w:rsidR="00166D9E">
        <w:rPr>
          <w:rFonts w:asciiTheme="majorHAnsi" w:hAnsiTheme="majorHAnsi"/>
          <w:lang w:val="en-US"/>
        </w:rPr>
        <w:t xml:space="preserve">cease </w:t>
      </w:r>
      <w:r w:rsidR="00A45A36">
        <w:rPr>
          <w:rFonts w:asciiTheme="majorHAnsi" w:hAnsiTheme="majorHAnsi"/>
          <w:lang w:val="en-US"/>
        </w:rPr>
        <w:t xml:space="preserve">trading when </w:t>
      </w:r>
      <w:r w:rsidR="00444015">
        <w:rPr>
          <w:rFonts w:asciiTheme="majorHAnsi" w:hAnsiTheme="majorHAnsi"/>
          <w:lang w:val="en-US"/>
        </w:rPr>
        <w:t xml:space="preserve">their </w:t>
      </w:r>
      <w:r w:rsidR="00B01430">
        <w:rPr>
          <w:rFonts w:asciiTheme="majorHAnsi" w:hAnsiTheme="majorHAnsi"/>
          <w:lang w:val="en-US"/>
        </w:rPr>
        <w:t>cumulative</w:t>
      </w:r>
      <w:r w:rsidR="00166D9E">
        <w:rPr>
          <w:rFonts w:asciiTheme="majorHAnsi" w:hAnsiTheme="majorHAnsi"/>
          <w:lang w:val="en-US"/>
        </w:rPr>
        <w:t xml:space="preserve"> profit over the period becomes negative</w:t>
      </w:r>
      <w:r w:rsidR="00A45A36">
        <w:rPr>
          <w:rFonts w:asciiTheme="majorHAnsi" w:hAnsiTheme="majorHAnsi"/>
          <w:lang w:val="en-US"/>
        </w:rPr>
        <w:t xml:space="preserve">. Perhaps the longer the individual has </w:t>
      </w:r>
      <w:r w:rsidR="00F34C4F">
        <w:rPr>
          <w:rFonts w:asciiTheme="majorHAnsi" w:hAnsiTheme="majorHAnsi"/>
          <w:lang w:val="en-US"/>
        </w:rPr>
        <w:t>been in</w:t>
      </w:r>
      <w:r w:rsidR="00A45A36">
        <w:rPr>
          <w:rFonts w:asciiTheme="majorHAnsi" w:hAnsiTheme="majorHAnsi"/>
          <w:lang w:val="en-US"/>
        </w:rPr>
        <w:t xml:space="preserve"> profit, the more</w:t>
      </w:r>
      <w:r w:rsidR="0067541E">
        <w:rPr>
          <w:rFonts w:asciiTheme="majorHAnsi" w:hAnsiTheme="majorHAnsi"/>
          <w:lang w:val="en-US"/>
        </w:rPr>
        <w:t xml:space="preserve"> likely </w:t>
      </w:r>
      <w:r w:rsidR="00A45A36">
        <w:rPr>
          <w:rFonts w:asciiTheme="majorHAnsi" w:hAnsiTheme="majorHAnsi"/>
          <w:lang w:val="en-US"/>
        </w:rPr>
        <w:t xml:space="preserve">they are to perceive falling into loss as a signal of </w:t>
      </w:r>
      <w:r w:rsidR="0067541E">
        <w:rPr>
          <w:rFonts w:asciiTheme="majorHAnsi" w:hAnsiTheme="majorHAnsi"/>
          <w:lang w:val="en-US"/>
        </w:rPr>
        <w:t xml:space="preserve">their </w:t>
      </w:r>
      <w:r w:rsidR="00A45A36">
        <w:rPr>
          <w:rFonts w:asciiTheme="majorHAnsi" w:hAnsiTheme="majorHAnsi"/>
          <w:lang w:val="en-US"/>
        </w:rPr>
        <w:t xml:space="preserve">luck changing or </w:t>
      </w:r>
      <w:r w:rsidR="00247DC2">
        <w:rPr>
          <w:rFonts w:asciiTheme="majorHAnsi" w:hAnsiTheme="majorHAnsi"/>
          <w:lang w:val="en-US"/>
        </w:rPr>
        <w:t>their</w:t>
      </w:r>
      <w:r w:rsidR="00A45A36">
        <w:rPr>
          <w:rFonts w:asciiTheme="majorHAnsi" w:hAnsiTheme="majorHAnsi"/>
          <w:lang w:val="en-US"/>
        </w:rPr>
        <w:t xml:space="preserve"> strategy beginning to fail. It is also possible that the losses that </w:t>
      </w:r>
      <w:r w:rsidR="0067541E">
        <w:rPr>
          <w:rFonts w:asciiTheme="majorHAnsi" w:hAnsiTheme="majorHAnsi"/>
          <w:lang w:val="en-US"/>
        </w:rPr>
        <w:t>end</w:t>
      </w:r>
      <w:r w:rsidR="00A45A36">
        <w:rPr>
          <w:rFonts w:asciiTheme="majorHAnsi" w:hAnsiTheme="majorHAnsi"/>
          <w:lang w:val="en-US"/>
        </w:rPr>
        <w:t xml:space="preserve"> a</w:t>
      </w:r>
      <w:r w:rsidR="00B47208">
        <w:rPr>
          <w:rFonts w:asciiTheme="majorHAnsi" w:hAnsiTheme="majorHAnsi"/>
          <w:lang w:val="en-US"/>
        </w:rPr>
        <w:t xml:space="preserve"> </w:t>
      </w:r>
      <w:r w:rsidR="00DA42A7">
        <w:rPr>
          <w:rFonts w:asciiTheme="majorHAnsi" w:hAnsiTheme="majorHAnsi"/>
          <w:lang w:val="en-US"/>
        </w:rPr>
        <w:t xml:space="preserve">long </w:t>
      </w:r>
      <w:r w:rsidR="0067541E">
        <w:rPr>
          <w:rFonts w:asciiTheme="majorHAnsi" w:hAnsiTheme="majorHAnsi"/>
          <w:lang w:val="en-US"/>
        </w:rPr>
        <w:t xml:space="preserve">winning streak </w:t>
      </w:r>
      <w:r w:rsidR="00DA42A7">
        <w:rPr>
          <w:rFonts w:asciiTheme="majorHAnsi" w:hAnsiTheme="majorHAnsi"/>
          <w:lang w:val="en-US"/>
        </w:rPr>
        <w:t xml:space="preserve">(e.g., </w:t>
      </w:r>
      <w:r w:rsidR="00B01430">
        <w:rPr>
          <w:rFonts w:asciiTheme="majorHAnsi" w:hAnsiTheme="majorHAnsi"/>
          <w:lang w:val="en-US"/>
        </w:rPr>
        <w:t xml:space="preserve">after </w:t>
      </w:r>
      <w:r w:rsidR="00102F60">
        <w:rPr>
          <w:rFonts w:asciiTheme="majorHAnsi" w:hAnsiTheme="majorHAnsi"/>
          <w:lang w:val="en-US"/>
        </w:rPr>
        <w:t>36-</w:t>
      </w:r>
      <w:r w:rsidR="00A45A36">
        <w:rPr>
          <w:rFonts w:asciiTheme="majorHAnsi" w:hAnsiTheme="majorHAnsi"/>
          <w:lang w:val="en-US"/>
        </w:rPr>
        <w:t>month</w:t>
      </w:r>
      <w:r w:rsidR="0067541E">
        <w:rPr>
          <w:rFonts w:asciiTheme="majorHAnsi" w:hAnsiTheme="majorHAnsi"/>
          <w:lang w:val="en-US"/>
        </w:rPr>
        <w:t>s</w:t>
      </w:r>
      <w:r w:rsidR="00DA42A7">
        <w:rPr>
          <w:rFonts w:asciiTheme="majorHAnsi" w:hAnsiTheme="majorHAnsi"/>
          <w:lang w:val="en-US"/>
        </w:rPr>
        <w:t>)</w:t>
      </w:r>
      <w:r w:rsidR="0067541E">
        <w:rPr>
          <w:rFonts w:asciiTheme="majorHAnsi" w:hAnsiTheme="majorHAnsi"/>
          <w:lang w:val="en-US"/>
        </w:rPr>
        <w:t xml:space="preserve"> are</w:t>
      </w:r>
      <w:r w:rsidR="00A45A36">
        <w:rPr>
          <w:rFonts w:asciiTheme="majorHAnsi" w:hAnsiTheme="majorHAnsi"/>
          <w:lang w:val="en-US"/>
        </w:rPr>
        <w:t xml:space="preserve"> more emotionally impactful than the losses that end</w:t>
      </w:r>
      <w:r w:rsidR="0067541E">
        <w:rPr>
          <w:rFonts w:asciiTheme="majorHAnsi" w:hAnsiTheme="majorHAnsi"/>
          <w:lang w:val="en-US"/>
        </w:rPr>
        <w:t xml:space="preserve"> a shorter </w:t>
      </w:r>
      <w:r w:rsidR="00DA42A7">
        <w:rPr>
          <w:rFonts w:asciiTheme="majorHAnsi" w:hAnsiTheme="majorHAnsi"/>
          <w:lang w:val="en-US"/>
        </w:rPr>
        <w:t>(e.g.</w:t>
      </w:r>
      <w:r w:rsidR="00314812">
        <w:rPr>
          <w:rFonts w:asciiTheme="majorHAnsi" w:hAnsiTheme="majorHAnsi"/>
          <w:lang w:val="en-US"/>
        </w:rPr>
        <w:t>,</w:t>
      </w:r>
      <w:r w:rsidR="00A45A36">
        <w:rPr>
          <w:rFonts w:asciiTheme="majorHAnsi" w:hAnsiTheme="majorHAnsi"/>
          <w:lang w:val="en-US"/>
        </w:rPr>
        <w:t xml:space="preserve"> 6-month</w:t>
      </w:r>
      <w:r w:rsidR="00DA42A7">
        <w:rPr>
          <w:rFonts w:asciiTheme="majorHAnsi" w:hAnsiTheme="majorHAnsi"/>
          <w:lang w:val="en-US"/>
        </w:rPr>
        <w:t xml:space="preserve">) </w:t>
      </w:r>
      <w:r w:rsidR="00A45A36">
        <w:rPr>
          <w:rFonts w:asciiTheme="majorHAnsi" w:hAnsiTheme="majorHAnsi"/>
          <w:lang w:val="en-US"/>
        </w:rPr>
        <w:t>winning streak.</w:t>
      </w:r>
      <w:r w:rsidR="00102F60">
        <w:rPr>
          <w:rFonts w:asciiTheme="majorHAnsi" w:hAnsiTheme="majorHAnsi"/>
          <w:lang w:val="en-US"/>
        </w:rPr>
        <w:t xml:space="preserve"> </w:t>
      </w:r>
    </w:p>
    <w:p w14:paraId="22C63E75" w14:textId="0050CA65" w:rsidR="00C667ED" w:rsidRDefault="00102F60" w:rsidP="00B87622">
      <w:pPr>
        <w:spacing w:after="0" w:line="480" w:lineRule="auto"/>
        <w:rPr>
          <w:rFonts w:asciiTheme="majorHAnsi" w:hAnsiTheme="majorHAnsi"/>
          <w:lang w:val="en-US"/>
        </w:rPr>
      </w:pPr>
      <w:r>
        <w:rPr>
          <w:rFonts w:asciiTheme="majorHAnsi" w:hAnsiTheme="majorHAnsi"/>
          <w:lang w:val="en-US"/>
        </w:rPr>
        <w:tab/>
      </w:r>
      <w:r w:rsidRPr="00271DEA">
        <w:rPr>
          <w:rFonts w:asciiTheme="majorHAnsi" w:hAnsiTheme="majorHAnsi"/>
          <w:lang w:val="en-US"/>
        </w:rPr>
        <w:t xml:space="preserve">The opposite pattern appears for </w:t>
      </w:r>
      <w:r w:rsidR="00B35267" w:rsidRPr="001410E6">
        <w:rPr>
          <w:rFonts w:asciiTheme="majorHAnsi" w:hAnsiTheme="majorHAnsi"/>
          <w:lang w:val="en-US"/>
        </w:rPr>
        <w:t xml:space="preserve">the </w:t>
      </w:r>
      <w:r w:rsidRPr="00271DEA">
        <w:rPr>
          <w:rFonts w:asciiTheme="majorHAnsi" w:hAnsiTheme="majorHAnsi"/>
          <w:lang w:val="en-US"/>
        </w:rPr>
        <w:t xml:space="preserve">NMM </w:t>
      </w:r>
      <w:r w:rsidR="00DA42A7" w:rsidRPr="00444015">
        <w:rPr>
          <w:rFonts w:asciiTheme="majorHAnsi" w:hAnsiTheme="majorHAnsi"/>
          <w:lang w:val="en-US"/>
        </w:rPr>
        <w:t>group</w:t>
      </w:r>
      <w:r w:rsidRPr="00444015">
        <w:rPr>
          <w:rFonts w:asciiTheme="majorHAnsi" w:hAnsiTheme="majorHAnsi"/>
          <w:lang w:val="en-US"/>
        </w:rPr>
        <w:t xml:space="preserve"> (Figure 3d)</w:t>
      </w:r>
      <w:r w:rsidR="00444015" w:rsidRPr="001410E6">
        <w:rPr>
          <w:rFonts w:asciiTheme="majorHAnsi" w:hAnsiTheme="majorHAnsi"/>
          <w:lang w:val="en-US"/>
        </w:rPr>
        <w:t xml:space="preserve">, defined as those individuals </w:t>
      </w:r>
      <w:r w:rsidR="00444015">
        <w:rPr>
          <w:rFonts w:asciiTheme="majorHAnsi" w:hAnsiTheme="majorHAnsi"/>
          <w:lang w:val="en-US"/>
        </w:rPr>
        <w:t xml:space="preserve">who </w:t>
      </w:r>
      <w:r w:rsidR="00444015" w:rsidRPr="00271DEA">
        <w:rPr>
          <w:rFonts w:asciiTheme="majorHAnsi" w:hAnsiTheme="majorHAnsi"/>
          <w:lang w:val="en-US"/>
        </w:rPr>
        <w:t>hav</w:t>
      </w:r>
      <w:r w:rsidR="00444015">
        <w:rPr>
          <w:rFonts w:asciiTheme="majorHAnsi" w:hAnsiTheme="majorHAnsi"/>
          <w:lang w:val="en-US"/>
        </w:rPr>
        <w:t>e</w:t>
      </w:r>
      <w:r w:rsidR="00444015" w:rsidRPr="00271DEA">
        <w:rPr>
          <w:rFonts w:asciiTheme="majorHAnsi" w:hAnsiTheme="majorHAnsi"/>
          <w:lang w:val="en-US"/>
        </w:rPr>
        <w:t xml:space="preserve"> experienced more than 90% of the most recent months in loss</w:t>
      </w:r>
      <w:r w:rsidR="00DA42A7" w:rsidRPr="00444015">
        <w:rPr>
          <w:rFonts w:asciiTheme="majorHAnsi" w:hAnsiTheme="majorHAnsi"/>
          <w:lang w:val="en-US"/>
        </w:rPr>
        <w:t>.</w:t>
      </w:r>
      <w:r w:rsidRPr="00444015">
        <w:rPr>
          <w:rFonts w:asciiTheme="majorHAnsi" w:hAnsiTheme="majorHAnsi"/>
          <w:lang w:val="en-US"/>
        </w:rPr>
        <w:t xml:space="preserve"> </w:t>
      </w:r>
      <w:r w:rsidR="00DA42A7" w:rsidRPr="00444015">
        <w:rPr>
          <w:rFonts w:asciiTheme="majorHAnsi" w:hAnsiTheme="majorHAnsi"/>
          <w:lang w:val="en-US"/>
        </w:rPr>
        <w:t xml:space="preserve">In particular, </w:t>
      </w:r>
      <w:r w:rsidRPr="00444015">
        <w:rPr>
          <w:rFonts w:asciiTheme="majorHAnsi" w:hAnsiTheme="majorHAnsi"/>
          <w:lang w:val="en-US"/>
        </w:rPr>
        <w:t xml:space="preserve">the </w:t>
      </w:r>
      <w:r w:rsidR="00B47208" w:rsidRPr="00444015">
        <w:rPr>
          <w:rFonts w:asciiTheme="majorHAnsi" w:hAnsiTheme="majorHAnsi"/>
          <w:lang w:val="en-US"/>
        </w:rPr>
        <w:t xml:space="preserve">longer </w:t>
      </w:r>
      <w:r w:rsidR="000F49F0">
        <w:rPr>
          <w:rFonts w:asciiTheme="majorHAnsi" w:hAnsiTheme="majorHAnsi"/>
          <w:lang w:val="en-US"/>
        </w:rPr>
        <w:t xml:space="preserve">the </w:t>
      </w:r>
      <w:r w:rsidR="00B47208" w:rsidRPr="00271DEA">
        <w:rPr>
          <w:rFonts w:asciiTheme="majorHAnsi" w:hAnsiTheme="majorHAnsi"/>
          <w:lang w:val="en-US"/>
        </w:rPr>
        <w:t>period</w:t>
      </w:r>
      <w:r w:rsidRPr="00271DEA">
        <w:rPr>
          <w:rFonts w:asciiTheme="majorHAnsi" w:hAnsiTheme="majorHAnsi"/>
          <w:lang w:val="en-US"/>
        </w:rPr>
        <w:t xml:space="preserve"> the</w:t>
      </w:r>
      <w:r w:rsidR="00DA42A7" w:rsidRPr="00444015">
        <w:rPr>
          <w:rFonts w:asciiTheme="majorHAnsi" w:hAnsiTheme="majorHAnsi"/>
          <w:lang w:val="en-US"/>
        </w:rPr>
        <w:t>se</w:t>
      </w:r>
      <w:r w:rsidRPr="00444015">
        <w:rPr>
          <w:rFonts w:asciiTheme="majorHAnsi" w:hAnsiTheme="majorHAnsi"/>
          <w:lang w:val="en-US"/>
        </w:rPr>
        <w:t xml:space="preserve"> individual</w:t>
      </w:r>
      <w:r w:rsidR="00DA42A7" w:rsidRPr="00444015">
        <w:rPr>
          <w:rFonts w:asciiTheme="majorHAnsi" w:hAnsiTheme="majorHAnsi"/>
          <w:lang w:val="en-US"/>
        </w:rPr>
        <w:t>s</w:t>
      </w:r>
      <w:r w:rsidRPr="00444015">
        <w:rPr>
          <w:rFonts w:asciiTheme="majorHAnsi" w:hAnsiTheme="majorHAnsi"/>
          <w:lang w:val="en-US"/>
        </w:rPr>
        <w:t xml:space="preserve"> experience</w:t>
      </w:r>
      <w:r w:rsidR="00B47208" w:rsidRPr="00444015">
        <w:rPr>
          <w:rFonts w:asciiTheme="majorHAnsi" w:hAnsiTheme="majorHAnsi"/>
          <w:lang w:val="en-US"/>
        </w:rPr>
        <w:t xml:space="preserve"> a high proportion of months </w:t>
      </w:r>
      <w:r w:rsidR="001F6132">
        <w:rPr>
          <w:rFonts w:asciiTheme="majorHAnsi" w:hAnsiTheme="majorHAnsi"/>
          <w:lang w:val="en-US"/>
        </w:rPr>
        <w:t>in net loss</w:t>
      </w:r>
      <w:r w:rsidR="00314812">
        <w:rPr>
          <w:rFonts w:asciiTheme="majorHAnsi" w:hAnsiTheme="majorHAnsi"/>
          <w:lang w:val="en-US"/>
        </w:rPr>
        <w:t>,</w:t>
      </w:r>
      <w:r w:rsidR="000F49F0">
        <w:rPr>
          <w:rFonts w:asciiTheme="majorHAnsi" w:hAnsiTheme="majorHAnsi"/>
          <w:lang w:val="en-US"/>
        </w:rPr>
        <w:t xml:space="preserve"> </w:t>
      </w:r>
      <w:r w:rsidR="00644058" w:rsidRPr="00444015">
        <w:rPr>
          <w:rFonts w:asciiTheme="majorHAnsi" w:hAnsiTheme="majorHAnsi"/>
          <w:lang w:val="en-US"/>
        </w:rPr>
        <w:t xml:space="preserve">the </w:t>
      </w:r>
      <w:r w:rsidR="000F49F0">
        <w:rPr>
          <w:rFonts w:asciiTheme="majorHAnsi" w:hAnsiTheme="majorHAnsi"/>
          <w:lang w:val="en-US"/>
        </w:rPr>
        <w:t>less they are likely to</w:t>
      </w:r>
      <w:r w:rsidR="00644058" w:rsidRPr="00271DEA">
        <w:rPr>
          <w:rFonts w:asciiTheme="majorHAnsi" w:hAnsiTheme="majorHAnsi"/>
          <w:lang w:val="en-US"/>
        </w:rPr>
        <w:t xml:space="preserve"> </w:t>
      </w:r>
      <w:r w:rsidR="00DA42A7" w:rsidRPr="00444015">
        <w:rPr>
          <w:rFonts w:asciiTheme="majorHAnsi" w:hAnsiTheme="majorHAnsi"/>
          <w:lang w:val="en-US"/>
        </w:rPr>
        <w:t xml:space="preserve">cease trading </w:t>
      </w:r>
      <w:r w:rsidR="000F49F0">
        <w:rPr>
          <w:rFonts w:asciiTheme="majorHAnsi" w:hAnsiTheme="majorHAnsi"/>
          <w:lang w:val="en-US"/>
        </w:rPr>
        <w:t>in a month</w:t>
      </w:r>
      <w:r w:rsidR="00644058" w:rsidRPr="00271DEA">
        <w:rPr>
          <w:rFonts w:asciiTheme="majorHAnsi" w:hAnsiTheme="majorHAnsi"/>
          <w:lang w:val="en-US"/>
        </w:rPr>
        <w:t xml:space="preserve"> </w:t>
      </w:r>
      <w:r w:rsidR="000F49F0">
        <w:rPr>
          <w:rFonts w:asciiTheme="majorHAnsi" w:hAnsiTheme="majorHAnsi"/>
          <w:lang w:val="en-US"/>
        </w:rPr>
        <w:t xml:space="preserve">when their cumulative </w:t>
      </w:r>
      <w:r w:rsidR="00644058" w:rsidRPr="00271DEA">
        <w:rPr>
          <w:rFonts w:asciiTheme="majorHAnsi" w:hAnsiTheme="majorHAnsi"/>
          <w:lang w:val="en-US"/>
        </w:rPr>
        <w:t>return</w:t>
      </w:r>
      <w:r w:rsidR="000F49F0">
        <w:rPr>
          <w:rFonts w:asciiTheme="majorHAnsi" w:hAnsiTheme="majorHAnsi"/>
          <w:lang w:val="en-US"/>
        </w:rPr>
        <w:t xml:space="preserve"> changes from positive to negative.</w:t>
      </w:r>
      <w:r w:rsidR="00644058" w:rsidRPr="00444015">
        <w:rPr>
          <w:rFonts w:asciiTheme="majorHAnsi" w:hAnsiTheme="majorHAnsi"/>
          <w:lang w:val="en-US"/>
        </w:rPr>
        <w:t xml:space="preserve">  </w:t>
      </w:r>
      <w:r w:rsidR="00DA42A7" w:rsidRPr="00444015">
        <w:rPr>
          <w:rFonts w:asciiTheme="majorHAnsi" w:hAnsiTheme="majorHAnsi"/>
          <w:lang w:val="en-US"/>
        </w:rPr>
        <w:t>A</w:t>
      </w:r>
      <w:r w:rsidR="00644058" w:rsidRPr="00444015">
        <w:rPr>
          <w:rFonts w:asciiTheme="majorHAnsi" w:hAnsiTheme="majorHAnsi"/>
          <w:lang w:val="en-US"/>
        </w:rPr>
        <w:t xml:space="preserve">s discussed </w:t>
      </w:r>
      <w:r w:rsidR="000F49F0">
        <w:rPr>
          <w:rFonts w:asciiTheme="majorHAnsi" w:hAnsiTheme="majorHAnsi"/>
          <w:lang w:val="en-US"/>
        </w:rPr>
        <w:t>above</w:t>
      </w:r>
      <w:r w:rsidR="00644058" w:rsidRPr="00271DEA">
        <w:rPr>
          <w:rFonts w:asciiTheme="majorHAnsi" w:hAnsiTheme="majorHAnsi"/>
          <w:lang w:val="en-US"/>
        </w:rPr>
        <w:t xml:space="preserve">, it is uncertain </w:t>
      </w:r>
      <w:r w:rsidR="00644058" w:rsidRPr="00444015">
        <w:rPr>
          <w:rFonts w:asciiTheme="majorHAnsi" w:hAnsiTheme="majorHAnsi"/>
          <w:lang w:val="en-US"/>
        </w:rPr>
        <w:t xml:space="preserve">whether there are important differences </w:t>
      </w:r>
      <w:r w:rsidR="000F49F0">
        <w:rPr>
          <w:rFonts w:asciiTheme="majorHAnsi" w:hAnsiTheme="majorHAnsi"/>
          <w:lang w:val="en-US"/>
        </w:rPr>
        <w:t>between</w:t>
      </w:r>
      <w:r w:rsidR="00644058" w:rsidRPr="00271DEA">
        <w:rPr>
          <w:rFonts w:asciiTheme="majorHAnsi" w:hAnsiTheme="majorHAnsi"/>
          <w:lang w:val="en-US"/>
        </w:rPr>
        <w:t xml:space="preserve"> </w:t>
      </w:r>
      <w:r w:rsidR="00644058" w:rsidRPr="00444015">
        <w:rPr>
          <w:rFonts w:asciiTheme="majorHAnsi" w:hAnsiTheme="majorHAnsi"/>
          <w:lang w:val="en-US"/>
        </w:rPr>
        <w:t xml:space="preserve">the types of individual who continue trading </w:t>
      </w:r>
      <w:r w:rsidR="00DA42A7" w:rsidRPr="00444015">
        <w:rPr>
          <w:rFonts w:asciiTheme="majorHAnsi" w:hAnsiTheme="majorHAnsi"/>
          <w:lang w:val="en-US"/>
        </w:rPr>
        <w:t xml:space="preserve">for </w:t>
      </w:r>
      <w:r w:rsidR="000F49F0">
        <w:rPr>
          <w:rFonts w:asciiTheme="majorHAnsi" w:hAnsiTheme="majorHAnsi"/>
          <w:lang w:val="en-US"/>
        </w:rPr>
        <w:t>a long period (e.g., 36 months)</w:t>
      </w:r>
      <w:r w:rsidR="00644058" w:rsidRPr="00271DEA">
        <w:rPr>
          <w:rFonts w:asciiTheme="majorHAnsi" w:hAnsiTheme="majorHAnsi"/>
          <w:lang w:val="en-US"/>
        </w:rPr>
        <w:t xml:space="preserve"> </w:t>
      </w:r>
      <w:r w:rsidR="00426F84">
        <w:rPr>
          <w:rFonts w:asciiTheme="majorHAnsi" w:hAnsiTheme="majorHAnsi"/>
          <w:lang w:val="en-US"/>
        </w:rPr>
        <w:t xml:space="preserve">and a short period (e.g. 6 months) </w:t>
      </w:r>
      <w:r w:rsidR="00DA42A7" w:rsidRPr="00271DEA">
        <w:rPr>
          <w:rFonts w:asciiTheme="majorHAnsi" w:hAnsiTheme="majorHAnsi"/>
          <w:lang w:val="en-US"/>
        </w:rPr>
        <w:t>despite</w:t>
      </w:r>
      <w:r w:rsidR="000F49F0">
        <w:rPr>
          <w:rFonts w:asciiTheme="majorHAnsi" w:hAnsiTheme="majorHAnsi"/>
          <w:lang w:val="en-US"/>
        </w:rPr>
        <w:t xml:space="preserve"> their cumulative returns being negative for more than </w:t>
      </w:r>
      <w:r w:rsidR="00644058" w:rsidRPr="00444015">
        <w:rPr>
          <w:rFonts w:asciiTheme="majorHAnsi" w:hAnsiTheme="majorHAnsi"/>
          <w:lang w:val="en-US"/>
        </w:rPr>
        <w:t xml:space="preserve">90% </w:t>
      </w:r>
      <w:r w:rsidR="00DA42A7" w:rsidRPr="00444015">
        <w:rPr>
          <w:rFonts w:asciiTheme="majorHAnsi" w:hAnsiTheme="majorHAnsi"/>
          <w:lang w:val="en-US"/>
        </w:rPr>
        <w:t>of these</w:t>
      </w:r>
      <w:r w:rsidR="00644058" w:rsidRPr="00444015">
        <w:rPr>
          <w:rFonts w:asciiTheme="majorHAnsi" w:hAnsiTheme="majorHAnsi"/>
          <w:lang w:val="en-US"/>
        </w:rPr>
        <w:t xml:space="preserve"> months</w:t>
      </w:r>
      <w:r w:rsidR="00426F84">
        <w:rPr>
          <w:rFonts w:asciiTheme="majorHAnsi" w:hAnsiTheme="majorHAnsi"/>
          <w:lang w:val="en-US"/>
        </w:rPr>
        <w:t>. I</w:t>
      </w:r>
      <w:r w:rsidR="00644058" w:rsidRPr="00271DEA">
        <w:rPr>
          <w:rFonts w:asciiTheme="majorHAnsi" w:hAnsiTheme="majorHAnsi"/>
          <w:lang w:val="en-US"/>
        </w:rPr>
        <w:t xml:space="preserve">t </w:t>
      </w:r>
      <w:r w:rsidR="00426F84">
        <w:rPr>
          <w:rFonts w:asciiTheme="majorHAnsi" w:hAnsiTheme="majorHAnsi"/>
          <w:lang w:val="en-US"/>
        </w:rPr>
        <w:t xml:space="preserve">is </w:t>
      </w:r>
      <w:r w:rsidR="00644058" w:rsidRPr="00271DEA">
        <w:rPr>
          <w:rFonts w:asciiTheme="majorHAnsi" w:hAnsiTheme="majorHAnsi"/>
          <w:lang w:val="en-US"/>
        </w:rPr>
        <w:t>certainly possible that the 36-month group could contain more problem gambler types than those in the 6-month group.</w:t>
      </w:r>
      <w:r w:rsidR="00644058">
        <w:rPr>
          <w:rFonts w:asciiTheme="majorHAnsi" w:hAnsiTheme="majorHAnsi"/>
          <w:lang w:val="en-US"/>
        </w:rPr>
        <w:t xml:space="preserve"> </w:t>
      </w:r>
    </w:p>
    <w:p w14:paraId="4223E770" w14:textId="77777777" w:rsidR="00C667ED" w:rsidRPr="001410E6" w:rsidRDefault="00C667ED" w:rsidP="00B87622">
      <w:pPr>
        <w:spacing w:after="0" w:line="480" w:lineRule="auto"/>
        <w:rPr>
          <w:rFonts w:asciiTheme="majorHAnsi" w:hAnsiTheme="majorHAnsi"/>
          <w:lang w:val="en-US"/>
        </w:rPr>
      </w:pPr>
    </w:p>
    <w:p w14:paraId="2C725780" w14:textId="77777777" w:rsidR="00B87622" w:rsidRPr="00D80A06" w:rsidRDefault="007468EE" w:rsidP="00B87622">
      <w:pPr>
        <w:spacing w:after="0" w:line="480" w:lineRule="auto"/>
        <w:rPr>
          <w:rFonts w:asciiTheme="majorHAnsi" w:hAnsiTheme="majorHAnsi"/>
          <w:b/>
          <w:lang w:val="en-US"/>
        </w:rPr>
      </w:pPr>
      <w:r w:rsidRPr="00D80A06">
        <w:rPr>
          <w:rFonts w:asciiTheme="majorHAnsi" w:hAnsiTheme="majorHAnsi"/>
          <w:b/>
          <w:lang w:val="en-US"/>
        </w:rPr>
        <w:t xml:space="preserve">4 </w:t>
      </w:r>
      <w:r w:rsidR="00D80F55" w:rsidRPr="00D80A06">
        <w:rPr>
          <w:rFonts w:asciiTheme="majorHAnsi" w:hAnsiTheme="majorHAnsi"/>
          <w:b/>
          <w:lang w:val="en-US"/>
        </w:rPr>
        <w:t>DISCUSSION</w:t>
      </w:r>
    </w:p>
    <w:p w14:paraId="2D93C425" w14:textId="323994D7" w:rsidR="00BA0595" w:rsidRDefault="00D36D5D" w:rsidP="00BB1F0D">
      <w:pPr>
        <w:spacing w:after="0" w:line="480" w:lineRule="auto"/>
        <w:rPr>
          <w:rFonts w:asciiTheme="majorHAnsi" w:hAnsiTheme="majorHAnsi"/>
          <w:lang w:val="en-US"/>
        </w:rPr>
      </w:pPr>
      <w:r w:rsidRPr="00D80A06">
        <w:rPr>
          <w:rFonts w:asciiTheme="majorHAnsi" w:hAnsiTheme="majorHAnsi"/>
          <w:lang w:val="en-US"/>
        </w:rPr>
        <w:t>Our results consistently show</w:t>
      </w:r>
      <w:r w:rsidR="00A51F09" w:rsidRPr="00D80A06">
        <w:rPr>
          <w:rFonts w:asciiTheme="majorHAnsi" w:hAnsiTheme="majorHAnsi"/>
          <w:lang w:val="en-US"/>
        </w:rPr>
        <w:t xml:space="preserve"> </w:t>
      </w:r>
      <w:r w:rsidRPr="00D80A06">
        <w:rPr>
          <w:rFonts w:asciiTheme="majorHAnsi" w:hAnsiTheme="majorHAnsi"/>
          <w:lang w:val="en-US"/>
        </w:rPr>
        <w:t>that</w:t>
      </w:r>
      <w:r w:rsidR="00715EF3" w:rsidRPr="00D80A06">
        <w:rPr>
          <w:rFonts w:asciiTheme="majorHAnsi" w:hAnsiTheme="majorHAnsi"/>
          <w:lang w:val="en-US"/>
        </w:rPr>
        <w:t xml:space="preserve"> </w:t>
      </w:r>
      <w:r w:rsidR="00A0175B" w:rsidRPr="00D80A06">
        <w:rPr>
          <w:rFonts w:asciiTheme="majorHAnsi" w:hAnsiTheme="majorHAnsi"/>
          <w:lang w:val="en-US"/>
        </w:rPr>
        <w:t>individuals</w:t>
      </w:r>
      <w:r w:rsidRPr="00D80A06">
        <w:rPr>
          <w:rFonts w:asciiTheme="majorHAnsi" w:hAnsiTheme="majorHAnsi"/>
          <w:lang w:val="en-US"/>
        </w:rPr>
        <w:t xml:space="preserve"> </w:t>
      </w:r>
      <w:r w:rsidR="00C86AFC" w:rsidRPr="00D80A06">
        <w:rPr>
          <w:rFonts w:asciiTheme="majorHAnsi" w:hAnsiTheme="majorHAnsi"/>
          <w:lang w:val="en-US"/>
        </w:rPr>
        <w:t xml:space="preserve">do </w:t>
      </w:r>
      <w:r w:rsidRPr="00D80A06">
        <w:rPr>
          <w:rFonts w:asciiTheme="majorHAnsi" w:hAnsiTheme="majorHAnsi"/>
          <w:lang w:val="en-US"/>
        </w:rPr>
        <w:t xml:space="preserve">not only stop </w:t>
      </w:r>
      <w:r w:rsidR="00A0175B" w:rsidRPr="00D80A06">
        <w:rPr>
          <w:rFonts w:asciiTheme="majorHAnsi" w:hAnsiTheme="majorHAnsi"/>
          <w:lang w:val="en-US"/>
        </w:rPr>
        <w:t xml:space="preserve">a RA </w:t>
      </w:r>
      <w:r w:rsidRPr="00D80A06">
        <w:rPr>
          <w:rFonts w:asciiTheme="majorHAnsi" w:hAnsiTheme="majorHAnsi"/>
          <w:lang w:val="en-US"/>
        </w:rPr>
        <w:t xml:space="preserve">once they </w:t>
      </w:r>
      <w:r w:rsidR="00276D7B" w:rsidRPr="00D80A06">
        <w:rPr>
          <w:rFonts w:asciiTheme="majorHAnsi" w:hAnsiTheme="majorHAnsi"/>
          <w:lang w:val="en-US"/>
        </w:rPr>
        <w:t>ha</w:t>
      </w:r>
      <w:r w:rsidR="00A0175B" w:rsidRPr="00D80A06">
        <w:rPr>
          <w:rFonts w:asciiTheme="majorHAnsi" w:hAnsiTheme="majorHAnsi"/>
          <w:lang w:val="en-US"/>
        </w:rPr>
        <w:t>ve</w:t>
      </w:r>
      <w:r w:rsidR="00276D7B" w:rsidRPr="00D80A06">
        <w:rPr>
          <w:rFonts w:asciiTheme="majorHAnsi" w:hAnsiTheme="majorHAnsi"/>
          <w:lang w:val="en-US"/>
        </w:rPr>
        <w:t xml:space="preserve"> </w:t>
      </w:r>
      <w:r w:rsidR="000D5992" w:rsidRPr="00D80A06">
        <w:rPr>
          <w:rFonts w:asciiTheme="majorHAnsi" w:hAnsiTheme="majorHAnsi"/>
          <w:lang w:val="en-US"/>
        </w:rPr>
        <w:t>experienced</w:t>
      </w:r>
      <w:r w:rsidR="000D5992">
        <w:rPr>
          <w:rFonts w:asciiTheme="majorHAnsi" w:hAnsiTheme="majorHAnsi"/>
          <w:lang w:val="en-US"/>
        </w:rPr>
        <w:t xml:space="preserve"> </w:t>
      </w:r>
      <w:r w:rsidR="00276D7B">
        <w:rPr>
          <w:rFonts w:asciiTheme="majorHAnsi" w:hAnsiTheme="majorHAnsi"/>
          <w:lang w:val="en-US"/>
        </w:rPr>
        <w:t>heavy losses</w:t>
      </w:r>
      <w:r>
        <w:rPr>
          <w:rFonts w:asciiTheme="majorHAnsi" w:hAnsiTheme="majorHAnsi"/>
          <w:lang w:val="en-US"/>
        </w:rPr>
        <w:t xml:space="preserve">. </w:t>
      </w:r>
      <w:r w:rsidR="007468EE">
        <w:rPr>
          <w:rFonts w:asciiTheme="majorHAnsi" w:hAnsiTheme="majorHAnsi"/>
          <w:lang w:val="en-US"/>
        </w:rPr>
        <w:t>Frequently</w:t>
      </w:r>
      <w:r>
        <w:rPr>
          <w:rFonts w:asciiTheme="majorHAnsi" w:hAnsiTheme="majorHAnsi"/>
          <w:lang w:val="en-US"/>
        </w:rPr>
        <w:t xml:space="preserve">, they stop when there </w:t>
      </w:r>
      <w:r w:rsidR="00C86AFC">
        <w:rPr>
          <w:rFonts w:asciiTheme="majorHAnsi" w:hAnsiTheme="majorHAnsi"/>
          <w:lang w:val="en-US"/>
        </w:rPr>
        <w:t xml:space="preserve">is </w:t>
      </w:r>
      <w:r>
        <w:rPr>
          <w:rFonts w:asciiTheme="majorHAnsi" w:hAnsiTheme="majorHAnsi"/>
          <w:lang w:val="en-US"/>
        </w:rPr>
        <w:t xml:space="preserve">a </w:t>
      </w:r>
      <w:r w:rsidRPr="0016286A">
        <w:rPr>
          <w:rFonts w:asciiTheme="majorHAnsi" w:hAnsiTheme="majorHAnsi"/>
          <w:lang w:val="en-US"/>
        </w:rPr>
        <w:t>risk of losing</w:t>
      </w:r>
      <w:r>
        <w:rPr>
          <w:rFonts w:asciiTheme="majorHAnsi" w:hAnsiTheme="majorHAnsi"/>
          <w:lang w:val="en-US"/>
        </w:rPr>
        <w:t xml:space="preserve"> </w:t>
      </w:r>
      <w:r w:rsidR="00A51F09">
        <w:rPr>
          <w:rFonts w:asciiTheme="majorHAnsi" w:hAnsiTheme="majorHAnsi"/>
          <w:lang w:val="en-US"/>
        </w:rPr>
        <w:t xml:space="preserve">only </w:t>
      </w:r>
      <w:r>
        <w:rPr>
          <w:rFonts w:asciiTheme="majorHAnsi" w:hAnsiTheme="majorHAnsi"/>
          <w:lang w:val="en-US"/>
        </w:rPr>
        <w:t>a small amount of the original amount invested</w:t>
      </w:r>
      <w:r w:rsidR="00143150">
        <w:rPr>
          <w:rFonts w:asciiTheme="majorHAnsi" w:hAnsiTheme="majorHAnsi"/>
          <w:lang w:val="en-US"/>
        </w:rPr>
        <w:t xml:space="preserve"> and sometimes</w:t>
      </w:r>
      <w:r w:rsidR="007D4B46">
        <w:rPr>
          <w:rFonts w:asciiTheme="majorHAnsi" w:hAnsiTheme="majorHAnsi"/>
          <w:lang w:val="en-US"/>
        </w:rPr>
        <w:t xml:space="preserve"> are more likely to </w:t>
      </w:r>
      <w:r w:rsidR="00C86AFC">
        <w:rPr>
          <w:rFonts w:asciiTheme="majorHAnsi" w:hAnsiTheme="majorHAnsi"/>
          <w:lang w:val="en-US"/>
        </w:rPr>
        <w:t xml:space="preserve">stop </w:t>
      </w:r>
      <w:r w:rsidR="00143150">
        <w:rPr>
          <w:rFonts w:asciiTheme="majorHAnsi" w:hAnsiTheme="majorHAnsi"/>
          <w:lang w:val="en-US"/>
        </w:rPr>
        <w:t xml:space="preserve">having recently </w:t>
      </w:r>
      <w:r w:rsidR="007D4B46">
        <w:rPr>
          <w:rFonts w:asciiTheme="majorHAnsi" w:hAnsiTheme="majorHAnsi"/>
          <w:lang w:val="en-US"/>
        </w:rPr>
        <w:t xml:space="preserve">made a </w:t>
      </w:r>
      <w:r w:rsidR="00D80A06">
        <w:rPr>
          <w:rFonts w:asciiTheme="majorHAnsi" w:hAnsiTheme="majorHAnsi"/>
          <w:lang w:val="en-US"/>
        </w:rPr>
        <w:t xml:space="preserve">net </w:t>
      </w:r>
      <w:r w:rsidR="007D4B46">
        <w:rPr>
          <w:rFonts w:asciiTheme="majorHAnsi" w:hAnsiTheme="majorHAnsi"/>
          <w:lang w:val="en-US"/>
        </w:rPr>
        <w:t>profit from the RA</w:t>
      </w:r>
      <w:r>
        <w:rPr>
          <w:rFonts w:asciiTheme="majorHAnsi" w:hAnsiTheme="majorHAnsi"/>
          <w:lang w:val="en-US"/>
        </w:rPr>
        <w:t>.</w:t>
      </w:r>
      <w:r w:rsidR="00506535">
        <w:rPr>
          <w:rFonts w:asciiTheme="majorHAnsi" w:hAnsiTheme="majorHAnsi"/>
          <w:lang w:val="en-US"/>
        </w:rPr>
        <w:t xml:space="preserve"> </w:t>
      </w:r>
      <w:r w:rsidR="008441ED">
        <w:rPr>
          <w:rFonts w:asciiTheme="majorHAnsi" w:hAnsiTheme="majorHAnsi"/>
          <w:lang w:val="en-US"/>
        </w:rPr>
        <w:t>Significantly, their decision to stop</w:t>
      </w:r>
      <w:r w:rsidR="00426F84">
        <w:rPr>
          <w:rFonts w:asciiTheme="majorHAnsi" w:hAnsiTheme="majorHAnsi"/>
          <w:lang w:val="en-US"/>
        </w:rPr>
        <w:t xml:space="preserve"> </w:t>
      </w:r>
      <w:r w:rsidR="008441ED">
        <w:rPr>
          <w:rFonts w:asciiTheme="majorHAnsi" w:hAnsiTheme="majorHAnsi"/>
          <w:lang w:val="en-US"/>
        </w:rPr>
        <w:t>trading appears influenced by</w:t>
      </w:r>
      <w:r w:rsidR="00A0175B">
        <w:rPr>
          <w:rFonts w:asciiTheme="majorHAnsi" w:hAnsiTheme="majorHAnsi"/>
          <w:lang w:val="en-US"/>
        </w:rPr>
        <w:t xml:space="preserve"> recent changes in </w:t>
      </w:r>
      <w:r w:rsidR="008441ED">
        <w:rPr>
          <w:rFonts w:asciiTheme="majorHAnsi" w:hAnsiTheme="majorHAnsi"/>
          <w:lang w:val="en-US"/>
        </w:rPr>
        <w:t xml:space="preserve">their </w:t>
      </w:r>
      <w:r w:rsidR="00426F84">
        <w:rPr>
          <w:rFonts w:asciiTheme="majorHAnsi" w:hAnsiTheme="majorHAnsi"/>
          <w:lang w:val="en-US"/>
        </w:rPr>
        <w:t xml:space="preserve">cumulative returns </w:t>
      </w:r>
      <w:r w:rsidR="008441ED">
        <w:rPr>
          <w:rFonts w:asciiTheme="majorHAnsi" w:hAnsiTheme="majorHAnsi"/>
          <w:lang w:val="en-US"/>
        </w:rPr>
        <w:t xml:space="preserve">around the break-even point and this effect depends </w:t>
      </w:r>
      <w:r w:rsidR="00A0175B">
        <w:rPr>
          <w:rFonts w:asciiTheme="majorHAnsi" w:hAnsiTheme="majorHAnsi"/>
          <w:lang w:val="en-US"/>
        </w:rPr>
        <w:t>on the individuals</w:t>
      </w:r>
      <w:r w:rsidR="00A51F09">
        <w:rPr>
          <w:rFonts w:asciiTheme="majorHAnsi" w:hAnsiTheme="majorHAnsi"/>
          <w:lang w:val="en-US"/>
        </w:rPr>
        <w:t>’</w:t>
      </w:r>
      <w:r w:rsidR="00A0175B">
        <w:rPr>
          <w:rFonts w:asciiTheme="majorHAnsi" w:hAnsiTheme="majorHAnsi"/>
          <w:lang w:val="en-US"/>
        </w:rPr>
        <w:t xml:space="preserve"> longer-term performance. </w:t>
      </w:r>
      <w:r w:rsidR="00C45384">
        <w:rPr>
          <w:rFonts w:asciiTheme="majorHAnsi" w:hAnsiTheme="majorHAnsi"/>
          <w:lang w:val="en-US"/>
        </w:rPr>
        <w:t>We suspect</w:t>
      </w:r>
      <w:r w:rsidR="00A0175B">
        <w:rPr>
          <w:rFonts w:asciiTheme="majorHAnsi" w:hAnsiTheme="majorHAnsi"/>
          <w:lang w:val="en-US"/>
        </w:rPr>
        <w:t xml:space="preserve"> that individuals form a mental model associated with their longer-term performance</w:t>
      </w:r>
      <w:r w:rsidR="0038045E">
        <w:rPr>
          <w:rFonts w:asciiTheme="majorHAnsi" w:hAnsiTheme="majorHAnsi"/>
          <w:lang w:val="en-US"/>
        </w:rPr>
        <w:t xml:space="preserve"> and this then</w:t>
      </w:r>
      <w:r w:rsidR="00BC7691">
        <w:rPr>
          <w:rFonts w:asciiTheme="majorHAnsi" w:hAnsiTheme="majorHAnsi"/>
          <w:lang w:val="en-US"/>
        </w:rPr>
        <w:t xml:space="preserve"> </w:t>
      </w:r>
      <w:r w:rsidR="00A0175B">
        <w:rPr>
          <w:rFonts w:asciiTheme="majorHAnsi" w:hAnsiTheme="majorHAnsi"/>
          <w:lang w:val="en-US"/>
        </w:rPr>
        <w:t>influences the</w:t>
      </w:r>
      <w:r w:rsidR="00C45384">
        <w:rPr>
          <w:rFonts w:asciiTheme="majorHAnsi" w:hAnsiTheme="majorHAnsi"/>
          <w:lang w:val="en-US"/>
        </w:rPr>
        <w:t>ir</w:t>
      </w:r>
      <w:r w:rsidR="00A0175B">
        <w:rPr>
          <w:rFonts w:asciiTheme="majorHAnsi" w:hAnsiTheme="majorHAnsi"/>
          <w:lang w:val="en-US"/>
        </w:rPr>
        <w:t xml:space="preserve"> interpretation of newer information. </w:t>
      </w:r>
      <w:r w:rsidR="00AA18C7">
        <w:rPr>
          <w:rFonts w:asciiTheme="majorHAnsi" w:hAnsiTheme="majorHAnsi"/>
          <w:lang w:val="en-US"/>
        </w:rPr>
        <w:t>In particular,</w:t>
      </w:r>
      <w:r w:rsidR="00BC7691">
        <w:rPr>
          <w:rFonts w:asciiTheme="majorHAnsi" w:hAnsiTheme="majorHAnsi"/>
          <w:lang w:val="en-US"/>
        </w:rPr>
        <w:t xml:space="preserve"> our results suggest that</w:t>
      </w:r>
      <w:r w:rsidR="00AA18C7">
        <w:rPr>
          <w:rFonts w:asciiTheme="majorHAnsi" w:hAnsiTheme="majorHAnsi"/>
          <w:lang w:val="en-US"/>
        </w:rPr>
        <w:t xml:space="preserve"> those who </w:t>
      </w:r>
      <w:r w:rsidR="00637B23">
        <w:rPr>
          <w:rFonts w:asciiTheme="majorHAnsi" w:hAnsiTheme="majorHAnsi"/>
          <w:lang w:val="en-US"/>
        </w:rPr>
        <w:t xml:space="preserve">develop </w:t>
      </w:r>
      <w:r w:rsidR="00142BAC">
        <w:rPr>
          <w:rFonts w:asciiTheme="majorHAnsi" w:hAnsiTheme="majorHAnsi"/>
          <w:lang w:val="en-US"/>
        </w:rPr>
        <w:t>a</w:t>
      </w:r>
      <w:r w:rsidR="00AA18C7">
        <w:rPr>
          <w:rFonts w:asciiTheme="majorHAnsi" w:hAnsiTheme="majorHAnsi"/>
          <w:lang w:val="en-US"/>
        </w:rPr>
        <w:t xml:space="preserve"> </w:t>
      </w:r>
      <w:r w:rsidR="00A51F09">
        <w:rPr>
          <w:rFonts w:asciiTheme="majorHAnsi" w:hAnsiTheme="majorHAnsi"/>
          <w:lang w:val="en-US"/>
        </w:rPr>
        <w:t>PMM</w:t>
      </w:r>
      <w:r w:rsidR="00AA18C7">
        <w:rPr>
          <w:rFonts w:asciiTheme="majorHAnsi" w:hAnsiTheme="majorHAnsi"/>
          <w:lang w:val="en-US"/>
        </w:rPr>
        <w:t xml:space="preserve"> </w:t>
      </w:r>
      <w:r w:rsidR="00204A34">
        <w:rPr>
          <w:rFonts w:asciiTheme="majorHAnsi" w:hAnsiTheme="majorHAnsi"/>
          <w:lang w:val="en-US"/>
        </w:rPr>
        <w:t xml:space="preserve">over their entire trading history prior to a given month </w:t>
      </w:r>
      <w:r w:rsidR="0038045E">
        <w:rPr>
          <w:rFonts w:asciiTheme="majorHAnsi" w:hAnsiTheme="majorHAnsi"/>
          <w:lang w:val="en-US"/>
        </w:rPr>
        <w:t xml:space="preserve">are </w:t>
      </w:r>
      <w:r w:rsidR="00AA18C7">
        <w:rPr>
          <w:rFonts w:asciiTheme="majorHAnsi" w:hAnsiTheme="majorHAnsi"/>
          <w:lang w:val="en-US"/>
        </w:rPr>
        <w:t>less affected by break-even effects</w:t>
      </w:r>
      <w:r w:rsidR="00BC7691">
        <w:rPr>
          <w:rFonts w:asciiTheme="majorHAnsi" w:hAnsiTheme="majorHAnsi"/>
          <w:lang w:val="en-US"/>
        </w:rPr>
        <w:t xml:space="preserve"> than</w:t>
      </w:r>
      <w:r w:rsidR="00AA18C7">
        <w:rPr>
          <w:rFonts w:asciiTheme="majorHAnsi" w:hAnsiTheme="majorHAnsi"/>
          <w:lang w:val="en-US"/>
        </w:rPr>
        <w:t xml:space="preserve"> those </w:t>
      </w:r>
      <w:r w:rsidR="00BC7691">
        <w:rPr>
          <w:rFonts w:asciiTheme="majorHAnsi" w:hAnsiTheme="majorHAnsi"/>
          <w:lang w:val="en-US"/>
        </w:rPr>
        <w:t xml:space="preserve">who </w:t>
      </w:r>
      <w:r w:rsidR="00637B23">
        <w:rPr>
          <w:rFonts w:asciiTheme="majorHAnsi" w:hAnsiTheme="majorHAnsi"/>
          <w:lang w:val="en-US"/>
        </w:rPr>
        <w:t>develop</w:t>
      </w:r>
      <w:r w:rsidR="00AA18C7">
        <w:rPr>
          <w:rFonts w:asciiTheme="majorHAnsi" w:hAnsiTheme="majorHAnsi"/>
          <w:lang w:val="en-US"/>
        </w:rPr>
        <w:t xml:space="preserve"> a</w:t>
      </w:r>
      <w:r w:rsidR="000D5992">
        <w:rPr>
          <w:rFonts w:asciiTheme="majorHAnsi" w:hAnsiTheme="majorHAnsi"/>
          <w:lang w:val="en-US"/>
        </w:rPr>
        <w:t xml:space="preserve"> more</w:t>
      </w:r>
      <w:r w:rsidR="00AA18C7">
        <w:rPr>
          <w:rFonts w:asciiTheme="majorHAnsi" w:hAnsiTheme="majorHAnsi"/>
          <w:lang w:val="en-US"/>
        </w:rPr>
        <w:t xml:space="preserve"> </w:t>
      </w:r>
      <w:r w:rsidR="00A51F09">
        <w:rPr>
          <w:rFonts w:asciiTheme="majorHAnsi" w:hAnsiTheme="majorHAnsi"/>
          <w:lang w:val="en-US"/>
        </w:rPr>
        <w:t>NMM.</w:t>
      </w:r>
      <w:r w:rsidR="00DA4CC2">
        <w:rPr>
          <w:rFonts w:asciiTheme="majorHAnsi" w:hAnsiTheme="majorHAnsi"/>
          <w:lang w:val="en-US"/>
        </w:rPr>
        <w:t xml:space="preserve"> </w:t>
      </w:r>
      <w:r w:rsidR="00101F7A">
        <w:rPr>
          <w:rFonts w:asciiTheme="majorHAnsi" w:hAnsiTheme="majorHAnsi"/>
          <w:lang w:val="en-US"/>
        </w:rPr>
        <w:t xml:space="preserve">This effect persisted </w:t>
      </w:r>
      <w:r w:rsidR="009C7B36">
        <w:rPr>
          <w:rFonts w:asciiTheme="majorHAnsi" w:hAnsiTheme="majorHAnsi"/>
          <w:lang w:val="en-US"/>
        </w:rPr>
        <w:t>when</w:t>
      </w:r>
      <w:r w:rsidR="00204A34">
        <w:rPr>
          <w:rFonts w:asciiTheme="majorHAnsi" w:hAnsiTheme="majorHAnsi"/>
          <w:lang w:val="en-US"/>
        </w:rPr>
        <w:t xml:space="preserve"> we </w:t>
      </w:r>
      <w:r w:rsidR="00BB1F0D">
        <w:rPr>
          <w:rFonts w:asciiTheme="majorHAnsi" w:hAnsiTheme="majorHAnsi"/>
          <w:lang w:val="en-US"/>
        </w:rPr>
        <w:t>limited analysis to those we inferred may have stronger</w:t>
      </w:r>
      <w:r w:rsidR="00204A34">
        <w:rPr>
          <w:rFonts w:asciiTheme="majorHAnsi" w:hAnsiTheme="majorHAnsi"/>
          <w:lang w:val="en-US"/>
        </w:rPr>
        <w:t xml:space="preserve"> </w:t>
      </w:r>
      <w:r w:rsidR="00101F7A">
        <w:rPr>
          <w:rFonts w:asciiTheme="majorHAnsi" w:hAnsiTheme="majorHAnsi"/>
          <w:lang w:val="en-US"/>
        </w:rPr>
        <w:t xml:space="preserve"> PMM and NMM (</w:t>
      </w:r>
      <w:r w:rsidR="00BB1F0D">
        <w:rPr>
          <w:rFonts w:asciiTheme="majorHAnsi" w:hAnsiTheme="majorHAnsi"/>
          <w:lang w:val="en-US"/>
        </w:rPr>
        <w:t xml:space="preserve">i.e. those who had experienced </w:t>
      </w:r>
      <w:r w:rsidR="00101F7A">
        <w:rPr>
          <w:rFonts w:asciiTheme="majorHAnsi" w:hAnsiTheme="majorHAnsi"/>
          <w:lang w:val="en-US"/>
        </w:rPr>
        <w:t xml:space="preserve">75% and 90% of months in net profit/loss </w:t>
      </w:r>
      <w:r w:rsidR="00BB1F0D">
        <w:rPr>
          <w:rFonts w:asciiTheme="majorHAnsi" w:hAnsiTheme="majorHAnsi"/>
          <w:lang w:val="en-US"/>
        </w:rPr>
        <w:t>throughout their trading history</w:t>
      </w:r>
      <w:r w:rsidR="009C7B36">
        <w:rPr>
          <w:rFonts w:asciiTheme="majorHAnsi" w:hAnsiTheme="majorHAnsi"/>
          <w:lang w:val="en-US"/>
        </w:rPr>
        <w:t>)</w:t>
      </w:r>
      <w:r w:rsidR="00101F7A">
        <w:rPr>
          <w:rFonts w:asciiTheme="majorHAnsi" w:hAnsiTheme="majorHAnsi"/>
          <w:lang w:val="en-US"/>
        </w:rPr>
        <w:t xml:space="preserve">. </w:t>
      </w:r>
      <w:r w:rsidR="00BA0595">
        <w:rPr>
          <w:rFonts w:asciiTheme="majorHAnsi" w:hAnsiTheme="majorHAnsi"/>
          <w:lang w:val="en-US"/>
        </w:rPr>
        <w:t xml:space="preserve">Using these new definitions of PMM and NMM, the general patterns persist, except that the overall likelihood </w:t>
      </w:r>
      <w:r w:rsidR="00BB1F0D">
        <w:rPr>
          <w:rFonts w:asciiTheme="majorHAnsi" w:hAnsiTheme="majorHAnsi"/>
          <w:lang w:val="en-US"/>
        </w:rPr>
        <w:t>of ceasing to</w:t>
      </w:r>
      <w:r w:rsidR="00BA0595">
        <w:rPr>
          <w:rFonts w:asciiTheme="majorHAnsi" w:hAnsiTheme="majorHAnsi"/>
          <w:lang w:val="en-US"/>
        </w:rPr>
        <w:t xml:space="preserve"> trad</w:t>
      </w:r>
      <w:r w:rsidR="00BB1F0D">
        <w:rPr>
          <w:rFonts w:asciiTheme="majorHAnsi" w:hAnsiTheme="majorHAnsi"/>
          <w:lang w:val="en-US"/>
        </w:rPr>
        <w:t>e</w:t>
      </w:r>
      <w:r w:rsidR="00BA0595">
        <w:rPr>
          <w:rFonts w:asciiTheme="majorHAnsi" w:hAnsiTheme="majorHAnsi"/>
          <w:lang w:val="en-US"/>
        </w:rPr>
        <w:t xml:space="preserve"> decrease</w:t>
      </w:r>
      <w:r w:rsidR="009C7B36">
        <w:rPr>
          <w:rFonts w:asciiTheme="majorHAnsi" w:hAnsiTheme="majorHAnsi"/>
          <w:lang w:val="en-US"/>
        </w:rPr>
        <w:t>d</w:t>
      </w:r>
      <w:r w:rsidR="00BA0595">
        <w:rPr>
          <w:rFonts w:asciiTheme="majorHAnsi" w:hAnsiTheme="majorHAnsi"/>
          <w:lang w:val="en-US"/>
        </w:rPr>
        <w:t xml:space="preserve"> monotonically </w:t>
      </w:r>
      <w:r w:rsidR="00BB1F0D">
        <w:rPr>
          <w:rFonts w:asciiTheme="majorHAnsi" w:hAnsiTheme="majorHAnsi"/>
          <w:lang w:val="en-US"/>
        </w:rPr>
        <w:t>as the percentage of months in profit/loss since commencing trading, increase</w:t>
      </w:r>
      <w:r w:rsidR="009C7B36">
        <w:rPr>
          <w:rFonts w:asciiTheme="majorHAnsi" w:hAnsiTheme="majorHAnsi"/>
          <w:lang w:val="en-US"/>
        </w:rPr>
        <w:t>d</w:t>
      </w:r>
      <w:r w:rsidR="00BB1F0D">
        <w:rPr>
          <w:rFonts w:asciiTheme="majorHAnsi" w:hAnsiTheme="majorHAnsi"/>
          <w:lang w:val="en-US"/>
        </w:rPr>
        <w:t xml:space="preserve">. </w:t>
      </w:r>
      <w:r w:rsidR="0069400E">
        <w:rPr>
          <w:rFonts w:asciiTheme="majorHAnsi" w:hAnsiTheme="majorHAnsi"/>
          <w:lang w:val="en-US"/>
        </w:rPr>
        <w:t xml:space="preserve">Suggesting that those who experience consistently  profitable or unprofitable trading are less affected by global </w:t>
      </w:r>
      <w:r w:rsidR="00717900">
        <w:rPr>
          <w:rFonts w:asciiTheme="majorHAnsi" w:hAnsiTheme="majorHAnsi"/>
          <w:lang w:val="en-US"/>
        </w:rPr>
        <w:t>break-even</w:t>
      </w:r>
      <w:r w:rsidR="0069400E">
        <w:rPr>
          <w:rFonts w:asciiTheme="majorHAnsi" w:hAnsiTheme="majorHAnsi"/>
          <w:lang w:val="en-US"/>
        </w:rPr>
        <w:t xml:space="preserve"> effects. </w:t>
      </w:r>
    </w:p>
    <w:p w14:paraId="58524572" w14:textId="3D522185" w:rsidR="00905181" w:rsidRDefault="00DA4CC2" w:rsidP="00870AB7">
      <w:pPr>
        <w:spacing w:after="0" w:line="480" w:lineRule="auto"/>
        <w:ind w:firstLine="720"/>
        <w:rPr>
          <w:rFonts w:asciiTheme="majorHAnsi" w:hAnsiTheme="majorHAnsi"/>
          <w:lang w:val="en-US"/>
        </w:rPr>
      </w:pPr>
      <w:r>
        <w:rPr>
          <w:rFonts w:asciiTheme="majorHAnsi" w:hAnsiTheme="majorHAnsi"/>
          <w:lang w:val="en-US"/>
        </w:rPr>
        <w:t xml:space="preserve">We also found that more recent experiences </w:t>
      </w:r>
      <w:r w:rsidR="00153FE1">
        <w:rPr>
          <w:rFonts w:asciiTheme="majorHAnsi" w:hAnsiTheme="majorHAnsi"/>
          <w:lang w:val="en-US"/>
        </w:rPr>
        <w:t xml:space="preserve">of engaging in a RA have different effects on an individual’s </w:t>
      </w:r>
      <w:r>
        <w:rPr>
          <w:rFonts w:asciiTheme="majorHAnsi" w:hAnsiTheme="majorHAnsi"/>
          <w:lang w:val="en-US"/>
        </w:rPr>
        <w:t>decision to stop participating in a RA.</w:t>
      </w:r>
      <w:r w:rsidR="00101F7A">
        <w:rPr>
          <w:rFonts w:asciiTheme="majorHAnsi" w:hAnsiTheme="majorHAnsi"/>
          <w:lang w:val="en-US"/>
        </w:rPr>
        <w:t xml:space="preserve"> </w:t>
      </w:r>
      <w:r w:rsidR="00E86669">
        <w:rPr>
          <w:rFonts w:asciiTheme="majorHAnsi" w:hAnsiTheme="majorHAnsi"/>
          <w:lang w:val="en-US"/>
        </w:rPr>
        <w:t>T</w:t>
      </w:r>
      <w:r w:rsidR="00101F7A">
        <w:rPr>
          <w:rFonts w:asciiTheme="majorHAnsi" w:hAnsiTheme="majorHAnsi"/>
          <w:lang w:val="en-US"/>
        </w:rPr>
        <w:t xml:space="preserve">he longer </w:t>
      </w:r>
      <w:r w:rsidR="00905181">
        <w:rPr>
          <w:rFonts w:asciiTheme="majorHAnsi" w:hAnsiTheme="majorHAnsi"/>
          <w:lang w:val="en-US"/>
        </w:rPr>
        <w:t xml:space="preserve">the </w:t>
      </w:r>
      <w:r w:rsidR="00101F7A">
        <w:rPr>
          <w:rFonts w:asciiTheme="majorHAnsi" w:hAnsiTheme="majorHAnsi"/>
          <w:lang w:val="en-US"/>
        </w:rPr>
        <w:t>period an individual experience</w:t>
      </w:r>
      <w:r w:rsidR="00BB1F0D">
        <w:rPr>
          <w:rFonts w:asciiTheme="majorHAnsi" w:hAnsiTheme="majorHAnsi"/>
          <w:lang w:val="en-US"/>
        </w:rPr>
        <w:t>s</w:t>
      </w:r>
      <w:r w:rsidR="00101F7A">
        <w:rPr>
          <w:rFonts w:asciiTheme="majorHAnsi" w:hAnsiTheme="majorHAnsi"/>
          <w:lang w:val="en-US"/>
        </w:rPr>
        <w:t xml:space="preserve"> </w:t>
      </w:r>
      <w:r w:rsidR="00E86669">
        <w:rPr>
          <w:rFonts w:asciiTheme="majorHAnsi" w:hAnsiTheme="majorHAnsi"/>
          <w:lang w:val="en-US"/>
        </w:rPr>
        <w:t>90% of</w:t>
      </w:r>
      <w:r w:rsidR="00101F7A">
        <w:rPr>
          <w:rFonts w:asciiTheme="majorHAnsi" w:hAnsiTheme="majorHAnsi"/>
          <w:lang w:val="en-US"/>
        </w:rPr>
        <w:t xml:space="preserve"> months being in net profit, the more likely the</w:t>
      </w:r>
      <w:r w:rsidR="0038045E">
        <w:rPr>
          <w:rFonts w:asciiTheme="majorHAnsi" w:hAnsiTheme="majorHAnsi"/>
          <w:lang w:val="en-US"/>
        </w:rPr>
        <w:t>y are to</w:t>
      </w:r>
      <w:r w:rsidR="00101F7A">
        <w:rPr>
          <w:rFonts w:asciiTheme="majorHAnsi" w:hAnsiTheme="majorHAnsi"/>
          <w:lang w:val="en-US"/>
        </w:rPr>
        <w:t xml:space="preserve"> stop trading if they incur losses</w:t>
      </w:r>
      <w:r w:rsidR="006F5FE9">
        <w:rPr>
          <w:rFonts w:asciiTheme="majorHAnsi" w:hAnsiTheme="majorHAnsi"/>
          <w:lang w:val="en-US"/>
        </w:rPr>
        <w:t xml:space="preserve"> that mean they fall below the local</w:t>
      </w:r>
      <w:r w:rsidR="004C6C78">
        <w:rPr>
          <w:rFonts w:asciiTheme="majorHAnsi" w:hAnsiTheme="majorHAnsi"/>
          <w:lang w:val="en-US"/>
        </w:rPr>
        <w:t xml:space="preserve"> (break-even)</w:t>
      </w:r>
      <w:r w:rsidR="006F5FE9">
        <w:rPr>
          <w:rFonts w:asciiTheme="majorHAnsi" w:hAnsiTheme="majorHAnsi"/>
          <w:lang w:val="en-US"/>
        </w:rPr>
        <w:t xml:space="preserve"> reference point</w:t>
      </w:r>
      <w:r w:rsidR="00101F7A">
        <w:rPr>
          <w:rFonts w:asciiTheme="majorHAnsi" w:hAnsiTheme="majorHAnsi"/>
          <w:lang w:val="en-US"/>
        </w:rPr>
        <w:t xml:space="preserve">. On the other hand, the longer </w:t>
      </w:r>
      <w:r w:rsidR="00905181">
        <w:rPr>
          <w:rFonts w:asciiTheme="majorHAnsi" w:hAnsiTheme="majorHAnsi"/>
          <w:lang w:val="en-US"/>
        </w:rPr>
        <w:t xml:space="preserve">the </w:t>
      </w:r>
      <w:r w:rsidR="00101F7A">
        <w:rPr>
          <w:rFonts w:asciiTheme="majorHAnsi" w:hAnsiTheme="majorHAnsi"/>
          <w:lang w:val="en-US"/>
        </w:rPr>
        <w:t xml:space="preserve">period an individual experiences </w:t>
      </w:r>
      <w:r w:rsidR="006F5FE9">
        <w:rPr>
          <w:rFonts w:asciiTheme="majorHAnsi" w:hAnsiTheme="majorHAnsi"/>
          <w:lang w:val="en-US"/>
        </w:rPr>
        <w:t>90% of</w:t>
      </w:r>
      <w:r w:rsidR="00101F7A">
        <w:rPr>
          <w:rFonts w:asciiTheme="majorHAnsi" w:hAnsiTheme="majorHAnsi"/>
          <w:lang w:val="en-US"/>
        </w:rPr>
        <w:t xml:space="preserve"> months being in net loss, the less likely they are to stop trading when they incur losses</w:t>
      </w:r>
      <w:r w:rsidR="006F5FE9">
        <w:rPr>
          <w:rFonts w:asciiTheme="majorHAnsi" w:hAnsiTheme="majorHAnsi"/>
          <w:lang w:val="en-US"/>
        </w:rPr>
        <w:t xml:space="preserve"> resulting in a fall below the local </w:t>
      </w:r>
      <w:r w:rsidR="00905181">
        <w:rPr>
          <w:rFonts w:asciiTheme="majorHAnsi" w:hAnsiTheme="majorHAnsi"/>
          <w:lang w:val="en-US"/>
        </w:rPr>
        <w:t xml:space="preserve">(break-even) </w:t>
      </w:r>
      <w:r w:rsidR="006F5FE9">
        <w:rPr>
          <w:rFonts w:asciiTheme="majorHAnsi" w:hAnsiTheme="majorHAnsi"/>
          <w:lang w:val="en-US"/>
        </w:rPr>
        <w:t>reference point</w:t>
      </w:r>
      <w:r w:rsidR="00101F7A">
        <w:rPr>
          <w:rFonts w:asciiTheme="majorHAnsi" w:hAnsiTheme="majorHAnsi"/>
          <w:lang w:val="en-US"/>
        </w:rPr>
        <w:t xml:space="preserve">. </w:t>
      </w:r>
      <w:r w:rsidR="0069400E">
        <w:rPr>
          <w:rFonts w:asciiTheme="majorHAnsi" w:hAnsiTheme="majorHAnsi"/>
          <w:lang w:val="en-US"/>
        </w:rPr>
        <w:t xml:space="preserve"> </w:t>
      </w:r>
    </w:p>
    <w:p w14:paraId="2583268C" w14:textId="08233D2F" w:rsidR="00A0175B" w:rsidRDefault="00870AB7" w:rsidP="00D3702F">
      <w:pPr>
        <w:spacing w:after="0" w:line="480" w:lineRule="auto"/>
        <w:ind w:firstLine="720"/>
        <w:rPr>
          <w:rFonts w:asciiTheme="majorHAnsi" w:hAnsiTheme="majorHAnsi"/>
          <w:lang w:val="en-US"/>
        </w:rPr>
      </w:pPr>
      <w:bookmarkStart w:id="12" w:name="_Hlk520223104"/>
      <w:r>
        <w:rPr>
          <w:rFonts w:asciiTheme="majorHAnsi" w:hAnsiTheme="majorHAnsi"/>
          <w:lang w:val="en-US"/>
        </w:rPr>
        <w:t>When t</w:t>
      </w:r>
      <w:r w:rsidR="00905181">
        <w:rPr>
          <w:rFonts w:asciiTheme="majorHAnsi" w:hAnsiTheme="majorHAnsi"/>
          <w:lang w:val="en-US"/>
        </w:rPr>
        <w:t>a</w:t>
      </w:r>
      <w:r>
        <w:rPr>
          <w:rFonts w:asciiTheme="majorHAnsi" w:hAnsiTheme="majorHAnsi"/>
          <w:lang w:val="en-US"/>
        </w:rPr>
        <w:t>ken together</w:t>
      </w:r>
      <w:r w:rsidR="00905181">
        <w:rPr>
          <w:rFonts w:asciiTheme="majorHAnsi" w:hAnsiTheme="majorHAnsi"/>
          <w:lang w:val="en-US"/>
        </w:rPr>
        <w:t xml:space="preserve">, </w:t>
      </w:r>
      <w:r>
        <w:rPr>
          <w:rFonts w:asciiTheme="majorHAnsi" w:hAnsiTheme="majorHAnsi"/>
          <w:lang w:val="en-US"/>
        </w:rPr>
        <w:t>the results exploring both global and local reference points  suggest that when str</w:t>
      </w:r>
      <w:r w:rsidR="00EE7D0E">
        <w:rPr>
          <w:rFonts w:asciiTheme="majorHAnsi" w:hAnsiTheme="majorHAnsi"/>
          <w:lang w:val="en-US"/>
        </w:rPr>
        <w:t>o</w:t>
      </w:r>
      <w:r>
        <w:rPr>
          <w:rFonts w:asciiTheme="majorHAnsi" w:hAnsiTheme="majorHAnsi"/>
          <w:lang w:val="en-US"/>
        </w:rPr>
        <w:t>nger NMM are devel</w:t>
      </w:r>
      <w:r w:rsidR="00BB1F0D">
        <w:rPr>
          <w:rFonts w:asciiTheme="majorHAnsi" w:hAnsiTheme="majorHAnsi"/>
          <w:lang w:val="en-US"/>
        </w:rPr>
        <w:t>o</w:t>
      </w:r>
      <w:r>
        <w:rPr>
          <w:rFonts w:asciiTheme="majorHAnsi" w:hAnsiTheme="majorHAnsi"/>
          <w:lang w:val="en-US"/>
        </w:rPr>
        <w:t>ped</w:t>
      </w:r>
      <w:r w:rsidR="00276AF3">
        <w:rPr>
          <w:rFonts w:asciiTheme="majorHAnsi" w:hAnsiTheme="majorHAnsi"/>
          <w:lang w:val="en-US"/>
        </w:rPr>
        <w:t xml:space="preserve"> (based on </w:t>
      </w:r>
      <w:r w:rsidR="0038045E">
        <w:rPr>
          <w:rFonts w:asciiTheme="majorHAnsi" w:hAnsiTheme="majorHAnsi"/>
          <w:lang w:val="en-US"/>
        </w:rPr>
        <w:t xml:space="preserve">the trader experiencing </w:t>
      </w:r>
      <w:r w:rsidR="00276AF3">
        <w:rPr>
          <w:rFonts w:asciiTheme="majorHAnsi" w:hAnsiTheme="majorHAnsi"/>
          <w:lang w:val="en-US"/>
        </w:rPr>
        <w:t xml:space="preserve">a large </w:t>
      </w:r>
      <w:r w:rsidR="0038045E">
        <w:rPr>
          <w:rFonts w:asciiTheme="majorHAnsi" w:hAnsiTheme="majorHAnsi"/>
          <w:lang w:val="en-US"/>
        </w:rPr>
        <w:t xml:space="preserve">proportion (90%) of a large number of </w:t>
      </w:r>
      <w:r w:rsidR="00276AF3">
        <w:rPr>
          <w:rFonts w:asciiTheme="majorHAnsi" w:hAnsiTheme="majorHAnsi"/>
          <w:lang w:val="en-US"/>
        </w:rPr>
        <w:t>months in loss)</w:t>
      </w:r>
      <w:r w:rsidR="00EE7D0E">
        <w:rPr>
          <w:rFonts w:asciiTheme="majorHAnsi" w:hAnsiTheme="majorHAnsi"/>
          <w:lang w:val="en-US"/>
        </w:rPr>
        <w:t xml:space="preserve">  </w:t>
      </w:r>
      <w:r>
        <w:rPr>
          <w:rFonts w:asciiTheme="majorHAnsi" w:hAnsiTheme="majorHAnsi"/>
          <w:lang w:val="en-US"/>
        </w:rPr>
        <w:t>the effect of both glo</w:t>
      </w:r>
      <w:r w:rsidR="00BB1F0D">
        <w:rPr>
          <w:rFonts w:asciiTheme="majorHAnsi" w:hAnsiTheme="majorHAnsi"/>
          <w:lang w:val="en-US"/>
        </w:rPr>
        <w:t>bal</w:t>
      </w:r>
      <w:r>
        <w:rPr>
          <w:rFonts w:asciiTheme="majorHAnsi" w:hAnsiTheme="majorHAnsi"/>
          <w:lang w:val="en-US"/>
        </w:rPr>
        <w:t xml:space="preserve"> and local reference points are reduced.</w:t>
      </w:r>
      <w:r w:rsidR="0069400E">
        <w:rPr>
          <w:rFonts w:asciiTheme="majorHAnsi" w:hAnsiTheme="majorHAnsi"/>
          <w:lang w:val="en-US"/>
        </w:rPr>
        <w:t xml:space="preserve"> </w:t>
      </w:r>
      <w:r>
        <w:rPr>
          <w:rFonts w:asciiTheme="majorHAnsi" w:hAnsiTheme="majorHAnsi"/>
          <w:lang w:val="en-US"/>
        </w:rPr>
        <w:t xml:space="preserve"> However, while those with stronger PMM  appear to be l</w:t>
      </w:r>
      <w:r w:rsidR="00905181">
        <w:rPr>
          <w:rFonts w:asciiTheme="majorHAnsi" w:hAnsiTheme="majorHAnsi"/>
          <w:lang w:val="en-US"/>
        </w:rPr>
        <w:t>e</w:t>
      </w:r>
      <w:r>
        <w:rPr>
          <w:rFonts w:asciiTheme="majorHAnsi" w:hAnsiTheme="majorHAnsi"/>
          <w:lang w:val="en-US"/>
        </w:rPr>
        <w:t>ss affected by gl</w:t>
      </w:r>
      <w:r w:rsidR="00905181">
        <w:rPr>
          <w:rFonts w:asciiTheme="majorHAnsi" w:hAnsiTheme="majorHAnsi"/>
          <w:lang w:val="en-US"/>
        </w:rPr>
        <w:t>o</w:t>
      </w:r>
      <w:r>
        <w:rPr>
          <w:rFonts w:asciiTheme="majorHAnsi" w:hAnsiTheme="majorHAnsi"/>
          <w:lang w:val="en-US"/>
        </w:rPr>
        <w:t xml:space="preserve">bal </w:t>
      </w:r>
      <w:r w:rsidR="00717900">
        <w:rPr>
          <w:rFonts w:asciiTheme="majorHAnsi" w:hAnsiTheme="majorHAnsi"/>
          <w:lang w:val="en-US"/>
        </w:rPr>
        <w:t>break-even</w:t>
      </w:r>
      <w:r>
        <w:rPr>
          <w:rFonts w:asciiTheme="majorHAnsi" w:hAnsiTheme="majorHAnsi"/>
          <w:lang w:val="en-US"/>
        </w:rPr>
        <w:t xml:space="preserve"> effects, they appear to be more affected by local </w:t>
      </w:r>
      <w:r w:rsidR="00717900">
        <w:rPr>
          <w:rFonts w:asciiTheme="majorHAnsi" w:hAnsiTheme="majorHAnsi"/>
          <w:lang w:val="en-US"/>
        </w:rPr>
        <w:t>break-even</w:t>
      </w:r>
      <w:r>
        <w:rPr>
          <w:rFonts w:asciiTheme="majorHAnsi" w:hAnsiTheme="majorHAnsi"/>
          <w:lang w:val="en-US"/>
        </w:rPr>
        <w:t xml:space="preserve"> effects. </w:t>
      </w:r>
      <w:bookmarkEnd w:id="12"/>
    </w:p>
    <w:p w14:paraId="6B8A24D7" w14:textId="77777777" w:rsidR="007468EE" w:rsidRDefault="007468EE" w:rsidP="00D36D5D">
      <w:pPr>
        <w:spacing w:after="0" w:line="480" w:lineRule="auto"/>
        <w:rPr>
          <w:rFonts w:asciiTheme="majorHAnsi" w:hAnsiTheme="majorHAnsi"/>
          <w:lang w:val="en-US"/>
        </w:rPr>
      </w:pPr>
    </w:p>
    <w:p w14:paraId="2DB44BEF" w14:textId="7F4A2890" w:rsidR="00D36D5D" w:rsidRPr="00457F83" w:rsidRDefault="00D36D5D" w:rsidP="00D36D5D">
      <w:pPr>
        <w:spacing w:after="0" w:line="480" w:lineRule="auto"/>
        <w:rPr>
          <w:rFonts w:asciiTheme="majorHAnsi" w:hAnsiTheme="majorHAnsi"/>
          <w:b/>
          <w:lang w:val="en-US"/>
        </w:rPr>
      </w:pPr>
      <w:r w:rsidRPr="00457F83">
        <w:rPr>
          <w:rFonts w:asciiTheme="majorHAnsi" w:hAnsiTheme="majorHAnsi"/>
          <w:b/>
          <w:lang w:val="en-US"/>
        </w:rPr>
        <w:t xml:space="preserve">4.1 </w:t>
      </w:r>
      <w:r w:rsidR="00AA18C7">
        <w:rPr>
          <w:rFonts w:asciiTheme="majorHAnsi" w:hAnsiTheme="majorHAnsi"/>
          <w:b/>
          <w:lang w:val="en-US"/>
        </w:rPr>
        <w:t>Mental models</w:t>
      </w:r>
      <w:r w:rsidR="00143150">
        <w:rPr>
          <w:rFonts w:asciiTheme="majorHAnsi" w:hAnsiTheme="majorHAnsi"/>
          <w:b/>
          <w:lang w:val="en-US"/>
        </w:rPr>
        <w:t>, breaking-even</w:t>
      </w:r>
      <w:r w:rsidRPr="00457F83">
        <w:rPr>
          <w:rFonts w:asciiTheme="majorHAnsi" w:hAnsiTheme="majorHAnsi"/>
          <w:b/>
          <w:lang w:val="en-US"/>
        </w:rPr>
        <w:t xml:space="preserve"> and </w:t>
      </w:r>
      <w:r w:rsidR="00143150">
        <w:rPr>
          <w:rFonts w:asciiTheme="majorHAnsi" w:hAnsiTheme="majorHAnsi"/>
          <w:b/>
          <w:lang w:val="en-US"/>
        </w:rPr>
        <w:t>disengaging from a risk-taking activity</w:t>
      </w:r>
    </w:p>
    <w:p w14:paraId="78D1E52A" w14:textId="4DB977FE" w:rsidR="00D36D5D" w:rsidRDefault="00CF2999" w:rsidP="0016286A">
      <w:pPr>
        <w:spacing w:after="0" w:line="480" w:lineRule="auto"/>
        <w:ind w:firstLine="709"/>
        <w:rPr>
          <w:rFonts w:asciiTheme="majorHAnsi" w:hAnsiTheme="majorHAnsi"/>
          <w:lang w:val="en-US"/>
        </w:rPr>
      </w:pPr>
      <w:r>
        <w:rPr>
          <w:rFonts w:asciiTheme="majorHAnsi" w:hAnsiTheme="majorHAnsi"/>
          <w:lang w:val="en-US"/>
        </w:rPr>
        <w:t>O</w:t>
      </w:r>
      <w:r w:rsidR="00A51F09">
        <w:rPr>
          <w:rFonts w:asciiTheme="majorHAnsi" w:hAnsiTheme="majorHAnsi"/>
          <w:lang w:val="en-US"/>
        </w:rPr>
        <w:t xml:space="preserve">ur key finding is that the decision to </w:t>
      </w:r>
      <w:r w:rsidR="00142BAC">
        <w:rPr>
          <w:rFonts w:asciiTheme="majorHAnsi" w:hAnsiTheme="majorHAnsi"/>
          <w:lang w:val="en-US"/>
        </w:rPr>
        <w:t xml:space="preserve">discontinue </w:t>
      </w:r>
      <w:r w:rsidR="00A51F09">
        <w:rPr>
          <w:rFonts w:asciiTheme="majorHAnsi" w:hAnsiTheme="majorHAnsi"/>
          <w:lang w:val="en-US"/>
        </w:rPr>
        <w:t xml:space="preserve">a RA can be strongly affected by changes </w:t>
      </w:r>
      <w:r w:rsidR="00142BAC">
        <w:rPr>
          <w:rFonts w:asciiTheme="majorHAnsi" w:hAnsiTheme="majorHAnsi"/>
          <w:lang w:val="en-US"/>
        </w:rPr>
        <w:t xml:space="preserve">in </w:t>
      </w:r>
      <w:r w:rsidR="008514E5">
        <w:rPr>
          <w:rFonts w:asciiTheme="majorHAnsi" w:hAnsiTheme="majorHAnsi"/>
          <w:lang w:val="en-US"/>
        </w:rPr>
        <w:t>net</w:t>
      </w:r>
      <w:r w:rsidR="00426F84">
        <w:rPr>
          <w:rFonts w:asciiTheme="majorHAnsi" w:hAnsiTheme="majorHAnsi"/>
          <w:lang w:val="en-US"/>
        </w:rPr>
        <w:t xml:space="preserve"> returns </w:t>
      </w:r>
      <w:r w:rsidR="00A51F09">
        <w:rPr>
          <w:rFonts w:asciiTheme="majorHAnsi" w:hAnsiTheme="majorHAnsi"/>
          <w:lang w:val="en-US"/>
        </w:rPr>
        <w:t>around the break-even point</w:t>
      </w:r>
      <w:r w:rsidR="00276AF3">
        <w:rPr>
          <w:rFonts w:asciiTheme="majorHAnsi" w:hAnsiTheme="majorHAnsi"/>
          <w:lang w:val="en-US"/>
        </w:rPr>
        <w:t xml:space="preserve"> (which we refer to as their global reference point)</w:t>
      </w:r>
      <w:r w:rsidR="00A51F09">
        <w:rPr>
          <w:rFonts w:asciiTheme="majorHAnsi" w:hAnsiTheme="majorHAnsi"/>
          <w:lang w:val="en-US"/>
        </w:rPr>
        <w:t xml:space="preserve">. </w:t>
      </w:r>
      <w:r w:rsidR="00D36D5D">
        <w:rPr>
          <w:rFonts w:asciiTheme="majorHAnsi" w:hAnsiTheme="majorHAnsi"/>
          <w:lang w:val="en-US"/>
        </w:rPr>
        <w:t xml:space="preserve">When individuals are in </w:t>
      </w:r>
      <w:r w:rsidR="0038045E">
        <w:rPr>
          <w:rFonts w:asciiTheme="majorHAnsi" w:hAnsiTheme="majorHAnsi"/>
          <w:lang w:val="en-US"/>
        </w:rPr>
        <w:t xml:space="preserve">accumulated </w:t>
      </w:r>
      <w:r w:rsidR="008514E5">
        <w:rPr>
          <w:rFonts w:asciiTheme="majorHAnsi" w:hAnsiTheme="majorHAnsi"/>
          <w:lang w:val="en-US"/>
        </w:rPr>
        <w:t xml:space="preserve">net </w:t>
      </w:r>
      <w:r w:rsidR="00D36D5D">
        <w:rPr>
          <w:rFonts w:asciiTheme="majorHAnsi" w:hAnsiTheme="majorHAnsi"/>
          <w:lang w:val="en-US"/>
        </w:rPr>
        <w:t xml:space="preserve">profit, irrespective of the magnitude of that profit, they are very unlikely to </w:t>
      </w:r>
      <w:r w:rsidR="00142BAC">
        <w:rPr>
          <w:rFonts w:asciiTheme="majorHAnsi" w:hAnsiTheme="majorHAnsi"/>
          <w:lang w:val="en-US"/>
        </w:rPr>
        <w:t xml:space="preserve">stop </w:t>
      </w:r>
      <w:r w:rsidR="002664E2">
        <w:rPr>
          <w:rFonts w:asciiTheme="majorHAnsi" w:hAnsiTheme="majorHAnsi"/>
          <w:lang w:val="en-US"/>
        </w:rPr>
        <w:t>a</w:t>
      </w:r>
      <w:r w:rsidR="00276D7B">
        <w:rPr>
          <w:rFonts w:asciiTheme="majorHAnsi" w:hAnsiTheme="majorHAnsi"/>
          <w:lang w:val="en-US"/>
        </w:rPr>
        <w:t xml:space="preserve"> </w:t>
      </w:r>
      <w:r w:rsidR="0015251B">
        <w:rPr>
          <w:rFonts w:asciiTheme="majorHAnsi" w:hAnsiTheme="majorHAnsi"/>
          <w:lang w:val="en-US"/>
        </w:rPr>
        <w:t>RA</w:t>
      </w:r>
      <w:r w:rsidR="00D36D5D">
        <w:rPr>
          <w:rFonts w:asciiTheme="majorHAnsi" w:hAnsiTheme="majorHAnsi"/>
          <w:lang w:val="en-US"/>
        </w:rPr>
        <w:t xml:space="preserve">. However, as soon as </w:t>
      </w:r>
      <w:r w:rsidR="00276D7B">
        <w:rPr>
          <w:rFonts w:asciiTheme="majorHAnsi" w:hAnsiTheme="majorHAnsi"/>
          <w:lang w:val="en-US"/>
        </w:rPr>
        <w:t xml:space="preserve">their </w:t>
      </w:r>
      <w:r w:rsidR="00A51F09">
        <w:rPr>
          <w:rFonts w:asciiTheme="majorHAnsi" w:hAnsiTheme="majorHAnsi"/>
          <w:lang w:val="en-US"/>
        </w:rPr>
        <w:t>accumulated return</w:t>
      </w:r>
      <w:r w:rsidR="00276D7B">
        <w:rPr>
          <w:rFonts w:asciiTheme="majorHAnsi" w:hAnsiTheme="majorHAnsi"/>
          <w:lang w:val="en-US"/>
        </w:rPr>
        <w:t xml:space="preserve"> </w:t>
      </w:r>
      <w:r w:rsidR="00715EF3">
        <w:rPr>
          <w:rFonts w:asciiTheme="majorHAnsi" w:hAnsiTheme="majorHAnsi"/>
          <w:lang w:val="en-US"/>
        </w:rPr>
        <w:t>change</w:t>
      </w:r>
      <w:r w:rsidR="00276D7B">
        <w:rPr>
          <w:rFonts w:asciiTheme="majorHAnsi" w:hAnsiTheme="majorHAnsi"/>
          <w:lang w:val="en-US"/>
        </w:rPr>
        <w:t>s</w:t>
      </w:r>
      <w:r w:rsidR="00D36D5D">
        <w:rPr>
          <w:rFonts w:asciiTheme="majorHAnsi" w:hAnsiTheme="majorHAnsi"/>
          <w:lang w:val="en-US"/>
        </w:rPr>
        <w:t xml:space="preserve"> from net profit to net loss</w:t>
      </w:r>
      <w:r w:rsidR="00276D7B">
        <w:rPr>
          <w:rFonts w:asciiTheme="majorHAnsi" w:hAnsiTheme="majorHAnsi"/>
          <w:lang w:val="en-US"/>
        </w:rPr>
        <w:t xml:space="preserve">, they are </w:t>
      </w:r>
      <w:r w:rsidR="00D36D5D">
        <w:rPr>
          <w:rFonts w:asciiTheme="majorHAnsi" w:hAnsiTheme="majorHAnsi"/>
          <w:lang w:val="en-US"/>
        </w:rPr>
        <w:t xml:space="preserve">almost 10 times more likely to </w:t>
      </w:r>
      <w:r w:rsidR="00142BAC">
        <w:rPr>
          <w:rFonts w:asciiTheme="majorHAnsi" w:hAnsiTheme="majorHAnsi"/>
          <w:lang w:val="en-US"/>
        </w:rPr>
        <w:t xml:space="preserve">stop </w:t>
      </w:r>
      <w:r w:rsidR="00276D7B">
        <w:rPr>
          <w:rFonts w:asciiTheme="majorHAnsi" w:hAnsiTheme="majorHAnsi"/>
          <w:lang w:val="en-US"/>
        </w:rPr>
        <w:t xml:space="preserve">than </w:t>
      </w:r>
      <w:r w:rsidR="00D36D5D">
        <w:rPr>
          <w:rFonts w:asciiTheme="majorHAnsi" w:hAnsiTheme="majorHAnsi"/>
          <w:lang w:val="en-US"/>
        </w:rPr>
        <w:t>when the</w:t>
      </w:r>
      <w:r w:rsidR="00D9279A">
        <w:rPr>
          <w:rFonts w:asciiTheme="majorHAnsi" w:hAnsiTheme="majorHAnsi"/>
          <w:lang w:val="en-US"/>
        </w:rPr>
        <w:t>y</w:t>
      </w:r>
      <w:r w:rsidR="00713CC8">
        <w:rPr>
          <w:rFonts w:asciiTheme="majorHAnsi" w:hAnsiTheme="majorHAnsi"/>
          <w:lang w:val="en-US"/>
        </w:rPr>
        <w:t xml:space="preserve"> were</w:t>
      </w:r>
      <w:r w:rsidR="00D36D5D">
        <w:rPr>
          <w:rFonts w:asciiTheme="majorHAnsi" w:hAnsiTheme="majorHAnsi"/>
          <w:lang w:val="en-US"/>
        </w:rPr>
        <w:t xml:space="preserve"> in profit. Further</w:t>
      </w:r>
      <w:r w:rsidR="002664E2">
        <w:rPr>
          <w:rFonts w:asciiTheme="majorHAnsi" w:hAnsiTheme="majorHAnsi"/>
          <w:lang w:val="en-US"/>
        </w:rPr>
        <w:t>more,</w:t>
      </w:r>
      <w:r w:rsidR="00D36D5D">
        <w:rPr>
          <w:rFonts w:asciiTheme="majorHAnsi" w:hAnsiTheme="majorHAnsi"/>
          <w:lang w:val="en-US"/>
        </w:rPr>
        <w:t xml:space="preserve"> this large effect</w:t>
      </w:r>
      <w:r w:rsidR="00743D46">
        <w:rPr>
          <w:rFonts w:asciiTheme="majorHAnsi" w:hAnsiTheme="majorHAnsi"/>
          <w:lang w:val="en-US"/>
        </w:rPr>
        <w:t xml:space="preserve"> size linked to</w:t>
      </w:r>
      <w:r w:rsidR="00D36D5D">
        <w:rPr>
          <w:rFonts w:asciiTheme="majorHAnsi" w:hAnsiTheme="majorHAnsi"/>
          <w:lang w:val="en-US"/>
        </w:rPr>
        <w:t xml:space="preserve"> falling into net loss could be </w:t>
      </w:r>
      <w:r w:rsidR="00713CC8">
        <w:rPr>
          <w:rFonts w:asciiTheme="majorHAnsi" w:hAnsiTheme="majorHAnsi"/>
          <w:lang w:val="en-US"/>
        </w:rPr>
        <w:t xml:space="preserve">mediated </w:t>
      </w:r>
      <w:r w:rsidR="00D36D5D">
        <w:rPr>
          <w:rFonts w:asciiTheme="majorHAnsi" w:hAnsiTheme="majorHAnsi"/>
          <w:lang w:val="en-US"/>
        </w:rPr>
        <w:t xml:space="preserve">by </w:t>
      </w:r>
      <w:r w:rsidR="00713CC8">
        <w:rPr>
          <w:rFonts w:asciiTheme="majorHAnsi" w:hAnsiTheme="majorHAnsi"/>
          <w:lang w:val="en-US"/>
        </w:rPr>
        <w:t xml:space="preserve">the </w:t>
      </w:r>
      <w:r w:rsidR="00D9279A">
        <w:rPr>
          <w:rFonts w:asciiTheme="majorHAnsi" w:hAnsiTheme="majorHAnsi"/>
          <w:lang w:val="en-US"/>
        </w:rPr>
        <w:t>individual’s</w:t>
      </w:r>
      <w:r w:rsidR="00713CC8">
        <w:rPr>
          <w:rFonts w:asciiTheme="majorHAnsi" w:hAnsiTheme="majorHAnsi"/>
          <w:lang w:val="en-US"/>
        </w:rPr>
        <w:t xml:space="preserve"> </w:t>
      </w:r>
      <w:r w:rsidR="00D9279A">
        <w:rPr>
          <w:rFonts w:asciiTheme="majorHAnsi" w:hAnsiTheme="majorHAnsi"/>
          <w:lang w:val="en-US"/>
        </w:rPr>
        <w:t>longer-term performance</w:t>
      </w:r>
      <w:r w:rsidR="00D36D5D">
        <w:rPr>
          <w:rFonts w:asciiTheme="majorHAnsi" w:hAnsiTheme="majorHAnsi"/>
          <w:lang w:val="en-US"/>
        </w:rPr>
        <w:t>. For example, those</w:t>
      </w:r>
      <w:r w:rsidR="008B55AC" w:rsidRPr="008B55AC">
        <w:rPr>
          <w:rFonts w:asciiTheme="majorHAnsi" w:hAnsiTheme="majorHAnsi"/>
          <w:lang w:val="en-US"/>
        </w:rPr>
        <w:t xml:space="preserve"> </w:t>
      </w:r>
      <w:r w:rsidR="008B55AC">
        <w:rPr>
          <w:rFonts w:asciiTheme="majorHAnsi" w:hAnsiTheme="majorHAnsi"/>
          <w:lang w:val="en-US"/>
        </w:rPr>
        <w:t>who had experienced more months when their accumulated returns were negative (NMMs), were more than 15 times more likely to discontinue than the baseline risk</w:t>
      </w:r>
      <w:r w:rsidR="00BC7691">
        <w:rPr>
          <w:rStyle w:val="FootnoteReference"/>
          <w:rFonts w:asciiTheme="majorHAnsi" w:hAnsiTheme="majorHAnsi"/>
          <w:lang w:val="en-US"/>
        </w:rPr>
        <w:footnoteReference w:id="1"/>
      </w:r>
      <w:r w:rsidR="008B55AC">
        <w:rPr>
          <w:rFonts w:asciiTheme="majorHAnsi" w:hAnsiTheme="majorHAnsi"/>
          <w:lang w:val="en-US"/>
        </w:rPr>
        <w:t>. Whereas</w:t>
      </w:r>
      <w:r w:rsidR="008441ED">
        <w:rPr>
          <w:rFonts w:asciiTheme="majorHAnsi" w:hAnsiTheme="majorHAnsi"/>
          <w:lang w:val="en-US"/>
        </w:rPr>
        <w:t xml:space="preserve"> </w:t>
      </w:r>
      <w:r w:rsidR="002664E2">
        <w:rPr>
          <w:rFonts w:asciiTheme="majorHAnsi" w:hAnsiTheme="majorHAnsi"/>
          <w:lang w:val="en-US"/>
        </w:rPr>
        <w:t>PMM</w:t>
      </w:r>
      <w:r w:rsidR="008441ED">
        <w:rPr>
          <w:rFonts w:asciiTheme="majorHAnsi" w:hAnsiTheme="majorHAnsi"/>
          <w:lang w:val="en-US"/>
        </w:rPr>
        <w:t>s</w:t>
      </w:r>
      <w:r w:rsidR="00D36D5D">
        <w:rPr>
          <w:rFonts w:asciiTheme="majorHAnsi" w:hAnsiTheme="majorHAnsi"/>
          <w:lang w:val="en-US"/>
        </w:rPr>
        <w:t xml:space="preserve"> were only seven times more likely to </w:t>
      </w:r>
      <w:r w:rsidR="00142BAC">
        <w:rPr>
          <w:rFonts w:asciiTheme="majorHAnsi" w:hAnsiTheme="majorHAnsi"/>
          <w:lang w:val="en-US"/>
        </w:rPr>
        <w:t xml:space="preserve">discontinue </w:t>
      </w:r>
      <w:r w:rsidR="00D36D5D">
        <w:rPr>
          <w:rFonts w:asciiTheme="majorHAnsi" w:hAnsiTheme="majorHAnsi"/>
          <w:lang w:val="en-US"/>
        </w:rPr>
        <w:t xml:space="preserve">than the baseline risk. This suggests that the decision to stop </w:t>
      </w:r>
      <w:r w:rsidR="00D9279A">
        <w:rPr>
          <w:rFonts w:asciiTheme="majorHAnsi" w:hAnsiTheme="majorHAnsi"/>
          <w:lang w:val="en-US"/>
        </w:rPr>
        <w:t xml:space="preserve">a RA </w:t>
      </w:r>
      <w:r w:rsidR="00D36D5D">
        <w:rPr>
          <w:rFonts w:asciiTheme="majorHAnsi" w:hAnsiTheme="majorHAnsi"/>
          <w:lang w:val="en-US"/>
        </w:rPr>
        <w:t>is affected by cognitive biases related to a change</w:t>
      </w:r>
      <w:r w:rsidR="00150749">
        <w:rPr>
          <w:rFonts w:asciiTheme="majorHAnsi" w:hAnsiTheme="majorHAnsi"/>
          <w:lang w:val="en-US"/>
        </w:rPr>
        <w:t xml:space="preserve"> in </w:t>
      </w:r>
      <w:r w:rsidR="000918FF">
        <w:rPr>
          <w:rFonts w:asciiTheme="majorHAnsi" w:hAnsiTheme="majorHAnsi"/>
          <w:lang w:val="en-US"/>
        </w:rPr>
        <w:t xml:space="preserve">cumulative returns </w:t>
      </w:r>
      <w:r w:rsidR="00150749">
        <w:rPr>
          <w:rFonts w:asciiTheme="majorHAnsi" w:hAnsiTheme="majorHAnsi"/>
          <w:lang w:val="en-US"/>
        </w:rPr>
        <w:t>around</w:t>
      </w:r>
      <w:r w:rsidR="00D36D5D">
        <w:rPr>
          <w:rFonts w:asciiTheme="majorHAnsi" w:hAnsiTheme="majorHAnsi"/>
          <w:lang w:val="en-US"/>
        </w:rPr>
        <w:t xml:space="preserve"> </w:t>
      </w:r>
      <w:r w:rsidR="007468EE">
        <w:rPr>
          <w:rFonts w:asciiTheme="majorHAnsi" w:hAnsiTheme="majorHAnsi"/>
          <w:lang w:val="en-US"/>
        </w:rPr>
        <w:t>the break-even</w:t>
      </w:r>
      <w:r w:rsidR="00D36D5D">
        <w:rPr>
          <w:rFonts w:asciiTheme="majorHAnsi" w:hAnsiTheme="majorHAnsi"/>
          <w:lang w:val="en-US"/>
        </w:rPr>
        <w:t xml:space="preserve"> </w:t>
      </w:r>
      <w:r w:rsidR="007468EE">
        <w:rPr>
          <w:rFonts w:asciiTheme="majorHAnsi" w:hAnsiTheme="majorHAnsi"/>
          <w:lang w:val="en-US"/>
        </w:rPr>
        <w:t>point</w:t>
      </w:r>
      <w:r w:rsidR="00D36D5D">
        <w:rPr>
          <w:rFonts w:asciiTheme="majorHAnsi" w:hAnsiTheme="majorHAnsi"/>
          <w:lang w:val="en-US"/>
        </w:rPr>
        <w:t xml:space="preserve"> but that this effect </w:t>
      </w:r>
      <w:r w:rsidR="007468EE">
        <w:rPr>
          <w:rFonts w:asciiTheme="majorHAnsi" w:hAnsiTheme="majorHAnsi"/>
          <w:lang w:val="en-US"/>
        </w:rPr>
        <w:t>can be</w:t>
      </w:r>
      <w:r w:rsidR="00D36D5D">
        <w:rPr>
          <w:rFonts w:asciiTheme="majorHAnsi" w:hAnsiTheme="majorHAnsi"/>
          <w:lang w:val="en-US"/>
        </w:rPr>
        <w:t xml:space="preserve"> mediated by </w:t>
      </w:r>
      <w:r w:rsidR="00D9279A">
        <w:rPr>
          <w:rFonts w:asciiTheme="majorHAnsi" w:hAnsiTheme="majorHAnsi"/>
          <w:lang w:val="en-US"/>
        </w:rPr>
        <w:t>the memory of longer-</w:t>
      </w:r>
      <w:r w:rsidR="00AA18C7">
        <w:rPr>
          <w:rFonts w:asciiTheme="majorHAnsi" w:hAnsiTheme="majorHAnsi"/>
          <w:lang w:val="en-US"/>
        </w:rPr>
        <w:t>term performance</w:t>
      </w:r>
      <w:r w:rsidR="008514E5" w:rsidRPr="008514E5">
        <w:rPr>
          <w:rFonts w:asciiTheme="majorHAnsi" w:hAnsiTheme="majorHAnsi"/>
          <w:lang w:val="en-US"/>
        </w:rPr>
        <w:t xml:space="preserve"> </w:t>
      </w:r>
      <w:r w:rsidR="008514E5">
        <w:rPr>
          <w:rFonts w:asciiTheme="majorHAnsi" w:hAnsiTheme="majorHAnsi"/>
          <w:lang w:val="en-US"/>
        </w:rPr>
        <w:t>across the individual’s trading history</w:t>
      </w:r>
      <w:r w:rsidR="00D36D5D">
        <w:rPr>
          <w:rFonts w:asciiTheme="majorHAnsi" w:hAnsiTheme="majorHAnsi"/>
          <w:lang w:val="en-US"/>
        </w:rPr>
        <w:t>.</w:t>
      </w:r>
      <w:r w:rsidR="00D9279A">
        <w:rPr>
          <w:rFonts w:asciiTheme="majorHAnsi" w:hAnsiTheme="majorHAnsi"/>
          <w:lang w:val="en-US"/>
        </w:rPr>
        <w:t xml:space="preserve"> This is entirely consistent with </w:t>
      </w:r>
      <w:r w:rsidR="00D9279A">
        <w:rPr>
          <w:rFonts w:asciiTheme="majorHAnsi" w:hAnsiTheme="majorHAnsi"/>
        </w:rPr>
        <w:t>Thaler and Johnson’s suggestion that gains and losses over a longer timeframe could also be important in mental accounting</w:t>
      </w:r>
      <w:r w:rsidR="004F518D">
        <w:rPr>
          <w:rFonts w:asciiTheme="majorHAnsi" w:hAnsiTheme="majorHAnsi"/>
        </w:rPr>
        <w:t>.</w:t>
      </w:r>
      <w:r w:rsidR="004F518D" w:rsidRPr="00275768">
        <w:rPr>
          <w:rFonts w:asciiTheme="majorHAnsi" w:hAnsiTheme="majorHAnsi"/>
          <w:vertAlign w:val="superscript"/>
        </w:rPr>
        <w:t>(10)</w:t>
      </w:r>
    </w:p>
    <w:p w14:paraId="00C40C47" w14:textId="0D51CBCD" w:rsidR="008B55AC" w:rsidRDefault="00D36D5D">
      <w:pPr>
        <w:spacing w:after="0" w:line="480" w:lineRule="auto"/>
        <w:ind w:firstLine="709"/>
        <w:rPr>
          <w:rFonts w:asciiTheme="majorHAnsi" w:hAnsiTheme="majorHAnsi"/>
          <w:lang w:val="en-US"/>
        </w:rPr>
      </w:pPr>
      <w:r>
        <w:rPr>
          <w:rFonts w:asciiTheme="majorHAnsi" w:hAnsiTheme="majorHAnsi"/>
          <w:lang w:val="en-US"/>
        </w:rPr>
        <w:t xml:space="preserve">Perhaps unsurprisingly, </w:t>
      </w:r>
      <w:r w:rsidR="007468EE">
        <w:rPr>
          <w:rFonts w:asciiTheme="majorHAnsi" w:hAnsiTheme="majorHAnsi"/>
          <w:lang w:val="en-US"/>
        </w:rPr>
        <w:t xml:space="preserve">those individuals who </w:t>
      </w:r>
      <w:r>
        <w:rPr>
          <w:rFonts w:asciiTheme="majorHAnsi" w:hAnsiTheme="majorHAnsi"/>
          <w:lang w:val="en-US"/>
        </w:rPr>
        <w:t xml:space="preserve">had </w:t>
      </w:r>
      <w:r w:rsidR="007468EE">
        <w:rPr>
          <w:rFonts w:asciiTheme="majorHAnsi" w:hAnsiTheme="majorHAnsi"/>
          <w:lang w:val="en-US"/>
        </w:rPr>
        <w:t xml:space="preserve">experienced </w:t>
      </w:r>
      <w:r>
        <w:rPr>
          <w:rFonts w:asciiTheme="majorHAnsi" w:hAnsiTheme="majorHAnsi"/>
          <w:lang w:val="en-US"/>
        </w:rPr>
        <w:t xml:space="preserve">more months </w:t>
      </w:r>
      <w:r w:rsidR="00154E4B">
        <w:rPr>
          <w:rFonts w:asciiTheme="majorHAnsi" w:hAnsiTheme="majorHAnsi"/>
          <w:lang w:val="en-US"/>
        </w:rPr>
        <w:t xml:space="preserve">where their </w:t>
      </w:r>
      <w:r w:rsidR="000918FF">
        <w:rPr>
          <w:rFonts w:asciiTheme="majorHAnsi" w:hAnsiTheme="majorHAnsi"/>
          <w:lang w:val="en-US"/>
        </w:rPr>
        <w:t xml:space="preserve">cumulative </w:t>
      </w:r>
      <w:r w:rsidR="00154E4B">
        <w:rPr>
          <w:rFonts w:asciiTheme="majorHAnsi" w:hAnsiTheme="majorHAnsi"/>
          <w:lang w:val="en-US"/>
        </w:rPr>
        <w:t xml:space="preserve">returns were positive </w:t>
      </w:r>
      <w:r w:rsidR="007468EE">
        <w:rPr>
          <w:rFonts w:asciiTheme="majorHAnsi" w:hAnsiTheme="majorHAnsi"/>
          <w:lang w:val="en-US"/>
        </w:rPr>
        <w:t>were</w:t>
      </w:r>
      <w:r>
        <w:rPr>
          <w:rFonts w:asciiTheme="majorHAnsi" w:hAnsiTheme="majorHAnsi"/>
          <w:lang w:val="en-US"/>
        </w:rPr>
        <w:t xml:space="preserve"> more likely to </w:t>
      </w:r>
      <w:r w:rsidR="00142BAC">
        <w:rPr>
          <w:rFonts w:asciiTheme="majorHAnsi" w:hAnsiTheme="majorHAnsi"/>
          <w:lang w:val="en-US"/>
        </w:rPr>
        <w:t>di</w:t>
      </w:r>
      <w:r w:rsidR="00C470D6">
        <w:rPr>
          <w:rFonts w:asciiTheme="majorHAnsi" w:hAnsiTheme="majorHAnsi"/>
          <w:lang w:val="en-US"/>
        </w:rPr>
        <w:t>s</w:t>
      </w:r>
      <w:r w:rsidR="00142BAC">
        <w:rPr>
          <w:rFonts w:asciiTheme="majorHAnsi" w:hAnsiTheme="majorHAnsi"/>
          <w:lang w:val="en-US"/>
        </w:rPr>
        <w:t>continue</w:t>
      </w:r>
      <w:r w:rsidR="00D9279A">
        <w:rPr>
          <w:rFonts w:asciiTheme="majorHAnsi" w:hAnsiTheme="majorHAnsi"/>
          <w:lang w:val="en-US"/>
        </w:rPr>
        <w:t xml:space="preserve"> the RA </w:t>
      </w:r>
      <w:r w:rsidR="00276D7B">
        <w:rPr>
          <w:rFonts w:asciiTheme="majorHAnsi" w:hAnsiTheme="majorHAnsi"/>
          <w:lang w:val="en-US"/>
        </w:rPr>
        <w:t xml:space="preserve">if they experienced two </w:t>
      </w:r>
      <w:r w:rsidR="00D9279A">
        <w:rPr>
          <w:rFonts w:asciiTheme="majorHAnsi" w:hAnsiTheme="majorHAnsi"/>
          <w:lang w:val="en-US"/>
        </w:rPr>
        <w:t>consecutive month</w:t>
      </w:r>
      <w:r w:rsidR="00154E4B">
        <w:rPr>
          <w:rFonts w:asciiTheme="majorHAnsi" w:hAnsiTheme="majorHAnsi"/>
          <w:lang w:val="en-US"/>
        </w:rPr>
        <w:t>s where their</w:t>
      </w:r>
      <w:r w:rsidR="00D9279A">
        <w:rPr>
          <w:rFonts w:asciiTheme="majorHAnsi" w:hAnsiTheme="majorHAnsi"/>
          <w:lang w:val="en-US"/>
        </w:rPr>
        <w:t xml:space="preserve"> </w:t>
      </w:r>
      <w:r w:rsidR="0038045E">
        <w:rPr>
          <w:rFonts w:asciiTheme="majorHAnsi" w:hAnsiTheme="majorHAnsi"/>
          <w:lang w:val="en-US"/>
        </w:rPr>
        <w:t xml:space="preserve">accumulated </w:t>
      </w:r>
      <w:r w:rsidR="00154E4B">
        <w:rPr>
          <w:rFonts w:asciiTheme="majorHAnsi" w:hAnsiTheme="majorHAnsi"/>
          <w:lang w:val="en-US"/>
        </w:rPr>
        <w:t>returns were negative</w:t>
      </w:r>
      <w:r>
        <w:rPr>
          <w:rFonts w:asciiTheme="majorHAnsi" w:hAnsiTheme="majorHAnsi"/>
          <w:lang w:val="en-US"/>
        </w:rPr>
        <w:t xml:space="preserve"> than if </w:t>
      </w:r>
      <w:r w:rsidR="00154E4B">
        <w:rPr>
          <w:rFonts w:asciiTheme="majorHAnsi" w:hAnsiTheme="majorHAnsi"/>
          <w:lang w:val="en-US"/>
        </w:rPr>
        <w:t xml:space="preserve">their </w:t>
      </w:r>
      <w:r w:rsidR="0038045E">
        <w:rPr>
          <w:rFonts w:asciiTheme="majorHAnsi" w:hAnsiTheme="majorHAnsi"/>
          <w:lang w:val="en-US"/>
        </w:rPr>
        <w:t xml:space="preserve">accumulated </w:t>
      </w:r>
      <w:r w:rsidR="007F4DDB">
        <w:rPr>
          <w:rFonts w:asciiTheme="majorHAnsi" w:hAnsiTheme="majorHAnsi"/>
          <w:lang w:val="en-US"/>
        </w:rPr>
        <w:t>returns moved</w:t>
      </w:r>
      <w:r w:rsidR="00150749">
        <w:rPr>
          <w:rFonts w:asciiTheme="majorHAnsi" w:hAnsiTheme="majorHAnsi"/>
          <w:lang w:val="en-US"/>
        </w:rPr>
        <w:t xml:space="preserve"> </w:t>
      </w:r>
      <w:r w:rsidR="007F4DDB">
        <w:rPr>
          <w:rFonts w:asciiTheme="majorHAnsi" w:hAnsiTheme="majorHAnsi"/>
          <w:lang w:val="en-US"/>
        </w:rPr>
        <w:t xml:space="preserve">them </w:t>
      </w:r>
      <w:r w:rsidR="00150749">
        <w:rPr>
          <w:rFonts w:asciiTheme="majorHAnsi" w:hAnsiTheme="majorHAnsi"/>
          <w:lang w:val="en-US"/>
        </w:rPr>
        <w:t xml:space="preserve">from loss </w:t>
      </w:r>
      <w:r w:rsidR="00276D7B">
        <w:rPr>
          <w:rFonts w:asciiTheme="majorHAnsi" w:hAnsiTheme="majorHAnsi"/>
          <w:lang w:val="en-US"/>
        </w:rPr>
        <w:t xml:space="preserve">in one month </w:t>
      </w:r>
      <w:r w:rsidR="00150749">
        <w:rPr>
          <w:rFonts w:asciiTheme="majorHAnsi" w:hAnsiTheme="majorHAnsi"/>
          <w:lang w:val="en-US"/>
        </w:rPr>
        <w:t>to profit</w:t>
      </w:r>
      <w:r w:rsidR="00245A34">
        <w:rPr>
          <w:rFonts w:asciiTheme="majorHAnsi" w:hAnsiTheme="majorHAnsi"/>
          <w:lang w:val="en-US"/>
        </w:rPr>
        <w:t xml:space="preserve"> in the following month</w:t>
      </w:r>
      <w:r w:rsidR="00150749">
        <w:rPr>
          <w:rFonts w:asciiTheme="majorHAnsi" w:hAnsiTheme="majorHAnsi"/>
          <w:lang w:val="en-US"/>
        </w:rPr>
        <w:t xml:space="preserve">. However, </w:t>
      </w:r>
      <w:r>
        <w:rPr>
          <w:rFonts w:asciiTheme="majorHAnsi" w:hAnsiTheme="majorHAnsi"/>
          <w:lang w:val="en-US"/>
        </w:rPr>
        <w:t xml:space="preserve">the opposite was true for those </w:t>
      </w:r>
      <w:r w:rsidR="00154E4B">
        <w:rPr>
          <w:rFonts w:asciiTheme="majorHAnsi" w:hAnsiTheme="majorHAnsi"/>
          <w:lang w:val="en-US"/>
        </w:rPr>
        <w:t xml:space="preserve">who experienced more months with negative </w:t>
      </w:r>
      <w:r w:rsidR="0038045E">
        <w:rPr>
          <w:rFonts w:asciiTheme="majorHAnsi" w:hAnsiTheme="majorHAnsi"/>
          <w:lang w:val="en-US"/>
        </w:rPr>
        <w:t>accumulated</w:t>
      </w:r>
      <w:r w:rsidR="0038045E" w:rsidDel="000918FF">
        <w:rPr>
          <w:rFonts w:asciiTheme="majorHAnsi" w:hAnsiTheme="majorHAnsi"/>
          <w:lang w:val="en-US"/>
        </w:rPr>
        <w:t xml:space="preserve"> </w:t>
      </w:r>
      <w:r w:rsidR="00154E4B">
        <w:rPr>
          <w:rFonts w:asciiTheme="majorHAnsi" w:hAnsiTheme="majorHAnsi"/>
          <w:lang w:val="en-US"/>
        </w:rPr>
        <w:t>returns</w:t>
      </w:r>
      <w:r>
        <w:rPr>
          <w:rFonts w:asciiTheme="majorHAnsi" w:hAnsiTheme="majorHAnsi"/>
          <w:lang w:val="en-US"/>
        </w:rPr>
        <w:t>.</w:t>
      </w:r>
      <w:r w:rsidR="006A4BA4">
        <w:rPr>
          <w:rFonts w:asciiTheme="majorHAnsi" w:hAnsiTheme="majorHAnsi"/>
          <w:lang w:val="en-US"/>
        </w:rPr>
        <w:t xml:space="preserve"> </w:t>
      </w:r>
      <w:r w:rsidR="00AA18C7">
        <w:rPr>
          <w:rFonts w:asciiTheme="majorHAnsi" w:hAnsiTheme="majorHAnsi"/>
          <w:lang w:val="en-US"/>
        </w:rPr>
        <w:t>T</w:t>
      </w:r>
      <w:r w:rsidR="007468EE">
        <w:rPr>
          <w:rFonts w:asciiTheme="majorHAnsi" w:hAnsiTheme="majorHAnsi"/>
          <w:lang w:val="en-US"/>
        </w:rPr>
        <w:t>hese individuals were</w:t>
      </w:r>
      <w:r w:rsidR="00150749">
        <w:rPr>
          <w:rFonts w:asciiTheme="majorHAnsi" w:hAnsiTheme="majorHAnsi"/>
          <w:lang w:val="en-US"/>
        </w:rPr>
        <w:t xml:space="preserve"> more</w:t>
      </w:r>
      <w:r>
        <w:rPr>
          <w:rFonts w:asciiTheme="majorHAnsi" w:hAnsiTheme="majorHAnsi"/>
          <w:lang w:val="en-US"/>
        </w:rPr>
        <w:t xml:space="preserve"> likel</w:t>
      </w:r>
      <w:r w:rsidR="00150749">
        <w:rPr>
          <w:rFonts w:asciiTheme="majorHAnsi" w:hAnsiTheme="majorHAnsi"/>
          <w:lang w:val="en-US"/>
        </w:rPr>
        <w:t xml:space="preserve">y to </w:t>
      </w:r>
      <w:r w:rsidR="00245A34">
        <w:rPr>
          <w:rFonts w:asciiTheme="majorHAnsi" w:hAnsiTheme="majorHAnsi"/>
          <w:lang w:val="en-US"/>
        </w:rPr>
        <w:t xml:space="preserve">cease </w:t>
      </w:r>
      <w:r w:rsidR="00150749">
        <w:rPr>
          <w:rFonts w:asciiTheme="majorHAnsi" w:hAnsiTheme="majorHAnsi"/>
          <w:lang w:val="en-US"/>
        </w:rPr>
        <w:t>trading when they changed</w:t>
      </w:r>
      <w:r>
        <w:rPr>
          <w:rFonts w:asciiTheme="majorHAnsi" w:hAnsiTheme="majorHAnsi"/>
          <w:lang w:val="en-US"/>
        </w:rPr>
        <w:t xml:space="preserve"> from net </w:t>
      </w:r>
      <w:r w:rsidR="00717900">
        <w:rPr>
          <w:rFonts w:asciiTheme="majorHAnsi" w:hAnsiTheme="majorHAnsi"/>
          <w:lang w:val="en-US"/>
        </w:rPr>
        <w:t>accumulated</w:t>
      </w:r>
      <w:r w:rsidR="00717900" w:rsidDel="000918FF">
        <w:rPr>
          <w:rFonts w:asciiTheme="majorHAnsi" w:hAnsiTheme="majorHAnsi"/>
          <w:lang w:val="en-US"/>
        </w:rPr>
        <w:t xml:space="preserve"> </w:t>
      </w:r>
      <w:r>
        <w:rPr>
          <w:rFonts w:asciiTheme="majorHAnsi" w:hAnsiTheme="majorHAnsi"/>
          <w:lang w:val="en-US"/>
        </w:rPr>
        <w:t>loss</w:t>
      </w:r>
      <w:r w:rsidR="00D9279A">
        <w:rPr>
          <w:rFonts w:asciiTheme="majorHAnsi" w:hAnsiTheme="majorHAnsi"/>
          <w:lang w:val="en-US"/>
        </w:rPr>
        <w:t xml:space="preserve"> in</w:t>
      </w:r>
      <w:r w:rsidR="00245A34">
        <w:rPr>
          <w:rFonts w:asciiTheme="majorHAnsi" w:hAnsiTheme="majorHAnsi"/>
          <w:lang w:val="en-US"/>
        </w:rPr>
        <w:t xml:space="preserve"> one month </w:t>
      </w:r>
      <w:r>
        <w:rPr>
          <w:rFonts w:asciiTheme="majorHAnsi" w:hAnsiTheme="majorHAnsi"/>
          <w:lang w:val="en-US"/>
        </w:rPr>
        <w:t xml:space="preserve">to net </w:t>
      </w:r>
      <w:r w:rsidR="00717900">
        <w:rPr>
          <w:rFonts w:asciiTheme="majorHAnsi" w:hAnsiTheme="majorHAnsi"/>
          <w:lang w:val="en-US"/>
        </w:rPr>
        <w:t>accumulated</w:t>
      </w:r>
      <w:r w:rsidR="00717900" w:rsidDel="00717900">
        <w:rPr>
          <w:rFonts w:asciiTheme="majorHAnsi" w:hAnsiTheme="majorHAnsi"/>
          <w:lang w:val="en-US"/>
        </w:rPr>
        <w:t xml:space="preserve"> </w:t>
      </w:r>
      <w:r>
        <w:rPr>
          <w:rFonts w:asciiTheme="majorHAnsi" w:hAnsiTheme="majorHAnsi"/>
          <w:lang w:val="en-US"/>
        </w:rPr>
        <w:t xml:space="preserve">profit </w:t>
      </w:r>
      <w:r w:rsidR="00245A34">
        <w:rPr>
          <w:rFonts w:asciiTheme="majorHAnsi" w:hAnsiTheme="majorHAnsi"/>
          <w:lang w:val="en-US"/>
        </w:rPr>
        <w:t>in the following month</w:t>
      </w:r>
      <w:r w:rsidR="00D9279A">
        <w:rPr>
          <w:rFonts w:asciiTheme="majorHAnsi" w:hAnsiTheme="majorHAnsi"/>
          <w:lang w:val="en-US"/>
        </w:rPr>
        <w:t xml:space="preserve"> </w:t>
      </w:r>
      <w:r w:rsidR="00154E4B">
        <w:rPr>
          <w:rFonts w:asciiTheme="majorHAnsi" w:hAnsiTheme="majorHAnsi"/>
          <w:lang w:val="en-US"/>
        </w:rPr>
        <w:t>(cf.</w:t>
      </w:r>
      <w:r w:rsidR="00D9279A">
        <w:rPr>
          <w:rFonts w:asciiTheme="majorHAnsi" w:hAnsiTheme="majorHAnsi"/>
          <w:lang w:val="en-US"/>
        </w:rPr>
        <w:t xml:space="preserve"> when they</w:t>
      </w:r>
      <w:r w:rsidR="00150749">
        <w:rPr>
          <w:rFonts w:asciiTheme="majorHAnsi" w:hAnsiTheme="majorHAnsi"/>
          <w:lang w:val="en-US"/>
        </w:rPr>
        <w:t xml:space="preserve"> remained in </w:t>
      </w:r>
      <w:r w:rsidR="00717900">
        <w:rPr>
          <w:rFonts w:asciiTheme="majorHAnsi" w:hAnsiTheme="majorHAnsi"/>
          <w:lang w:val="en-US"/>
        </w:rPr>
        <w:t>accumulated</w:t>
      </w:r>
      <w:r w:rsidR="00717900" w:rsidDel="00717900">
        <w:rPr>
          <w:rFonts w:asciiTheme="majorHAnsi" w:hAnsiTheme="majorHAnsi"/>
          <w:lang w:val="en-US"/>
        </w:rPr>
        <w:t xml:space="preserve"> </w:t>
      </w:r>
      <w:r w:rsidR="00150749">
        <w:rPr>
          <w:rFonts w:asciiTheme="majorHAnsi" w:hAnsiTheme="majorHAnsi"/>
          <w:lang w:val="en-US"/>
        </w:rPr>
        <w:t xml:space="preserve">loss </w:t>
      </w:r>
      <w:r w:rsidR="00142BAC">
        <w:rPr>
          <w:rFonts w:asciiTheme="majorHAnsi" w:hAnsiTheme="majorHAnsi"/>
          <w:lang w:val="en-US"/>
        </w:rPr>
        <w:t xml:space="preserve">for </w:t>
      </w:r>
      <w:r w:rsidR="00D9279A">
        <w:rPr>
          <w:rFonts w:asciiTheme="majorHAnsi" w:hAnsiTheme="majorHAnsi"/>
          <w:lang w:val="en-US"/>
        </w:rPr>
        <w:t xml:space="preserve">two </w:t>
      </w:r>
      <w:r w:rsidR="00245A34">
        <w:rPr>
          <w:rFonts w:asciiTheme="majorHAnsi" w:hAnsiTheme="majorHAnsi"/>
          <w:lang w:val="en-US"/>
        </w:rPr>
        <w:t>consecutive months</w:t>
      </w:r>
      <w:r w:rsidR="00154E4B">
        <w:rPr>
          <w:rFonts w:asciiTheme="majorHAnsi" w:hAnsiTheme="majorHAnsi"/>
          <w:lang w:val="en-US"/>
        </w:rPr>
        <w:t>)</w:t>
      </w:r>
      <w:r>
        <w:rPr>
          <w:rFonts w:asciiTheme="majorHAnsi" w:hAnsiTheme="majorHAnsi"/>
          <w:lang w:val="en-US"/>
        </w:rPr>
        <w:t xml:space="preserve">. This </w:t>
      </w:r>
      <w:r w:rsidR="00245A34">
        <w:rPr>
          <w:rFonts w:asciiTheme="majorHAnsi" w:hAnsiTheme="majorHAnsi"/>
          <w:lang w:val="en-US"/>
        </w:rPr>
        <w:t>evidence contradicts the</w:t>
      </w:r>
      <w:r w:rsidR="00E50080">
        <w:rPr>
          <w:rFonts w:asciiTheme="majorHAnsi" w:hAnsiTheme="majorHAnsi"/>
          <w:lang w:val="en-US"/>
        </w:rPr>
        <w:t xml:space="preserve"> assumption </w:t>
      </w:r>
      <w:r w:rsidR="007468EE">
        <w:rPr>
          <w:rFonts w:asciiTheme="majorHAnsi" w:hAnsiTheme="majorHAnsi"/>
          <w:lang w:val="en-US"/>
        </w:rPr>
        <w:t xml:space="preserve">that individuals only stop </w:t>
      </w:r>
      <w:r w:rsidR="00245A34">
        <w:rPr>
          <w:rFonts w:asciiTheme="majorHAnsi" w:hAnsiTheme="majorHAnsi"/>
          <w:lang w:val="en-US"/>
        </w:rPr>
        <w:t xml:space="preserve">undertaking a </w:t>
      </w:r>
      <w:r w:rsidR="0015251B">
        <w:rPr>
          <w:rFonts w:asciiTheme="majorHAnsi" w:hAnsiTheme="majorHAnsi"/>
          <w:lang w:val="en-US"/>
        </w:rPr>
        <w:t>RA</w:t>
      </w:r>
      <w:r w:rsidR="007468EE">
        <w:rPr>
          <w:rFonts w:asciiTheme="majorHAnsi" w:hAnsiTheme="majorHAnsi"/>
          <w:lang w:val="en-US"/>
        </w:rPr>
        <w:t xml:space="preserve"> when they have incurred significant loss</w:t>
      </w:r>
      <w:r w:rsidR="00245A34">
        <w:rPr>
          <w:rFonts w:asciiTheme="majorHAnsi" w:hAnsiTheme="majorHAnsi"/>
          <w:lang w:val="en-US"/>
        </w:rPr>
        <w:t>.</w:t>
      </w:r>
      <w:r w:rsidR="007468EE">
        <w:rPr>
          <w:rFonts w:asciiTheme="majorHAnsi" w:hAnsiTheme="majorHAnsi"/>
          <w:lang w:val="en-US"/>
        </w:rPr>
        <w:t xml:space="preserve"> </w:t>
      </w:r>
      <w:r w:rsidR="00D9279A">
        <w:rPr>
          <w:rFonts w:asciiTheme="majorHAnsi" w:hAnsiTheme="majorHAnsi"/>
          <w:lang w:val="en-US"/>
        </w:rPr>
        <w:t xml:space="preserve">This finding is also consistent with </w:t>
      </w:r>
      <w:r w:rsidR="00824614">
        <w:rPr>
          <w:rFonts w:asciiTheme="majorHAnsi" w:hAnsiTheme="majorHAnsi"/>
          <w:lang w:val="en-US"/>
        </w:rPr>
        <w:t xml:space="preserve">chasing behavior, since it suggests that </w:t>
      </w:r>
      <w:r w:rsidR="00142BAC">
        <w:rPr>
          <w:rFonts w:asciiTheme="majorHAnsi" w:hAnsiTheme="majorHAnsi"/>
          <w:lang w:val="en-US"/>
        </w:rPr>
        <w:t>individuals</w:t>
      </w:r>
      <w:r w:rsidR="00154E4B">
        <w:rPr>
          <w:rFonts w:asciiTheme="majorHAnsi" w:hAnsiTheme="majorHAnsi"/>
          <w:lang w:val="en-US"/>
        </w:rPr>
        <w:t xml:space="preserve"> may</w:t>
      </w:r>
      <w:r w:rsidR="00824614">
        <w:rPr>
          <w:rFonts w:asciiTheme="majorHAnsi" w:hAnsiTheme="majorHAnsi"/>
          <w:lang w:val="en-US"/>
        </w:rPr>
        <w:t xml:space="preserve"> only </w:t>
      </w:r>
      <w:r w:rsidR="00154E4B">
        <w:rPr>
          <w:rFonts w:asciiTheme="majorHAnsi" w:hAnsiTheme="majorHAnsi"/>
          <w:lang w:val="en-US"/>
        </w:rPr>
        <w:t xml:space="preserve">continue </w:t>
      </w:r>
      <w:r w:rsidR="001D463D">
        <w:rPr>
          <w:rFonts w:asciiTheme="majorHAnsi" w:hAnsiTheme="majorHAnsi"/>
          <w:lang w:val="en-US"/>
        </w:rPr>
        <w:t>a</w:t>
      </w:r>
      <w:r w:rsidR="00154E4B">
        <w:rPr>
          <w:rFonts w:asciiTheme="majorHAnsi" w:hAnsiTheme="majorHAnsi"/>
          <w:lang w:val="en-US"/>
        </w:rPr>
        <w:t xml:space="preserve"> RA in order to </w:t>
      </w:r>
      <w:r w:rsidR="00824614">
        <w:rPr>
          <w:rFonts w:asciiTheme="majorHAnsi" w:hAnsiTheme="majorHAnsi"/>
          <w:lang w:val="en-US"/>
        </w:rPr>
        <w:t xml:space="preserve">win back their </w:t>
      </w:r>
      <w:r w:rsidR="00154E4B">
        <w:rPr>
          <w:rFonts w:asciiTheme="majorHAnsi" w:hAnsiTheme="majorHAnsi"/>
          <w:lang w:val="en-US"/>
        </w:rPr>
        <w:t xml:space="preserve">previous </w:t>
      </w:r>
      <w:r w:rsidR="00824614">
        <w:rPr>
          <w:rFonts w:asciiTheme="majorHAnsi" w:hAnsiTheme="majorHAnsi"/>
          <w:lang w:val="en-US"/>
        </w:rPr>
        <w:t xml:space="preserve">losses. Once </w:t>
      </w:r>
      <w:r w:rsidR="00101E8A">
        <w:rPr>
          <w:rFonts w:asciiTheme="majorHAnsi" w:hAnsiTheme="majorHAnsi"/>
          <w:lang w:val="en-US"/>
        </w:rPr>
        <w:t xml:space="preserve">they </w:t>
      </w:r>
      <w:r w:rsidR="00142BAC">
        <w:rPr>
          <w:rFonts w:asciiTheme="majorHAnsi" w:hAnsiTheme="majorHAnsi"/>
          <w:lang w:val="en-US"/>
        </w:rPr>
        <w:t>achieve their objective of</w:t>
      </w:r>
      <w:r w:rsidR="00101E8A">
        <w:rPr>
          <w:rFonts w:asciiTheme="majorHAnsi" w:hAnsiTheme="majorHAnsi"/>
          <w:lang w:val="en-US"/>
        </w:rPr>
        <w:t xml:space="preserve"> break</w:t>
      </w:r>
      <w:r w:rsidR="00142BAC">
        <w:rPr>
          <w:rFonts w:asciiTheme="majorHAnsi" w:hAnsiTheme="majorHAnsi"/>
          <w:lang w:val="en-US"/>
        </w:rPr>
        <w:t xml:space="preserve">ing </w:t>
      </w:r>
      <w:r w:rsidR="00101E8A">
        <w:rPr>
          <w:rFonts w:asciiTheme="majorHAnsi" w:hAnsiTheme="majorHAnsi"/>
          <w:lang w:val="en-US"/>
        </w:rPr>
        <w:t>even they cease the RA</w:t>
      </w:r>
      <w:r w:rsidR="00C52970">
        <w:rPr>
          <w:rFonts w:asciiTheme="majorHAnsi" w:hAnsiTheme="majorHAnsi"/>
          <w:lang w:val="en-US"/>
        </w:rPr>
        <w:t>,</w:t>
      </w:r>
      <w:r w:rsidR="00101E8A">
        <w:rPr>
          <w:rFonts w:asciiTheme="majorHAnsi" w:hAnsiTheme="majorHAnsi"/>
          <w:lang w:val="en-US"/>
        </w:rPr>
        <w:t xml:space="preserve"> </w:t>
      </w:r>
      <w:r w:rsidR="00142BAC">
        <w:rPr>
          <w:rFonts w:asciiTheme="majorHAnsi" w:hAnsiTheme="majorHAnsi"/>
          <w:lang w:val="en-US"/>
        </w:rPr>
        <w:t xml:space="preserve">otherwise </w:t>
      </w:r>
      <w:r w:rsidR="00824614">
        <w:rPr>
          <w:rFonts w:asciiTheme="majorHAnsi" w:hAnsiTheme="majorHAnsi"/>
          <w:lang w:val="en-US"/>
        </w:rPr>
        <w:t xml:space="preserve">they continue. </w:t>
      </w:r>
      <w:r w:rsidR="0043337A">
        <w:rPr>
          <w:rFonts w:asciiTheme="majorHAnsi" w:hAnsiTheme="majorHAnsi"/>
          <w:lang w:val="en-US"/>
        </w:rPr>
        <w:t xml:space="preserve"> </w:t>
      </w:r>
      <w:r w:rsidR="00B440DA">
        <w:rPr>
          <w:rFonts w:asciiTheme="majorHAnsi" w:hAnsiTheme="majorHAnsi"/>
          <w:lang w:val="en-US"/>
        </w:rPr>
        <w:t>Our</w:t>
      </w:r>
      <w:r w:rsidR="00101E8A">
        <w:rPr>
          <w:rFonts w:asciiTheme="majorHAnsi" w:hAnsiTheme="majorHAnsi"/>
          <w:lang w:val="en-US"/>
        </w:rPr>
        <w:t xml:space="preserve"> results are</w:t>
      </w:r>
      <w:r w:rsidR="0043337A">
        <w:rPr>
          <w:rFonts w:asciiTheme="majorHAnsi" w:hAnsiTheme="majorHAnsi"/>
          <w:lang w:val="en-US"/>
        </w:rPr>
        <w:t xml:space="preserve"> also</w:t>
      </w:r>
      <w:r w:rsidR="00824614">
        <w:rPr>
          <w:rFonts w:asciiTheme="majorHAnsi" w:hAnsiTheme="majorHAnsi"/>
          <w:lang w:val="en-US"/>
        </w:rPr>
        <w:t xml:space="preserve"> consistent with</w:t>
      </w:r>
      <w:r>
        <w:rPr>
          <w:rFonts w:asciiTheme="majorHAnsi" w:hAnsiTheme="majorHAnsi"/>
          <w:lang w:val="en-US"/>
        </w:rPr>
        <w:t xml:space="preserve"> prospect theory’s value function </w:t>
      </w:r>
      <w:r w:rsidR="00101E8A">
        <w:rPr>
          <w:rFonts w:asciiTheme="majorHAnsi" w:hAnsiTheme="majorHAnsi"/>
          <w:lang w:val="en-US"/>
        </w:rPr>
        <w:t>(i.e.</w:t>
      </w:r>
      <w:r>
        <w:rPr>
          <w:rFonts w:asciiTheme="majorHAnsi" w:hAnsiTheme="majorHAnsi"/>
          <w:lang w:val="en-US"/>
        </w:rPr>
        <w:t xml:space="preserve"> risk averse</w:t>
      </w:r>
      <w:r w:rsidR="00101E8A">
        <w:rPr>
          <w:rFonts w:asciiTheme="majorHAnsi" w:hAnsiTheme="majorHAnsi"/>
          <w:lang w:val="en-US"/>
        </w:rPr>
        <w:t>/preferring</w:t>
      </w:r>
      <w:r>
        <w:rPr>
          <w:rFonts w:asciiTheme="majorHAnsi" w:hAnsiTheme="majorHAnsi"/>
          <w:lang w:val="en-US"/>
        </w:rPr>
        <w:t xml:space="preserve"> in the domain</w:t>
      </w:r>
      <w:r w:rsidR="00B440DA">
        <w:rPr>
          <w:rFonts w:asciiTheme="majorHAnsi" w:hAnsiTheme="majorHAnsi"/>
          <w:lang w:val="en-US"/>
        </w:rPr>
        <w:t>s</w:t>
      </w:r>
      <w:r>
        <w:rPr>
          <w:rFonts w:asciiTheme="majorHAnsi" w:hAnsiTheme="majorHAnsi"/>
          <w:lang w:val="en-US"/>
        </w:rPr>
        <w:t xml:space="preserve"> of gains</w:t>
      </w:r>
      <w:r w:rsidR="00101E8A">
        <w:rPr>
          <w:rFonts w:asciiTheme="majorHAnsi" w:hAnsiTheme="majorHAnsi"/>
          <w:lang w:val="en-US"/>
        </w:rPr>
        <w:t>/losses)</w:t>
      </w:r>
      <w:r w:rsidR="00824614">
        <w:rPr>
          <w:rFonts w:asciiTheme="majorHAnsi" w:hAnsiTheme="majorHAnsi"/>
          <w:lang w:val="en-US"/>
        </w:rPr>
        <w:t xml:space="preserve"> and</w:t>
      </w:r>
      <w:r>
        <w:rPr>
          <w:rFonts w:asciiTheme="majorHAnsi" w:hAnsiTheme="majorHAnsi"/>
          <w:lang w:val="en-US"/>
        </w:rPr>
        <w:t xml:space="preserve"> </w:t>
      </w:r>
      <w:r w:rsidR="00824614">
        <w:rPr>
          <w:rFonts w:asciiTheme="majorHAnsi" w:hAnsiTheme="majorHAnsi"/>
          <w:lang w:val="en-US"/>
        </w:rPr>
        <w:t xml:space="preserve">with </w:t>
      </w:r>
      <w:r>
        <w:rPr>
          <w:rFonts w:asciiTheme="majorHAnsi" w:hAnsiTheme="majorHAnsi"/>
          <w:lang w:val="en-US"/>
        </w:rPr>
        <w:t xml:space="preserve">the </w:t>
      </w:r>
      <w:r w:rsidR="00245A34">
        <w:rPr>
          <w:rFonts w:asciiTheme="majorHAnsi" w:hAnsiTheme="majorHAnsi"/>
          <w:lang w:val="en-US"/>
        </w:rPr>
        <w:t>‘</w:t>
      </w:r>
      <w:r>
        <w:rPr>
          <w:rFonts w:asciiTheme="majorHAnsi" w:hAnsiTheme="majorHAnsi"/>
          <w:lang w:val="en-US"/>
        </w:rPr>
        <w:t>break-even effect</w:t>
      </w:r>
      <w:r w:rsidR="00245A34">
        <w:rPr>
          <w:rFonts w:asciiTheme="majorHAnsi" w:hAnsiTheme="majorHAnsi"/>
          <w:lang w:val="en-US"/>
        </w:rPr>
        <w:t>’</w:t>
      </w:r>
      <w:r w:rsidR="00101E8A">
        <w:rPr>
          <w:rFonts w:asciiTheme="majorHAnsi" w:hAnsiTheme="majorHAnsi"/>
          <w:lang w:val="en-US"/>
        </w:rPr>
        <w:t>,</w:t>
      </w:r>
      <w:r>
        <w:rPr>
          <w:rFonts w:asciiTheme="majorHAnsi" w:hAnsiTheme="majorHAnsi"/>
          <w:lang w:val="en-US"/>
        </w:rPr>
        <w:t xml:space="preserve"> whereby </w:t>
      </w:r>
      <w:r w:rsidR="008030BD">
        <w:rPr>
          <w:rFonts w:asciiTheme="majorHAnsi" w:hAnsiTheme="majorHAnsi"/>
          <w:lang w:val="en-US"/>
        </w:rPr>
        <w:t>individuals</w:t>
      </w:r>
      <w:r>
        <w:rPr>
          <w:rFonts w:asciiTheme="majorHAnsi" w:hAnsiTheme="majorHAnsi"/>
          <w:lang w:val="en-US"/>
        </w:rPr>
        <w:t xml:space="preserve"> </w:t>
      </w:r>
      <w:r w:rsidR="00245A34">
        <w:rPr>
          <w:rFonts w:asciiTheme="majorHAnsi" w:hAnsiTheme="majorHAnsi"/>
          <w:lang w:val="en-US"/>
        </w:rPr>
        <w:t xml:space="preserve">have a </w:t>
      </w:r>
      <w:r>
        <w:rPr>
          <w:rFonts w:asciiTheme="majorHAnsi" w:hAnsiTheme="majorHAnsi"/>
          <w:lang w:val="en-US"/>
        </w:rPr>
        <w:t>tend</w:t>
      </w:r>
      <w:r w:rsidR="00245A34">
        <w:rPr>
          <w:rFonts w:asciiTheme="majorHAnsi" w:hAnsiTheme="majorHAnsi"/>
          <w:lang w:val="en-US"/>
        </w:rPr>
        <w:t>ency to con</w:t>
      </w:r>
      <w:r>
        <w:rPr>
          <w:rFonts w:asciiTheme="majorHAnsi" w:hAnsiTheme="majorHAnsi"/>
          <w:lang w:val="en-US"/>
        </w:rPr>
        <w:t xml:space="preserve">tinue to take risks, despite consecutive </w:t>
      </w:r>
      <w:r w:rsidR="008030BD">
        <w:rPr>
          <w:rFonts w:asciiTheme="majorHAnsi" w:hAnsiTheme="majorHAnsi"/>
          <w:lang w:val="en-US"/>
        </w:rPr>
        <w:t>period</w:t>
      </w:r>
      <w:r w:rsidR="00245A34">
        <w:rPr>
          <w:rFonts w:asciiTheme="majorHAnsi" w:hAnsiTheme="majorHAnsi"/>
          <w:lang w:val="en-US"/>
        </w:rPr>
        <w:t>s</w:t>
      </w:r>
      <w:r>
        <w:rPr>
          <w:rFonts w:asciiTheme="majorHAnsi" w:hAnsiTheme="majorHAnsi"/>
          <w:lang w:val="en-US"/>
        </w:rPr>
        <w:t xml:space="preserve"> in loss, in the hope that they will soon break-even. </w:t>
      </w:r>
    </w:p>
    <w:p w14:paraId="75593266" w14:textId="45945F73" w:rsidR="00612944" w:rsidRDefault="00D36D5D" w:rsidP="00612944">
      <w:pPr>
        <w:spacing w:after="0" w:line="480" w:lineRule="auto"/>
        <w:ind w:firstLine="709"/>
        <w:rPr>
          <w:rFonts w:asciiTheme="majorHAnsi" w:eastAsia="Calibri" w:hAnsiTheme="majorHAnsi" w:cs="Cordia New"/>
          <w:lang w:bidi="th-TH"/>
        </w:rPr>
      </w:pPr>
      <w:r>
        <w:rPr>
          <w:rFonts w:asciiTheme="majorHAnsi" w:hAnsiTheme="majorHAnsi"/>
          <w:lang w:val="en-US"/>
        </w:rPr>
        <w:t xml:space="preserve">The results demonstrate that the decision to </w:t>
      </w:r>
      <w:r w:rsidR="00B440DA">
        <w:rPr>
          <w:rFonts w:asciiTheme="majorHAnsi" w:hAnsiTheme="majorHAnsi"/>
          <w:lang w:val="en-US"/>
        </w:rPr>
        <w:t>discontinue</w:t>
      </w:r>
      <w:r w:rsidR="00F812AC">
        <w:rPr>
          <w:rFonts w:asciiTheme="majorHAnsi" w:hAnsiTheme="majorHAnsi"/>
          <w:lang w:val="en-US"/>
        </w:rPr>
        <w:t xml:space="preserve"> </w:t>
      </w:r>
      <w:r w:rsidR="00715EF3">
        <w:rPr>
          <w:rFonts w:asciiTheme="majorHAnsi" w:hAnsiTheme="majorHAnsi"/>
          <w:lang w:val="en-US"/>
        </w:rPr>
        <w:t xml:space="preserve">a </w:t>
      </w:r>
      <w:r w:rsidR="0015251B">
        <w:rPr>
          <w:rFonts w:asciiTheme="majorHAnsi" w:hAnsiTheme="majorHAnsi"/>
          <w:lang w:val="en-US"/>
        </w:rPr>
        <w:t>RA</w:t>
      </w:r>
      <w:r w:rsidR="00245A34">
        <w:rPr>
          <w:rFonts w:asciiTheme="majorHAnsi" w:hAnsiTheme="majorHAnsi"/>
          <w:lang w:val="en-US"/>
        </w:rPr>
        <w:t xml:space="preserve"> </w:t>
      </w:r>
      <w:r>
        <w:rPr>
          <w:rFonts w:asciiTheme="majorHAnsi" w:hAnsiTheme="majorHAnsi"/>
          <w:lang w:val="en-US"/>
        </w:rPr>
        <w:t>is influenced by cognitive biases</w:t>
      </w:r>
      <w:r w:rsidR="008B55AC">
        <w:rPr>
          <w:rFonts w:asciiTheme="majorHAnsi" w:hAnsiTheme="majorHAnsi"/>
          <w:lang w:val="en-US"/>
        </w:rPr>
        <w:t xml:space="preserve"> and </w:t>
      </w:r>
      <w:r>
        <w:rPr>
          <w:rFonts w:asciiTheme="majorHAnsi" w:hAnsiTheme="majorHAnsi"/>
          <w:lang w:val="en-US"/>
        </w:rPr>
        <w:t xml:space="preserve">that such effects </w:t>
      </w:r>
      <w:r w:rsidR="00143150">
        <w:rPr>
          <w:rFonts w:asciiTheme="majorHAnsi" w:hAnsiTheme="majorHAnsi"/>
          <w:lang w:val="en-US"/>
        </w:rPr>
        <w:t>can be</w:t>
      </w:r>
      <w:r>
        <w:rPr>
          <w:rFonts w:asciiTheme="majorHAnsi" w:hAnsiTheme="majorHAnsi"/>
          <w:lang w:val="en-US"/>
        </w:rPr>
        <w:t xml:space="preserve"> modulated by </w:t>
      </w:r>
      <w:r w:rsidR="008030BD">
        <w:rPr>
          <w:rFonts w:asciiTheme="majorHAnsi" w:hAnsiTheme="majorHAnsi"/>
          <w:lang w:val="en-US"/>
        </w:rPr>
        <w:t>an individual's</w:t>
      </w:r>
      <w:r>
        <w:rPr>
          <w:rFonts w:asciiTheme="majorHAnsi" w:hAnsiTheme="majorHAnsi"/>
          <w:lang w:val="en-US"/>
        </w:rPr>
        <w:t xml:space="preserve"> </w:t>
      </w:r>
      <w:r w:rsidR="0076577A">
        <w:rPr>
          <w:rFonts w:asciiTheme="majorHAnsi" w:hAnsiTheme="majorHAnsi"/>
          <w:lang w:val="en-US"/>
        </w:rPr>
        <w:t>longer-term performance</w:t>
      </w:r>
      <w:r w:rsidR="00F06879">
        <w:rPr>
          <w:rFonts w:asciiTheme="majorHAnsi" w:hAnsiTheme="majorHAnsi"/>
          <w:lang w:val="en-US"/>
        </w:rPr>
        <w:t>. The later</w:t>
      </w:r>
      <w:r w:rsidR="00B440DA">
        <w:rPr>
          <w:rFonts w:asciiTheme="majorHAnsi" w:hAnsiTheme="majorHAnsi"/>
          <w:lang w:val="en-US"/>
        </w:rPr>
        <w:t>,</w:t>
      </w:r>
      <w:r>
        <w:rPr>
          <w:rFonts w:asciiTheme="majorHAnsi" w:hAnsiTheme="majorHAnsi"/>
          <w:lang w:val="en-US"/>
        </w:rPr>
        <w:t xml:space="preserve"> </w:t>
      </w:r>
      <w:r w:rsidR="00B440DA">
        <w:rPr>
          <w:rFonts w:asciiTheme="majorHAnsi" w:hAnsiTheme="majorHAnsi"/>
          <w:lang w:val="en-US"/>
        </w:rPr>
        <w:t>we believe</w:t>
      </w:r>
      <w:r w:rsidR="00F06879">
        <w:rPr>
          <w:rFonts w:asciiTheme="majorHAnsi" w:hAnsiTheme="majorHAnsi"/>
          <w:lang w:val="en-US"/>
        </w:rPr>
        <w:t>,</w:t>
      </w:r>
      <w:r w:rsidR="00B440DA">
        <w:rPr>
          <w:rFonts w:asciiTheme="majorHAnsi" w:hAnsiTheme="majorHAnsi"/>
          <w:lang w:val="en-US"/>
        </w:rPr>
        <w:t xml:space="preserve"> may influence their</w:t>
      </w:r>
      <w:r>
        <w:rPr>
          <w:rFonts w:asciiTheme="majorHAnsi" w:hAnsiTheme="majorHAnsi"/>
          <w:lang w:val="en-US"/>
        </w:rPr>
        <w:t xml:space="preserve"> </w:t>
      </w:r>
      <w:r w:rsidR="00143150">
        <w:rPr>
          <w:rFonts w:asciiTheme="majorHAnsi" w:hAnsiTheme="majorHAnsi"/>
          <w:lang w:val="en-US"/>
        </w:rPr>
        <w:t>confidence</w:t>
      </w:r>
      <w:r w:rsidR="00245A34">
        <w:rPr>
          <w:rFonts w:asciiTheme="majorHAnsi" w:hAnsiTheme="majorHAnsi"/>
          <w:lang w:val="en-US"/>
        </w:rPr>
        <w:t xml:space="preserve"> in their abilities related to the </w:t>
      </w:r>
      <w:r w:rsidR="0015251B">
        <w:rPr>
          <w:rFonts w:asciiTheme="majorHAnsi" w:hAnsiTheme="majorHAnsi"/>
          <w:lang w:val="en-US"/>
        </w:rPr>
        <w:t>RA</w:t>
      </w:r>
      <w:r>
        <w:rPr>
          <w:rFonts w:asciiTheme="majorHAnsi" w:hAnsiTheme="majorHAnsi"/>
          <w:lang w:val="en-US"/>
        </w:rPr>
        <w:t>.</w:t>
      </w:r>
      <w:r w:rsidR="00143150">
        <w:rPr>
          <w:rFonts w:asciiTheme="majorHAnsi" w:hAnsiTheme="majorHAnsi"/>
          <w:lang w:val="en-US"/>
        </w:rPr>
        <w:t xml:space="preserve"> This is important</w:t>
      </w:r>
      <w:r w:rsidR="00101E8A">
        <w:rPr>
          <w:rFonts w:asciiTheme="majorHAnsi" w:hAnsiTheme="majorHAnsi"/>
          <w:lang w:val="en-US"/>
        </w:rPr>
        <w:t>,</w:t>
      </w:r>
      <w:r w:rsidR="00143150">
        <w:rPr>
          <w:rFonts w:asciiTheme="majorHAnsi" w:hAnsiTheme="majorHAnsi"/>
          <w:lang w:val="en-US"/>
        </w:rPr>
        <w:t xml:space="preserve"> since it may help to explain the mechanisms by which</w:t>
      </w:r>
      <w:r>
        <w:rPr>
          <w:rFonts w:asciiTheme="majorHAnsi" w:hAnsiTheme="majorHAnsi"/>
          <w:lang w:val="en-US"/>
        </w:rPr>
        <w:t xml:space="preserve"> overconfidence </w:t>
      </w:r>
      <w:r w:rsidR="00143150">
        <w:rPr>
          <w:rFonts w:asciiTheme="majorHAnsi" w:hAnsiTheme="majorHAnsi"/>
          <w:lang w:val="en-US"/>
        </w:rPr>
        <w:t>can affect</w:t>
      </w:r>
      <w:r>
        <w:rPr>
          <w:rFonts w:asciiTheme="majorHAnsi" w:hAnsiTheme="majorHAnsi"/>
          <w:lang w:val="en-US"/>
        </w:rPr>
        <w:t xml:space="preserve"> trader survival. For example, studies reveal that overconfident traders can persist in markets despite competition from rational traders </w:t>
      </w:r>
      <w:r w:rsidR="004F518D">
        <w:rPr>
          <w:rFonts w:asciiTheme="majorHAnsi" w:hAnsiTheme="majorHAnsi"/>
          <w:lang w:val="en-US"/>
        </w:rPr>
        <w:t>.</w:t>
      </w:r>
      <w:r w:rsidR="004F518D" w:rsidRPr="00275768">
        <w:rPr>
          <w:rFonts w:asciiTheme="majorHAnsi" w:hAnsiTheme="majorHAnsi"/>
          <w:vertAlign w:val="superscript"/>
          <w:lang w:val="en-US"/>
        </w:rPr>
        <w:t>(52-54)</w:t>
      </w:r>
      <w:r>
        <w:rPr>
          <w:rFonts w:asciiTheme="majorHAnsi" w:hAnsiTheme="majorHAnsi"/>
          <w:lang w:val="en-US"/>
        </w:rPr>
        <w:t xml:space="preserve"> Our results </w:t>
      </w:r>
      <w:r w:rsidR="00633CFF">
        <w:rPr>
          <w:rFonts w:asciiTheme="majorHAnsi" w:hAnsiTheme="majorHAnsi"/>
          <w:lang w:val="en-US"/>
        </w:rPr>
        <w:t>suggest</w:t>
      </w:r>
      <w:r>
        <w:rPr>
          <w:rFonts w:asciiTheme="majorHAnsi" w:hAnsiTheme="majorHAnsi"/>
          <w:lang w:val="en-US"/>
        </w:rPr>
        <w:t xml:space="preserve"> that</w:t>
      </w:r>
      <w:r w:rsidR="005B32C5">
        <w:rPr>
          <w:rFonts w:asciiTheme="majorHAnsi" w:hAnsiTheme="majorHAnsi"/>
          <w:lang w:val="en-US"/>
        </w:rPr>
        <w:t xml:space="preserve"> this</w:t>
      </w:r>
      <w:r>
        <w:rPr>
          <w:rFonts w:asciiTheme="majorHAnsi" w:hAnsiTheme="majorHAnsi"/>
          <w:lang w:val="en-US"/>
        </w:rPr>
        <w:t xml:space="preserve"> </w:t>
      </w:r>
      <w:r w:rsidR="00EB3EFA">
        <w:rPr>
          <w:rFonts w:asciiTheme="majorHAnsi" w:hAnsiTheme="majorHAnsi"/>
          <w:lang w:val="en-US"/>
        </w:rPr>
        <w:t>could arise because of</w:t>
      </w:r>
      <w:r w:rsidR="00143150">
        <w:rPr>
          <w:rFonts w:asciiTheme="majorHAnsi" w:hAnsiTheme="majorHAnsi"/>
          <w:lang w:val="en-US"/>
        </w:rPr>
        <w:t xml:space="preserve"> </w:t>
      </w:r>
      <w:r w:rsidR="008030BD">
        <w:rPr>
          <w:rFonts w:asciiTheme="majorHAnsi" w:hAnsiTheme="majorHAnsi"/>
          <w:lang w:val="en-US"/>
        </w:rPr>
        <w:t>the</w:t>
      </w:r>
      <w:r>
        <w:rPr>
          <w:rFonts w:asciiTheme="majorHAnsi" w:hAnsiTheme="majorHAnsi"/>
          <w:lang w:val="en-US"/>
        </w:rPr>
        <w:t xml:space="preserve"> greater resilience of confident </w:t>
      </w:r>
      <w:r w:rsidR="008030BD">
        <w:rPr>
          <w:rFonts w:asciiTheme="majorHAnsi" w:hAnsiTheme="majorHAnsi"/>
          <w:lang w:val="en-US"/>
        </w:rPr>
        <w:t>individuals</w:t>
      </w:r>
      <w:r>
        <w:rPr>
          <w:rFonts w:asciiTheme="majorHAnsi" w:hAnsiTheme="majorHAnsi"/>
          <w:lang w:val="en-US"/>
        </w:rPr>
        <w:t xml:space="preserve"> when they face losses.</w:t>
      </w:r>
      <w:r w:rsidR="00143150" w:rsidRPr="00306807">
        <w:rPr>
          <w:rFonts w:asciiTheme="majorHAnsi" w:eastAsia="Calibri" w:hAnsiTheme="majorHAnsi" w:cs="Cordia New"/>
          <w:lang w:bidi="th-TH"/>
        </w:rPr>
        <w:t xml:space="preserve"> </w:t>
      </w:r>
      <w:r w:rsidR="00143150">
        <w:rPr>
          <w:rFonts w:asciiTheme="majorHAnsi" w:eastAsia="Calibri" w:hAnsiTheme="majorHAnsi" w:cs="Cordia New"/>
          <w:lang w:bidi="th-TH"/>
        </w:rPr>
        <w:t xml:space="preserve">Additionally, our findings may further explain the </w:t>
      </w:r>
      <w:r w:rsidR="00245A34">
        <w:rPr>
          <w:rFonts w:asciiTheme="majorHAnsi" w:eastAsia="Calibri" w:hAnsiTheme="majorHAnsi" w:cs="Cordia New"/>
          <w:lang w:bidi="th-TH"/>
        </w:rPr>
        <w:t xml:space="preserve">contradictory </w:t>
      </w:r>
      <w:r w:rsidR="00143150">
        <w:rPr>
          <w:rFonts w:asciiTheme="majorHAnsi" w:eastAsia="Calibri" w:hAnsiTheme="majorHAnsi" w:cs="Cordia New"/>
          <w:lang w:bidi="th-TH"/>
        </w:rPr>
        <w:t>conclusions drawn</w:t>
      </w:r>
      <w:r w:rsidR="008030BD">
        <w:rPr>
          <w:rFonts w:asciiTheme="majorHAnsi" w:eastAsia="Calibri" w:hAnsiTheme="majorHAnsi" w:cs="Cordia New"/>
          <w:lang w:bidi="th-TH"/>
        </w:rPr>
        <w:t xml:space="preserve"> by</w:t>
      </w:r>
      <w:r w:rsidR="00143150">
        <w:rPr>
          <w:rFonts w:asciiTheme="majorHAnsi" w:eastAsia="Calibri" w:hAnsiTheme="majorHAnsi" w:cs="Cordia New"/>
          <w:lang w:bidi="th-TH"/>
        </w:rPr>
        <w:t xml:space="preserve"> previous real-world studies </w:t>
      </w:r>
      <w:r w:rsidR="00245A34">
        <w:rPr>
          <w:rFonts w:asciiTheme="majorHAnsi" w:eastAsia="Calibri" w:hAnsiTheme="majorHAnsi" w:cs="Cordia New"/>
          <w:lang w:bidi="th-TH"/>
        </w:rPr>
        <w:t xml:space="preserve">of </w:t>
      </w:r>
      <w:r w:rsidR="00EE3EE4">
        <w:rPr>
          <w:rFonts w:asciiTheme="majorHAnsi" w:eastAsia="Calibri" w:hAnsiTheme="majorHAnsi" w:cs="Cordia New"/>
          <w:lang w:bidi="th-TH"/>
        </w:rPr>
        <w:t>this phenomenon</w:t>
      </w:r>
      <w:r w:rsidR="008030BD">
        <w:rPr>
          <w:rFonts w:asciiTheme="majorHAnsi" w:eastAsia="Calibri" w:hAnsiTheme="majorHAnsi" w:cs="Cordia New"/>
          <w:lang w:bidi="th-TH"/>
        </w:rPr>
        <w:t>,</w:t>
      </w:r>
      <w:r w:rsidR="00143150">
        <w:rPr>
          <w:rFonts w:asciiTheme="majorHAnsi" w:eastAsia="Calibri" w:hAnsiTheme="majorHAnsi" w:cs="Cordia New"/>
          <w:lang w:bidi="th-TH"/>
        </w:rPr>
        <w:t xml:space="preserve"> since these</w:t>
      </w:r>
      <w:r w:rsidR="005B32C5">
        <w:rPr>
          <w:rFonts w:asciiTheme="majorHAnsi" w:eastAsia="Calibri" w:hAnsiTheme="majorHAnsi" w:cs="Cordia New"/>
          <w:lang w:bidi="th-TH"/>
        </w:rPr>
        <w:t xml:space="preserve"> previous</w:t>
      </w:r>
      <w:r w:rsidR="00143150">
        <w:rPr>
          <w:rFonts w:asciiTheme="majorHAnsi" w:eastAsia="Calibri" w:hAnsiTheme="majorHAnsi" w:cs="Cordia New"/>
          <w:lang w:bidi="th-TH"/>
        </w:rPr>
        <w:t xml:space="preserve"> studies </w:t>
      </w:r>
      <w:r w:rsidR="002664E2">
        <w:rPr>
          <w:rFonts w:asciiTheme="majorHAnsi" w:eastAsia="Calibri" w:hAnsiTheme="majorHAnsi" w:cs="Cordia New"/>
          <w:lang w:bidi="th-TH"/>
        </w:rPr>
        <w:t xml:space="preserve">did not </w:t>
      </w:r>
      <w:r w:rsidR="00143150">
        <w:rPr>
          <w:rFonts w:asciiTheme="majorHAnsi" w:eastAsia="Calibri" w:hAnsiTheme="majorHAnsi" w:cs="Cordia New"/>
          <w:lang w:bidi="th-TH"/>
        </w:rPr>
        <w:t xml:space="preserve">examine the mediating effects of longer-term performance on </w:t>
      </w:r>
      <w:r w:rsidR="00245A34">
        <w:rPr>
          <w:rFonts w:asciiTheme="majorHAnsi" w:eastAsia="Calibri" w:hAnsiTheme="majorHAnsi" w:cs="Cordia New"/>
          <w:lang w:bidi="th-TH"/>
        </w:rPr>
        <w:t xml:space="preserve">the </w:t>
      </w:r>
      <w:r w:rsidR="00143150">
        <w:rPr>
          <w:rFonts w:asciiTheme="majorHAnsi" w:eastAsia="Calibri" w:hAnsiTheme="majorHAnsi" w:cs="Cordia New"/>
          <w:lang w:bidi="th-TH"/>
        </w:rPr>
        <w:t>break-even</w:t>
      </w:r>
      <w:r w:rsidR="00245A34">
        <w:rPr>
          <w:rFonts w:asciiTheme="majorHAnsi" w:eastAsia="Calibri" w:hAnsiTheme="majorHAnsi" w:cs="Cordia New"/>
          <w:lang w:bidi="th-TH"/>
        </w:rPr>
        <w:t xml:space="preserve"> and </w:t>
      </w:r>
      <w:r w:rsidR="00143150">
        <w:rPr>
          <w:rFonts w:asciiTheme="majorHAnsi" w:eastAsia="Calibri" w:hAnsiTheme="majorHAnsi" w:cs="Cordia New"/>
          <w:lang w:bidi="th-TH"/>
        </w:rPr>
        <w:t>house money effects.</w:t>
      </w:r>
      <w:r w:rsidR="004F518D" w:rsidRPr="00275768">
        <w:rPr>
          <w:rFonts w:asciiTheme="majorHAnsi" w:eastAsia="Calibri" w:hAnsiTheme="majorHAnsi" w:cs="Cordia New"/>
          <w:vertAlign w:val="superscript"/>
          <w:lang w:bidi="th-TH"/>
        </w:rPr>
        <w:t>(16,17)</w:t>
      </w:r>
    </w:p>
    <w:p w14:paraId="4C796A90" w14:textId="0003D697" w:rsidR="00612944" w:rsidRDefault="00633CFF" w:rsidP="00612944">
      <w:pPr>
        <w:spacing w:after="0" w:line="480" w:lineRule="auto"/>
        <w:ind w:firstLine="709"/>
        <w:rPr>
          <w:rFonts w:asciiTheme="majorHAnsi" w:hAnsiTheme="majorHAnsi"/>
        </w:rPr>
      </w:pPr>
      <w:r w:rsidRPr="00D02F37">
        <w:rPr>
          <w:rFonts w:asciiTheme="majorHAnsi" w:eastAsia="Arial Unicode MS" w:hAnsiTheme="majorHAnsi" w:cs="Arial Unicode MS"/>
          <w:shd w:val="clear" w:color="auto" w:fill="FFFFFF"/>
        </w:rPr>
        <w:t>We</w:t>
      </w:r>
      <w:r w:rsidR="00612944" w:rsidRPr="00D02F37">
        <w:rPr>
          <w:rFonts w:asciiTheme="majorHAnsi" w:eastAsia="Arial Unicode MS" w:hAnsiTheme="majorHAnsi" w:cs="Arial Unicode MS"/>
          <w:shd w:val="clear" w:color="auto" w:fill="FFFFFF"/>
        </w:rPr>
        <w:t xml:space="preserve"> show t</w:t>
      </w:r>
      <w:r w:rsidR="00612944" w:rsidRPr="00D64ABF">
        <w:rPr>
          <w:rFonts w:asciiTheme="majorHAnsi" w:eastAsia="Arial Unicode MS" w:hAnsiTheme="majorHAnsi" w:cs="Arial Unicode MS"/>
          <w:shd w:val="clear" w:color="auto" w:fill="FFFFFF"/>
        </w:rPr>
        <w:t>hat cognitive biases around the break-even point can impact the decision to disengage from a RA. This reveals that, aside from behavioral addiction (e.g., in</w:t>
      </w:r>
      <w:r w:rsidR="00612944" w:rsidRPr="00D64ABF">
        <w:rPr>
          <w:rFonts w:asciiTheme="majorHAnsi" w:hAnsiTheme="majorHAnsi"/>
        </w:rPr>
        <w:t xml:space="preserve"> pathological gambling</w:t>
      </w:r>
      <w:r w:rsidR="004F518D" w:rsidRPr="00D64ABF">
        <w:rPr>
          <w:rFonts w:asciiTheme="majorHAnsi" w:hAnsiTheme="majorHAnsi"/>
        </w:rPr>
        <w:t>)</w:t>
      </w:r>
      <w:r w:rsidR="00612944" w:rsidRPr="00D64ABF">
        <w:rPr>
          <w:rFonts w:asciiTheme="majorHAnsi" w:eastAsia="Arial Unicode MS" w:hAnsiTheme="majorHAnsi" w:cs="Arial Unicode MS"/>
          <w:shd w:val="clear" w:color="auto" w:fill="FFFFFF"/>
        </w:rPr>
        <w:t>, non-pathological cognitive psychological processes can also lead to a continuation of a RA when in loss.</w:t>
      </w:r>
      <w:r w:rsidR="004F518D" w:rsidRPr="00D64ABF">
        <w:rPr>
          <w:rFonts w:asciiTheme="majorHAnsi" w:eastAsia="Arial Unicode MS" w:hAnsiTheme="majorHAnsi" w:cs="Arial Unicode MS"/>
          <w:shd w:val="clear" w:color="auto" w:fill="FFFFFF"/>
          <w:vertAlign w:val="superscript"/>
        </w:rPr>
        <w:t>(55-57)</w:t>
      </w:r>
      <w:r w:rsidR="00612944" w:rsidRPr="00D64ABF">
        <w:rPr>
          <w:rFonts w:asciiTheme="majorHAnsi" w:eastAsia="Arial Unicode MS" w:hAnsiTheme="majorHAnsi" w:cs="Arial Unicode MS"/>
          <w:shd w:val="clear" w:color="auto" w:fill="FFFFFF"/>
        </w:rPr>
        <w:t xml:space="preserve"> This is </w:t>
      </w:r>
      <w:r w:rsidR="00B74D86" w:rsidRPr="00D64ABF">
        <w:rPr>
          <w:rFonts w:asciiTheme="majorHAnsi" w:eastAsia="Arial Unicode MS" w:hAnsiTheme="majorHAnsi" w:cs="Arial Unicode MS"/>
          <w:shd w:val="clear" w:color="auto" w:fill="FFFFFF"/>
        </w:rPr>
        <w:t>important</w:t>
      </w:r>
      <w:r w:rsidR="00271DEA" w:rsidRPr="001410E6">
        <w:rPr>
          <w:rFonts w:asciiTheme="majorHAnsi" w:eastAsia="Arial Unicode MS" w:hAnsiTheme="majorHAnsi" w:cs="Arial Unicode MS"/>
          <w:shd w:val="clear" w:color="auto" w:fill="FFFFFF"/>
        </w:rPr>
        <w:t>,</w:t>
      </w:r>
      <w:r w:rsidR="00B74D86" w:rsidRPr="00D02F37">
        <w:rPr>
          <w:rFonts w:asciiTheme="majorHAnsi" w:eastAsia="Arial Unicode MS" w:hAnsiTheme="majorHAnsi" w:cs="Arial Unicode MS"/>
          <w:shd w:val="clear" w:color="auto" w:fill="FFFFFF"/>
        </w:rPr>
        <w:t xml:space="preserve"> </w:t>
      </w:r>
      <w:r w:rsidR="00612944" w:rsidRPr="00D02F37">
        <w:rPr>
          <w:rFonts w:asciiTheme="majorHAnsi" w:eastAsia="Arial Unicode MS" w:hAnsiTheme="majorHAnsi" w:cs="Arial Unicode MS"/>
          <w:shd w:val="clear" w:color="auto" w:fill="FFFFFF"/>
        </w:rPr>
        <w:t>since abnormal behavior often appears to stem from exaggerations of normal mental processes</w:t>
      </w:r>
      <w:r w:rsidR="004F518D" w:rsidRPr="00D64ABF">
        <w:rPr>
          <w:rFonts w:asciiTheme="majorHAnsi" w:eastAsia="Arial Unicode MS" w:hAnsiTheme="majorHAnsi" w:cs="Arial Unicode MS"/>
          <w:shd w:val="clear" w:color="auto" w:fill="FFFFFF"/>
        </w:rPr>
        <w:t>.</w:t>
      </w:r>
      <w:r w:rsidR="004F518D" w:rsidRPr="00D64ABF">
        <w:rPr>
          <w:rFonts w:asciiTheme="majorHAnsi" w:eastAsia="Arial Unicode MS" w:hAnsiTheme="majorHAnsi" w:cs="Arial Unicode MS"/>
          <w:shd w:val="clear" w:color="auto" w:fill="FFFFFF"/>
          <w:vertAlign w:val="superscript"/>
        </w:rPr>
        <w:t>(12)</w:t>
      </w:r>
      <w:r w:rsidR="004F518D" w:rsidRPr="00D64ABF">
        <w:rPr>
          <w:rFonts w:asciiTheme="majorHAnsi" w:eastAsia="Arial Unicode MS" w:hAnsiTheme="majorHAnsi" w:cs="Arial Unicode MS"/>
          <w:shd w:val="clear" w:color="auto" w:fill="FFFFFF"/>
        </w:rPr>
        <w:t xml:space="preserve"> </w:t>
      </w:r>
      <w:r w:rsidR="00612944" w:rsidRPr="00D64ABF">
        <w:rPr>
          <w:rFonts w:asciiTheme="majorHAnsi" w:hAnsiTheme="majorHAnsi"/>
          <w:lang w:val="en-US"/>
        </w:rPr>
        <w:t xml:space="preserve">We found that those we assumed to hold a more </w:t>
      </w:r>
      <w:r w:rsidR="00612944">
        <w:rPr>
          <w:rFonts w:asciiTheme="majorHAnsi" w:hAnsiTheme="majorHAnsi"/>
          <w:lang w:val="en-US"/>
        </w:rPr>
        <w:t xml:space="preserve">PMM (cf. NMM) were less likely to discontinue a RA  following two consecutive periods where their accumulated returns were negative. If a more PMM is associated with overconfidence, then our results fit well with the overconfidence hypothesis of chasing behavior </w:t>
      </w:r>
      <w:r w:rsidR="00612944">
        <w:rPr>
          <w:rFonts w:asciiTheme="majorHAnsi" w:hAnsiTheme="majorHAnsi"/>
        </w:rPr>
        <w:t>and suggest that some degree of chasing could be possible in non-abnormal, yet overconfident, individuals.</w:t>
      </w:r>
      <w:r w:rsidR="004F518D" w:rsidRPr="00275768">
        <w:rPr>
          <w:rFonts w:asciiTheme="majorHAnsi" w:hAnsiTheme="majorHAnsi"/>
          <w:vertAlign w:val="superscript"/>
        </w:rPr>
        <w:t>(58,59)</w:t>
      </w:r>
    </w:p>
    <w:p w14:paraId="144BE088" w14:textId="5EEC94CE" w:rsidR="00155AB4" w:rsidRDefault="00A702C5" w:rsidP="00D02F37">
      <w:pPr>
        <w:spacing w:after="0" w:line="480" w:lineRule="auto"/>
        <w:ind w:firstLine="709"/>
        <w:rPr>
          <w:rFonts w:asciiTheme="majorHAnsi" w:hAnsiTheme="majorHAnsi"/>
          <w:lang w:val="en-US"/>
        </w:rPr>
      </w:pPr>
      <w:r>
        <w:rPr>
          <w:rFonts w:asciiTheme="majorHAnsi" w:hAnsiTheme="majorHAnsi"/>
          <w:lang w:val="en-US"/>
        </w:rPr>
        <w:t>O</w:t>
      </w:r>
      <w:r w:rsidR="00101F7A">
        <w:rPr>
          <w:rFonts w:asciiTheme="majorHAnsi" w:hAnsiTheme="majorHAnsi"/>
          <w:lang w:val="en-US"/>
        </w:rPr>
        <w:t xml:space="preserve">ur additional analysis </w:t>
      </w:r>
      <w:r>
        <w:rPr>
          <w:rFonts w:asciiTheme="majorHAnsi" w:hAnsiTheme="majorHAnsi"/>
          <w:lang w:val="en-US"/>
        </w:rPr>
        <w:t xml:space="preserve">reveals that global (break-even) reference points exert less influence on the decision to cease trading amongst those who consistently experience profitable (or unprofitable) trading. In addition, </w:t>
      </w:r>
      <w:r w:rsidR="00155AB4">
        <w:rPr>
          <w:rFonts w:asciiTheme="majorHAnsi" w:hAnsiTheme="majorHAnsi"/>
          <w:lang w:val="en-US"/>
        </w:rPr>
        <w:t>our analysis</w:t>
      </w:r>
      <w:r>
        <w:rPr>
          <w:rFonts w:asciiTheme="majorHAnsi" w:hAnsiTheme="majorHAnsi"/>
          <w:lang w:val="en-US"/>
        </w:rPr>
        <w:t xml:space="preserve"> exploring both global and local </w:t>
      </w:r>
      <w:r w:rsidR="00717900">
        <w:rPr>
          <w:rFonts w:asciiTheme="majorHAnsi" w:hAnsiTheme="majorHAnsi"/>
          <w:lang w:val="en-US"/>
        </w:rPr>
        <w:t xml:space="preserve">break-even </w:t>
      </w:r>
      <w:r>
        <w:rPr>
          <w:rFonts w:asciiTheme="majorHAnsi" w:hAnsiTheme="majorHAnsi"/>
          <w:lang w:val="en-US"/>
        </w:rPr>
        <w:t>points  suggest</w:t>
      </w:r>
      <w:r w:rsidR="00717900">
        <w:rPr>
          <w:rFonts w:asciiTheme="majorHAnsi" w:hAnsiTheme="majorHAnsi"/>
          <w:lang w:val="en-US"/>
        </w:rPr>
        <w:t>s</w:t>
      </w:r>
      <w:r>
        <w:rPr>
          <w:rFonts w:asciiTheme="majorHAnsi" w:hAnsiTheme="majorHAnsi"/>
          <w:lang w:val="en-US"/>
        </w:rPr>
        <w:t xml:space="preserve"> that when </w:t>
      </w:r>
      <w:r w:rsidR="00717900">
        <w:rPr>
          <w:rFonts w:asciiTheme="majorHAnsi" w:hAnsiTheme="majorHAnsi"/>
          <w:lang w:val="en-US"/>
        </w:rPr>
        <w:t>possibly</w:t>
      </w:r>
      <w:r w:rsidR="00155AB4">
        <w:rPr>
          <w:rFonts w:asciiTheme="majorHAnsi" w:hAnsiTheme="majorHAnsi"/>
          <w:lang w:val="en-US"/>
        </w:rPr>
        <w:t xml:space="preserve"> </w:t>
      </w:r>
      <w:r>
        <w:rPr>
          <w:rFonts w:asciiTheme="majorHAnsi" w:hAnsiTheme="majorHAnsi"/>
          <w:lang w:val="en-US"/>
        </w:rPr>
        <w:t xml:space="preserve"> stronger NMM are developed (based on a larger number of months where a trader experiences more than 90% of these in loss)  the effect of both global and local reference points are reduced.  However, while those with stronger PMM  appear to be less affected by global </w:t>
      </w:r>
      <w:r w:rsidR="00717900">
        <w:rPr>
          <w:rFonts w:asciiTheme="majorHAnsi" w:hAnsiTheme="majorHAnsi"/>
          <w:lang w:val="en-US"/>
        </w:rPr>
        <w:t>break-even</w:t>
      </w:r>
      <w:r>
        <w:rPr>
          <w:rFonts w:asciiTheme="majorHAnsi" w:hAnsiTheme="majorHAnsi"/>
          <w:lang w:val="en-US"/>
        </w:rPr>
        <w:t xml:space="preserve"> effects, they appear to be more affected by local </w:t>
      </w:r>
      <w:r w:rsidR="00717900">
        <w:rPr>
          <w:rFonts w:asciiTheme="majorHAnsi" w:hAnsiTheme="majorHAnsi"/>
          <w:lang w:val="en-US"/>
        </w:rPr>
        <w:t>break-even</w:t>
      </w:r>
      <w:r>
        <w:rPr>
          <w:rFonts w:asciiTheme="majorHAnsi" w:hAnsiTheme="majorHAnsi"/>
          <w:lang w:val="en-US"/>
        </w:rPr>
        <w:t xml:space="preserve"> effects. </w:t>
      </w:r>
    </w:p>
    <w:p w14:paraId="480CB0A1" w14:textId="3001218C" w:rsidR="00B540C1" w:rsidRDefault="00155AB4" w:rsidP="00D02F37">
      <w:pPr>
        <w:spacing w:after="0" w:line="480" w:lineRule="auto"/>
        <w:ind w:firstLine="709"/>
        <w:rPr>
          <w:rFonts w:asciiTheme="majorHAnsi" w:eastAsia="Calibri" w:hAnsiTheme="majorHAnsi" w:cs="Cordia New"/>
          <w:lang w:bidi="th-TH"/>
        </w:rPr>
      </w:pPr>
      <w:bookmarkStart w:id="13" w:name="_Hlk520298914"/>
      <w:r>
        <w:rPr>
          <w:rFonts w:asciiTheme="majorHAnsi" w:hAnsiTheme="majorHAnsi"/>
          <w:lang w:val="en-US"/>
        </w:rPr>
        <w:t xml:space="preserve">Whilst this additional analysis suggests some interesting differences between the effects of local and global </w:t>
      </w:r>
      <w:r w:rsidR="00717900">
        <w:rPr>
          <w:rFonts w:asciiTheme="majorHAnsi" w:hAnsiTheme="majorHAnsi"/>
          <w:lang w:val="en-US"/>
        </w:rPr>
        <w:t>break-even</w:t>
      </w:r>
      <w:r>
        <w:rPr>
          <w:rFonts w:asciiTheme="majorHAnsi" w:hAnsiTheme="majorHAnsi"/>
          <w:lang w:val="en-US"/>
        </w:rPr>
        <w:t xml:space="preserve"> points,</w:t>
      </w:r>
      <w:r w:rsidR="00B540C1">
        <w:rPr>
          <w:rFonts w:asciiTheme="majorHAnsi" w:hAnsiTheme="majorHAnsi"/>
          <w:lang w:val="en-US"/>
        </w:rPr>
        <w:t xml:space="preserve"> </w:t>
      </w:r>
      <w:r w:rsidR="00101F7A">
        <w:rPr>
          <w:rFonts w:asciiTheme="majorHAnsi" w:hAnsiTheme="majorHAnsi"/>
          <w:lang w:val="en-US"/>
        </w:rPr>
        <w:t>there are some important issues that need to be considered in relation to these results.</w:t>
      </w:r>
      <w:r w:rsidR="00C91477">
        <w:rPr>
          <w:rFonts w:asciiTheme="majorHAnsi" w:hAnsiTheme="majorHAnsi"/>
          <w:lang w:val="en-US"/>
        </w:rPr>
        <w:t xml:space="preserve"> </w:t>
      </w:r>
      <w:r w:rsidR="00101F7A">
        <w:rPr>
          <w:rFonts w:asciiTheme="majorHAnsi" w:hAnsiTheme="majorHAnsi"/>
          <w:lang w:val="en-US"/>
        </w:rPr>
        <w:t xml:space="preserve">The first is that the changes in definitions may have led to the </w:t>
      </w:r>
      <w:r w:rsidR="00B540C1">
        <w:rPr>
          <w:rFonts w:asciiTheme="majorHAnsi" w:hAnsiTheme="majorHAnsi"/>
          <w:lang w:val="en-US"/>
        </w:rPr>
        <w:t xml:space="preserve">these different groups </w:t>
      </w:r>
      <w:r w:rsidR="00101F7A">
        <w:rPr>
          <w:rFonts w:asciiTheme="majorHAnsi" w:hAnsiTheme="majorHAnsi"/>
          <w:lang w:val="en-US"/>
        </w:rPr>
        <w:t>having</w:t>
      </w:r>
      <w:r w:rsidR="00B540C1">
        <w:rPr>
          <w:rFonts w:asciiTheme="majorHAnsi" w:hAnsiTheme="majorHAnsi"/>
          <w:lang w:val="en-US"/>
        </w:rPr>
        <w:t xml:space="preserve"> different levels of experience. For example, </w:t>
      </w:r>
      <w:r w:rsidR="00D64ABF">
        <w:rPr>
          <w:rFonts w:asciiTheme="majorHAnsi" w:hAnsiTheme="majorHAnsi"/>
          <w:lang w:val="en-US"/>
        </w:rPr>
        <w:t xml:space="preserve">whilst we know that </w:t>
      </w:r>
      <w:r w:rsidR="00B540C1">
        <w:rPr>
          <w:rFonts w:asciiTheme="majorHAnsi" w:hAnsiTheme="majorHAnsi"/>
          <w:lang w:val="en-US"/>
        </w:rPr>
        <w:t>those in the 36</w:t>
      </w:r>
      <w:r w:rsidR="00D64ABF">
        <w:rPr>
          <w:rFonts w:asciiTheme="majorHAnsi" w:hAnsiTheme="majorHAnsi"/>
          <w:lang w:val="en-US"/>
        </w:rPr>
        <w:t>- and 6-</w:t>
      </w:r>
      <w:r w:rsidR="00B540C1">
        <w:rPr>
          <w:rFonts w:asciiTheme="majorHAnsi" w:hAnsiTheme="majorHAnsi"/>
          <w:lang w:val="en-US"/>
        </w:rPr>
        <w:t>month group</w:t>
      </w:r>
      <w:r w:rsidR="00D64ABF">
        <w:rPr>
          <w:rFonts w:asciiTheme="majorHAnsi" w:hAnsiTheme="majorHAnsi"/>
          <w:lang w:val="en-US"/>
        </w:rPr>
        <w:t>s</w:t>
      </w:r>
      <w:r w:rsidR="00B540C1">
        <w:rPr>
          <w:rFonts w:asciiTheme="majorHAnsi" w:hAnsiTheme="majorHAnsi"/>
          <w:lang w:val="en-US"/>
        </w:rPr>
        <w:t xml:space="preserve"> </w:t>
      </w:r>
      <w:r w:rsidR="0027663F">
        <w:rPr>
          <w:rFonts w:asciiTheme="majorHAnsi" w:hAnsiTheme="majorHAnsi"/>
          <w:lang w:val="en-US"/>
        </w:rPr>
        <w:t xml:space="preserve">(i.e. have experienced net profit or loss in more than 90% of the last 36 or 6 months, respectively) </w:t>
      </w:r>
      <w:r w:rsidR="00B540C1">
        <w:rPr>
          <w:rFonts w:asciiTheme="majorHAnsi" w:hAnsiTheme="majorHAnsi"/>
          <w:lang w:val="en-US"/>
        </w:rPr>
        <w:t>have certainly traded for at least 36</w:t>
      </w:r>
      <w:r w:rsidR="00D64ABF">
        <w:rPr>
          <w:rFonts w:asciiTheme="majorHAnsi" w:hAnsiTheme="majorHAnsi"/>
          <w:lang w:val="en-US"/>
        </w:rPr>
        <w:t xml:space="preserve"> and 6</w:t>
      </w:r>
      <w:r w:rsidR="00B540C1">
        <w:rPr>
          <w:rFonts w:asciiTheme="majorHAnsi" w:hAnsiTheme="majorHAnsi"/>
          <w:lang w:val="en-US"/>
        </w:rPr>
        <w:t xml:space="preserve"> months</w:t>
      </w:r>
      <w:r w:rsidR="00D64ABF">
        <w:rPr>
          <w:rFonts w:asciiTheme="majorHAnsi" w:hAnsiTheme="majorHAnsi"/>
          <w:lang w:val="en-US"/>
        </w:rPr>
        <w:t>, respectively, it is very difficult to control for trad</w:t>
      </w:r>
      <w:r w:rsidR="00EB7EB9">
        <w:rPr>
          <w:rFonts w:asciiTheme="majorHAnsi" w:hAnsiTheme="majorHAnsi"/>
          <w:lang w:val="en-US"/>
        </w:rPr>
        <w:t>ing</w:t>
      </w:r>
      <w:r w:rsidR="00D64ABF">
        <w:rPr>
          <w:rFonts w:asciiTheme="majorHAnsi" w:hAnsiTheme="majorHAnsi"/>
          <w:lang w:val="en-US"/>
        </w:rPr>
        <w:t xml:space="preserve"> experience</w:t>
      </w:r>
      <w:r w:rsidR="00EB7EB9">
        <w:rPr>
          <w:rFonts w:asciiTheme="majorHAnsi" w:hAnsiTheme="majorHAnsi"/>
          <w:lang w:val="en-US"/>
        </w:rPr>
        <w:t>. This arises because</w:t>
      </w:r>
      <w:r w:rsidR="00D64ABF">
        <w:rPr>
          <w:rFonts w:asciiTheme="majorHAnsi" w:hAnsiTheme="majorHAnsi"/>
          <w:lang w:val="en-US"/>
        </w:rPr>
        <w:t xml:space="preserve"> an individual might have engaged in trading prior to their first trade recorded with this particular brokerage</w:t>
      </w:r>
      <w:r w:rsidR="00EB7EB9">
        <w:rPr>
          <w:rFonts w:asciiTheme="majorHAnsi" w:hAnsiTheme="majorHAnsi"/>
          <w:lang w:val="en-US"/>
        </w:rPr>
        <w:t xml:space="preserve">. It is a potentially important issue, as </w:t>
      </w:r>
      <w:r w:rsidR="00B540C1">
        <w:rPr>
          <w:rFonts w:asciiTheme="majorHAnsi" w:hAnsiTheme="majorHAnsi"/>
          <w:lang w:val="en-US"/>
        </w:rPr>
        <w:t>trade experience could certainly play a role i</w:t>
      </w:r>
      <w:r w:rsidR="00D64ABF">
        <w:rPr>
          <w:rFonts w:asciiTheme="majorHAnsi" w:hAnsiTheme="majorHAnsi"/>
          <w:lang w:val="en-US"/>
        </w:rPr>
        <w:t>n</w:t>
      </w:r>
      <w:r w:rsidR="00B540C1">
        <w:rPr>
          <w:rFonts w:asciiTheme="majorHAnsi" w:hAnsiTheme="majorHAnsi"/>
          <w:lang w:val="en-US"/>
        </w:rPr>
        <w:t xml:space="preserve"> the effects observed. </w:t>
      </w:r>
      <w:r w:rsidR="00EB7EB9">
        <w:rPr>
          <w:rFonts w:asciiTheme="majorHAnsi" w:hAnsiTheme="majorHAnsi"/>
          <w:lang w:val="en-US"/>
        </w:rPr>
        <w:t>I</w:t>
      </w:r>
      <w:r w:rsidR="00B540C1">
        <w:rPr>
          <w:rFonts w:asciiTheme="majorHAnsi" w:hAnsiTheme="majorHAnsi"/>
          <w:lang w:val="en-US"/>
        </w:rPr>
        <w:t xml:space="preserve">t could </w:t>
      </w:r>
      <w:r w:rsidR="00EB7EB9">
        <w:rPr>
          <w:rFonts w:asciiTheme="majorHAnsi" w:hAnsiTheme="majorHAnsi"/>
          <w:lang w:val="en-US"/>
        </w:rPr>
        <w:t xml:space="preserve">therefore </w:t>
      </w:r>
      <w:r w:rsidR="00B540C1">
        <w:rPr>
          <w:rFonts w:asciiTheme="majorHAnsi" w:hAnsiTheme="majorHAnsi"/>
          <w:lang w:val="en-US"/>
        </w:rPr>
        <w:t xml:space="preserve">be misleading to draw any conclusions </w:t>
      </w:r>
      <w:r w:rsidR="00EB7EB9">
        <w:rPr>
          <w:rFonts w:asciiTheme="majorHAnsi" w:hAnsiTheme="majorHAnsi"/>
          <w:lang w:val="en-US"/>
        </w:rPr>
        <w:t>using</w:t>
      </w:r>
      <w:r w:rsidR="00B540C1">
        <w:rPr>
          <w:rFonts w:asciiTheme="majorHAnsi" w:hAnsiTheme="majorHAnsi"/>
          <w:lang w:val="en-US"/>
        </w:rPr>
        <w:t xml:space="preserve"> a proxy of trading experience </w:t>
      </w:r>
      <w:r w:rsidR="00DF6DAB">
        <w:rPr>
          <w:rFonts w:asciiTheme="majorHAnsi" w:hAnsiTheme="majorHAnsi"/>
          <w:lang w:val="en-US"/>
        </w:rPr>
        <w:t>that</w:t>
      </w:r>
      <w:r w:rsidR="00B540C1">
        <w:rPr>
          <w:rFonts w:asciiTheme="majorHAnsi" w:hAnsiTheme="majorHAnsi"/>
          <w:lang w:val="en-US"/>
        </w:rPr>
        <w:t xml:space="preserve"> is based on the length of time trading with this particular brokerage. </w:t>
      </w:r>
      <w:r w:rsidR="00EB7EB9">
        <w:rPr>
          <w:rFonts w:asciiTheme="majorHAnsi" w:hAnsiTheme="majorHAnsi"/>
          <w:lang w:val="en-US"/>
        </w:rPr>
        <w:t>Consequently</w:t>
      </w:r>
      <w:r w:rsidR="00C91477">
        <w:rPr>
          <w:rFonts w:asciiTheme="majorHAnsi" w:hAnsiTheme="majorHAnsi"/>
          <w:lang w:val="en-US"/>
        </w:rPr>
        <w:t>, while these initial findings</w:t>
      </w:r>
      <w:r w:rsidR="00B540C1">
        <w:rPr>
          <w:rFonts w:asciiTheme="majorHAnsi" w:hAnsiTheme="majorHAnsi"/>
          <w:lang w:val="en-US"/>
        </w:rPr>
        <w:t xml:space="preserve"> </w:t>
      </w:r>
      <w:r w:rsidR="00C91477">
        <w:rPr>
          <w:rFonts w:asciiTheme="majorHAnsi" w:hAnsiTheme="majorHAnsi"/>
          <w:lang w:val="en-US"/>
        </w:rPr>
        <w:t>are certainly</w:t>
      </w:r>
      <w:r w:rsidR="00B540C1">
        <w:rPr>
          <w:rFonts w:asciiTheme="majorHAnsi" w:hAnsiTheme="majorHAnsi"/>
          <w:lang w:val="en-US"/>
        </w:rPr>
        <w:t xml:space="preserve"> interesting</w:t>
      </w:r>
      <w:r w:rsidR="00C91477">
        <w:rPr>
          <w:rFonts w:asciiTheme="majorHAnsi" w:hAnsiTheme="majorHAnsi"/>
          <w:lang w:val="en-US"/>
        </w:rPr>
        <w:t>,</w:t>
      </w:r>
      <w:r w:rsidR="00B540C1">
        <w:rPr>
          <w:rFonts w:asciiTheme="majorHAnsi" w:hAnsiTheme="majorHAnsi"/>
          <w:lang w:val="en-US"/>
        </w:rPr>
        <w:t xml:space="preserve"> </w:t>
      </w:r>
      <w:r w:rsidR="00DF6DAB">
        <w:rPr>
          <w:rFonts w:asciiTheme="majorHAnsi" w:hAnsiTheme="majorHAnsi"/>
          <w:lang w:val="en-US"/>
        </w:rPr>
        <w:t>a convincing control variable</w:t>
      </w:r>
      <w:r w:rsidR="00C91477">
        <w:rPr>
          <w:rFonts w:asciiTheme="majorHAnsi" w:hAnsiTheme="majorHAnsi"/>
          <w:lang w:val="en-US"/>
        </w:rPr>
        <w:t xml:space="preserve"> for trading experience would </w:t>
      </w:r>
      <w:r w:rsidR="00EB7EB9">
        <w:rPr>
          <w:rFonts w:asciiTheme="majorHAnsi" w:hAnsiTheme="majorHAnsi"/>
          <w:lang w:val="en-US"/>
        </w:rPr>
        <w:t>need to be developed</w:t>
      </w:r>
      <w:r w:rsidR="00C43DC7">
        <w:rPr>
          <w:rFonts w:asciiTheme="majorHAnsi" w:hAnsiTheme="majorHAnsi"/>
          <w:lang w:val="en-US"/>
        </w:rPr>
        <w:t xml:space="preserve"> </w:t>
      </w:r>
      <w:r w:rsidR="00DF6DAB">
        <w:rPr>
          <w:rFonts w:asciiTheme="majorHAnsi" w:hAnsiTheme="majorHAnsi"/>
          <w:lang w:val="en-US"/>
        </w:rPr>
        <w:t xml:space="preserve">before </w:t>
      </w:r>
      <w:r w:rsidR="00C43DC7">
        <w:rPr>
          <w:rFonts w:asciiTheme="majorHAnsi" w:hAnsiTheme="majorHAnsi"/>
          <w:lang w:val="en-US"/>
        </w:rPr>
        <w:t>firm conclusions</w:t>
      </w:r>
      <w:r w:rsidR="00DF6DAB">
        <w:rPr>
          <w:rFonts w:asciiTheme="majorHAnsi" w:hAnsiTheme="majorHAnsi"/>
          <w:lang w:val="en-US"/>
        </w:rPr>
        <w:t xml:space="preserve"> could be drawn</w:t>
      </w:r>
      <w:r w:rsidR="00C91477">
        <w:rPr>
          <w:rFonts w:asciiTheme="majorHAnsi" w:hAnsiTheme="majorHAnsi"/>
          <w:lang w:val="en-US"/>
        </w:rPr>
        <w:t xml:space="preserve">. </w:t>
      </w:r>
      <w:r w:rsidR="00EB7EB9">
        <w:rPr>
          <w:rFonts w:asciiTheme="majorHAnsi" w:hAnsiTheme="majorHAnsi"/>
          <w:lang w:val="en-US"/>
        </w:rPr>
        <w:t>In</w:t>
      </w:r>
      <w:r w:rsidR="0050070A">
        <w:rPr>
          <w:rFonts w:asciiTheme="majorHAnsi" w:hAnsiTheme="majorHAnsi"/>
          <w:lang w:val="en-US"/>
        </w:rPr>
        <w:t xml:space="preserve"> our main analysis, </w:t>
      </w:r>
      <w:r w:rsidR="00D02F37">
        <w:rPr>
          <w:rFonts w:asciiTheme="majorHAnsi" w:hAnsiTheme="majorHAnsi"/>
          <w:lang w:val="en-US"/>
        </w:rPr>
        <w:t xml:space="preserve">for the same reasons as those indicated above, </w:t>
      </w:r>
      <w:r w:rsidR="0050070A">
        <w:rPr>
          <w:rFonts w:asciiTheme="majorHAnsi" w:hAnsiTheme="majorHAnsi"/>
          <w:lang w:val="en-US"/>
        </w:rPr>
        <w:t xml:space="preserve">we </w:t>
      </w:r>
      <w:r w:rsidR="00DF6DAB">
        <w:rPr>
          <w:rFonts w:asciiTheme="majorHAnsi" w:hAnsiTheme="majorHAnsi"/>
          <w:lang w:val="en-US"/>
        </w:rPr>
        <w:t xml:space="preserve">also </w:t>
      </w:r>
      <w:r w:rsidR="00EB7EB9">
        <w:rPr>
          <w:rFonts w:asciiTheme="majorHAnsi" w:hAnsiTheme="majorHAnsi"/>
          <w:lang w:val="en-US"/>
        </w:rPr>
        <w:t xml:space="preserve">could </w:t>
      </w:r>
      <w:r w:rsidR="0050070A">
        <w:rPr>
          <w:rFonts w:asciiTheme="majorHAnsi" w:hAnsiTheme="majorHAnsi"/>
          <w:lang w:val="en-US"/>
        </w:rPr>
        <w:t>not control for trading experience</w:t>
      </w:r>
      <w:r w:rsidR="00EB7EB9">
        <w:rPr>
          <w:rFonts w:asciiTheme="majorHAnsi" w:hAnsiTheme="majorHAnsi"/>
          <w:lang w:val="en-US"/>
        </w:rPr>
        <w:t xml:space="preserve">. This, therefore </w:t>
      </w:r>
      <w:r w:rsidR="0050070A">
        <w:rPr>
          <w:rFonts w:asciiTheme="majorHAnsi" w:hAnsiTheme="majorHAnsi"/>
          <w:lang w:val="en-US"/>
        </w:rPr>
        <w:t>should be considered a limitation of our study</w:t>
      </w:r>
      <w:r w:rsidR="00BA5DAF">
        <w:rPr>
          <w:rFonts w:asciiTheme="majorHAnsi" w:hAnsiTheme="majorHAnsi"/>
          <w:lang w:val="en-US"/>
        </w:rPr>
        <w:t xml:space="preserve"> and </w:t>
      </w:r>
      <w:r w:rsidR="00EB7EB9">
        <w:rPr>
          <w:rFonts w:asciiTheme="majorHAnsi" w:hAnsiTheme="majorHAnsi"/>
          <w:lang w:val="en-US"/>
        </w:rPr>
        <w:t xml:space="preserve">it offers a </w:t>
      </w:r>
      <w:r w:rsidR="00BA5DAF">
        <w:rPr>
          <w:rFonts w:asciiTheme="majorHAnsi" w:hAnsiTheme="majorHAnsi"/>
          <w:lang w:val="en-US"/>
        </w:rPr>
        <w:t>valuable future direction</w:t>
      </w:r>
      <w:r w:rsidR="00DF6DAB">
        <w:rPr>
          <w:rFonts w:asciiTheme="majorHAnsi" w:hAnsiTheme="majorHAnsi"/>
          <w:lang w:val="en-US"/>
        </w:rPr>
        <w:t xml:space="preserve"> if </w:t>
      </w:r>
      <w:r w:rsidR="00D02F37">
        <w:rPr>
          <w:rFonts w:asciiTheme="majorHAnsi" w:hAnsiTheme="majorHAnsi"/>
          <w:lang w:val="en-US"/>
        </w:rPr>
        <w:t>alternative</w:t>
      </w:r>
      <w:r w:rsidR="00DF6DAB">
        <w:rPr>
          <w:rFonts w:asciiTheme="majorHAnsi" w:hAnsiTheme="majorHAnsi"/>
          <w:lang w:val="en-US"/>
        </w:rPr>
        <w:t xml:space="preserve"> data becomes available.</w:t>
      </w:r>
    </w:p>
    <w:bookmarkEnd w:id="13"/>
    <w:p w14:paraId="14E0E837" w14:textId="17D2DAA6" w:rsidR="00FA1DC8" w:rsidRDefault="00876040" w:rsidP="001410E6">
      <w:pPr>
        <w:spacing w:after="0" w:line="480" w:lineRule="auto"/>
        <w:rPr>
          <w:rFonts w:asciiTheme="majorHAnsi" w:eastAsia="Calibri" w:hAnsiTheme="majorHAnsi" w:cs="Cordia New"/>
          <w:lang w:bidi="th-TH"/>
        </w:rPr>
      </w:pPr>
      <w:r>
        <w:rPr>
          <w:rFonts w:asciiTheme="majorHAnsi" w:eastAsia="Calibri" w:hAnsiTheme="majorHAnsi" w:cs="Cordia New"/>
          <w:lang w:bidi="th-TH"/>
        </w:rPr>
        <w:tab/>
      </w:r>
      <w:r w:rsidR="00155AB4">
        <w:rPr>
          <w:rFonts w:asciiTheme="majorHAnsi" w:eastAsia="Calibri" w:hAnsiTheme="majorHAnsi" w:cs="Cordia New"/>
          <w:lang w:bidi="th-TH"/>
        </w:rPr>
        <w:t>T</w:t>
      </w:r>
      <w:r>
        <w:rPr>
          <w:rFonts w:asciiTheme="majorHAnsi" w:eastAsia="Calibri" w:hAnsiTheme="majorHAnsi" w:cs="Cordia New"/>
          <w:lang w:bidi="th-TH"/>
        </w:rPr>
        <w:t xml:space="preserve">his study points towards the importance of considering </w:t>
      </w:r>
      <w:r w:rsidR="00155AB4">
        <w:rPr>
          <w:rFonts w:asciiTheme="majorHAnsi" w:eastAsia="Calibri" w:hAnsiTheme="majorHAnsi" w:cs="Cordia New"/>
          <w:lang w:bidi="th-TH"/>
        </w:rPr>
        <w:t>a</w:t>
      </w:r>
      <w:r>
        <w:rPr>
          <w:rFonts w:asciiTheme="majorHAnsi" w:eastAsia="Calibri" w:hAnsiTheme="majorHAnsi" w:cs="Cordia New"/>
          <w:lang w:bidi="th-TH"/>
        </w:rPr>
        <w:t xml:space="preserve"> global break-even point as exerting distinct pressure on the decision to disengage in a RA</w:t>
      </w:r>
      <w:r w:rsidR="00717900">
        <w:rPr>
          <w:rFonts w:asciiTheme="majorHAnsi" w:eastAsia="Calibri" w:hAnsiTheme="majorHAnsi" w:cs="Cordia New"/>
          <w:lang w:bidi="th-TH"/>
        </w:rPr>
        <w:t>. However,</w:t>
      </w:r>
      <w:r>
        <w:rPr>
          <w:rFonts w:asciiTheme="majorHAnsi" w:eastAsia="Calibri" w:hAnsiTheme="majorHAnsi" w:cs="Cordia New"/>
          <w:lang w:bidi="th-TH"/>
        </w:rPr>
        <w:t xml:space="preserve"> it is still unclear whether this is more or less important </w:t>
      </w:r>
      <w:r w:rsidR="00717900">
        <w:rPr>
          <w:rFonts w:asciiTheme="majorHAnsi" w:eastAsia="Calibri" w:hAnsiTheme="majorHAnsi" w:cs="Cordia New"/>
          <w:lang w:bidi="th-TH"/>
        </w:rPr>
        <w:t>than</w:t>
      </w:r>
      <w:r>
        <w:rPr>
          <w:rFonts w:asciiTheme="majorHAnsi" w:eastAsia="Calibri" w:hAnsiTheme="majorHAnsi" w:cs="Cordia New"/>
          <w:lang w:bidi="th-TH"/>
        </w:rPr>
        <w:t xml:space="preserve"> local (recent)</w:t>
      </w:r>
      <w:r w:rsidR="00155AB4">
        <w:rPr>
          <w:rFonts w:asciiTheme="majorHAnsi" w:eastAsia="Calibri" w:hAnsiTheme="majorHAnsi" w:cs="Cordia New"/>
          <w:lang w:bidi="th-TH"/>
        </w:rPr>
        <w:t>break-even</w:t>
      </w:r>
      <w:r>
        <w:rPr>
          <w:rFonts w:asciiTheme="majorHAnsi" w:eastAsia="Calibri" w:hAnsiTheme="majorHAnsi" w:cs="Cordia New"/>
          <w:lang w:bidi="th-TH"/>
        </w:rPr>
        <w:t xml:space="preserve"> points. It may be that there are individual differences whereby some individuals only consider the </w:t>
      </w:r>
      <w:r w:rsidR="00D6302F">
        <w:rPr>
          <w:rFonts w:asciiTheme="majorHAnsi" w:eastAsia="Calibri" w:hAnsiTheme="majorHAnsi" w:cs="Cordia New"/>
          <w:lang w:bidi="th-TH"/>
        </w:rPr>
        <w:t xml:space="preserve">global </w:t>
      </w:r>
      <w:r>
        <w:rPr>
          <w:rFonts w:asciiTheme="majorHAnsi" w:eastAsia="Calibri" w:hAnsiTheme="majorHAnsi" w:cs="Cordia New"/>
          <w:lang w:bidi="th-TH"/>
        </w:rPr>
        <w:t>break-even point while others focus more on recent changes in wealth. Alternatively, individual</w:t>
      </w:r>
      <w:r w:rsidR="00D6302F">
        <w:rPr>
          <w:rFonts w:asciiTheme="majorHAnsi" w:eastAsia="Calibri" w:hAnsiTheme="majorHAnsi" w:cs="Cordia New"/>
          <w:lang w:bidi="th-TH"/>
        </w:rPr>
        <w:t>s</w:t>
      </w:r>
      <w:r>
        <w:rPr>
          <w:rFonts w:asciiTheme="majorHAnsi" w:eastAsia="Calibri" w:hAnsiTheme="majorHAnsi" w:cs="Cordia New"/>
          <w:lang w:bidi="th-TH"/>
        </w:rPr>
        <w:t xml:space="preserve"> may consider both at the same time</w:t>
      </w:r>
      <w:r w:rsidR="00D6302F">
        <w:rPr>
          <w:rFonts w:asciiTheme="majorHAnsi" w:eastAsia="Calibri" w:hAnsiTheme="majorHAnsi" w:cs="Cordia New"/>
          <w:lang w:bidi="th-TH"/>
        </w:rPr>
        <w:t>,</w:t>
      </w:r>
      <w:r>
        <w:rPr>
          <w:rFonts w:asciiTheme="majorHAnsi" w:eastAsia="Calibri" w:hAnsiTheme="majorHAnsi" w:cs="Cordia New"/>
          <w:lang w:bidi="th-TH"/>
        </w:rPr>
        <w:t xml:space="preserve"> perhaps applying some form of weighting to the global and local </w:t>
      </w:r>
      <w:r w:rsidR="00717900">
        <w:rPr>
          <w:rFonts w:asciiTheme="majorHAnsi" w:eastAsia="Calibri" w:hAnsiTheme="majorHAnsi" w:cs="Cordia New"/>
          <w:lang w:bidi="th-TH"/>
        </w:rPr>
        <w:t>break-even</w:t>
      </w:r>
      <w:r>
        <w:rPr>
          <w:rFonts w:asciiTheme="majorHAnsi" w:eastAsia="Calibri" w:hAnsiTheme="majorHAnsi" w:cs="Cordia New"/>
          <w:lang w:bidi="th-TH"/>
        </w:rPr>
        <w:t xml:space="preserve"> points. Whichever is the case, it is clear that there has been a failure of past research to consider the role of global break-even points in risk decisions.</w:t>
      </w:r>
    </w:p>
    <w:p w14:paraId="7E16F2DB" w14:textId="77777777" w:rsidR="00876040" w:rsidRPr="00FB6968" w:rsidRDefault="00876040" w:rsidP="001410E6">
      <w:pPr>
        <w:spacing w:after="0" w:line="480" w:lineRule="auto"/>
        <w:rPr>
          <w:rFonts w:asciiTheme="majorHAnsi" w:eastAsia="Calibri" w:hAnsiTheme="majorHAnsi" w:cs="Cordia New"/>
          <w:lang w:bidi="th-TH"/>
        </w:rPr>
      </w:pPr>
    </w:p>
    <w:p w14:paraId="27A28132" w14:textId="31094610" w:rsidR="00114F1F" w:rsidRDefault="00D80F55" w:rsidP="00F42439">
      <w:pPr>
        <w:spacing w:after="0" w:line="480" w:lineRule="auto"/>
        <w:rPr>
          <w:rFonts w:asciiTheme="majorHAnsi" w:eastAsia="Calibri" w:hAnsiTheme="majorHAnsi" w:cs="Cordia New"/>
          <w:b/>
          <w:lang w:bidi="th-TH"/>
        </w:rPr>
      </w:pPr>
      <w:r w:rsidRPr="00FB6968">
        <w:rPr>
          <w:rFonts w:asciiTheme="majorHAnsi" w:eastAsia="Calibri" w:hAnsiTheme="majorHAnsi" w:cs="Cordia New"/>
          <w:b/>
          <w:lang w:bidi="th-TH"/>
        </w:rPr>
        <w:t>5</w:t>
      </w:r>
      <w:r w:rsidR="00F80AC9" w:rsidRPr="00FB6968">
        <w:rPr>
          <w:rFonts w:asciiTheme="majorHAnsi" w:eastAsia="Calibri" w:hAnsiTheme="majorHAnsi" w:cs="Cordia New"/>
          <w:b/>
          <w:lang w:bidi="th-TH"/>
        </w:rPr>
        <w:t>.</w:t>
      </w:r>
      <w:r w:rsidRPr="00FB6968">
        <w:rPr>
          <w:rFonts w:asciiTheme="majorHAnsi" w:eastAsia="Calibri" w:hAnsiTheme="majorHAnsi" w:cs="Cordia New"/>
          <w:b/>
          <w:lang w:bidi="th-TH"/>
        </w:rPr>
        <w:t xml:space="preserve"> CONCLUSION</w:t>
      </w:r>
    </w:p>
    <w:p w14:paraId="6441E987" w14:textId="5B64A735" w:rsidR="004547EB" w:rsidRDefault="00150749" w:rsidP="00633CFF">
      <w:pPr>
        <w:spacing w:after="0" w:line="480" w:lineRule="auto"/>
        <w:rPr>
          <w:rFonts w:asciiTheme="majorHAnsi" w:eastAsia="Calibri" w:hAnsiTheme="majorHAnsi" w:cs="Cordia New"/>
          <w:lang w:bidi="th-TH"/>
        </w:rPr>
      </w:pPr>
      <w:r>
        <w:rPr>
          <w:rFonts w:asciiTheme="majorHAnsi" w:hAnsiTheme="majorHAnsi"/>
          <w:lang w:val="en-US"/>
        </w:rPr>
        <w:tab/>
      </w:r>
      <w:r w:rsidR="00015108">
        <w:rPr>
          <w:rFonts w:asciiTheme="majorHAnsi" w:hAnsiTheme="majorHAnsi"/>
          <w:lang w:val="en-US"/>
        </w:rPr>
        <w:t xml:space="preserve">This study extends previous research </w:t>
      </w:r>
      <w:r w:rsidR="005534F5">
        <w:rPr>
          <w:rFonts w:asciiTheme="majorHAnsi" w:hAnsiTheme="majorHAnsi"/>
          <w:lang w:val="en-US"/>
        </w:rPr>
        <w:t>that</w:t>
      </w:r>
      <w:r w:rsidR="00015108">
        <w:rPr>
          <w:rFonts w:asciiTheme="majorHAnsi" w:hAnsiTheme="majorHAnsi"/>
          <w:lang w:val="en-US"/>
        </w:rPr>
        <w:t xml:space="preserve"> has analyzed empirical data to explore the way in which individual</w:t>
      </w:r>
      <w:r w:rsidR="005534F5">
        <w:rPr>
          <w:rFonts w:asciiTheme="majorHAnsi" w:hAnsiTheme="majorHAnsi"/>
          <w:lang w:val="en-US"/>
        </w:rPr>
        <w:t>s</w:t>
      </w:r>
      <w:r w:rsidR="00015108">
        <w:rPr>
          <w:rFonts w:asciiTheme="majorHAnsi" w:hAnsiTheme="majorHAnsi"/>
          <w:lang w:val="en-US"/>
        </w:rPr>
        <w:t xml:space="preserve"> in real markets behave with respect to past profits and losses.</w:t>
      </w:r>
      <w:r w:rsidR="00870A1F">
        <w:rPr>
          <w:rFonts w:asciiTheme="majorHAnsi" w:hAnsiTheme="majorHAnsi"/>
          <w:vertAlign w:val="superscript"/>
          <w:lang w:val="en-US"/>
        </w:rPr>
        <w:t>(73-76</w:t>
      </w:r>
      <w:r w:rsidR="00015108">
        <w:rPr>
          <w:rFonts w:asciiTheme="majorHAnsi" w:hAnsiTheme="majorHAnsi"/>
          <w:vertAlign w:val="superscript"/>
          <w:lang w:val="en-US"/>
        </w:rPr>
        <w:t>)</w:t>
      </w:r>
      <w:r w:rsidR="00015108">
        <w:rPr>
          <w:rFonts w:asciiTheme="majorHAnsi" w:hAnsiTheme="majorHAnsi"/>
          <w:lang w:val="en-US"/>
        </w:rPr>
        <w:t xml:space="preserve"> </w:t>
      </w:r>
      <w:r w:rsidR="008F5DE8">
        <w:rPr>
          <w:rFonts w:asciiTheme="majorHAnsi" w:hAnsiTheme="majorHAnsi"/>
          <w:lang w:val="en-US"/>
        </w:rPr>
        <w:t xml:space="preserve">Our results are consistent with the general finding that </w:t>
      </w:r>
      <w:r w:rsidR="00DB24F3">
        <w:rPr>
          <w:rFonts w:asciiTheme="majorHAnsi" w:hAnsiTheme="majorHAnsi"/>
          <w:lang w:val="en-US"/>
        </w:rPr>
        <w:t>individuals employ mental accounting processes to deal with loss</w:t>
      </w:r>
      <w:r w:rsidR="005D2158">
        <w:rPr>
          <w:rFonts w:asciiTheme="majorHAnsi" w:hAnsiTheme="majorHAnsi"/>
          <w:lang w:val="en-US"/>
        </w:rPr>
        <w:t xml:space="preserve"> information</w:t>
      </w:r>
      <w:r w:rsidR="00DB24F3">
        <w:rPr>
          <w:rFonts w:asciiTheme="majorHAnsi" w:hAnsiTheme="majorHAnsi"/>
          <w:lang w:val="en-US"/>
        </w:rPr>
        <w:t>.</w:t>
      </w:r>
      <w:r w:rsidR="008F5DE8">
        <w:rPr>
          <w:rFonts w:asciiTheme="majorHAnsi" w:hAnsiTheme="majorHAnsi"/>
          <w:lang w:val="en-US"/>
        </w:rPr>
        <w:t xml:space="preserve"> </w:t>
      </w:r>
      <w:r w:rsidR="00633CFF" w:rsidRPr="00633CFF">
        <w:rPr>
          <w:rFonts w:asciiTheme="majorHAnsi" w:hAnsiTheme="majorHAnsi"/>
          <w:lang w:val="en-US"/>
        </w:rPr>
        <w:t>O</w:t>
      </w:r>
      <w:r w:rsidR="00DB308B" w:rsidRPr="00633CFF">
        <w:rPr>
          <w:rFonts w:asciiTheme="majorHAnsi" w:hAnsiTheme="majorHAnsi"/>
          <w:lang w:val="en-US"/>
        </w:rPr>
        <w:t>ur results suggest that t</w:t>
      </w:r>
      <w:r w:rsidRPr="00633CFF">
        <w:rPr>
          <w:rFonts w:asciiTheme="majorHAnsi" w:hAnsiTheme="majorHAnsi"/>
          <w:lang w:val="en-US"/>
        </w:rPr>
        <w:t xml:space="preserve">he decision to disengage from an </w:t>
      </w:r>
      <w:r w:rsidR="00776485" w:rsidRPr="00633CFF">
        <w:rPr>
          <w:rFonts w:asciiTheme="majorHAnsi" w:hAnsiTheme="majorHAnsi"/>
          <w:lang w:val="en-US"/>
        </w:rPr>
        <w:t>RA</w:t>
      </w:r>
      <w:r w:rsidRPr="00633CFF">
        <w:rPr>
          <w:rFonts w:asciiTheme="majorHAnsi" w:hAnsiTheme="majorHAnsi"/>
          <w:lang w:val="en-US"/>
        </w:rPr>
        <w:t xml:space="preserve"> depend</w:t>
      </w:r>
      <w:r w:rsidR="00DB308B" w:rsidRPr="00633CFF">
        <w:rPr>
          <w:rFonts w:asciiTheme="majorHAnsi" w:hAnsiTheme="majorHAnsi"/>
          <w:lang w:val="en-US"/>
        </w:rPr>
        <w:t>s</w:t>
      </w:r>
      <w:r w:rsidRPr="00633CFF">
        <w:rPr>
          <w:rFonts w:asciiTheme="majorHAnsi" w:hAnsiTheme="majorHAnsi"/>
          <w:lang w:val="en-US"/>
        </w:rPr>
        <w:t xml:space="preserve"> on recent changes in wealth around the </w:t>
      </w:r>
      <w:r w:rsidR="00D6302F">
        <w:rPr>
          <w:rFonts w:asciiTheme="majorHAnsi" w:hAnsiTheme="majorHAnsi"/>
          <w:lang w:val="en-US"/>
        </w:rPr>
        <w:t xml:space="preserve">global </w:t>
      </w:r>
      <w:r w:rsidRPr="00633CFF">
        <w:rPr>
          <w:rFonts w:asciiTheme="majorHAnsi" w:hAnsiTheme="majorHAnsi"/>
          <w:lang w:val="en-US"/>
        </w:rPr>
        <w:t>break-even point</w:t>
      </w:r>
      <w:r w:rsidR="005D21D0" w:rsidRPr="00633CFF">
        <w:rPr>
          <w:rFonts w:asciiTheme="majorHAnsi" w:hAnsiTheme="majorHAnsi"/>
          <w:lang w:val="en-US"/>
        </w:rPr>
        <w:t xml:space="preserve"> and</w:t>
      </w:r>
      <w:r w:rsidR="002203A3" w:rsidRPr="00633CFF">
        <w:rPr>
          <w:rFonts w:asciiTheme="majorHAnsi" w:hAnsiTheme="majorHAnsi"/>
          <w:lang w:val="en-US"/>
        </w:rPr>
        <w:t xml:space="preserve"> how </w:t>
      </w:r>
      <w:r w:rsidR="00B00C57" w:rsidRPr="00633CFF">
        <w:rPr>
          <w:rFonts w:asciiTheme="majorHAnsi" w:hAnsiTheme="majorHAnsi"/>
          <w:lang w:val="en-US"/>
        </w:rPr>
        <w:t>th</w:t>
      </w:r>
      <w:r w:rsidR="002203A3" w:rsidRPr="00633CFF">
        <w:rPr>
          <w:rFonts w:asciiTheme="majorHAnsi" w:hAnsiTheme="majorHAnsi"/>
          <w:lang w:val="en-US"/>
        </w:rPr>
        <w:t>is recent information is</w:t>
      </w:r>
      <w:r w:rsidR="00B00C57" w:rsidRPr="00633CFF">
        <w:rPr>
          <w:rFonts w:asciiTheme="majorHAnsi" w:hAnsiTheme="majorHAnsi"/>
          <w:lang w:val="en-US"/>
        </w:rPr>
        <w:t xml:space="preserve"> interpreted</w:t>
      </w:r>
      <w:r w:rsidR="004547EB" w:rsidRPr="00633CFF">
        <w:rPr>
          <w:rFonts w:asciiTheme="majorHAnsi" w:hAnsiTheme="majorHAnsi"/>
          <w:lang w:val="en-US"/>
        </w:rPr>
        <w:t xml:space="preserve"> </w:t>
      </w:r>
      <w:r w:rsidR="00C52970" w:rsidRPr="00633CFF">
        <w:rPr>
          <w:rFonts w:asciiTheme="majorHAnsi" w:hAnsiTheme="majorHAnsi"/>
          <w:lang w:val="en-US"/>
        </w:rPr>
        <w:t xml:space="preserve">in relation to </w:t>
      </w:r>
      <w:r w:rsidR="0027663F">
        <w:rPr>
          <w:rFonts w:asciiTheme="majorHAnsi" w:hAnsiTheme="majorHAnsi"/>
          <w:lang w:val="en-US"/>
        </w:rPr>
        <w:t>an</w:t>
      </w:r>
      <w:r w:rsidR="00C52970" w:rsidRPr="00633CFF">
        <w:rPr>
          <w:rFonts w:asciiTheme="majorHAnsi" w:hAnsiTheme="majorHAnsi"/>
          <w:lang w:val="en-US"/>
        </w:rPr>
        <w:t xml:space="preserve"> individual’s</w:t>
      </w:r>
      <w:r w:rsidR="002203A3" w:rsidRPr="00633CFF">
        <w:rPr>
          <w:rFonts w:asciiTheme="majorHAnsi" w:hAnsiTheme="majorHAnsi"/>
          <w:lang w:val="en-US"/>
        </w:rPr>
        <w:t xml:space="preserve"> </w:t>
      </w:r>
      <w:r w:rsidR="00DB308B" w:rsidRPr="00633CFF">
        <w:rPr>
          <w:rFonts w:asciiTheme="majorHAnsi" w:hAnsiTheme="majorHAnsi"/>
          <w:lang w:val="en-US"/>
        </w:rPr>
        <w:t>mental model</w:t>
      </w:r>
      <w:r w:rsidR="00633CFF">
        <w:rPr>
          <w:rFonts w:asciiTheme="majorHAnsi" w:hAnsiTheme="majorHAnsi"/>
          <w:lang w:val="en-US"/>
        </w:rPr>
        <w:t xml:space="preserve"> (</w:t>
      </w:r>
      <w:r w:rsidR="00633CFF" w:rsidRPr="00633CFF">
        <w:rPr>
          <w:rFonts w:asciiTheme="majorHAnsi" w:hAnsiTheme="majorHAnsi"/>
          <w:lang w:val="en-US"/>
        </w:rPr>
        <w:t>developed by engaging in the RA</w:t>
      </w:r>
      <w:r w:rsidR="00633CFF">
        <w:rPr>
          <w:rFonts w:asciiTheme="majorHAnsi" w:hAnsiTheme="majorHAnsi"/>
          <w:lang w:val="en-US"/>
        </w:rPr>
        <w:t>)</w:t>
      </w:r>
      <w:r w:rsidR="00633CFF" w:rsidRPr="00633CFF">
        <w:rPr>
          <w:rFonts w:asciiTheme="majorHAnsi" w:hAnsiTheme="majorHAnsi"/>
          <w:lang w:val="en-US"/>
        </w:rPr>
        <w:t>.</w:t>
      </w:r>
      <w:r w:rsidRPr="00633CFF">
        <w:rPr>
          <w:rFonts w:asciiTheme="majorHAnsi" w:hAnsiTheme="majorHAnsi"/>
          <w:lang w:val="en-US"/>
        </w:rPr>
        <w:t xml:space="preserve"> </w:t>
      </w:r>
    </w:p>
    <w:p w14:paraId="242AA62E" w14:textId="140AD9D6" w:rsidR="00EB3EFA" w:rsidRDefault="00EB3EFA" w:rsidP="00EB3EFA">
      <w:pPr>
        <w:spacing w:after="0" w:line="480" w:lineRule="auto"/>
        <w:ind w:firstLine="709"/>
        <w:rPr>
          <w:rFonts w:asciiTheme="majorHAnsi" w:hAnsiTheme="majorHAnsi"/>
          <w:lang w:val="en-US"/>
        </w:rPr>
      </w:pPr>
      <w:r>
        <w:rPr>
          <w:rFonts w:asciiTheme="majorHAnsi" w:hAnsiTheme="majorHAnsi"/>
        </w:rPr>
        <w:t>O</w:t>
      </w:r>
      <w:r w:rsidRPr="00773663">
        <w:rPr>
          <w:rFonts w:asciiTheme="majorHAnsi" w:hAnsiTheme="majorHAnsi"/>
        </w:rPr>
        <w:t xml:space="preserve">ur results </w:t>
      </w:r>
      <w:r>
        <w:rPr>
          <w:rFonts w:asciiTheme="majorHAnsi" w:hAnsiTheme="majorHAnsi"/>
        </w:rPr>
        <w:t>add to the wealth of studies that reveal how the context in which new information is received can affect its interpretation and subsequent behavior.</w:t>
      </w:r>
      <w:r w:rsidRPr="00275768">
        <w:rPr>
          <w:rFonts w:asciiTheme="majorHAnsi" w:hAnsiTheme="majorHAnsi"/>
          <w:vertAlign w:val="superscript"/>
        </w:rPr>
        <w:t>(7</w:t>
      </w:r>
      <w:r w:rsidR="00870A1F">
        <w:rPr>
          <w:rFonts w:asciiTheme="majorHAnsi" w:hAnsiTheme="majorHAnsi"/>
          <w:vertAlign w:val="superscript"/>
        </w:rPr>
        <w:t>7</w:t>
      </w:r>
      <w:r>
        <w:rPr>
          <w:rFonts w:asciiTheme="majorHAnsi" w:hAnsiTheme="majorHAnsi"/>
          <w:vertAlign w:val="superscript"/>
        </w:rPr>
        <w:t>-</w:t>
      </w:r>
      <w:r w:rsidR="007452AC">
        <w:rPr>
          <w:rFonts w:asciiTheme="majorHAnsi" w:hAnsiTheme="majorHAnsi"/>
          <w:vertAlign w:val="superscript"/>
        </w:rPr>
        <w:t>80</w:t>
      </w:r>
      <w:r w:rsidRPr="00275768">
        <w:rPr>
          <w:rFonts w:asciiTheme="majorHAnsi" w:hAnsiTheme="majorHAnsi"/>
          <w:vertAlign w:val="superscript"/>
        </w:rPr>
        <w:t>)</w:t>
      </w:r>
      <w:r>
        <w:rPr>
          <w:rFonts w:asciiTheme="majorHAnsi" w:hAnsiTheme="majorHAnsi"/>
        </w:rPr>
        <w:t xml:space="preserve"> Indeed, we propose</w:t>
      </w:r>
      <w:r w:rsidRPr="00773663">
        <w:rPr>
          <w:rFonts w:asciiTheme="majorHAnsi" w:hAnsiTheme="majorHAnsi"/>
        </w:rPr>
        <w:t xml:space="preserve"> that a history of past success and/or overconfidence could be important factors in dealing with chasing </w:t>
      </w:r>
      <w:r w:rsidR="002C38A1">
        <w:rPr>
          <w:rFonts w:asciiTheme="majorHAnsi" w:hAnsiTheme="majorHAnsi"/>
        </w:rPr>
        <w:t>behavior.</w:t>
      </w:r>
      <w:r w:rsidRPr="00773663">
        <w:rPr>
          <w:rFonts w:asciiTheme="majorHAnsi" w:hAnsiTheme="majorHAnsi"/>
        </w:rPr>
        <w:t xml:space="preserve"> For example, overconfidence has often </w:t>
      </w:r>
      <w:r>
        <w:rPr>
          <w:rFonts w:asciiTheme="majorHAnsi" w:hAnsiTheme="majorHAnsi"/>
        </w:rPr>
        <w:t xml:space="preserve">been </w:t>
      </w:r>
      <w:r w:rsidRPr="00773663">
        <w:rPr>
          <w:rFonts w:asciiTheme="majorHAnsi" w:hAnsiTheme="majorHAnsi"/>
        </w:rPr>
        <w:t>associated with a higher trade frequency</w:t>
      </w:r>
      <w:r>
        <w:rPr>
          <w:rFonts w:asciiTheme="majorHAnsi" w:hAnsiTheme="majorHAnsi"/>
        </w:rPr>
        <w:t>.</w:t>
      </w:r>
      <w:r w:rsidRPr="00275768">
        <w:rPr>
          <w:rFonts w:asciiTheme="majorHAnsi" w:hAnsiTheme="majorHAnsi"/>
          <w:vertAlign w:val="superscript"/>
        </w:rPr>
        <w:t>(</w:t>
      </w:r>
      <w:r w:rsidR="00870A1F">
        <w:rPr>
          <w:rFonts w:asciiTheme="majorHAnsi" w:hAnsiTheme="majorHAnsi"/>
          <w:vertAlign w:val="superscript"/>
        </w:rPr>
        <w:t>80</w:t>
      </w:r>
      <w:r w:rsidRPr="00275768">
        <w:rPr>
          <w:rFonts w:asciiTheme="majorHAnsi" w:hAnsiTheme="majorHAnsi"/>
          <w:vertAlign w:val="superscript"/>
        </w:rPr>
        <w:t>)</w:t>
      </w:r>
      <w:r w:rsidRPr="00773663">
        <w:rPr>
          <w:rFonts w:asciiTheme="majorHAnsi" w:hAnsiTheme="majorHAnsi"/>
        </w:rPr>
        <w:t xml:space="preserve"> As such, institutions or regulators charged with managing traders who might be at risk of becoming rogue traders might consider examining their frequency of trades. Those with particularly high trade frequencies are at greater risk of trading longer than they ought in a market that is ultimately unprofitable for their strategy. At worst, these individuals may also be more susceptible to the risk of becoming a rogue trader, and this can </w:t>
      </w:r>
      <w:r w:rsidRPr="00773663">
        <w:rPr>
          <w:rFonts w:asciiTheme="majorHAnsi" w:eastAsia="Arial Unicode MS" w:hAnsiTheme="majorHAnsi" w:cs="Arial Unicode MS"/>
          <w:shd w:val="clear" w:color="auto" w:fill="FFFFFF"/>
        </w:rPr>
        <w:t>cost financial institutions and the taxpayer significant sums of money.</w:t>
      </w:r>
      <w:r w:rsidRPr="0016286A">
        <w:rPr>
          <w:rFonts w:asciiTheme="majorHAnsi" w:eastAsia="Arial Unicode MS" w:hAnsiTheme="majorHAnsi" w:cs="Arial Unicode MS"/>
          <w:shd w:val="clear" w:color="auto" w:fill="FFFFFF"/>
        </w:rPr>
        <w:t xml:space="preserve">  </w:t>
      </w:r>
    </w:p>
    <w:p w14:paraId="1336092E" w14:textId="7F53A095" w:rsidR="00EB3EFA" w:rsidRDefault="00EB3EFA" w:rsidP="00EB3EFA">
      <w:pPr>
        <w:spacing w:after="0" w:line="480" w:lineRule="auto"/>
        <w:ind w:firstLine="720"/>
        <w:rPr>
          <w:rFonts w:asciiTheme="majorHAnsi" w:eastAsia="Calibri" w:hAnsiTheme="majorHAnsi" w:cs="Cordia New"/>
          <w:lang w:bidi="th-TH"/>
        </w:rPr>
      </w:pPr>
      <w:r>
        <w:rPr>
          <w:rFonts w:asciiTheme="majorHAnsi" w:eastAsia="Calibri" w:hAnsiTheme="majorHAnsi" w:cs="Cordia New"/>
          <w:lang w:bidi="th-TH"/>
        </w:rPr>
        <w:t xml:space="preserve">Our findings reveal that there exist non-pathological cognitive processes (i.e. </w:t>
      </w:r>
      <w:r w:rsidR="00D6302F">
        <w:rPr>
          <w:rFonts w:asciiTheme="majorHAnsi" w:eastAsia="Calibri" w:hAnsiTheme="majorHAnsi" w:cs="Cordia New"/>
          <w:lang w:bidi="th-TH"/>
        </w:rPr>
        <w:t xml:space="preserve">both local and global </w:t>
      </w:r>
      <w:r>
        <w:rPr>
          <w:rFonts w:asciiTheme="majorHAnsi" w:eastAsia="Calibri" w:hAnsiTheme="majorHAnsi" w:cs="Cordia New"/>
          <w:lang w:bidi="th-TH"/>
        </w:rPr>
        <w:t>break-even effect</w:t>
      </w:r>
      <w:r w:rsidR="00D6302F">
        <w:rPr>
          <w:rFonts w:asciiTheme="majorHAnsi" w:eastAsia="Calibri" w:hAnsiTheme="majorHAnsi" w:cs="Cordia New"/>
          <w:lang w:bidi="th-TH"/>
        </w:rPr>
        <w:t>s</w:t>
      </w:r>
      <w:r>
        <w:rPr>
          <w:rFonts w:asciiTheme="majorHAnsi" w:eastAsia="Calibri" w:hAnsiTheme="majorHAnsi" w:cs="Cordia New"/>
          <w:lang w:bidi="th-TH"/>
        </w:rPr>
        <w:t>) that can predict a tendency to continue with a RA despite experiencing consecutive periods in loss. A rational decision to take risks</w:t>
      </w:r>
      <w:r w:rsidRPr="0006102C">
        <w:rPr>
          <w:rFonts w:asciiTheme="majorHAnsi" w:eastAsia="Calibri" w:hAnsiTheme="majorHAnsi" w:cs="Cordia New"/>
          <w:lang w:bidi="th-TH"/>
        </w:rPr>
        <w:t xml:space="preserve"> </w:t>
      </w:r>
      <w:r>
        <w:rPr>
          <w:rFonts w:asciiTheme="majorHAnsi" w:eastAsia="Calibri" w:hAnsiTheme="majorHAnsi" w:cs="Cordia New"/>
          <w:lang w:bidi="th-TH"/>
        </w:rPr>
        <w:t>ought to be based on fundamental information about the risk and return payoffs. However, we find that it is also influenced by a motivation to break-even</w:t>
      </w:r>
      <w:r w:rsidR="00D6302F">
        <w:rPr>
          <w:rFonts w:asciiTheme="majorHAnsi" w:eastAsia="Calibri" w:hAnsiTheme="majorHAnsi" w:cs="Cordia New"/>
          <w:lang w:bidi="th-TH"/>
        </w:rPr>
        <w:t xml:space="preserve">, not only based on recent experience in the RA but across an individuals’ entire history of engaging in that RA </w:t>
      </w:r>
      <w:r>
        <w:rPr>
          <w:rFonts w:asciiTheme="majorHAnsi" w:eastAsia="Calibri" w:hAnsiTheme="majorHAnsi" w:cs="Cordia New"/>
          <w:lang w:bidi="th-TH"/>
        </w:rPr>
        <w:t xml:space="preserve">. Clearly, such behavior could be detrimental to an individual’s longer-term financial well-being. We suggest that evidence of overconfidence (e.g., excessive </w:t>
      </w:r>
      <w:r w:rsidR="00D6302F">
        <w:rPr>
          <w:rFonts w:asciiTheme="majorHAnsi" w:eastAsia="Calibri" w:hAnsiTheme="majorHAnsi" w:cs="Cordia New"/>
          <w:lang w:bidi="th-TH"/>
        </w:rPr>
        <w:t>risk taking/</w:t>
      </w:r>
      <w:r>
        <w:rPr>
          <w:rFonts w:asciiTheme="majorHAnsi" w:eastAsia="Calibri" w:hAnsiTheme="majorHAnsi" w:cs="Cordia New"/>
          <w:lang w:bidi="th-TH"/>
        </w:rPr>
        <w:t>investment/trading/gambling frequency) by an individual could provide an early indication of their susceptibility to future chasing behavior and an aversion to stopping a RA when in loss</w:t>
      </w:r>
      <w:r>
        <w:t xml:space="preserve">. </w:t>
      </w:r>
      <w:r>
        <w:rPr>
          <w:rFonts w:asciiTheme="majorHAnsi" w:eastAsia="Calibri" w:hAnsiTheme="majorHAnsi" w:cs="Cordia New"/>
          <w:lang w:bidi="th-TH"/>
        </w:rPr>
        <w:t xml:space="preserve">Interventions for those who take financial risks, such as financial traders, gamblers, and even finance directors and professional investors, may help to reduce the impact of this particular phenomenon. </w:t>
      </w:r>
    </w:p>
    <w:p w14:paraId="05AF7893" w14:textId="46447D06" w:rsidR="004547EB" w:rsidRDefault="004547EB" w:rsidP="004547EB">
      <w:pPr>
        <w:spacing w:after="0" w:line="480" w:lineRule="auto"/>
        <w:ind w:firstLine="720"/>
        <w:rPr>
          <w:rFonts w:asciiTheme="majorHAnsi" w:hAnsiTheme="majorHAnsi"/>
          <w:lang w:val="en-US"/>
        </w:rPr>
      </w:pPr>
      <w:r>
        <w:rPr>
          <w:rFonts w:asciiTheme="majorHAnsi" w:eastAsia="Calibri" w:hAnsiTheme="majorHAnsi" w:cs="Cordia New"/>
          <w:lang w:bidi="th-TH"/>
        </w:rPr>
        <w:t xml:space="preserve">Our results </w:t>
      </w:r>
      <w:r w:rsidR="00EC3BCC">
        <w:rPr>
          <w:rFonts w:asciiTheme="majorHAnsi" w:eastAsia="Calibri" w:hAnsiTheme="majorHAnsi" w:cs="Cordia New"/>
          <w:lang w:bidi="th-TH"/>
        </w:rPr>
        <w:t xml:space="preserve">also </w:t>
      </w:r>
      <w:r>
        <w:rPr>
          <w:rFonts w:asciiTheme="majorHAnsi" w:eastAsia="Calibri" w:hAnsiTheme="majorHAnsi" w:cs="Cordia New"/>
          <w:lang w:bidi="th-TH"/>
        </w:rPr>
        <w:t>have</w:t>
      </w:r>
      <w:r w:rsidR="00651A2B">
        <w:rPr>
          <w:rFonts w:asciiTheme="majorHAnsi" w:eastAsia="Calibri" w:hAnsiTheme="majorHAnsi" w:cs="Cordia New"/>
          <w:lang w:bidi="th-TH"/>
        </w:rPr>
        <w:t xml:space="preserve"> important implications for </w:t>
      </w:r>
      <w:r w:rsidR="00EB3EFA">
        <w:rPr>
          <w:rFonts w:asciiTheme="majorHAnsi" w:eastAsia="Calibri" w:hAnsiTheme="majorHAnsi" w:cs="Cordia New"/>
          <w:lang w:bidi="th-TH"/>
        </w:rPr>
        <w:t xml:space="preserve">understanding the </w:t>
      </w:r>
      <w:r w:rsidR="00500782">
        <w:rPr>
          <w:rFonts w:asciiTheme="majorHAnsi" w:eastAsia="Calibri" w:hAnsiTheme="majorHAnsi" w:cs="Cordia New"/>
          <w:lang w:bidi="th-TH"/>
        </w:rPr>
        <w:t xml:space="preserve">efficient operation of </w:t>
      </w:r>
      <w:r w:rsidR="00651A2B">
        <w:rPr>
          <w:rFonts w:asciiTheme="majorHAnsi" w:eastAsia="Calibri" w:hAnsiTheme="majorHAnsi" w:cs="Cordia New"/>
          <w:lang w:bidi="th-TH"/>
        </w:rPr>
        <w:t>market</w:t>
      </w:r>
      <w:r w:rsidR="00500782">
        <w:rPr>
          <w:rFonts w:asciiTheme="majorHAnsi" w:eastAsia="Calibri" w:hAnsiTheme="majorHAnsi" w:cs="Cordia New"/>
          <w:lang w:bidi="th-TH"/>
        </w:rPr>
        <w:t>s</w:t>
      </w:r>
      <w:r>
        <w:rPr>
          <w:rFonts w:asciiTheme="majorHAnsi" w:eastAsia="Calibri" w:hAnsiTheme="majorHAnsi" w:cs="Cordia New"/>
          <w:lang w:bidi="th-TH"/>
        </w:rPr>
        <w:t xml:space="preserve">. </w:t>
      </w:r>
      <w:r w:rsidR="00EC3BCC">
        <w:rPr>
          <w:rFonts w:asciiTheme="majorHAnsi" w:hAnsiTheme="majorHAnsi" w:cs="Helvetica"/>
        </w:rPr>
        <w:t>Several</w:t>
      </w:r>
      <w:r w:rsidRPr="00743D46">
        <w:rPr>
          <w:rFonts w:asciiTheme="majorHAnsi" w:hAnsiTheme="majorHAnsi" w:cs="Helvetica"/>
        </w:rPr>
        <w:t xml:space="preserve"> authors have discussed the idea that individuals may be forced to stop trading by losing </w:t>
      </w:r>
      <w:r w:rsidRPr="004F518D">
        <w:rPr>
          <w:rFonts w:asciiTheme="majorHAnsi" w:hAnsiTheme="majorHAnsi" w:cs="Helvetica"/>
        </w:rPr>
        <w:t>money</w:t>
      </w:r>
      <w:r w:rsidRPr="004F518D">
        <w:rPr>
          <w:rFonts w:asciiTheme="majorHAnsi" w:hAnsiTheme="majorHAnsi"/>
          <w:lang w:val="en-US"/>
        </w:rPr>
        <w:t>.</w:t>
      </w:r>
      <w:r w:rsidR="004F518D" w:rsidRPr="00275768">
        <w:rPr>
          <w:rFonts w:asciiTheme="majorHAnsi" w:hAnsiTheme="majorHAnsi"/>
          <w:vertAlign w:val="superscript"/>
          <w:lang w:val="en-US"/>
        </w:rPr>
        <w:t>(60-63)</w:t>
      </w:r>
      <w:r w:rsidRPr="004F518D">
        <w:rPr>
          <w:rFonts w:asciiTheme="majorHAnsi" w:hAnsiTheme="majorHAnsi"/>
          <w:lang w:val="en-US"/>
        </w:rPr>
        <w:t xml:space="preserve"> </w:t>
      </w:r>
      <w:r w:rsidR="005D21D0" w:rsidRPr="004F518D">
        <w:rPr>
          <w:rFonts w:asciiTheme="majorHAnsi" w:hAnsiTheme="majorHAnsi"/>
          <w:lang w:val="en-US"/>
        </w:rPr>
        <w:t>T</w:t>
      </w:r>
      <w:r w:rsidRPr="004F518D">
        <w:rPr>
          <w:rFonts w:asciiTheme="majorHAnsi" w:hAnsiTheme="majorHAnsi"/>
          <w:lang w:val="en-US"/>
        </w:rPr>
        <w:t>he Adaptive</w:t>
      </w:r>
      <w:r w:rsidRPr="00743D46">
        <w:rPr>
          <w:rFonts w:asciiTheme="majorHAnsi" w:hAnsiTheme="majorHAnsi"/>
          <w:lang w:val="en-US"/>
        </w:rPr>
        <w:t xml:space="preserve"> Markets Hypothesis (AMH)</w:t>
      </w:r>
      <w:r w:rsidR="005D21D0">
        <w:rPr>
          <w:rFonts w:asciiTheme="majorHAnsi" w:hAnsiTheme="majorHAnsi"/>
          <w:lang w:val="en-US"/>
        </w:rPr>
        <w:t xml:space="preserve"> </w:t>
      </w:r>
      <w:r w:rsidR="00714AA3">
        <w:rPr>
          <w:rFonts w:asciiTheme="majorHAnsi" w:hAnsiTheme="majorHAnsi"/>
          <w:lang w:val="en-US"/>
        </w:rPr>
        <w:t>is base</w:t>
      </w:r>
      <w:r w:rsidR="002664E2">
        <w:rPr>
          <w:rFonts w:asciiTheme="majorHAnsi" w:hAnsiTheme="majorHAnsi"/>
          <w:lang w:val="en-US"/>
        </w:rPr>
        <w:t>d</w:t>
      </w:r>
      <w:r w:rsidR="00714AA3">
        <w:rPr>
          <w:rFonts w:asciiTheme="majorHAnsi" w:hAnsiTheme="majorHAnsi"/>
          <w:lang w:val="en-US"/>
        </w:rPr>
        <w:t xml:space="preserve"> around</w:t>
      </w:r>
      <w:r w:rsidR="005D21D0">
        <w:rPr>
          <w:rFonts w:asciiTheme="majorHAnsi" w:hAnsiTheme="majorHAnsi"/>
          <w:lang w:val="en-US"/>
        </w:rPr>
        <w:t xml:space="preserve"> this theme and suggests that </w:t>
      </w:r>
      <w:r>
        <w:rPr>
          <w:rFonts w:asciiTheme="majorHAnsi" w:hAnsiTheme="majorHAnsi"/>
          <w:lang w:val="en-US"/>
        </w:rPr>
        <w:t xml:space="preserve">evolutionary </w:t>
      </w:r>
      <w:r w:rsidR="005D21D0">
        <w:rPr>
          <w:rFonts w:asciiTheme="majorHAnsi" w:hAnsiTheme="majorHAnsi"/>
          <w:lang w:val="en-US"/>
        </w:rPr>
        <w:t>process</w:t>
      </w:r>
      <w:r w:rsidR="00633CFF">
        <w:rPr>
          <w:rFonts w:asciiTheme="majorHAnsi" w:hAnsiTheme="majorHAnsi"/>
          <w:lang w:val="en-US"/>
        </w:rPr>
        <w:t>es</w:t>
      </w:r>
      <w:r w:rsidR="005D21D0">
        <w:rPr>
          <w:rFonts w:asciiTheme="majorHAnsi" w:hAnsiTheme="majorHAnsi"/>
          <w:lang w:val="en-US"/>
        </w:rPr>
        <w:t xml:space="preserve"> </w:t>
      </w:r>
      <w:r>
        <w:rPr>
          <w:rFonts w:asciiTheme="majorHAnsi" w:hAnsiTheme="majorHAnsi"/>
          <w:lang w:val="en-US"/>
        </w:rPr>
        <w:t xml:space="preserve">force </w:t>
      </w:r>
      <w:r w:rsidR="005D21D0">
        <w:rPr>
          <w:rFonts w:asciiTheme="majorHAnsi" w:hAnsiTheme="majorHAnsi"/>
          <w:lang w:val="en-US"/>
        </w:rPr>
        <w:t xml:space="preserve">out the least successful traders, thereby leading to greater </w:t>
      </w:r>
      <w:r>
        <w:rPr>
          <w:rFonts w:asciiTheme="majorHAnsi" w:hAnsiTheme="majorHAnsi"/>
          <w:lang w:val="en-US"/>
        </w:rPr>
        <w:t>market efficiency</w:t>
      </w:r>
      <w:r w:rsidR="00EC3BCC">
        <w:rPr>
          <w:rFonts w:asciiTheme="majorHAnsi" w:hAnsiTheme="majorHAnsi"/>
          <w:lang w:val="en-US"/>
        </w:rPr>
        <w:t>, which is needed for a better allocation of resources in an economy</w:t>
      </w:r>
      <w:r w:rsidR="004F518D">
        <w:rPr>
          <w:rFonts w:asciiTheme="majorHAnsi" w:hAnsiTheme="majorHAnsi"/>
          <w:lang w:val="en-US"/>
        </w:rPr>
        <w:t>.</w:t>
      </w:r>
      <w:r w:rsidR="004F518D" w:rsidRPr="00275768">
        <w:rPr>
          <w:rFonts w:asciiTheme="majorHAnsi" w:hAnsiTheme="majorHAnsi"/>
          <w:vertAlign w:val="superscript"/>
          <w:lang w:val="en-US"/>
        </w:rPr>
        <w:t>(64,65)</w:t>
      </w:r>
      <w:r w:rsidR="004F518D">
        <w:rPr>
          <w:rFonts w:asciiTheme="majorHAnsi" w:hAnsiTheme="majorHAnsi"/>
          <w:lang w:val="en-US"/>
        </w:rPr>
        <w:t xml:space="preserve"> </w:t>
      </w:r>
      <w:r w:rsidR="00FB6968">
        <w:rPr>
          <w:rFonts w:asciiTheme="majorHAnsi" w:hAnsiTheme="majorHAnsi"/>
          <w:lang w:val="en-US"/>
        </w:rPr>
        <w:t>There is considerable debate concerning the veracity of the AMH. Simu</w:t>
      </w:r>
      <w:r w:rsidR="00633CFF">
        <w:rPr>
          <w:rFonts w:asciiTheme="majorHAnsi" w:hAnsiTheme="majorHAnsi"/>
          <w:lang w:val="en-US"/>
        </w:rPr>
        <w:t xml:space="preserve">lation studies have shown that these </w:t>
      </w:r>
      <w:r w:rsidR="00FB6968">
        <w:rPr>
          <w:rFonts w:asciiTheme="majorHAnsi" w:hAnsiTheme="majorHAnsi"/>
          <w:lang w:val="en-US"/>
        </w:rPr>
        <w:t xml:space="preserve">evolutionary </w:t>
      </w:r>
      <w:r w:rsidR="00633CFF">
        <w:rPr>
          <w:rFonts w:asciiTheme="majorHAnsi" w:hAnsiTheme="majorHAnsi"/>
          <w:lang w:val="en-US"/>
        </w:rPr>
        <w:t>forces</w:t>
      </w:r>
      <w:r w:rsidR="00FB6968">
        <w:rPr>
          <w:rFonts w:asciiTheme="majorHAnsi" w:hAnsiTheme="majorHAnsi"/>
          <w:lang w:val="en-US"/>
        </w:rPr>
        <w:t xml:space="preserve"> can be excessively slow (e.g., even if traders' beliefs differ significantly from the truth, </w:t>
      </w:r>
      <w:r w:rsidR="00EC3BCC">
        <w:rPr>
          <w:rFonts w:asciiTheme="majorHAnsi" w:hAnsiTheme="majorHAnsi"/>
          <w:lang w:val="en-US"/>
        </w:rPr>
        <w:t xml:space="preserve">simulations show that </w:t>
      </w:r>
      <w:r w:rsidR="00FB6968">
        <w:rPr>
          <w:rFonts w:asciiTheme="majorHAnsi" w:hAnsiTheme="majorHAnsi"/>
          <w:lang w:val="en-US"/>
        </w:rPr>
        <w:t xml:space="preserve">it can take </w:t>
      </w:r>
      <w:r w:rsidR="00EC3BCC">
        <w:rPr>
          <w:rFonts w:asciiTheme="majorHAnsi" w:hAnsiTheme="majorHAnsi"/>
          <w:lang w:val="en-US"/>
        </w:rPr>
        <w:t>a lifetime</w:t>
      </w:r>
      <w:r w:rsidR="00FB6968">
        <w:rPr>
          <w:rFonts w:asciiTheme="majorHAnsi" w:hAnsiTheme="majorHAnsi"/>
          <w:lang w:val="en-US"/>
        </w:rPr>
        <w:t xml:space="preserve"> before an investor loses even half of their wealth).</w:t>
      </w:r>
      <w:r w:rsidR="00340C19" w:rsidRPr="00275768">
        <w:rPr>
          <w:rFonts w:asciiTheme="majorHAnsi" w:hAnsiTheme="majorHAnsi"/>
          <w:vertAlign w:val="superscript"/>
          <w:lang w:val="en-US"/>
        </w:rPr>
        <w:t>(66)</w:t>
      </w:r>
      <w:r w:rsidR="00FB6968">
        <w:rPr>
          <w:rFonts w:asciiTheme="majorHAnsi" w:hAnsiTheme="majorHAnsi"/>
          <w:lang w:val="en-US"/>
        </w:rPr>
        <w:t xml:space="preserve"> However, several </w:t>
      </w:r>
      <w:r>
        <w:rPr>
          <w:rFonts w:asciiTheme="majorHAnsi" w:hAnsiTheme="majorHAnsi"/>
          <w:lang w:val="en-US"/>
        </w:rPr>
        <w:t>empirical studies have found support for the AMH</w:t>
      </w:r>
      <w:r w:rsidR="00340C19">
        <w:rPr>
          <w:rFonts w:asciiTheme="majorHAnsi" w:hAnsiTheme="majorHAnsi"/>
          <w:lang w:val="en-US"/>
        </w:rPr>
        <w:t>.</w:t>
      </w:r>
      <w:r w:rsidR="00340C19" w:rsidRPr="00275768">
        <w:rPr>
          <w:rFonts w:asciiTheme="majorHAnsi" w:hAnsiTheme="majorHAnsi"/>
          <w:vertAlign w:val="superscript"/>
          <w:lang w:val="en-US"/>
        </w:rPr>
        <w:t>(67-72)</w:t>
      </w:r>
      <w:r w:rsidR="00FB6968">
        <w:rPr>
          <w:rFonts w:asciiTheme="majorHAnsi" w:hAnsiTheme="majorHAnsi"/>
          <w:lang w:val="en-US"/>
        </w:rPr>
        <w:t xml:space="preserve"> </w:t>
      </w:r>
      <w:r>
        <w:rPr>
          <w:rFonts w:asciiTheme="majorHAnsi" w:hAnsiTheme="majorHAnsi"/>
          <w:lang w:val="en-US"/>
        </w:rPr>
        <w:t xml:space="preserve"> </w:t>
      </w:r>
    </w:p>
    <w:p w14:paraId="44EAC51D" w14:textId="7365F48C" w:rsidR="003D0801" w:rsidRDefault="004547EB" w:rsidP="00FC6DF5">
      <w:pPr>
        <w:spacing w:after="0" w:line="480" w:lineRule="auto"/>
        <w:ind w:firstLine="720"/>
        <w:rPr>
          <w:rFonts w:asciiTheme="majorHAnsi" w:hAnsiTheme="majorHAnsi"/>
          <w:vertAlign w:val="superscript"/>
          <w:lang w:val="en-US"/>
        </w:rPr>
      </w:pPr>
      <w:r>
        <w:rPr>
          <w:rFonts w:asciiTheme="majorHAnsi" w:hAnsiTheme="majorHAnsi"/>
          <w:lang w:val="en-US"/>
        </w:rPr>
        <w:t xml:space="preserve">Our study presents new insights </w:t>
      </w:r>
      <w:r w:rsidR="0006102C">
        <w:rPr>
          <w:rFonts w:asciiTheme="majorHAnsi" w:hAnsiTheme="majorHAnsi"/>
          <w:lang w:val="en-US"/>
        </w:rPr>
        <w:t>support</w:t>
      </w:r>
      <w:r w:rsidR="00FB6968">
        <w:rPr>
          <w:rFonts w:asciiTheme="majorHAnsi" w:hAnsiTheme="majorHAnsi"/>
          <w:lang w:val="en-US"/>
        </w:rPr>
        <w:t>ing</w:t>
      </w:r>
      <w:r w:rsidR="0006102C">
        <w:rPr>
          <w:rFonts w:asciiTheme="majorHAnsi" w:hAnsiTheme="majorHAnsi"/>
          <w:lang w:val="en-US"/>
        </w:rPr>
        <w:t xml:space="preserve"> the evolutionary </w:t>
      </w:r>
      <w:r w:rsidR="007F1EC5">
        <w:rPr>
          <w:rFonts w:asciiTheme="majorHAnsi" w:hAnsiTheme="majorHAnsi"/>
          <w:lang w:val="en-US"/>
        </w:rPr>
        <w:t xml:space="preserve">process </w:t>
      </w:r>
      <w:r w:rsidR="0006102C">
        <w:rPr>
          <w:rFonts w:asciiTheme="majorHAnsi" w:hAnsiTheme="majorHAnsi"/>
          <w:lang w:val="en-US"/>
        </w:rPr>
        <w:t>underpinning the AMH. In particular, we found that</w:t>
      </w:r>
      <w:r>
        <w:rPr>
          <w:rFonts w:asciiTheme="majorHAnsi" w:hAnsiTheme="majorHAnsi"/>
          <w:lang w:val="en-US"/>
        </w:rPr>
        <w:t xml:space="preserve"> </w:t>
      </w:r>
      <w:r w:rsidR="007F1EC5">
        <w:rPr>
          <w:rFonts w:asciiTheme="majorHAnsi" w:hAnsiTheme="majorHAnsi"/>
          <w:lang w:val="en-US"/>
        </w:rPr>
        <w:t xml:space="preserve">the </w:t>
      </w:r>
      <w:r>
        <w:rPr>
          <w:rFonts w:asciiTheme="majorHAnsi" w:hAnsiTheme="majorHAnsi"/>
          <w:lang w:val="en-US"/>
        </w:rPr>
        <w:t xml:space="preserve">decision to </w:t>
      </w:r>
      <w:r w:rsidR="00500782">
        <w:rPr>
          <w:rFonts w:asciiTheme="majorHAnsi" w:hAnsiTheme="majorHAnsi"/>
          <w:lang w:val="en-US"/>
        </w:rPr>
        <w:t>discontinue</w:t>
      </w:r>
      <w:r>
        <w:rPr>
          <w:rFonts w:asciiTheme="majorHAnsi" w:hAnsiTheme="majorHAnsi"/>
          <w:lang w:val="en-US"/>
        </w:rPr>
        <w:t xml:space="preserve"> a RA is not just determined by the magnitude of losses incurred. </w:t>
      </w:r>
      <w:r w:rsidR="00500782">
        <w:rPr>
          <w:rFonts w:asciiTheme="majorHAnsi" w:hAnsiTheme="majorHAnsi"/>
          <w:lang w:val="en-US"/>
        </w:rPr>
        <w:t>Rather, i</w:t>
      </w:r>
      <w:r w:rsidR="0006102C">
        <w:rPr>
          <w:rFonts w:asciiTheme="majorHAnsi" w:hAnsiTheme="majorHAnsi"/>
          <w:lang w:val="en-US"/>
        </w:rPr>
        <w:t>t is a</w:t>
      </w:r>
      <w:r>
        <w:rPr>
          <w:rFonts w:asciiTheme="majorHAnsi" w:hAnsiTheme="majorHAnsi"/>
          <w:lang w:val="en-US"/>
        </w:rPr>
        <w:t xml:space="preserve">lso affected by the individual’s longer-term performance and by cognitive biases associated with changes in wealth around the break-even point. This means that individuals </w:t>
      </w:r>
      <w:r w:rsidR="00500782">
        <w:rPr>
          <w:rFonts w:asciiTheme="majorHAnsi" w:hAnsiTheme="majorHAnsi"/>
          <w:lang w:val="en-US"/>
        </w:rPr>
        <w:t>can</w:t>
      </w:r>
      <w:r>
        <w:rPr>
          <w:rFonts w:asciiTheme="majorHAnsi" w:hAnsiTheme="majorHAnsi"/>
          <w:lang w:val="en-US"/>
        </w:rPr>
        <w:t xml:space="preserve"> stop as soon as they fall below the break-even point (i.e. after only very small losses). As a result, the evolutionary processes proposed in the AMH could foreseeably occur far more quickly than </w:t>
      </w:r>
      <w:r w:rsidR="003D0801">
        <w:rPr>
          <w:rFonts w:asciiTheme="majorHAnsi" w:hAnsiTheme="majorHAnsi"/>
          <w:lang w:val="en-US"/>
        </w:rPr>
        <w:t xml:space="preserve">previously </w:t>
      </w:r>
      <w:r>
        <w:rPr>
          <w:rFonts w:asciiTheme="majorHAnsi" w:hAnsiTheme="majorHAnsi"/>
          <w:lang w:val="en-US"/>
        </w:rPr>
        <w:t xml:space="preserve">suggested, enabling </w:t>
      </w:r>
      <w:r w:rsidR="00FB6968">
        <w:rPr>
          <w:rFonts w:asciiTheme="majorHAnsi" w:hAnsiTheme="majorHAnsi"/>
          <w:lang w:val="en-US"/>
        </w:rPr>
        <w:t>r</w:t>
      </w:r>
      <w:r>
        <w:rPr>
          <w:rFonts w:asciiTheme="majorHAnsi" w:hAnsiTheme="majorHAnsi"/>
          <w:lang w:val="en-US"/>
        </w:rPr>
        <w:t>apid changes in market efficiency</w:t>
      </w:r>
      <w:r w:rsidR="00EC3BCC">
        <w:rPr>
          <w:rFonts w:asciiTheme="majorHAnsi" w:hAnsiTheme="majorHAnsi"/>
          <w:lang w:val="en-US"/>
        </w:rPr>
        <w:t xml:space="preserve"> and improved resource allocation.</w:t>
      </w:r>
      <w:r w:rsidR="00340C19" w:rsidRPr="00275768">
        <w:rPr>
          <w:rFonts w:asciiTheme="majorHAnsi" w:hAnsiTheme="majorHAnsi"/>
          <w:vertAlign w:val="superscript"/>
          <w:lang w:val="en-US"/>
        </w:rPr>
        <w:t>(66)</w:t>
      </w:r>
    </w:p>
    <w:p w14:paraId="09869BB7" w14:textId="7B4FAAAB" w:rsidR="003A0A9F" w:rsidRPr="003A0A9F" w:rsidRDefault="003A0A9F">
      <w:pPr>
        <w:spacing w:after="0" w:line="480" w:lineRule="auto"/>
        <w:ind w:firstLine="720"/>
        <w:rPr>
          <w:rFonts w:asciiTheme="majorHAnsi" w:hAnsiTheme="majorHAnsi"/>
          <w:lang w:val="en-US"/>
        </w:rPr>
      </w:pPr>
      <w:r>
        <w:rPr>
          <w:rFonts w:asciiTheme="majorHAnsi" w:hAnsiTheme="majorHAnsi"/>
          <w:lang w:val="en-US"/>
        </w:rPr>
        <w:t>While there has been a considerable amount of research investigating the decision to take risks (versus choosing a non-risky alternative) or how risk information is communicated, very little research has investigated the factors that influence the decision to stop engaging in a risk-taking activity. This topic is particularly relevant when developing strategies and regulations for dealing with problem gamblers, who</w:t>
      </w:r>
      <w:r w:rsidR="00D6302F">
        <w:rPr>
          <w:rFonts w:asciiTheme="majorHAnsi" w:hAnsiTheme="majorHAnsi"/>
          <w:lang w:val="en-US"/>
        </w:rPr>
        <w:t>se</w:t>
      </w:r>
      <w:r>
        <w:rPr>
          <w:rFonts w:asciiTheme="majorHAnsi" w:hAnsiTheme="majorHAnsi"/>
          <w:lang w:val="en-US"/>
        </w:rPr>
        <w:t xml:space="preserve"> difficulty </w:t>
      </w:r>
      <w:r w:rsidR="00D6302F">
        <w:rPr>
          <w:rFonts w:asciiTheme="majorHAnsi" w:hAnsiTheme="majorHAnsi"/>
          <w:lang w:val="en-US"/>
        </w:rPr>
        <w:t xml:space="preserve">in </w:t>
      </w:r>
      <w:r>
        <w:rPr>
          <w:rFonts w:asciiTheme="majorHAnsi" w:hAnsiTheme="majorHAnsi"/>
          <w:lang w:val="en-US"/>
        </w:rPr>
        <w:t xml:space="preserve">stopping gambling </w:t>
      </w:r>
      <w:r w:rsidR="00D6302F">
        <w:rPr>
          <w:rFonts w:asciiTheme="majorHAnsi" w:hAnsiTheme="majorHAnsi"/>
          <w:lang w:val="en-US"/>
        </w:rPr>
        <w:t xml:space="preserve">activity </w:t>
      </w:r>
      <w:r>
        <w:rPr>
          <w:rFonts w:asciiTheme="majorHAnsi" w:hAnsiTheme="majorHAnsi"/>
          <w:lang w:val="en-US"/>
        </w:rPr>
        <w:t xml:space="preserve">has detrimental effects on themselves and </w:t>
      </w:r>
      <w:r w:rsidR="00D6302F">
        <w:rPr>
          <w:rFonts w:asciiTheme="majorHAnsi" w:hAnsiTheme="majorHAnsi"/>
          <w:lang w:val="en-US"/>
        </w:rPr>
        <w:t xml:space="preserve">the </w:t>
      </w:r>
      <w:r>
        <w:rPr>
          <w:rFonts w:asciiTheme="majorHAnsi" w:hAnsiTheme="majorHAnsi"/>
          <w:lang w:val="en-US"/>
        </w:rPr>
        <w:t>people around them</w:t>
      </w:r>
      <w:r w:rsidR="00D6302F" w:rsidRPr="008803C5">
        <w:rPr>
          <w:rFonts w:asciiTheme="majorHAnsi" w:hAnsiTheme="majorHAnsi"/>
          <w:lang w:val="en-US"/>
        </w:rPr>
        <w:t xml:space="preserve">. </w:t>
      </w:r>
      <w:r w:rsidR="00485D32" w:rsidRPr="008803C5">
        <w:rPr>
          <w:rFonts w:asciiTheme="majorHAnsi" w:hAnsiTheme="majorHAnsi"/>
          <w:lang w:val="en-US"/>
        </w:rPr>
        <w:t>It is also relevant to the analysis and prevention of</w:t>
      </w:r>
      <w:r w:rsidRPr="00D3702F">
        <w:rPr>
          <w:rFonts w:asciiTheme="majorHAnsi" w:hAnsiTheme="majorHAnsi"/>
          <w:lang w:val="en-US"/>
        </w:rPr>
        <w:t xml:space="preserve"> rogue traders </w:t>
      </w:r>
      <w:r w:rsidR="00676727">
        <w:rPr>
          <w:rFonts w:asciiTheme="majorHAnsi" w:hAnsiTheme="majorHAnsi"/>
          <w:lang w:val="en-US"/>
        </w:rPr>
        <w:t xml:space="preserve">in financial markets </w:t>
      </w:r>
      <w:r w:rsidRPr="008803C5">
        <w:rPr>
          <w:rFonts w:asciiTheme="majorHAnsi" w:hAnsiTheme="majorHAnsi"/>
          <w:lang w:val="en-US"/>
        </w:rPr>
        <w:t>whose behavior can affect entire businesses</w:t>
      </w:r>
      <w:r w:rsidR="008A085A" w:rsidRPr="00D3702F">
        <w:rPr>
          <w:rFonts w:asciiTheme="majorHAnsi" w:hAnsiTheme="majorHAnsi"/>
          <w:lang w:val="en-US"/>
        </w:rPr>
        <w:t xml:space="preserve"> and potentially trigger economic events</w:t>
      </w:r>
      <w:r w:rsidRPr="00D3702F">
        <w:rPr>
          <w:rFonts w:asciiTheme="majorHAnsi" w:hAnsiTheme="majorHAnsi"/>
          <w:lang w:val="en-US"/>
        </w:rPr>
        <w:t>.</w:t>
      </w:r>
      <w:r w:rsidR="008A085A" w:rsidRPr="00D3702F">
        <w:rPr>
          <w:rFonts w:asciiTheme="majorHAnsi" w:hAnsiTheme="majorHAnsi"/>
          <w:lang w:val="en-US"/>
        </w:rPr>
        <w:t xml:space="preserve"> </w:t>
      </w:r>
      <w:r w:rsidR="00485D32" w:rsidRPr="00D3702F">
        <w:rPr>
          <w:rFonts w:asciiTheme="majorHAnsi" w:hAnsiTheme="majorHAnsi"/>
          <w:lang w:val="en-US"/>
        </w:rPr>
        <w:t xml:space="preserve">Furthermore, the results </w:t>
      </w:r>
      <w:r w:rsidR="00676727">
        <w:rPr>
          <w:rFonts w:asciiTheme="majorHAnsi" w:hAnsiTheme="majorHAnsi"/>
          <w:lang w:val="en-US"/>
        </w:rPr>
        <w:t xml:space="preserve">may </w:t>
      </w:r>
      <w:r w:rsidR="00485D32" w:rsidRPr="008803C5">
        <w:rPr>
          <w:rFonts w:asciiTheme="majorHAnsi" w:hAnsiTheme="majorHAnsi"/>
          <w:lang w:val="en-US"/>
        </w:rPr>
        <w:t xml:space="preserve">have important implications for all those engaged in </w:t>
      </w:r>
      <w:r w:rsidR="00676727">
        <w:rPr>
          <w:rFonts w:asciiTheme="majorHAnsi" w:hAnsiTheme="majorHAnsi"/>
          <w:lang w:val="en-US"/>
        </w:rPr>
        <w:t>any form of risk taking</w:t>
      </w:r>
      <w:r w:rsidR="00485D32" w:rsidRPr="008803C5">
        <w:rPr>
          <w:rFonts w:asciiTheme="majorHAnsi" w:hAnsiTheme="majorHAnsi"/>
          <w:lang w:val="en-US"/>
        </w:rPr>
        <w:t xml:space="preserve">, </w:t>
      </w:r>
      <w:r w:rsidR="001E5D87">
        <w:rPr>
          <w:rFonts w:asciiTheme="majorHAnsi" w:hAnsiTheme="majorHAnsi"/>
          <w:lang w:val="en-US"/>
        </w:rPr>
        <w:t>including for example</w:t>
      </w:r>
      <w:r w:rsidR="00485D32" w:rsidRPr="008803C5">
        <w:rPr>
          <w:rFonts w:asciiTheme="majorHAnsi" w:hAnsiTheme="majorHAnsi"/>
          <w:lang w:val="en-US"/>
        </w:rPr>
        <w:t xml:space="preserve"> </w:t>
      </w:r>
      <w:r w:rsidR="00676727">
        <w:rPr>
          <w:rFonts w:asciiTheme="majorHAnsi" w:hAnsiTheme="majorHAnsi"/>
          <w:lang w:val="en-US"/>
        </w:rPr>
        <w:t xml:space="preserve">smoking, unprotected sex, alcohol use, illegal substance abuse, criminal activity </w:t>
      </w:r>
      <w:r w:rsidR="001E5D87">
        <w:rPr>
          <w:rFonts w:asciiTheme="majorHAnsi" w:hAnsiTheme="majorHAnsi"/>
          <w:lang w:val="en-US"/>
        </w:rPr>
        <w:t>and</w:t>
      </w:r>
      <w:r w:rsidR="00676727">
        <w:rPr>
          <w:rFonts w:asciiTheme="majorHAnsi" w:hAnsiTheme="majorHAnsi"/>
          <w:lang w:val="en-US"/>
        </w:rPr>
        <w:t xml:space="preserve"> dangerous driving. The manner in which individuals </w:t>
      </w:r>
      <w:r w:rsidR="003C5267">
        <w:rPr>
          <w:rFonts w:asciiTheme="majorHAnsi" w:hAnsiTheme="majorHAnsi"/>
          <w:lang w:val="en-US"/>
        </w:rPr>
        <w:t xml:space="preserve">might </w:t>
      </w:r>
      <w:r w:rsidR="00FF19E7">
        <w:rPr>
          <w:rFonts w:asciiTheme="majorHAnsi" w:hAnsiTheme="majorHAnsi"/>
          <w:lang w:val="en-US"/>
        </w:rPr>
        <w:t xml:space="preserve">define and </w:t>
      </w:r>
      <w:r w:rsidR="003C5267">
        <w:rPr>
          <w:rFonts w:asciiTheme="majorHAnsi" w:hAnsiTheme="majorHAnsi"/>
          <w:lang w:val="en-US"/>
        </w:rPr>
        <w:t xml:space="preserve">view break-even points </w:t>
      </w:r>
      <w:r w:rsidR="00676727">
        <w:rPr>
          <w:rFonts w:asciiTheme="majorHAnsi" w:hAnsiTheme="majorHAnsi"/>
          <w:lang w:val="en-US"/>
        </w:rPr>
        <w:t>in these non-</w:t>
      </w:r>
      <w:r w:rsidR="001E5D87">
        <w:rPr>
          <w:rFonts w:asciiTheme="majorHAnsi" w:hAnsiTheme="majorHAnsi"/>
          <w:lang w:val="en-US"/>
        </w:rPr>
        <w:t xml:space="preserve">financially focused risky activities is clearly </w:t>
      </w:r>
      <w:r w:rsidR="003C5267">
        <w:rPr>
          <w:rFonts w:asciiTheme="majorHAnsi" w:hAnsiTheme="majorHAnsi"/>
          <w:lang w:val="en-US"/>
        </w:rPr>
        <w:t>a</w:t>
      </w:r>
      <w:r w:rsidR="001E5D87">
        <w:rPr>
          <w:rFonts w:asciiTheme="majorHAnsi" w:hAnsiTheme="majorHAnsi"/>
          <w:lang w:val="en-US"/>
        </w:rPr>
        <w:t xml:space="preserve"> complex area for future research. However, it is clear from the results presented here that</w:t>
      </w:r>
      <w:r w:rsidR="00CB1C98" w:rsidRPr="008803C5">
        <w:rPr>
          <w:rFonts w:asciiTheme="majorHAnsi" w:hAnsiTheme="majorHAnsi"/>
          <w:lang w:val="en-US"/>
        </w:rPr>
        <w:t xml:space="preserve"> those interested in tackling these societal issues </w:t>
      </w:r>
      <w:r w:rsidR="00FF19E7">
        <w:rPr>
          <w:rFonts w:asciiTheme="majorHAnsi" w:hAnsiTheme="majorHAnsi"/>
          <w:lang w:val="en-US"/>
        </w:rPr>
        <w:t xml:space="preserve">may </w:t>
      </w:r>
      <w:r w:rsidR="00CB1C98" w:rsidRPr="008803C5">
        <w:rPr>
          <w:rFonts w:asciiTheme="majorHAnsi" w:hAnsiTheme="majorHAnsi"/>
          <w:lang w:val="en-US"/>
        </w:rPr>
        <w:t xml:space="preserve">need to consider the </w:t>
      </w:r>
      <w:r w:rsidR="00CB1C98" w:rsidRPr="00D3702F">
        <w:rPr>
          <w:rFonts w:asciiTheme="majorHAnsi" w:hAnsiTheme="majorHAnsi"/>
          <w:lang w:val="en-US"/>
        </w:rPr>
        <w:t>important role</w:t>
      </w:r>
      <w:r w:rsidR="001E5D87">
        <w:rPr>
          <w:rFonts w:asciiTheme="majorHAnsi" w:hAnsiTheme="majorHAnsi"/>
          <w:lang w:val="en-US"/>
        </w:rPr>
        <w:t>s</w:t>
      </w:r>
      <w:r w:rsidR="00CB1C98" w:rsidRPr="008803C5">
        <w:rPr>
          <w:rFonts w:asciiTheme="majorHAnsi" w:hAnsiTheme="majorHAnsi"/>
          <w:lang w:val="en-US"/>
        </w:rPr>
        <w:t xml:space="preserve"> that </w:t>
      </w:r>
      <w:r w:rsidR="001E5D87">
        <w:rPr>
          <w:rFonts w:asciiTheme="majorHAnsi" w:hAnsiTheme="majorHAnsi"/>
          <w:lang w:val="en-US"/>
        </w:rPr>
        <w:t xml:space="preserve">both </w:t>
      </w:r>
      <w:r w:rsidR="00CB1C98" w:rsidRPr="008803C5">
        <w:rPr>
          <w:rFonts w:asciiTheme="majorHAnsi" w:hAnsiTheme="majorHAnsi"/>
          <w:lang w:val="en-US"/>
        </w:rPr>
        <w:t>global</w:t>
      </w:r>
      <w:r w:rsidR="00CB1C98" w:rsidRPr="00D3702F">
        <w:rPr>
          <w:rFonts w:asciiTheme="majorHAnsi" w:hAnsiTheme="majorHAnsi"/>
          <w:lang w:val="en-US"/>
        </w:rPr>
        <w:t xml:space="preserve"> </w:t>
      </w:r>
      <w:r w:rsidR="001E5D87">
        <w:rPr>
          <w:rFonts w:asciiTheme="majorHAnsi" w:hAnsiTheme="majorHAnsi"/>
          <w:lang w:val="en-US"/>
        </w:rPr>
        <w:t xml:space="preserve">and more short-term </w:t>
      </w:r>
      <w:r w:rsidR="00CB1C98" w:rsidRPr="008803C5">
        <w:rPr>
          <w:rFonts w:asciiTheme="majorHAnsi" w:hAnsiTheme="majorHAnsi"/>
          <w:lang w:val="en-US"/>
        </w:rPr>
        <w:t>break-even points play in the</w:t>
      </w:r>
      <w:r w:rsidR="00CB1C98" w:rsidRPr="00D3702F">
        <w:rPr>
          <w:rFonts w:asciiTheme="majorHAnsi" w:hAnsiTheme="majorHAnsi"/>
          <w:lang w:val="en-US"/>
        </w:rPr>
        <w:t xml:space="preserve"> decision</w:t>
      </w:r>
      <w:r w:rsidR="0048014F" w:rsidRPr="00D3702F">
        <w:rPr>
          <w:rFonts w:asciiTheme="majorHAnsi" w:hAnsiTheme="majorHAnsi"/>
          <w:lang w:val="en-US"/>
        </w:rPr>
        <w:t>s</w:t>
      </w:r>
      <w:r w:rsidR="001E5D87">
        <w:rPr>
          <w:rFonts w:asciiTheme="majorHAnsi" w:hAnsiTheme="majorHAnsi"/>
          <w:lang w:val="en-US"/>
        </w:rPr>
        <w:t xml:space="preserve"> to cease these risky activities</w:t>
      </w:r>
      <w:r w:rsidR="0048014F" w:rsidRPr="008803C5">
        <w:rPr>
          <w:rFonts w:asciiTheme="majorHAnsi" w:hAnsiTheme="majorHAnsi"/>
          <w:lang w:val="en-US"/>
        </w:rPr>
        <w:t>.</w:t>
      </w:r>
    </w:p>
    <w:p w14:paraId="5E128DC7" w14:textId="2D39441B" w:rsidR="00327615" w:rsidRDefault="00327615">
      <w:pPr>
        <w:rPr>
          <w:rFonts w:asciiTheme="majorHAnsi" w:eastAsia="Calibri" w:hAnsiTheme="majorHAnsi" w:cs="Cordia New"/>
          <w:lang w:bidi="th-TH"/>
        </w:rPr>
      </w:pPr>
      <w:r>
        <w:rPr>
          <w:rFonts w:asciiTheme="majorHAnsi" w:eastAsia="Calibri" w:hAnsiTheme="majorHAnsi" w:cs="Cordia New"/>
          <w:lang w:bidi="th-TH"/>
        </w:rPr>
        <w:br w:type="page"/>
      </w:r>
    </w:p>
    <w:p w14:paraId="2786027D" w14:textId="10E37443" w:rsidR="00BD7704" w:rsidRPr="0016286A" w:rsidRDefault="009F24BA" w:rsidP="00BD7704">
      <w:pPr>
        <w:rPr>
          <w:rFonts w:asciiTheme="majorHAnsi" w:hAnsiTheme="majorHAnsi"/>
          <w:b/>
        </w:rPr>
      </w:pPr>
      <w:r>
        <w:rPr>
          <w:rFonts w:asciiTheme="majorHAnsi" w:hAnsiTheme="majorHAnsi"/>
          <w:b/>
        </w:rPr>
        <w:t>REFERENCES</w:t>
      </w:r>
    </w:p>
    <w:p w14:paraId="50CF351F" w14:textId="7777777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rPr>
        <w:t xml:space="preserve">American Psychiatric Association. </w:t>
      </w:r>
      <w:r w:rsidRPr="001410E6">
        <w:rPr>
          <w:rFonts w:asciiTheme="majorHAnsi" w:hAnsiTheme="majorHAnsi"/>
          <w:i/>
        </w:rPr>
        <w:t>The Diagnostic and Statistical Manual</w:t>
      </w:r>
      <w:r w:rsidRPr="007C7CD8">
        <w:rPr>
          <w:rFonts w:asciiTheme="majorHAnsi" w:hAnsiTheme="majorHAnsi"/>
        </w:rPr>
        <w:t>. 5th ed. Arlington: American Psychiatric Publishing. 2013.</w:t>
      </w:r>
    </w:p>
    <w:p w14:paraId="3835C1FA" w14:textId="60C42103"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Breen</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B</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E23F70">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Zuckerman</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 </w:t>
      </w:r>
      <w:r w:rsidR="00C40A4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Chasing</w:t>
      </w:r>
      <w:r w:rsidR="00C40A4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in gambling behavior: Personality and cognitive determinants. </w:t>
      </w:r>
      <w:r w:rsidRPr="001410E6">
        <w:rPr>
          <w:rFonts w:asciiTheme="majorHAnsi" w:hAnsiTheme="majorHAnsi" w:cs="Arial"/>
          <w:i/>
          <w:color w:val="222222"/>
          <w:shd w:val="clear" w:color="auto" w:fill="FFFFFF"/>
        </w:rPr>
        <w:t xml:space="preserve">Personality and </w:t>
      </w:r>
      <w:r w:rsidR="00E23F70">
        <w:rPr>
          <w:rFonts w:asciiTheme="majorHAnsi" w:hAnsiTheme="majorHAnsi" w:cs="Arial"/>
          <w:i/>
          <w:color w:val="222222"/>
          <w:shd w:val="clear" w:color="auto" w:fill="FFFFFF"/>
        </w:rPr>
        <w:t>I</w:t>
      </w:r>
      <w:r w:rsidR="00E23F70" w:rsidRPr="001410E6">
        <w:rPr>
          <w:rFonts w:asciiTheme="majorHAnsi" w:hAnsiTheme="majorHAnsi" w:cs="Arial"/>
          <w:i/>
          <w:color w:val="222222"/>
          <w:shd w:val="clear" w:color="auto" w:fill="FFFFFF"/>
        </w:rPr>
        <w:t xml:space="preserve">ndividual </w:t>
      </w:r>
      <w:r w:rsidR="00E23F70">
        <w:rPr>
          <w:rFonts w:asciiTheme="majorHAnsi" w:hAnsiTheme="majorHAnsi" w:cs="Arial"/>
          <w:i/>
          <w:color w:val="222222"/>
          <w:shd w:val="clear" w:color="auto" w:fill="FFFFFF"/>
        </w:rPr>
        <w:t>D</w:t>
      </w:r>
      <w:r w:rsidR="00E23F70" w:rsidRPr="001410E6">
        <w:rPr>
          <w:rFonts w:asciiTheme="majorHAnsi" w:hAnsiTheme="majorHAnsi" w:cs="Arial"/>
          <w:i/>
          <w:color w:val="222222"/>
          <w:shd w:val="clear" w:color="auto" w:fill="FFFFFF"/>
        </w:rPr>
        <w:t>ifferences</w:t>
      </w:r>
      <w:r w:rsidRPr="007C7CD8">
        <w:rPr>
          <w:rFonts w:asciiTheme="majorHAnsi" w:hAnsiTheme="majorHAnsi" w:cs="Arial"/>
          <w:color w:val="222222"/>
          <w:shd w:val="clear" w:color="auto" w:fill="FFFFFF"/>
        </w:rPr>
        <w:t>. 1999</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Dec 31</w:t>
      </w:r>
      <w:r w:rsidR="00C40A4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27(6</w:t>
      </w:r>
      <w:r w:rsidR="00E23F70" w:rsidRPr="007C7CD8">
        <w:rPr>
          <w:rFonts w:asciiTheme="majorHAnsi" w:hAnsiTheme="majorHAnsi" w:cs="Arial"/>
          <w:color w:val="222222"/>
          <w:shd w:val="clear" w:color="auto" w:fill="FFFFFF"/>
        </w:rPr>
        <w:t>)</w:t>
      </w:r>
      <w:r w:rsidR="00E23F70">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1097-111. </w:t>
      </w:r>
    </w:p>
    <w:p w14:paraId="015F53E3" w14:textId="07805928"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Campbell-Meiklejohn</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K</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Woolrich</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W</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Passingham</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E</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E23F70">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Rogers</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D. Knowing when to stop: the brain mechanisms of chasing losses. </w:t>
      </w:r>
      <w:r w:rsidRPr="001410E6">
        <w:rPr>
          <w:rFonts w:asciiTheme="majorHAnsi" w:hAnsiTheme="majorHAnsi" w:cs="Arial"/>
          <w:i/>
          <w:color w:val="222222"/>
          <w:shd w:val="clear" w:color="auto" w:fill="FFFFFF"/>
        </w:rPr>
        <w:t>Biological psychiatry</w:t>
      </w:r>
      <w:r w:rsidRPr="007C7CD8">
        <w:rPr>
          <w:rFonts w:asciiTheme="majorHAnsi" w:hAnsiTheme="majorHAnsi" w:cs="Arial"/>
          <w:color w:val="222222"/>
          <w:shd w:val="clear" w:color="auto" w:fill="FFFFFF"/>
        </w:rPr>
        <w:t>. 2008</w:t>
      </w:r>
      <w:r w:rsidR="00E23F70">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Feb 1</w:t>
      </w:r>
      <w:r w:rsidR="00C40A4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63(3</w:t>
      </w:r>
      <w:r w:rsidR="00E23F70" w:rsidRPr="007C7CD8">
        <w:rPr>
          <w:rFonts w:asciiTheme="majorHAnsi" w:hAnsiTheme="majorHAnsi" w:cs="Arial"/>
          <w:color w:val="222222"/>
          <w:shd w:val="clear" w:color="auto" w:fill="FFFFFF"/>
        </w:rPr>
        <w:t>)</w:t>
      </w:r>
      <w:r w:rsidR="00E23F70">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293-300.</w:t>
      </w:r>
    </w:p>
    <w:p w14:paraId="4121EA8E" w14:textId="3D536982"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Dickerson</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 Internal and external determinants of persistent gambling: Problems in generalising from one form of gambling to another. </w:t>
      </w:r>
      <w:r w:rsidRPr="001410E6">
        <w:rPr>
          <w:rFonts w:asciiTheme="majorHAnsi" w:hAnsiTheme="majorHAnsi" w:cs="Arial"/>
          <w:i/>
          <w:color w:val="222222"/>
          <w:shd w:val="clear" w:color="auto" w:fill="FFFFFF"/>
        </w:rPr>
        <w:t>Journal of Gambling Studies</w:t>
      </w:r>
      <w:r w:rsidRPr="007C7CD8">
        <w:rPr>
          <w:rFonts w:asciiTheme="majorHAnsi" w:hAnsiTheme="majorHAnsi" w:cs="Arial"/>
          <w:color w:val="222222"/>
          <w:shd w:val="clear" w:color="auto" w:fill="FFFFFF"/>
        </w:rPr>
        <w:t>. 1993</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Sep 1</w:t>
      </w:r>
      <w:r w:rsidR="00C40A4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9(3)</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225-45.</w:t>
      </w:r>
      <w:r w:rsidRPr="007C7CD8">
        <w:rPr>
          <w:rFonts w:asciiTheme="majorHAnsi" w:hAnsiTheme="majorHAnsi"/>
        </w:rPr>
        <w:t xml:space="preserve"> </w:t>
      </w:r>
    </w:p>
    <w:p w14:paraId="4D30212E" w14:textId="5D1A59FE"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Lesieur</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H</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R. The compulsive gambler’s spiral of options and involvement. </w:t>
      </w:r>
      <w:r w:rsidRPr="001410E6">
        <w:rPr>
          <w:rFonts w:asciiTheme="majorHAnsi" w:hAnsiTheme="majorHAnsi" w:cs="Arial"/>
          <w:i/>
          <w:color w:val="222222"/>
          <w:shd w:val="clear" w:color="auto" w:fill="FFFFFF"/>
        </w:rPr>
        <w:t>Psychiatry</w:t>
      </w:r>
      <w:r w:rsidRPr="007C7CD8">
        <w:rPr>
          <w:rFonts w:asciiTheme="majorHAnsi" w:hAnsiTheme="majorHAnsi" w:cs="Arial"/>
          <w:color w:val="222222"/>
          <w:shd w:val="clear" w:color="auto" w:fill="FFFFFF"/>
        </w:rPr>
        <w:t>. 1979</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Feb 1</w:t>
      </w:r>
      <w:r w:rsidR="00C40A4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42(1)</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79-87.</w:t>
      </w:r>
      <w:r w:rsidRPr="007C7CD8">
        <w:rPr>
          <w:rFonts w:asciiTheme="majorHAnsi" w:hAnsiTheme="majorHAnsi"/>
        </w:rPr>
        <w:t xml:space="preserve"> </w:t>
      </w:r>
    </w:p>
    <w:p w14:paraId="4A75AD9D" w14:textId="6EE0CA84"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Toce</w:t>
      </w:r>
      <w:r w:rsidRPr="007C7CD8">
        <w:rPr>
          <w:rFonts w:asciiTheme="majorHAnsi" w:hAnsiTheme="majorHAnsi" w:cs="Cambria Math"/>
          <w:color w:val="222222"/>
          <w:shd w:val="clear" w:color="auto" w:fill="FFFFFF"/>
        </w:rPr>
        <w:t>‐</w:t>
      </w:r>
      <w:r w:rsidRPr="007C7CD8">
        <w:rPr>
          <w:rFonts w:asciiTheme="majorHAnsi" w:hAnsiTheme="majorHAnsi" w:cs="Arial"/>
          <w:color w:val="222222"/>
          <w:shd w:val="clear" w:color="auto" w:fill="FFFFFF"/>
        </w:rPr>
        <w:t>Gerstein</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 Gerstein</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R</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1410E6">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Volberg</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A. A hierarchy of gambling disorders in the community. </w:t>
      </w:r>
      <w:r w:rsidRPr="001410E6">
        <w:rPr>
          <w:rFonts w:asciiTheme="majorHAnsi" w:hAnsiTheme="majorHAnsi" w:cs="Arial"/>
          <w:i/>
          <w:color w:val="222222"/>
          <w:shd w:val="clear" w:color="auto" w:fill="FFFFFF"/>
        </w:rPr>
        <w:t>Addiction</w:t>
      </w:r>
      <w:r w:rsidRPr="007C7CD8">
        <w:rPr>
          <w:rFonts w:asciiTheme="majorHAnsi" w:hAnsiTheme="majorHAnsi" w:cs="Arial"/>
          <w:color w:val="222222"/>
          <w:shd w:val="clear" w:color="auto" w:fill="FFFFFF"/>
        </w:rPr>
        <w:t>. 2003</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Dec 1</w:t>
      </w:r>
      <w:r w:rsidR="00C40A4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98(12)</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1661-72.</w:t>
      </w:r>
    </w:p>
    <w:p w14:paraId="1F9239F4" w14:textId="56A578A4"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Kahneman</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1410E6">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Tversky</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 Prospect theory: An analysis of decision under risk. </w:t>
      </w:r>
      <w:r w:rsidRPr="001410E6">
        <w:rPr>
          <w:rFonts w:asciiTheme="majorHAnsi" w:hAnsiTheme="majorHAnsi" w:cs="Arial"/>
          <w:i/>
          <w:color w:val="222222"/>
          <w:shd w:val="clear" w:color="auto" w:fill="FFFFFF"/>
        </w:rPr>
        <w:t>Econometrica</w:t>
      </w:r>
      <w:r w:rsidRPr="007C7CD8">
        <w:rPr>
          <w:rFonts w:asciiTheme="majorHAnsi" w:hAnsiTheme="majorHAnsi" w:cs="Arial"/>
          <w:color w:val="222222"/>
          <w:shd w:val="clear" w:color="auto" w:fill="FFFFFF"/>
        </w:rPr>
        <w:t xml:space="preserve">: </w:t>
      </w:r>
      <w:r w:rsidRPr="001410E6">
        <w:rPr>
          <w:rFonts w:asciiTheme="majorHAnsi" w:hAnsiTheme="majorHAnsi" w:cs="Arial"/>
          <w:i/>
          <w:color w:val="222222"/>
          <w:shd w:val="clear" w:color="auto" w:fill="FFFFFF"/>
        </w:rPr>
        <w:t xml:space="preserve">Journal of the </w:t>
      </w:r>
      <w:r w:rsidR="001410E6" w:rsidRPr="001410E6">
        <w:rPr>
          <w:rFonts w:asciiTheme="majorHAnsi" w:hAnsiTheme="majorHAnsi" w:cs="Arial"/>
          <w:i/>
          <w:color w:val="222222"/>
          <w:shd w:val="clear" w:color="auto" w:fill="FFFFFF"/>
        </w:rPr>
        <w:t>E</w:t>
      </w:r>
      <w:r w:rsidRPr="001410E6">
        <w:rPr>
          <w:rFonts w:asciiTheme="majorHAnsi" w:hAnsiTheme="majorHAnsi" w:cs="Arial"/>
          <w:i/>
          <w:color w:val="222222"/>
          <w:shd w:val="clear" w:color="auto" w:fill="FFFFFF"/>
        </w:rPr>
        <w:t xml:space="preserve">conometric </w:t>
      </w:r>
      <w:r w:rsidR="001410E6" w:rsidRPr="001410E6">
        <w:rPr>
          <w:rFonts w:asciiTheme="majorHAnsi" w:hAnsiTheme="majorHAnsi" w:cs="Arial"/>
          <w:i/>
          <w:color w:val="222222"/>
          <w:shd w:val="clear" w:color="auto" w:fill="FFFFFF"/>
        </w:rPr>
        <w:t>S</w:t>
      </w:r>
      <w:r w:rsidRPr="001410E6">
        <w:rPr>
          <w:rFonts w:asciiTheme="majorHAnsi" w:hAnsiTheme="majorHAnsi" w:cs="Arial"/>
          <w:i/>
          <w:color w:val="222222"/>
          <w:shd w:val="clear" w:color="auto" w:fill="FFFFFF"/>
        </w:rPr>
        <w:t>ociety</w:t>
      </w:r>
      <w:r w:rsidRPr="007C7CD8">
        <w:rPr>
          <w:rFonts w:asciiTheme="majorHAnsi" w:hAnsiTheme="majorHAnsi" w:cs="Arial"/>
          <w:color w:val="222222"/>
          <w:shd w:val="clear" w:color="auto" w:fill="FFFFFF"/>
        </w:rPr>
        <w:t>. 1979</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Mar 1</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263-91.</w:t>
      </w:r>
      <w:r w:rsidRPr="007C7CD8">
        <w:rPr>
          <w:rFonts w:asciiTheme="majorHAnsi" w:hAnsiTheme="majorHAnsi"/>
        </w:rPr>
        <w:t xml:space="preserve"> </w:t>
      </w:r>
    </w:p>
    <w:p w14:paraId="47C5F7EB" w14:textId="6ECA9226"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Tversky</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w:t>
      </w:r>
      <w:r w:rsidR="001410E6">
        <w:rPr>
          <w:rFonts w:asciiTheme="majorHAnsi" w:hAnsiTheme="majorHAnsi" w:cs="Arial"/>
          <w:color w:val="222222"/>
          <w:shd w:val="clear" w:color="auto" w:fill="FFFFFF"/>
        </w:rPr>
        <w:t xml:space="preserve"> &amp;</w:t>
      </w:r>
      <w:r w:rsidRPr="007C7CD8">
        <w:rPr>
          <w:rFonts w:asciiTheme="majorHAnsi" w:hAnsiTheme="majorHAnsi" w:cs="Arial"/>
          <w:color w:val="222222"/>
          <w:shd w:val="clear" w:color="auto" w:fill="FFFFFF"/>
        </w:rPr>
        <w:t xml:space="preserve"> Kahneman</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 The </w:t>
      </w:r>
      <w:r w:rsidR="001410E6">
        <w:rPr>
          <w:rFonts w:asciiTheme="majorHAnsi" w:hAnsiTheme="majorHAnsi" w:cs="Arial"/>
          <w:color w:val="222222"/>
          <w:shd w:val="clear" w:color="auto" w:fill="FFFFFF"/>
        </w:rPr>
        <w:t>f</w:t>
      </w:r>
      <w:r w:rsidRPr="007C7CD8">
        <w:rPr>
          <w:rFonts w:asciiTheme="majorHAnsi" w:hAnsiTheme="majorHAnsi" w:cs="Arial"/>
          <w:color w:val="222222"/>
          <w:shd w:val="clear" w:color="auto" w:fill="FFFFFF"/>
        </w:rPr>
        <w:t xml:space="preserve">raming of </w:t>
      </w:r>
      <w:r w:rsidR="001410E6">
        <w:rPr>
          <w:rFonts w:asciiTheme="majorHAnsi" w:hAnsiTheme="majorHAnsi" w:cs="Arial"/>
          <w:color w:val="222222"/>
          <w:shd w:val="clear" w:color="auto" w:fill="FFFFFF"/>
        </w:rPr>
        <w:t>d</w:t>
      </w:r>
      <w:r w:rsidRPr="007C7CD8">
        <w:rPr>
          <w:rFonts w:asciiTheme="majorHAnsi" w:hAnsiTheme="majorHAnsi" w:cs="Arial"/>
          <w:color w:val="222222"/>
          <w:shd w:val="clear" w:color="auto" w:fill="FFFFFF"/>
        </w:rPr>
        <w:t xml:space="preserve">ecisions and the </w:t>
      </w:r>
      <w:r w:rsidR="001410E6">
        <w:rPr>
          <w:rFonts w:asciiTheme="majorHAnsi" w:hAnsiTheme="majorHAnsi" w:cs="Arial"/>
          <w:color w:val="222222"/>
          <w:shd w:val="clear" w:color="auto" w:fill="FFFFFF"/>
        </w:rPr>
        <w:t>p</w:t>
      </w:r>
      <w:r w:rsidRPr="007C7CD8">
        <w:rPr>
          <w:rFonts w:asciiTheme="majorHAnsi" w:hAnsiTheme="majorHAnsi" w:cs="Arial"/>
          <w:color w:val="222222"/>
          <w:shd w:val="clear" w:color="auto" w:fill="FFFFFF"/>
        </w:rPr>
        <w:t xml:space="preserve">sychology of </w:t>
      </w:r>
      <w:r w:rsidR="001410E6">
        <w:rPr>
          <w:rFonts w:asciiTheme="majorHAnsi" w:hAnsiTheme="majorHAnsi" w:cs="Arial"/>
          <w:color w:val="222222"/>
          <w:shd w:val="clear" w:color="auto" w:fill="FFFFFF"/>
        </w:rPr>
        <w:t>c</w:t>
      </w:r>
      <w:r w:rsidRPr="007C7CD8">
        <w:rPr>
          <w:rFonts w:asciiTheme="majorHAnsi" w:hAnsiTheme="majorHAnsi" w:cs="Arial"/>
          <w:color w:val="222222"/>
          <w:shd w:val="clear" w:color="auto" w:fill="FFFFFF"/>
        </w:rPr>
        <w:t xml:space="preserve">hoice. </w:t>
      </w:r>
      <w:r w:rsidRPr="001410E6">
        <w:rPr>
          <w:rFonts w:asciiTheme="majorHAnsi" w:hAnsiTheme="majorHAnsi" w:cs="Arial"/>
          <w:i/>
          <w:color w:val="222222"/>
          <w:shd w:val="clear" w:color="auto" w:fill="FFFFFF"/>
        </w:rPr>
        <w:t>Science</w:t>
      </w:r>
      <w:r w:rsidRPr="007C7CD8">
        <w:rPr>
          <w:rFonts w:asciiTheme="majorHAnsi" w:hAnsiTheme="majorHAnsi" w:cs="Arial"/>
          <w:color w:val="222222"/>
          <w:shd w:val="clear" w:color="auto" w:fill="FFFFFF"/>
        </w:rPr>
        <w:t>. 1981</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Jan</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211</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30.</w:t>
      </w:r>
    </w:p>
    <w:p w14:paraId="10C4C7A5" w14:textId="0D32336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Tversky</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1410E6">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Kahneman</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 Advances in prospect theory: Cumulative representation of uncertainty. </w:t>
      </w:r>
      <w:r w:rsidRPr="001410E6">
        <w:rPr>
          <w:rFonts w:asciiTheme="majorHAnsi" w:hAnsiTheme="majorHAnsi" w:cs="Arial"/>
          <w:i/>
          <w:color w:val="222222"/>
          <w:shd w:val="clear" w:color="auto" w:fill="FFFFFF"/>
        </w:rPr>
        <w:t xml:space="preserve">Journal of Risk and </w:t>
      </w:r>
      <w:r w:rsidR="00AE1AB3" w:rsidRPr="001410E6">
        <w:rPr>
          <w:rFonts w:asciiTheme="majorHAnsi" w:hAnsiTheme="majorHAnsi" w:cs="Arial"/>
          <w:i/>
          <w:color w:val="222222"/>
          <w:shd w:val="clear" w:color="auto" w:fill="FFFFFF"/>
        </w:rPr>
        <w:t>U</w:t>
      </w:r>
      <w:r w:rsidRPr="001410E6">
        <w:rPr>
          <w:rFonts w:asciiTheme="majorHAnsi" w:hAnsiTheme="majorHAnsi" w:cs="Arial"/>
          <w:i/>
          <w:color w:val="222222"/>
          <w:shd w:val="clear" w:color="auto" w:fill="FFFFFF"/>
        </w:rPr>
        <w:t>ncertainty</w:t>
      </w:r>
      <w:r w:rsidRPr="007C7CD8">
        <w:rPr>
          <w:rFonts w:asciiTheme="majorHAnsi" w:hAnsiTheme="majorHAnsi" w:cs="Arial"/>
          <w:color w:val="222222"/>
          <w:shd w:val="clear" w:color="auto" w:fill="FFFFFF"/>
        </w:rPr>
        <w:t>. 1992</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Oct 1</w:t>
      </w:r>
      <w:r w:rsidR="00C40A4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5(4)</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297-323.</w:t>
      </w:r>
      <w:r w:rsidRPr="007C7CD8">
        <w:rPr>
          <w:rFonts w:asciiTheme="majorHAnsi" w:hAnsiTheme="majorHAnsi"/>
        </w:rPr>
        <w:t xml:space="preserve"> </w:t>
      </w:r>
    </w:p>
    <w:p w14:paraId="682BAD2D" w14:textId="3A53622D"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Thaler</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H</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1410E6">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Johnson</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E</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J. Gambling with the house money and trying to </w:t>
      </w:r>
      <w:r w:rsidR="00717900">
        <w:rPr>
          <w:rFonts w:asciiTheme="majorHAnsi" w:hAnsiTheme="majorHAnsi" w:cs="Arial"/>
          <w:color w:val="222222"/>
          <w:shd w:val="clear" w:color="auto" w:fill="FFFFFF"/>
        </w:rPr>
        <w:t>break-even</w:t>
      </w:r>
      <w:r w:rsidRPr="007C7CD8">
        <w:rPr>
          <w:rFonts w:asciiTheme="majorHAnsi" w:hAnsiTheme="majorHAnsi" w:cs="Arial"/>
          <w:color w:val="222222"/>
          <w:shd w:val="clear" w:color="auto" w:fill="FFFFFF"/>
        </w:rPr>
        <w:t xml:space="preserve">: The effects of prior outcomes on risky choice. </w:t>
      </w:r>
      <w:r w:rsidRPr="001410E6">
        <w:rPr>
          <w:rFonts w:asciiTheme="majorHAnsi" w:hAnsiTheme="majorHAnsi" w:cs="Arial"/>
          <w:i/>
          <w:color w:val="222222"/>
          <w:shd w:val="clear" w:color="auto" w:fill="FFFFFF"/>
        </w:rPr>
        <w:t xml:space="preserve">Management </w:t>
      </w:r>
      <w:r w:rsidR="001410E6" w:rsidRPr="001410E6">
        <w:rPr>
          <w:rFonts w:asciiTheme="majorHAnsi" w:hAnsiTheme="majorHAnsi" w:cs="Arial"/>
          <w:i/>
          <w:color w:val="222222"/>
          <w:shd w:val="clear" w:color="auto" w:fill="FFFFFF"/>
        </w:rPr>
        <w:t>S</w:t>
      </w:r>
      <w:r w:rsidRPr="001410E6">
        <w:rPr>
          <w:rFonts w:asciiTheme="majorHAnsi" w:hAnsiTheme="majorHAnsi" w:cs="Arial"/>
          <w:i/>
          <w:color w:val="222222"/>
          <w:shd w:val="clear" w:color="auto" w:fill="FFFFFF"/>
        </w:rPr>
        <w:t>cience</w:t>
      </w:r>
      <w:r w:rsidRPr="007C7CD8">
        <w:rPr>
          <w:rFonts w:asciiTheme="majorHAnsi" w:hAnsiTheme="majorHAnsi" w:cs="Arial"/>
          <w:color w:val="222222"/>
          <w:shd w:val="clear" w:color="auto" w:fill="FFFFFF"/>
        </w:rPr>
        <w:t>. 1990</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Jun</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36(6)</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643-60.</w:t>
      </w:r>
    </w:p>
    <w:p w14:paraId="6E9F85F0" w14:textId="24DAC6EB"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Gonzales</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Mishra</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1410E6">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Camp</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D. For the win: Risk</w:t>
      </w:r>
      <w:r w:rsidRPr="007C7CD8">
        <w:rPr>
          <w:rFonts w:asciiTheme="majorHAnsi" w:hAnsiTheme="majorHAnsi" w:cs="Cambria Math"/>
          <w:color w:val="222222"/>
          <w:shd w:val="clear" w:color="auto" w:fill="FFFFFF"/>
        </w:rPr>
        <w:t>‐</w:t>
      </w:r>
      <w:r w:rsidRPr="007C7CD8">
        <w:rPr>
          <w:rFonts w:asciiTheme="majorHAnsi" w:hAnsiTheme="majorHAnsi" w:cs="Arial"/>
          <w:color w:val="222222"/>
          <w:shd w:val="clear" w:color="auto" w:fill="FFFFFF"/>
        </w:rPr>
        <w:t>sensitive decision</w:t>
      </w:r>
      <w:r w:rsidRPr="007C7CD8">
        <w:rPr>
          <w:rFonts w:asciiTheme="majorHAnsi" w:hAnsiTheme="majorHAnsi" w:cs="Cambria Math"/>
          <w:color w:val="222222"/>
          <w:shd w:val="clear" w:color="auto" w:fill="FFFFFF"/>
        </w:rPr>
        <w:t>‐</w:t>
      </w:r>
      <w:r w:rsidRPr="007C7CD8">
        <w:rPr>
          <w:rFonts w:asciiTheme="majorHAnsi" w:hAnsiTheme="majorHAnsi" w:cs="Arial"/>
          <w:color w:val="222222"/>
          <w:shd w:val="clear" w:color="auto" w:fill="FFFFFF"/>
        </w:rPr>
        <w:t xml:space="preserve">making in teams. </w:t>
      </w:r>
      <w:r w:rsidRPr="001410E6">
        <w:rPr>
          <w:rFonts w:asciiTheme="majorHAnsi" w:hAnsiTheme="majorHAnsi" w:cs="Arial"/>
          <w:i/>
          <w:color w:val="222222"/>
          <w:shd w:val="clear" w:color="auto" w:fill="FFFFFF"/>
        </w:rPr>
        <w:t>Journal of Behavioral Decision Making</w:t>
      </w:r>
      <w:r w:rsidRPr="007C7CD8">
        <w:rPr>
          <w:rFonts w:asciiTheme="majorHAnsi" w:hAnsiTheme="majorHAnsi" w:cs="Arial"/>
          <w:color w:val="222222"/>
          <w:shd w:val="clear" w:color="auto" w:fill="FFFFFF"/>
        </w:rPr>
        <w:t>. 2017</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Apr 1</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30(2)</w:t>
      </w:r>
      <w:r w:rsidR="001410E6">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462-72.</w:t>
      </w:r>
    </w:p>
    <w:p w14:paraId="78E24C48" w14:textId="442ABC69"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Bentall</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P. </w:t>
      </w:r>
      <w:r w:rsidRPr="001410E6">
        <w:rPr>
          <w:rFonts w:asciiTheme="majorHAnsi" w:hAnsiTheme="majorHAnsi" w:cs="Arial"/>
          <w:i/>
          <w:color w:val="222222"/>
          <w:shd w:val="clear" w:color="auto" w:fill="FFFFFF"/>
        </w:rPr>
        <w:t>Madness explained: Psychosis and human nature</w:t>
      </w:r>
      <w:r w:rsidRPr="007C7CD8">
        <w:rPr>
          <w:rFonts w:asciiTheme="majorHAnsi" w:hAnsiTheme="majorHAnsi" w:cs="Arial"/>
          <w:color w:val="222222"/>
          <w:shd w:val="clear" w:color="auto" w:fill="FFFFFF"/>
        </w:rPr>
        <w:t>. Penguin UK</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2004.</w:t>
      </w:r>
      <w:r w:rsidRPr="007C7CD8">
        <w:rPr>
          <w:rFonts w:asciiTheme="majorHAnsi" w:hAnsiTheme="majorHAnsi"/>
        </w:rPr>
        <w:t xml:space="preserve"> </w:t>
      </w:r>
    </w:p>
    <w:p w14:paraId="1C956F5A" w14:textId="17C99E49"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1A1A1A"/>
          <w:lang w:val="en-US"/>
        </w:rPr>
        <w:t>London School of Economics. £150 billion in five years – new league table throws new light on cost of banking misconduct [Press release]</w:t>
      </w:r>
      <w:r w:rsidR="00C40A4E">
        <w:rPr>
          <w:rFonts w:asciiTheme="majorHAnsi" w:hAnsiTheme="majorHAnsi" w:cs="Arial"/>
          <w:color w:val="1A1A1A"/>
          <w:lang w:val="en-US"/>
        </w:rPr>
        <w:t xml:space="preserve">, </w:t>
      </w:r>
      <w:r w:rsidRPr="007C7CD8">
        <w:rPr>
          <w:rFonts w:asciiTheme="majorHAnsi" w:hAnsiTheme="majorHAnsi" w:cs="Arial"/>
          <w:color w:val="1A1A1A"/>
          <w:lang w:val="en-US"/>
        </w:rPr>
        <w:t>2013</w:t>
      </w:r>
      <w:r w:rsidR="00C40A4E">
        <w:rPr>
          <w:rFonts w:asciiTheme="majorHAnsi" w:hAnsiTheme="majorHAnsi" w:cs="Arial"/>
          <w:color w:val="1A1A1A"/>
          <w:lang w:val="en-US"/>
        </w:rPr>
        <w:t xml:space="preserve">. </w:t>
      </w:r>
      <w:r w:rsidRPr="007C7CD8">
        <w:rPr>
          <w:rFonts w:asciiTheme="majorHAnsi" w:hAnsiTheme="majorHAnsi" w:cs="Arial"/>
          <w:color w:val="1A1A1A"/>
          <w:lang w:val="en-US"/>
        </w:rPr>
        <w:t xml:space="preserve">Retrieved from </w:t>
      </w:r>
      <w:r w:rsidRPr="007C7CD8">
        <w:rPr>
          <w:rFonts w:asciiTheme="majorHAnsi" w:hAnsiTheme="majorHAnsi"/>
          <w:color w:val="1A1A1A"/>
        </w:rPr>
        <w:t>http://www.lse.ac.uk/newsAndMedia/news/archives/2013/11/ConductCostsProject.as</w:t>
      </w:r>
      <w:r w:rsidRPr="007C7CD8">
        <w:rPr>
          <w:rFonts w:asciiTheme="majorHAnsi" w:hAnsiTheme="majorHAnsi" w:cs="Arial"/>
          <w:color w:val="1A1A1A"/>
          <w:lang w:val="en-US"/>
        </w:rPr>
        <w:t>p</w:t>
      </w:r>
      <w:r w:rsidRPr="007C7CD8">
        <w:rPr>
          <w:rFonts w:asciiTheme="majorHAnsi" w:hAnsiTheme="majorHAnsi"/>
          <w:color w:val="1A1A1A"/>
        </w:rPr>
        <w:t>x</w:t>
      </w:r>
    </w:p>
    <w:p w14:paraId="2BDD99A7" w14:textId="56069E56"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rPr>
        <w:t xml:space="preserve">CCP Research Foundation. </w:t>
      </w:r>
      <w:r w:rsidRPr="007C7CD8">
        <w:rPr>
          <w:rFonts w:asciiTheme="majorHAnsi" w:hAnsiTheme="majorHAnsi" w:cs="Arial"/>
          <w:color w:val="1A1A1A"/>
          <w:lang w:val="en-US"/>
        </w:rPr>
        <w:t>Conduct Costs Results [Press release]. 2014; Retrieved from http://conductcosts.ccpresearchfoundation.com/conduct-costs-results.</w:t>
      </w:r>
    </w:p>
    <w:p w14:paraId="6F5C59DB" w14:textId="57073638"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Dean</w:t>
      </w:r>
      <w:r w:rsidR="001410E6">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 Cost structures of enterprises and break-even charts. </w:t>
      </w:r>
      <w:r w:rsidRPr="00B93B75">
        <w:rPr>
          <w:rFonts w:asciiTheme="majorHAnsi" w:hAnsiTheme="majorHAnsi" w:cs="Arial"/>
          <w:i/>
          <w:color w:val="222222"/>
          <w:shd w:val="clear" w:color="auto" w:fill="FFFFFF"/>
        </w:rPr>
        <w:t>The American Economic</w:t>
      </w:r>
      <w:r w:rsidRPr="007C7CD8">
        <w:rPr>
          <w:rFonts w:asciiTheme="majorHAnsi" w:hAnsiTheme="majorHAnsi" w:cs="Arial"/>
          <w:color w:val="222222"/>
          <w:shd w:val="clear" w:color="auto" w:fill="FFFFFF"/>
        </w:rPr>
        <w:t xml:space="preserve"> </w:t>
      </w:r>
      <w:r w:rsidRPr="00B93B75">
        <w:rPr>
          <w:rFonts w:asciiTheme="majorHAnsi" w:hAnsiTheme="majorHAnsi" w:cs="Arial"/>
          <w:i/>
          <w:color w:val="222222"/>
          <w:shd w:val="clear" w:color="auto" w:fill="FFFFFF"/>
        </w:rPr>
        <w:t>Review</w:t>
      </w:r>
      <w:r w:rsidR="00B93B75">
        <w:rPr>
          <w:rFonts w:asciiTheme="majorHAnsi" w:hAnsiTheme="majorHAnsi" w:cs="Arial"/>
          <w:i/>
          <w:color w:val="222222"/>
          <w:shd w:val="clear" w:color="auto" w:fill="FFFFFF"/>
        </w:rPr>
        <w:t xml:space="preserve">, </w:t>
      </w:r>
      <w:r w:rsidRPr="007C7CD8">
        <w:rPr>
          <w:rFonts w:asciiTheme="majorHAnsi" w:hAnsiTheme="majorHAnsi" w:cs="Arial"/>
          <w:color w:val="222222"/>
          <w:shd w:val="clear" w:color="auto" w:fill="FFFFFF"/>
        </w:rPr>
        <w:t>1948</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May 1</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38(2)</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153-64.</w:t>
      </w:r>
    </w:p>
    <w:p w14:paraId="44F01D9F" w14:textId="064240C9"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Coval</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D</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B93B75">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Shumway</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T. Do behavioral biases affect prices? </w:t>
      </w:r>
      <w:r w:rsidRPr="00B93B75">
        <w:rPr>
          <w:rFonts w:asciiTheme="majorHAnsi" w:hAnsiTheme="majorHAnsi" w:cs="Arial"/>
          <w:i/>
          <w:color w:val="222222"/>
          <w:shd w:val="clear" w:color="auto" w:fill="FFFFFF"/>
        </w:rPr>
        <w:t>The Journal of Finance</w:t>
      </w:r>
      <w:r w:rsidRPr="007C7CD8">
        <w:rPr>
          <w:rFonts w:asciiTheme="majorHAnsi" w:hAnsiTheme="majorHAnsi" w:cs="Arial"/>
          <w:color w:val="222222"/>
          <w:shd w:val="clear" w:color="auto" w:fill="FFFFFF"/>
        </w:rPr>
        <w:t>. 2005</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Feb 1</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60(1)</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1-34.</w:t>
      </w:r>
    </w:p>
    <w:p w14:paraId="4AAD285D" w14:textId="5222F82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Frino</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Grant</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B93B75">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Johnstone</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D. The house money effect and local traders on the Sydney Futures Exchange. </w:t>
      </w:r>
      <w:r w:rsidRPr="00B93B75">
        <w:rPr>
          <w:rFonts w:asciiTheme="majorHAnsi" w:hAnsiTheme="majorHAnsi" w:cs="Arial"/>
          <w:i/>
          <w:color w:val="222222"/>
          <w:shd w:val="clear" w:color="auto" w:fill="FFFFFF"/>
        </w:rPr>
        <w:t>Pacific-Basin Finance Journal</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2008</w:t>
      </w:r>
      <w:r w:rsidR="00B93B75">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Jan 31</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16(1)</w:t>
      </w:r>
      <w:r w:rsidR="00B93B75">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8-25.</w:t>
      </w:r>
    </w:p>
    <w:p w14:paraId="6FF25C30" w14:textId="49C4FF31" w:rsidR="00327615" w:rsidRPr="00EE5A04" w:rsidRDefault="00327615" w:rsidP="00327615">
      <w:pPr>
        <w:pStyle w:val="ListParagraph"/>
        <w:numPr>
          <w:ilvl w:val="0"/>
          <w:numId w:val="12"/>
        </w:numPr>
        <w:spacing w:after="160" w:line="259" w:lineRule="auto"/>
        <w:ind w:left="426" w:hanging="426"/>
        <w:rPr>
          <w:rFonts w:asciiTheme="majorHAnsi" w:hAnsiTheme="majorHAnsi"/>
        </w:rPr>
      </w:pPr>
      <w:r w:rsidRPr="00EE5A04">
        <w:rPr>
          <w:rFonts w:asciiTheme="majorHAnsi" w:hAnsiTheme="majorHAnsi" w:cs="Arial"/>
          <w:color w:val="222222"/>
          <w:shd w:val="clear" w:color="auto" w:fill="FFFFFF"/>
        </w:rPr>
        <w:t>Kaustia</w:t>
      </w:r>
      <w:r w:rsidR="00EE5A04">
        <w:rPr>
          <w:rFonts w:asciiTheme="majorHAnsi" w:hAnsiTheme="majorHAnsi" w:cs="Arial"/>
          <w:color w:val="222222"/>
          <w:shd w:val="clear" w:color="auto" w:fill="FFFFFF"/>
        </w:rPr>
        <w:t>,</w:t>
      </w:r>
      <w:r w:rsidRPr="00EE5A04">
        <w:rPr>
          <w:rFonts w:asciiTheme="majorHAnsi" w:hAnsiTheme="majorHAnsi" w:cs="Arial"/>
          <w:color w:val="222222"/>
          <w:shd w:val="clear" w:color="auto" w:fill="FFFFFF"/>
        </w:rPr>
        <w:t xml:space="preserve"> M. Disposition effect. </w:t>
      </w:r>
      <w:r w:rsidRPr="00EE5A04">
        <w:rPr>
          <w:rFonts w:asciiTheme="majorHAnsi" w:hAnsiTheme="majorHAnsi" w:cs="Arial"/>
          <w:i/>
          <w:color w:val="222222"/>
          <w:shd w:val="clear" w:color="auto" w:fill="FFFFFF"/>
        </w:rPr>
        <w:t>Behavioral Finance: Investors, Corporations, and Markets.</w:t>
      </w:r>
      <w:r w:rsidRPr="00EE5A04">
        <w:rPr>
          <w:rFonts w:asciiTheme="majorHAnsi" w:hAnsiTheme="majorHAnsi" w:cs="Arial"/>
          <w:color w:val="222222"/>
          <w:shd w:val="clear" w:color="auto" w:fill="FFFFFF"/>
        </w:rPr>
        <w:t xml:space="preserve"> 2010</w:t>
      </w:r>
      <w:r w:rsidR="00EE5A04">
        <w:rPr>
          <w:rFonts w:asciiTheme="majorHAnsi" w:hAnsiTheme="majorHAnsi" w:cs="Arial"/>
          <w:color w:val="222222"/>
          <w:shd w:val="clear" w:color="auto" w:fill="FFFFFF"/>
        </w:rPr>
        <w:t xml:space="preserve">, </w:t>
      </w:r>
      <w:r w:rsidRPr="00EE5A04">
        <w:rPr>
          <w:rFonts w:asciiTheme="majorHAnsi" w:hAnsiTheme="majorHAnsi" w:cs="Arial"/>
          <w:color w:val="222222"/>
          <w:shd w:val="clear" w:color="auto" w:fill="FFFFFF"/>
        </w:rPr>
        <w:t>6(171)</w:t>
      </w:r>
      <w:r w:rsidR="00EE5A04">
        <w:rPr>
          <w:rFonts w:asciiTheme="majorHAnsi" w:hAnsiTheme="majorHAnsi" w:cs="Arial"/>
          <w:color w:val="222222"/>
          <w:shd w:val="clear" w:color="auto" w:fill="FFFFFF"/>
        </w:rPr>
        <w:t xml:space="preserve">, </w:t>
      </w:r>
      <w:r w:rsidRPr="00EE5A04">
        <w:rPr>
          <w:rFonts w:asciiTheme="majorHAnsi" w:hAnsiTheme="majorHAnsi" w:cs="Arial"/>
          <w:color w:val="222222"/>
          <w:shd w:val="clear" w:color="auto" w:fill="FFFFFF"/>
        </w:rPr>
        <w:t>791-812.</w:t>
      </w:r>
    </w:p>
    <w:p w14:paraId="3FC78690" w14:textId="3C4551C0"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EE5A04">
        <w:rPr>
          <w:rFonts w:asciiTheme="majorHAnsi" w:hAnsiTheme="majorHAnsi" w:cs="Arial"/>
          <w:color w:val="222222"/>
          <w:shd w:val="clear" w:color="auto" w:fill="FFFFFF"/>
        </w:rPr>
        <w:t>Huang</w:t>
      </w:r>
      <w:r w:rsidR="00EE5A04">
        <w:rPr>
          <w:rFonts w:asciiTheme="majorHAnsi" w:hAnsiTheme="majorHAnsi" w:cs="Arial"/>
          <w:color w:val="222222"/>
          <w:shd w:val="clear" w:color="auto" w:fill="FFFFFF"/>
        </w:rPr>
        <w:t>,</w:t>
      </w:r>
      <w:r w:rsidRPr="00EE5A04">
        <w:rPr>
          <w:rFonts w:asciiTheme="majorHAnsi" w:hAnsiTheme="majorHAnsi" w:cs="Arial"/>
          <w:color w:val="222222"/>
          <w:shd w:val="clear" w:color="auto" w:fill="FFFFFF"/>
        </w:rPr>
        <w:t xml:space="preserve"> Y</w:t>
      </w:r>
      <w:r w:rsidR="00EE5A04">
        <w:rPr>
          <w:rFonts w:asciiTheme="majorHAnsi" w:hAnsiTheme="majorHAnsi" w:cs="Arial"/>
          <w:color w:val="222222"/>
          <w:shd w:val="clear" w:color="auto" w:fill="FFFFFF"/>
        </w:rPr>
        <w:t>.</w:t>
      </w:r>
      <w:r w:rsidRPr="00EE5A04">
        <w:rPr>
          <w:rFonts w:asciiTheme="majorHAnsi" w:hAnsiTheme="majorHAnsi" w:cs="Arial"/>
          <w:color w:val="222222"/>
          <w:shd w:val="clear" w:color="auto" w:fill="FFFFFF"/>
        </w:rPr>
        <w:t>C,</w:t>
      </w:r>
      <w:r w:rsidR="00EE5A04">
        <w:rPr>
          <w:rFonts w:asciiTheme="majorHAnsi" w:hAnsiTheme="majorHAnsi" w:cs="Arial"/>
          <w:color w:val="222222"/>
          <w:shd w:val="clear" w:color="auto" w:fill="FFFFFF"/>
        </w:rPr>
        <w:t xml:space="preserve"> &amp;</w:t>
      </w:r>
      <w:r w:rsidRPr="00EE5A04">
        <w:rPr>
          <w:rFonts w:asciiTheme="majorHAnsi" w:hAnsiTheme="majorHAnsi" w:cs="Arial"/>
          <w:color w:val="222222"/>
          <w:shd w:val="clear" w:color="auto" w:fill="FFFFFF"/>
        </w:rPr>
        <w:t xml:space="preserve"> Chan</w:t>
      </w:r>
      <w:r w:rsidR="00EE5A04">
        <w:rPr>
          <w:rFonts w:asciiTheme="majorHAnsi" w:hAnsiTheme="majorHAnsi" w:cs="Arial"/>
          <w:color w:val="222222"/>
          <w:shd w:val="clear" w:color="auto" w:fill="FFFFFF"/>
        </w:rPr>
        <w:t>,</w:t>
      </w:r>
      <w:r w:rsidRPr="00EE5A04">
        <w:rPr>
          <w:rFonts w:asciiTheme="majorHAnsi" w:hAnsiTheme="majorHAnsi" w:cs="Arial"/>
          <w:color w:val="222222"/>
          <w:shd w:val="clear" w:color="auto" w:fill="FFFFFF"/>
        </w:rPr>
        <w:t xml:space="preserve"> S</w:t>
      </w:r>
      <w:r w:rsidR="00EE5A04">
        <w:rPr>
          <w:rFonts w:asciiTheme="majorHAnsi" w:hAnsiTheme="majorHAnsi" w:cs="Arial"/>
          <w:color w:val="222222"/>
          <w:shd w:val="clear" w:color="auto" w:fill="FFFFFF"/>
        </w:rPr>
        <w:t>.</w:t>
      </w:r>
      <w:r w:rsidRPr="00EE5A04">
        <w:rPr>
          <w:rFonts w:asciiTheme="majorHAnsi" w:hAnsiTheme="majorHAnsi" w:cs="Arial"/>
          <w:color w:val="222222"/>
          <w:shd w:val="clear" w:color="auto" w:fill="FFFFFF"/>
        </w:rPr>
        <w:t xml:space="preserve">H. The house money and break-even effects for different types of traders: Evidence from Taiwan futures markets. </w:t>
      </w:r>
      <w:r w:rsidRPr="00EE5A04">
        <w:rPr>
          <w:rFonts w:asciiTheme="majorHAnsi" w:hAnsiTheme="majorHAnsi" w:cs="Arial"/>
          <w:i/>
          <w:color w:val="222222"/>
          <w:shd w:val="clear" w:color="auto" w:fill="FFFFFF"/>
        </w:rPr>
        <w:t>Pacific-Basin Finance Journal</w:t>
      </w:r>
      <w:r w:rsidRPr="007C7CD8">
        <w:rPr>
          <w:rFonts w:asciiTheme="majorHAnsi" w:hAnsiTheme="majorHAnsi" w:cs="Arial"/>
          <w:color w:val="222222"/>
          <w:shd w:val="clear" w:color="auto" w:fill="FFFFFF"/>
        </w:rPr>
        <w:t>. 2014</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Jan 31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26:1-3.</w:t>
      </w:r>
    </w:p>
    <w:p w14:paraId="64821628" w14:textId="45AE7443"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Côté</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Caron</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A</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Aubert</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Desrochers</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V</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EE5A04">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Ladouceur</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 Near wins prolong gambling on a video lottery terminal. </w:t>
      </w:r>
      <w:r w:rsidRPr="00EE5A04">
        <w:rPr>
          <w:rFonts w:asciiTheme="majorHAnsi" w:hAnsiTheme="majorHAnsi" w:cs="Arial"/>
          <w:i/>
          <w:color w:val="222222"/>
          <w:shd w:val="clear" w:color="auto" w:fill="FFFFFF"/>
        </w:rPr>
        <w:t>Journal of Gambling Studies</w:t>
      </w:r>
      <w:r w:rsidRPr="007C7CD8">
        <w:rPr>
          <w:rFonts w:asciiTheme="majorHAnsi" w:hAnsiTheme="majorHAnsi" w:cs="Arial"/>
          <w:color w:val="222222"/>
          <w:shd w:val="clear" w:color="auto" w:fill="FFFFFF"/>
        </w:rPr>
        <w:t>. 2003</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Dec 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19(4)</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433-8.</w:t>
      </w:r>
    </w:p>
    <w:p w14:paraId="6D98E02F" w14:textId="72AC7044"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Peters</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H</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Hunt</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EE5A04">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Harper</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 An animal model of slot machine gambling: The effect of structural characteristics on response latency and persistence. </w:t>
      </w:r>
      <w:r w:rsidRPr="00EE5A04">
        <w:rPr>
          <w:rFonts w:asciiTheme="majorHAnsi" w:hAnsiTheme="majorHAnsi" w:cs="Arial"/>
          <w:i/>
          <w:color w:val="222222"/>
          <w:shd w:val="clear" w:color="auto" w:fill="FFFFFF"/>
        </w:rPr>
        <w:t>Journal of Gambling Studies</w:t>
      </w:r>
      <w:r w:rsidRPr="007C7CD8">
        <w:rPr>
          <w:rFonts w:asciiTheme="majorHAnsi" w:hAnsiTheme="majorHAnsi" w:cs="Arial"/>
          <w:color w:val="222222"/>
          <w:shd w:val="clear" w:color="auto" w:fill="FFFFFF"/>
        </w:rPr>
        <w:t>. 2010</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Dec 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26(4)</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521-31.</w:t>
      </w:r>
    </w:p>
    <w:p w14:paraId="1CDD5B3F" w14:textId="32A9F661"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Brockner</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 The escalation of commitment to a failing course of action: Toward theoretical progress. </w:t>
      </w:r>
      <w:r w:rsidRPr="00EE5A04">
        <w:rPr>
          <w:rFonts w:asciiTheme="majorHAnsi" w:hAnsiTheme="majorHAnsi" w:cs="Arial"/>
          <w:i/>
          <w:color w:val="222222"/>
          <w:shd w:val="clear" w:color="auto" w:fill="FFFFFF"/>
        </w:rPr>
        <w:t xml:space="preserve">Academy of </w:t>
      </w:r>
      <w:r w:rsidR="00EE5A04">
        <w:rPr>
          <w:rFonts w:asciiTheme="majorHAnsi" w:hAnsiTheme="majorHAnsi" w:cs="Arial"/>
          <w:i/>
          <w:color w:val="222222"/>
          <w:shd w:val="clear" w:color="auto" w:fill="FFFFFF"/>
        </w:rPr>
        <w:t>M</w:t>
      </w:r>
      <w:r w:rsidRPr="00EE5A04">
        <w:rPr>
          <w:rFonts w:asciiTheme="majorHAnsi" w:hAnsiTheme="majorHAnsi" w:cs="Arial"/>
          <w:i/>
          <w:color w:val="222222"/>
          <w:shd w:val="clear" w:color="auto" w:fill="FFFFFF"/>
        </w:rPr>
        <w:t>anagement Review</w:t>
      </w:r>
      <w:r w:rsidRPr="007C7CD8">
        <w:rPr>
          <w:rFonts w:asciiTheme="majorHAnsi" w:hAnsiTheme="majorHAnsi" w:cs="Arial"/>
          <w:color w:val="222222"/>
          <w:shd w:val="clear" w:color="auto" w:fill="FFFFFF"/>
        </w:rPr>
        <w:t>. 1992</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Jan 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17(1)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39-61.</w:t>
      </w:r>
      <w:r w:rsidRPr="007C7CD8">
        <w:rPr>
          <w:rFonts w:asciiTheme="majorHAnsi" w:eastAsia="Calibri" w:hAnsiTheme="majorHAnsi" w:cs="Cordia New"/>
          <w:lang w:bidi="th-TH"/>
        </w:rPr>
        <w:t xml:space="preserve"> </w:t>
      </w:r>
    </w:p>
    <w:p w14:paraId="73023036" w14:textId="6F5D992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Whyte</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G. Escalating commitment in individual and group decision making: A prospect theory approach. </w:t>
      </w:r>
      <w:r w:rsidRPr="00EE5A04">
        <w:rPr>
          <w:rFonts w:asciiTheme="majorHAnsi" w:hAnsiTheme="majorHAnsi" w:cs="Arial"/>
          <w:i/>
          <w:color w:val="222222"/>
          <w:shd w:val="clear" w:color="auto" w:fill="FFFFFF"/>
        </w:rPr>
        <w:t xml:space="preserve">Organizational </w:t>
      </w:r>
      <w:r w:rsidR="00EE5A04" w:rsidRPr="00EE5A04">
        <w:rPr>
          <w:rFonts w:asciiTheme="majorHAnsi" w:hAnsiTheme="majorHAnsi" w:cs="Arial"/>
          <w:i/>
          <w:color w:val="222222"/>
          <w:shd w:val="clear" w:color="auto" w:fill="FFFFFF"/>
        </w:rPr>
        <w:t>B</w:t>
      </w:r>
      <w:r w:rsidRPr="00EE5A04">
        <w:rPr>
          <w:rFonts w:asciiTheme="majorHAnsi" w:hAnsiTheme="majorHAnsi" w:cs="Arial"/>
          <w:i/>
          <w:color w:val="222222"/>
          <w:shd w:val="clear" w:color="auto" w:fill="FFFFFF"/>
        </w:rPr>
        <w:t xml:space="preserve">ehavior and </w:t>
      </w:r>
      <w:r w:rsidR="00EE5A04" w:rsidRPr="00EE5A04">
        <w:rPr>
          <w:rFonts w:asciiTheme="majorHAnsi" w:hAnsiTheme="majorHAnsi" w:cs="Arial"/>
          <w:i/>
          <w:color w:val="222222"/>
          <w:shd w:val="clear" w:color="auto" w:fill="FFFFFF"/>
        </w:rPr>
        <w:t>H</w:t>
      </w:r>
      <w:r w:rsidRPr="00EE5A04">
        <w:rPr>
          <w:rFonts w:asciiTheme="majorHAnsi" w:hAnsiTheme="majorHAnsi" w:cs="Arial"/>
          <w:i/>
          <w:color w:val="222222"/>
          <w:shd w:val="clear" w:color="auto" w:fill="FFFFFF"/>
        </w:rPr>
        <w:t xml:space="preserve">uman </w:t>
      </w:r>
      <w:r w:rsidR="00EE5A04" w:rsidRPr="00EE5A04">
        <w:rPr>
          <w:rFonts w:asciiTheme="majorHAnsi" w:hAnsiTheme="majorHAnsi" w:cs="Arial"/>
          <w:i/>
          <w:color w:val="222222"/>
          <w:shd w:val="clear" w:color="auto" w:fill="FFFFFF"/>
        </w:rPr>
        <w:t>De</w:t>
      </w:r>
      <w:r w:rsidRPr="00EE5A04">
        <w:rPr>
          <w:rFonts w:asciiTheme="majorHAnsi" w:hAnsiTheme="majorHAnsi" w:cs="Arial"/>
          <w:i/>
          <w:color w:val="222222"/>
          <w:shd w:val="clear" w:color="auto" w:fill="FFFFFF"/>
        </w:rPr>
        <w:t xml:space="preserve">cision </w:t>
      </w:r>
      <w:r w:rsidR="00EE5A04" w:rsidRPr="00EE5A04">
        <w:rPr>
          <w:rFonts w:asciiTheme="majorHAnsi" w:hAnsiTheme="majorHAnsi" w:cs="Arial"/>
          <w:i/>
          <w:color w:val="222222"/>
          <w:shd w:val="clear" w:color="auto" w:fill="FFFFFF"/>
        </w:rPr>
        <w:t>P</w:t>
      </w:r>
      <w:r w:rsidRPr="00EE5A04">
        <w:rPr>
          <w:rFonts w:asciiTheme="majorHAnsi" w:hAnsiTheme="majorHAnsi" w:cs="Arial"/>
          <w:i/>
          <w:color w:val="222222"/>
          <w:shd w:val="clear" w:color="auto" w:fill="FFFFFF"/>
        </w:rPr>
        <w:t>rocesses</w:t>
      </w:r>
      <w:r w:rsidRPr="007C7CD8">
        <w:rPr>
          <w:rFonts w:asciiTheme="majorHAnsi" w:hAnsiTheme="majorHAnsi" w:cs="Arial"/>
          <w:color w:val="222222"/>
          <w:shd w:val="clear" w:color="auto" w:fill="FFFFFF"/>
        </w:rPr>
        <w:t>. 1993</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Apr 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54(3)</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430-55.</w:t>
      </w:r>
      <w:r w:rsidRPr="007C7CD8">
        <w:rPr>
          <w:rFonts w:asciiTheme="majorHAnsi" w:eastAsia="Calibri" w:hAnsiTheme="majorHAnsi" w:cs="Cordia New"/>
          <w:lang w:bidi="th-TH"/>
        </w:rPr>
        <w:t xml:space="preserve"> </w:t>
      </w:r>
    </w:p>
    <w:p w14:paraId="36008DE4" w14:textId="487FAE2C"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Schulz</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K</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w:t>
      </w:r>
      <w:r w:rsidR="00EE5A04">
        <w:rPr>
          <w:rFonts w:asciiTheme="majorHAnsi" w:hAnsiTheme="majorHAnsi" w:cs="Arial"/>
          <w:color w:val="222222"/>
          <w:shd w:val="clear" w:color="auto" w:fill="FFFFFF"/>
        </w:rPr>
        <w:t xml:space="preserve"> &amp;</w:t>
      </w:r>
      <w:r w:rsidRPr="007C7CD8">
        <w:rPr>
          <w:rFonts w:asciiTheme="majorHAnsi" w:hAnsiTheme="majorHAnsi" w:cs="Arial"/>
          <w:color w:val="222222"/>
          <w:shd w:val="clear" w:color="auto" w:fill="FFFFFF"/>
        </w:rPr>
        <w:t xml:space="preserve"> Cheng</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M. Persistence in capital budgeting reinvestment decisions–personal responsibility antecedent and information asymmetry moderator: A note. </w:t>
      </w:r>
      <w:r w:rsidRPr="00EE5A04">
        <w:rPr>
          <w:rFonts w:asciiTheme="majorHAnsi" w:hAnsiTheme="majorHAnsi" w:cs="Arial"/>
          <w:i/>
          <w:color w:val="222222"/>
          <w:shd w:val="clear" w:color="auto" w:fill="FFFFFF"/>
        </w:rPr>
        <w:t>Accounting &amp; Finance</w:t>
      </w:r>
      <w:r w:rsidRPr="007C7CD8">
        <w:rPr>
          <w:rFonts w:asciiTheme="majorHAnsi" w:hAnsiTheme="majorHAnsi" w:cs="Arial"/>
          <w:color w:val="222222"/>
          <w:shd w:val="clear" w:color="auto" w:fill="FFFFFF"/>
        </w:rPr>
        <w:t>. 2002</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Mar 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42(1)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73-86.</w:t>
      </w:r>
      <w:r w:rsidRPr="007C7CD8">
        <w:rPr>
          <w:rFonts w:asciiTheme="majorHAnsi" w:eastAsia="Calibri" w:hAnsiTheme="majorHAnsi" w:cs="Cordia New"/>
          <w:lang w:bidi="th-TH"/>
        </w:rPr>
        <w:t xml:space="preserve"> </w:t>
      </w:r>
    </w:p>
    <w:p w14:paraId="4E502A7C" w14:textId="4A488FA5"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Sleesman</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Conlon</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E</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McNamara</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G</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w:t>
      </w:r>
      <w:r w:rsidR="00EE5A04">
        <w:rPr>
          <w:rFonts w:asciiTheme="majorHAnsi" w:hAnsiTheme="majorHAnsi" w:cs="Arial"/>
          <w:color w:val="222222"/>
          <w:shd w:val="clear" w:color="auto" w:fill="FFFFFF"/>
        </w:rPr>
        <w:t xml:space="preserve"> &amp;</w:t>
      </w:r>
      <w:r w:rsidRPr="007C7CD8">
        <w:rPr>
          <w:rFonts w:asciiTheme="majorHAnsi" w:hAnsiTheme="majorHAnsi" w:cs="Arial"/>
          <w:color w:val="222222"/>
          <w:shd w:val="clear" w:color="auto" w:fill="FFFFFF"/>
        </w:rPr>
        <w:t xml:space="preserve"> Miles</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E. Cleaning up the big muddy: A meta-analytic review of the determinants of escalation of commitment. </w:t>
      </w:r>
      <w:r w:rsidRPr="00EE5A04">
        <w:rPr>
          <w:rFonts w:asciiTheme="majorHAnsi" w:hAnsiTheme="majorHAnsi" w:cs="Arial"/>
          <w:i/>
          <w:color w:val="222222"/>
          <w:shd w:val="clear" w:color="auto" w:fill="FFFFFF"/>
        </w:rPr>
        <w:t>Academy of Management</w:t>
      </w:r>
      <w:r w:rsidRPr="007C7CD8">
        <w:rPr>
          <w:rFonts w:asciiTheme="majorHAnsi" w:hAnsiTheme="majorHAnsi" w:cs="Arial"/>
          <w:color w:val="222222"/>
          <w:shd w:val="clear" w:color="auto" w:fill="FFFFFF"/>
        </w:rPr>
        <w:t xml:space="preserve"> </w:t>
      </w:r>
      <w:r w:rsidRPr="003B292A">
        <w:rPr>
          <w:rFonts w:asciiTheme="majorHAnsi" w:hAnsiTheme="majorHAnsi" w:cs="Arial"/>
          <w:i/>
          <w:color w:val="222222"/>
          <w:shd w:val="clear" w:color="auto" w:fill="FFFFFF"/>
        </w:rPr>
        <w:t>Journal</w:t>
      </w:r>
      <w:r w:rsidRP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2012</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Jun 1</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55(3)</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541-62.</w:t>
      </w:r>
    </w:p>
    <w:p w14:paraId="747ABBE6" w14:textId="7C5FF6A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Brownstein</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EE5A04">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L. Biased predecision processing. </w:t>
      </w:r>
      <w:r w:rsidRPr="00EE5A04">
        <w:rPr>
          <w:rFonts w:asciiTheme="majorHAnsi" w:hAnsiTheme="majorHAnsi" w:cs="Arial"/>
          <w:i/>
          <w:color w:val="222222"/>
          <w:shd w:val="clear" w:color="auto" w:fill="FFFFFF"/>
        </w:rPr>
        <w:t xml:space="preserve">Psychological </w:t>
      </w:r>
      <w:r w:rsidR="00EE5A04" w:rsidRPr="00EE5A04">
        <w:rPr>
          <w:rFonts w:asciiTheme="majorHAnsi" w:hAnsiTheme="majorHAnsi" w:cs="Arial"/>
          <w:i/>
          <w:color w:val="222222"/>
          <w:shd w:val="clear" w:color="auto" w:fill="FFFFFF"/>
        </w:rPr>
        <w:t>B</w:t>
      </w:r>
      <w:r w:rsidRPr="00EE5A04">
        <w:rPr>
          <w:rFonts w:asciiTheme="majorHAnsi" w:hAnsiTheme="majorHAnsi" w:cs="Arial"/>
          <w:i/>
          <w:color w:val="222222"/>
          <w:shd w:val="clear" w:color="auto" w:fill="FFFFFF"/>
        </w:rPr>
        <w:t>ulletin</w:t>
      </w:r>
      <w:r w:rsidRPr="007C7CD8">
        <w:rPr>
          <w:rFonts w:asciiTheme="majorHAnsi" w:hAnsiTheme="majorHAnsi" w:cs="Arial"/>
          <w:color w:val="222222"/>
          <w:shd w:val="clear" w:color="auto" w:fill="FFFFFF"/>
        </w:rPr>
        <w:t>. 2003</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Jul</w:t>
      </w:r>
      <w:r w:rsidR="00EE5A04">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129(4)</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545.</w:t>
      </w:r>
    </w:p>
    <w:p w14:paraId="23875321" w14:textId="35C40B28"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Festinger</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L. A</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426962" w:rsidRPr="00426962">
        <w:rPr>
          <w:rFonts w:asciiTheme="majorHAnsi" w:hAnsiTheme="majorHAnsi" w:cs="Arial"/>
          <w:i/>
          <w:color w:val="222222"/>
          <w:shd w:val="clear" w:color="auto" w:fill="FFFFFF"/>
        </w:rPr>
        <w:t>T</w:t>
      </w:r>
      <w:r w:rsidRPr="00426962">
        <w:rPr>
          <w:rFonts w:asciiTheme="majorHAnsi" w:hAnsiTheme="majorHAnsi" w:cs="Arial"/>
          <w:i/>
          <w:color w:val="222222"/>
          <w:shd w:val="clear" w:color="auto" w:fill="FFFFFF"/>
        </w:rPr>
        <w:t>heory of</w:t>
      </w:r>
      <w:r w:rsidRPr="007C7CD8">
        <w:rPr>
          <w:rFonts w:asciiTheme="majorHAnsi" w:hAnsiTheme="majorHAnsi" w:cs="Arial"/>
          <w:color w:val="222222"/>
          <w:shd w:val="clear" w:color="auto" w:fill="FFFFFF"/>
        </w:rPr>
        <w:t xml:space="preserve"> </w:t>
      </w:r>
      <w:r w:rsidR="00426962" w:rsidRPr="00426962">
        <w:rPr>
          <w:rFonts w:asciiTheme="majorHAnsi" w:hAnsiTheme="majorHAnsi" w:cs="Arial"/>
          <w:i/>
          <w:color w:val="222222"/>
          <w:shd w:val="clear" w:color="auto" w:fill="FFFFFF"/>
        </w:rPr>
        <w:t>C</w:t>
      </w:r>
      <w:r w:rsidRPr="00426962">
        <w:rPr>
          <w:rFonts w:asciiTheme="majorHAnsi" w:hAnsiTheme="majorHAnsi" w:cs="Arial"/>
          <w:i/>
          <w:color w:val="222222"/>
          <w:shd w:val="clear" w:color="auto" w:fill="FFFFFF"/>
        </w:rPr>
        <w:t>ognitive</w:t>
      </w:r>
      <w:r w:rsidRPr="007C7CD8">
        <w:rPr>
          <w:rFonts w:asciiTheme="majorHAnsi" w:hAnsiTheme="majorHAnsi" w:cs="Arial"/>
          <w:color w:val="222222"/>
          <w:shd w:val="clear" w:color="auto" w:fill="FFFFFF"/>
        </w:rPr>
        <w:t xml:space="preserve"> </w:t>
      </w:r>
      <w:r w:rsidR="00426962" w:rsidRPr="00426962">
        <w:rPr>
          <w:rFonts w:asciiTheme="majorHAnsi" w:hAnsiTheme="majorHAnsi" w:cs="Arial"/>
          <w:i/>
          <w:color w:val="222222"/>
          <w:shd w:val="clear" w:color="auto" w:fill="FFFFFF"/>
        </w:rPr>
        <w:t>D</w:t>
      </w:r>
      <w:r w:rsidRPr="00426962">
        <w:rPr>
          <w:rFonts w:asciiTheme="majorHAnsi" w:hAnsiTheme="majorHAnsi" w:cs="Arial"/>
          <w:i/>
          <w:color w:val="222222"/>
          <w:shd w:val="clear" w:color="auto" w:fill="FFFFFF"/>
        </w:rPr>
        <w:t>issonance</w:t>
      </w:r>
      <w:r w:rsidRPr="007C7CD8">
        <w:rPr>
          <w:rFonts w:asciiTheme="majorHAnsi" w:hAnsiTheme="majorHAnsi" w:cs="Arial"/>
          <w:color w:val="222222"/>
          <w:shd w:val="clear" w:color="auto" w:fill="FFFFFF"/>
        </w:rPr>
        <w:t xml:space="preserve">. Stanford </w:t>
      </w:r>
      <w:r w:rsidR="00426962">
        <w:rPr>
          <w:rFonts w:asciiTheme="majorHAnsi" w:hAnsiTheme="majorHAnsi" w:cs="Arial"/>
          <w:color w:val="222222"/>
          <w:shd w:val="clear" w:color="auto" w:fill="FFFFFF"/>
        </w:rPr>
        <w:t>U</w:t>
      </w:r>
      <w:r w:rsidRPr="007C7CD8">
        <w:rPr>
          <w:rFonts w:asciiTheme="majorHAnsi" w:hAnsiTheme="majorHAnsi" w:cs="Arial"/>
          <w:color w:val="222222"/>
          <w:shd w:val="clear" w:color="auto" w:fill="FFFFFF"/>
        </w:rPr>
        <w:t xml:space="preserve">niversity </w:t>
      </w:r>
      <w:r w:rsidR="00426962">
        <w:rPr>
          <w:rFonts w:asciiTheme="majorHAnsi" w:hAnsiTheme="majorHAnsi" w:cs="Arial"/>
          <w:color w:val="222222"/>
          <w:shd w:val="clear" w:color="auto" w:fill="FFFFFF"/>
        </w:rPr>
        <w:t>P</w:t>
      </w:r>
      <w:r w:rsidRPr="007C7CD8">
        <w:rPr>
          <w:rFonts w:asciiTheme="majorHAnsi" w:hAnsiTheme="majorHAnsi" w:cs="Arial"/>
          <w:color w:val="222222"/>
          <w:shd w:val="clear" w:color="auto" w:fill="FFFFFF"/>
        </w:rPr>
        <w:t>ress; 1962.</w:t>
      </w:r>
    </w:p>
    <w:p w14:paraId="198CD41C" w14:textId="6390C99A"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Janis</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I</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L</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426962">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Mann</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L</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Pr="00426962">
        <w:rPr>
          <w:rFonts w:asciiTheme="majorHAnsi" w:hAnsiTheme="majorHAnsi" w:cs="Arial"/>
          <w:i/>
          <w:color w:val="222222"/>
          <w:shd w:val="clear" w:color="auto" w:fill="FFFFFF"/>
        </w:rPr>
        <w:t xml:space="preserve">Decision </w:t>
      </w:r>
      <w:r w:rsidR="00426962" w:rsidRPr="00426962">
        <w:rPr>
          <w:rFonts w:asciiTheme="majorHAnsi" w:hAnsiTheme="majorHAnsi" w:cs="Arial"/>
          <w:i/>
          <w:color w:val="222222"/>
          <w:shd w:val="clear" w:color="auto" w:fill="FFFFFF"/>
        </w:rPr>
        <w:t>M</w:t>
      </w:r>
      <w:r w:rsidRPr="00426962">
        <w:rPr>
          <w:rFonts w:asciiTheme="majorHAnsi" w:hAnsiTheme="majorHAnsi" w:cs="Arial"/>
          <w:i/>
          <w:color w:val="222222"/>
          <w:shd w:val="clear" w:color="auto" w:fill="FFFFFF"/>
        </w:rPr>
        <w:t xml:space="preserve">aking: A </w:t>
      </w:r>
      <w:r w:rsidR="00426962" w:rsidRPr="00426962">
        <w:rPr>
          <w:rFonts w:asciiTheme="majorHAnsi" w:hAnsiTheme="majorHAnsi" w:cs="Arial"/>
          <w:i/>
          <w:color w:val="222222"/>
          <w:shd w:val="clear" w:color="auto" w:fill="FFFFFF"/>
        </w:rPr>
        <w:t>P</w:t>
      </w:r>
      <w:r w:rsidRPr="00426962">
        <w:rPr>
          <w:rFonts w:asciiTheme="majorHAnsi" w:hAnsiTheme="majorHAnsi" w:cs="Arial"/>
          <w:i/>
          <w:color w:val="222222"/>
          <w:shd w:val="clear" w:color="auto" w:fill="FFFFFF"/>
        </w:rPr>
        <w:t xml:space="preserve">sychological </w:t>
      </w:r>
      <w:r w:rsidR="00426962" w:rsidRPr="00426962">
        <w:rPr>
          <w:rFonts w:asciiTheme="majorHAnsi" w:hAnsiTheme="majorHAnsi" w:cs="Arial"/>
          <w:i/>
          <w:color w:val="222222"/>
          <w:shd w:val="clear" w:color="auto" w:fill="FFFFFF"/>
        </w:rPr>
        <w:t>A</w:t>
      </w:r>
      <w:r w:rsidRPr="00426962">
        <w:rPr>
          <w:rFonts w:asciiTheme="majorHAnsi" w:hAnsiTheme="majorHAnsi" w:cs="Arial"/>
          <w:i/>
          <w:color w:val="222222"/>
          <w:shd w:val="clear" w:color="auto" w:fill="FFFFFF"/>
        </w:rPr>
        <w:t xml:space="preserve">nalysis of </w:t>
      </w:r>
      <w:r w:rsidR="00426962" w:rsidRPr="00426962">
        <w:rPr>
          <w:rFonts w:asciiTheme="majorHAnsi" w:hAnsiTheme="majorHAnsi" w:cs="Arial"/>
          <w:i/>
          <w:color w:val="222222"/>
          <w:shd w:val="clear" w:color="auto" w:fill="FFFFFF"/>
        </w:rPr>
        <w:t>C</w:t>
      </w:r>
      <w:r w:rsidRPr="00426962">
        <w:rPr>
          <w:rFonts w:asciiTheme="majorHAnsi" w:hAnsiTheme="majorHAnsi" w:cs="Arial"/>
          <w:i/>
          <w:color w:val="222222"/>
          <w:shd w:val="clear" w:color="auto" w:fill="FFFFFF"/>
        </w:rPr>
        <w:t xml:space="preserve">onflict, </w:t>
      </w:r>
      <w:r w:rsidR="00426962" w:rsidRPr="00426962">
        <w:rPr>
          <w:rFonts w:asciiTheme="majorHAnsi" w:hAnsiTheme="majorHAnsi" w:cs="Arial"/>
          <w:i/>
          <w:color w:val="222222"/>
          <w:shd w:val="clear" w:color="auto" w:fill="FFFFFF"/>
        </w:rPr>
        <w:t>C</w:t>
      </w:r>
      <w:r w:rsidRPr="00426962">
        <w:rPr>
          <w:rFonts w:asciiTheme="majorHAnsi" w:hAnsiTheme="majorHAnsi" w:cs="Arial"/>
          <w:i/>
          <w:color w:val="222222"/>
          <w:shd w:val="clear" w:color="auto" w:fill="FFFFFF"/>
        </w:rPr>
        <w:t xml:space="preserve">hoice, and </w:t>
      </w:r>
      <w:r w:rsidR="00426962" w:rsidRPr="00426962">
        <w:rPr>
          <w:rFonts w:asciiTheme="majorHAnsi" w:hAnsiTheme="majorHAnsi" w:cs="Arial"/>
          <w:i/>
          <w:color w:val="222222"/>
          <w:shd w:val="clear" w:color="auto" w:fill="FFFFFF"/>
        </w:rPr>
        <w:t>C</w:t>
      </w:r>
      <w:r w:rsidRPr="00426962">
        <w:rPr>
          <w:rFonts w:asciiTheme="majorHAnsi" w:hAnsiTheme="majorHAnsi" w:cs="Arial"/>
          <w:i/>
          <w:color w:val="222222"/>
          <w:shd w:val="clear" w:color="auto" w:fill="FFFFFF"/>
        </w:rPr>
        <w:t>ommitment</w:t>
      </w:r>
      <w:r w:rsidRPr="007C7CD8">
        <w:rPr>
          <w:rFonts w:asciiTheme="majorHAnsi" w:hAnsiTheme="majorHAnsi" w:cs="Arial"/>
          <w:color w:val="222222"/>
          <w:shd w:val="clear" w:color="auto" w:fill="FFFFFF"/>
        </w:rPr>
        <w:t xml:space="preserve">. </w:t>
      </w:r>
      <w:r w:rsidR="00426962">
        <w:rPr>
          <w:rFonts w:asciiTheme="majorHAnsi" w:hAnsiTheme="majorHAnsi" w:cs="Arial"/>
          <w:color w:val="222222"/>
          <w:shd w:val="clear" w:color="auto" w:fill="FFFFFF"/>
        </w:rPr>
        <w:t>F</w:t>
      </w:r>
      <w:r w:rsidRPr="007C7CD8">
        <w:rPr>
          <w:rFonts w:asciiTheme="majorHAnsi" w:hAnsiTheme="majorHAnsi" w:cs="Arial"/>
          <w:color w:val="222222"/>
          <w:shd w:val="clear" w:color="auto" w:fill="FFFFFF"/>
        </w:rPr>
        <w:t xml:space="preserve">ree </w:t>
      </w:r>
      <w:r w:rsidR="00426962">
        <w:rPr>
          <w:rFonts w:asciiTheme="majorHAnsi" w:hAnsiTheme="majorHAnsi" w:cs="Arial"/>
          <w:color w:val="222222"/>
          <w:shd w:val="clear" w:color="auto" w:fill="FFFFFF"/>
        </w:rPr>
        <w:t>Press,</w:t>
      </w:r>
      <w:r w:rsidRPr="007C7CD8">
        <w:rPr>
          <w:rFonts w:asciiTheme="majorHAnsi" w:hAnsiTheme="majorHAnsi" w:cs="Arial"/>
          <w:color w:val="222222"/>
          <w:shd w:val="clear" w:color="auto" w:fill="FFFFFF"/>
        </w:rPr>
        <w:t xml:space="preserve"> 1977.</w:t>
      </w:r>
    </w:p>
    <w:p w14:paraId="4AB1F5B6" w14:textId="2F564E9F"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Mills</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426962">
        <w:rPr>
          <w:rFonts w:asciiTheme="majorHAnsi" w:hAnsiTheme="majorHAnsi" w:cs="Arial"/>
          <w:color w:val="222222"/>
          <w:shd w:val="clear" w:color="auto" w:fill="FFFFFF"/>
        </w:rPr>
        <w:t xml:space="preserve"> &amp; </w:t>
      </w:r>
      <w:r w:rsidRPr="007C7CD8">
        <w:rPr>
          <w:rFonts w:asciiTheme="majorHAnsi" w:hAnsiTheme="majorHAnsi" w:cs="Arial"/>
          <w:color w:val="222222"/>
          <w:shd w:val="clear" w:color="auto" w:fill="FFFFFF"/>
        </w:rPr>
        <w:t>Jellison</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M. Avoidance of discrepant information prior to commitment. </w:t>
      </w:r>
      <w:r w:rsidRPr="00426962">
        <w:rPr>
          <w:rFonts w:asciiTheme="majorHAnsi" w:hAnsiTheme="majorHAnsi" w:cs="Arial"/>
          <w:i/>
          <w:color w:val="222222"/>
          <w:shd w:val="clear" w:color="auto" w:fill="FFFFFF"/>
        </w:rPr>
        <w:t>Journal of Personality and Social Psychology</w:t>
      </w:r>
      <w:r w:rsidRPr="007C7CD8">
        <w:rPr>
          <w:rFonts w:asciiTheme="majorHAnsi" w:hAnsiTheme="majorHAnsi" w:cs="Arial"/>
          <w:color w:val="222222"/>
          <w:shd w:val="clear" w:color="auto" w:fill="FFFFFF"/>
        </w:rPr>
        <w:t>. 1968</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Jan</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8</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(1p</w:t>
      </w:r>
      <w:r w:rsidR="00426962">
        <w:rPr>
          <w:rFonts w:asciiTheme="majorHAnsi" w:hAnsiTheme="majorHAnsi" w:cs="Arial"/>
          <w:color w:val="222222"/>
          <w:shd w:val="clear" w:color="auto" w:fill="FFFFFF"/>
        </w:rPr>
        <w:t>t</w:t>
      </w:r>
      <w:r w:rsidRPr="007C7CD8">
        <w:rPr>
          <w:rFonts w:asciiTheme="majorHAnsi" w:hAnsiTheme="majorHAnsi" w:cs="Arial"/>
          <w:color w:val="222222"/>
          <w:shd w:val="clear" w:color="auto" w:fill="FFFFFF"/>
        </w:rPr>
        <w:t>1)</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59</w:t>
      </w:r>
      <w:r w:rsidR="00426962">
        <w:rPr>
          <w:rFonts w:asciiTheme="majorHAnsi" w:hAnsiTheme="majorHAnsi" w:cs="Arial"/>
          <w:color w:val="222222"/>
          <w:shd w:val="clear" w:color="auto" w:fill="FFFFFF"/>
        </w:rPr>
        <w:t>-62</w:t>
      </w:r>
      <w:r w:rsidRPr="007C7CD8">
        <w:rPr>
          <w:rFonts w:asciiTheme="majorHAnsi" w:hAnsiTheme="majorHAnsi" w:cs="Arial"/>
          <w:color w:val="222222"/>
          <w:shd w:val="clear" w:color="auto" w:fill="FFFFFF"/>
        </w:rPr>
        <w:t>.</w:t>
      </w:r>
      <w:r w:rsidRPr="007C7CD8">
        <w:rPr>
          <w:rFonts w:asciiTheme="majorHAnsi" w:hAnsiTheme="majorHAnsi"/>
        </w:rPr>
        <w:t xml:space="preserve"> </w:t>
      </w:r>
    </w:p>
    <w:p w14:paraId="282C2228" w14:textId="2807F4C3"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Montgomery</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H</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426962">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Willén</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H. Decision making and action: The search for a good structure. </w:t>
      </w:r>
      <w:r w:rsidRPr="00426962">
        <w:rPr>
          <w:rFonts w:asciiTheme="majorHAnsi" w:hAnsiTheme="majorHAnsi" w:cs="Arial"/>
          <w:i/>
          <w:color w:val="222222"/>
          <w:shd w:val="clear" w:color="auto" w:fill="FFFFFF"/>
        </w:rPr>
        <w:t xml:space="preserve">Judgment and </w:t>
      </w:r>
      <w:r w:rsidR="00426962" w:rsidRPr="00426962">
        <w:rPr>
          <w:rFonts w:asciiTheme="majorHAnsi" w:hAnsiTheme="majorHAnsi" w:cs="Arial"/>
          <w:i/>
          <w:color w:val="222222"/>
          <w:shd w:val="clear" w:color="auto" w:fill="FFFFFF"/>
        </w:rPr>
        <w:t>D</w:t>
      </w:r>
      <w:r w:rsidRPr="00426962">
        <w:rPr>
          <w:rFonts w:asciiTheme="majorHAnsi" w:hAnsiTheme="majorHAnsi" w:cs="Arial"/>
          <w:i/>
          <w:color w:val="222222"/>
          <w:shd w:val="clear" w:color="auto" w:fill="FFFFFF"/>
        </w:rPr>
        <w:t xml:space="preserve">ecision </w:t>
      </w:r>
      <w:r w:rsidR="00426962" w:rsidRPr="00426962">
        <w:rPr>
          <w:rFonts w:asciiTheme="majorHAnsi" w:hAnsiTheme="majorHAnsi" w:cs="Arial"/>
          <w:i/>
          <w:color w:val="222222"/>
          <w:shd w:val="clear" w:color="auto" w:fill="FFFFFF"/>
        </w:rPr>
        <w:t>M</w:t>
      </w:r>
      <w:r w:rsidRPr="00426962">
        <w:rPr>
          <w:rFonts w:asciiTheme="majorHAnsi" w:hAnsiTheme="majorHAnsi" w:cs="Arial"/>
          <w:i/>
          <w:color w:val="222222"/>
          <w:shd w:val="clear" w:color="auto" w:fill="FFFFFF"/>
        </w:rPr>
        <w:t xml:space="preserve">aking: Neo-Brunswikian and </w:t>
      </w:r>
      <w:r w:rsidR="00426962" w:rsidRPr="00426962">
        <w:rPr>
          <w:rFonts w:asciiTheme="majorHAnsi" w:hAnsiTheme="majorHAnsi" w:cs="Arial"/>
          <w:i/>
          <w:color w:val="222222"/>
          <w:shd w:val="clear" w:color="auto" w:fill="FFFFFF"/>
        </w:rPr>
        <w:t>P</w:t>
      </w:r>
      <w:r w:rsidRPr="00426962">
        <w:rPr>
          <w:rFonts w:asciiTheme="majorHAnsi" w:hAnsiTheme="majorHAnsi" w:cs="Arial"/>
          <w:i/>
          <w:color w:val="222222"/>
          <w:shd w:val="clear" w:color="auto" w:fill="FFFFFF"/>
        </w:rPr>
        <w:t>rocess-</w:t>
      </w:r>
      <w:r w:rsidR="00426962" w:rsidRPr="00426962">
        <w:rPr>
          <w:rFonts w:asciiTheme="majorHAnsi" w:hAnsiTheme="majorHAnsi" w:cs="Arial"/>
          <w:i/>
          <w:color w:val="222222"/>
          <w:shd w:val="clear" w:color="auto" w:fill="FFFFFF"/>
        </w:rPr>
        <w:t>T</w:t>
      </w:r>
      <w:r w:rsidRPr="00426962">
        <w:rPr>
          <w:rFonts w:asciiTheme="majorHAnsi" w:hAnsiTheme="majorHAnsi" w:cs="Arial"/>
          <w:i/>
          <w:color w:val="222222"/>
          <w:shd w:val="clear" w:color="auto" w:fill="FFFFFF"/>
        </w:rPr>
        <w:t xml:space="preserve">racing </w:t>
      </w:r>
      <w:r w:rsidR="00426962" w:rsidRPr="00426962">
        <w:rPr>
          <w:rFonts w:asciiTheme="majorHAnsi" w:hAnsiTheme="majorHAnsi" w:cs="Arial"/>
          <w:i/>
          <w:color w:val="222222"/>
          <w:shd w:val="clear" w:color="auto" w:fill="FFFFFF"/>
        </w:rPr>
        <w:t>A</w:t>
      </w:r>
      <w:r w:rsidRPr="00426962">
        <w:rPr>
          <w:rFonts w:asciiTheme="majorHAnsi" w:hAnsiTheme="majorHAnsi" w:cs="Arial"/>
          <w:i/>
          <w:color w:val="222222"/>
          <w:shd w:val="clear" w:color="auto" w:fill="FFFFFF"/>
        </w:rPr>
        <w:t>pproaches</w:t>
      </w:r>
      <w:r w:rsidRPr="007C7CD8">
        <w:rPr>
          <w:rFonts w:asciiTheme="majorHAnsi" w:hAnsiTheme="majorHAnsi" w:cs="Arial"/>
          <w:color w:val="222222"/>
          <w:shd w:val="clear" w:color="auto" w:fill="FFFFFF"/>
        </w:rPr>
        <w:t>. 1999</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147-73.</w:t>
      </w:r>
    </w:p>
    <w:p w14:paraId="4027269B" w14:textId="6F578A53"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Holyoak</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K</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426962">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Simon</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 Bidirectional reasoning in decision making by constraint satisfaction</w:t>
      </w:r>
      <w:r w:rsidRPr="00426962">
        <w:rPr>
          <w:rFonts w:asciiTheme="majorHAnsi" w:hAnsiTheme="majorHAnsi" w:cs="Arial"/>
          <w:i/>
          <w:color w:val="222222"/>
          <w:shd w:val="clear" w:color="auto" w:fill="FFFFFF"/>
        </w:rPr>
        <w:t>. Journal of Experimental Psychology: General</w:t>
      </w:r>
      <w:r w:rsidRPr="007C7CD8">
        <w:rPr>
          <w:rFonts w:asciiTheme="majorHAnsi" w:hAnsiTheme="majorHAnsi" w:cs="Arial"/>
          <w:color w:val="222222"/>
          <w:shd w:val="clear" w:color="auto" w:fill="FFFFFF"/>
        </w:rPr>
        <w:t>. 1999</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Mar</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128(1)</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w:t>
      </w:r>
      <w:r w:rsidRPr="007C7CD8">
        <w:rPr>
          <w:rFonts w:asciiTheme="majorHAnsi" w:hAnsiTheme="majorHAnsi"/>
          <w:bCs/>
          <w:color w:val="000000"/>
          <w:kern w:val="28"/>
        </w:rPr>
        <w:t xml:space="preserve"> </w:t>
      </w:r>
    </w:p>
    <w:p w14:paraId="3900EC7D" w14:textId="2BCDC833"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Simon</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Krawczyk</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C</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426962">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Holyoak</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K</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J. Construction of preferences by constraint satisfaction. </w:t>
      </w:r>
      <w:r w:rsidRPr="00426962">
        <w:rPr>
          <w:rFonts w:asciiTheme="majorHAnsi" w:hAnsiTheme="majorHAnsi" w:cs="Arial"/>
          <w:i/>
          <w:color w:val="222222"/>
          <w:shd w:val="clear" w:color="auto" w:fill="FFFFFF"/>
        </w:rPr>
        <w:t>Psychological Science</w:t>
      </w:r>
      <w:r w:rsidRPr="007C7CD8">
        <w:rPr>
          <w:rFonts w:asciiTheme="majorHAnsi" w:hAnsiTheme="majorHAnsi" w:cs="Arial"/>
          <w:color w:val="222222"/>
          <w:shd w:val="clear" w:color="auto" w:fill="FFFFFF"/>
        </w:rPr>
        <w:t>. 2004</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May</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15(5)</w:t>
      </w:r>
      <w:r w:rsidR="00426962">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331-6.</w:t>
      </w:r>
      <w:r w:rsidRPr="007C7CD8">
        <w:rPr>
          <w:rFonts w:asciiTheme="majorHAnsi" w:hAnsiTheme="majorHAnsi"/>
          <w:bCs/>
          <w:color w:val="000000"/>
          <w:kern w:val="28"/>
        </w:rPr>
        <w:t xml:space="preserve"> </w:t>
      </w:r>
    </w:p>
    <w:p w14:paraId="737D4BA0" w14:textId="23356A4A"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Simon</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426962">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Snow</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C</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J</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E020E">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Read</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 The redux of cognitive consistency theories: evi</w:t>
      </w:r>
      <w:r w:rsidR="000E020E">
        <w:rPr>
          <w:rFonts w:asciiTheme="majorHAnsi" w:hAnsiTheme="majorHAnsi" w:cs="Arial"/>
          <w:color w:val="222222"/>
          <w:shd w:val="clear" w:color="auto" w:fill="FFFFFF"/>
        </w:rPr>
        <w:t>d</w:t>
      </w:r>
      <w:r w:rsidRPr="007C7CD8">
        <w:rPr>
          <w:rFonts w:asciiTheme="majorHAnsi" w:hAnsiTheme="majorHAnsi" w:cs="Arial"/>
          <w:color w:val="222222"/>
          <w:shd w:val="clear" w:color="auto" w:fill="FFFFFF"/>
        </w:rPr>
        <w:t xml:space="preserve">ence judgments by constraint satisfaction. Journal of </w:t>
      </w:r>
      <w:r w:rsidR="000E020E">
        <w:rPr>
          <w:rFonts w:asciiTheme="majorHAnsi" w:hAnsiTheme="majorHAnsi" w:cs="Arial"/>
          <w:color w:val="222222"/>
          <w:shd w:val="clear" w:color="auto" w:fill="FFFFFF"/>
        </w:rPr>
        <w:t>P</w:t>
      </w:r>
      <w:r w:rsidRPr="007C7CD8">
        <w:rPr>
          <w:rFonts w:asciiTheme="majorHAnsi" w:hAnsiTheme="majorHAnsi" w:cs="Arial"/>
          <w:color w:val="222222"/>
          <w:shd w:val="clear" w:color="auto" w:fill="FFFFFF"/>
        </w:rPr>
        <w:t xml:space="preserve">ersonality and </w:t>
      </w:r>
      <w:r w:rsidR="000E020E">
        <w:rPr>
          <w:rFonts w:asciiTheme="majorHAnsi" w:hAnsiTheme="majorHAnsi" w:cs="Arial"/>
          <w:color w:val="222222"/>
          <w:shd w:val="clear" w:color="auto" w:fill="FFFFFF"/>
        </w:rPr>
        <w:t>S</w:t>
      </w:r>
      <w:r w:rsidRPr="007C7CD8">
        <w:rPr>
          <w:rFonts w:asciiTheme="majorHAnsi" w:hAnsiTheme="majorHAnsi" w:cs="Arial"/>
          <w:color w:val="222222"/>
          <w:shd w:val="clear" w:color="auto" w:fill="FFFFFF"/>
        </w:rPr>
        <w:t xml:space="preserve">ocial </w:t>
      </w:r>
      <w:r w:rsidR="000E020E">
        <w:rPr>
          <w:rFonts w:asciiTheme="majorHAnsi" w:hAnsiTheme="majorHAnsi" w:cs="Arial"/>
          <w:color w:val="222222"/>
          <w:shd w:val="clear" w:color="auto" w:fill="FFFFFF"/>
        </w:rPr>
        <w:t>P</w:t>
      </w:r>
      <w:r w:rsidRPr="007C7CD8">
        <w:rPr>
          <w:rFonts w:asciiTheme="majorHAnsi" w:hAnsiTheme="majorHAnsi" w:cs="Arial"/>
          <w:color w:val="222222"/>
          <w:shd w:val="clear" w:color="auto" w:fill="FFFFFF"/>
        </w:rPr>
        <w:t>sychology. 2004</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Jun</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86(6)</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814</w:t>
      </w:r>
      <w:r w:rsidR="000E020E">
        <w:rPr>
          <w:rFonts w:asciiTheme="majorHAnsi" w:hAnsiTheme="majorHAnsi" w:cs="Arial"/>
          <w:color w:val="222222"/>
          <w:shd w:val="clear" w:color="auto" w:fill="FFFFFF"/>
        </w:rPr>
        <w:t>-837</w:t>
      </w:r>
      <w:r w:rsidRPr="007C7CD8">
        <w:rPr>
          <w:rFonts w:asciiTheme="majorHAnsi" w:hAnsiTheme="majorHAnsi" w:cs="Arial"/>
          <w:color w:val="222222"/>
          <w:shd w:val="clear" w:color="auto" w:fill="FFFFFF"/>
        </w:rPr>
        <w:t>.</w:t>
      </w:r>
    </w:p>
    <w:p w14:paraId="28CB3F9F" w14:textId="26D1F5A9"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Ben-David</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I</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E020E">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Hirshleifer</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 Are investors really reluctant to realize their losses? Trading responses to past returns and the disposition effect. </w:t>
      </w:r>
      <w:r w:rsidRPr="000E020E">
        <w:rPr>
          <w:rFonts w:asciiTheme="majorHAnsi" w:hAnsiTheme="majorHAnsi" w:cs="Arial"/>
          <w:i/>
          <w:color w:val="222222"/>
          <w:shd w:val="clear" w:color="auto" w:fill="FFFFFF"/>
        </w:rPr>
        <w:t>The Review of Financial Studies</w:t>
      </w:r>
      <w:r w:rsidRPr="007C7CD8">
        <w:rPr>
          <w:rFonts w:asciiTheme="majorHAnsi" w:hAnsiTheme="majorHAnsi" w:cs="Arial"/>
          <w:color w:val="222222"/>
          <w:shd w:val="clear" w:color="auto" w:fill="FFFFFF"/>
        </w:rPr>
        <w:t>. 2012</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Jul 9</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25(8)</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2485-532.</w:t>
      </w:r>
    </w:p>
    <w:p w14:paraId="18549267" w14:textId="49EFCEF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Kiefer</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N</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M. Economic duration data and hazard functions. </w:t>
      </w:r>
      <w:r w:rsidRPr="000E020E">
        <w:rPr>
          <w:rFonts w:asciiTheme="majorHAnsi" w:hAnsiTheme="majorHAnsi" w:cs="Arial"/>
          <w:i/>
          <w:color w:val="222222"/>
          <w:shd w:val="clear" w:color="auto" w:fill="FFFFFF"/>
        </w:rPr>
        <w:t xml:space="preserve">Journal of </w:t>
      </w:r>
      <w:r w:rsidR="000E020E" w:rsidRPr="000E020E">
        <w:rPr>
          <w:rFonts w:asciiTheme="majorHAnsi" w:hAnsiTheme="majorHAnsi" w:cs="Arial"/>
          <w:i/>
          <w:color w:val="222222"/>
          <w:shd w:val="clear" w:color="auto" w:fill="FFFFFF"/>
        </w:rPr>
        <w:t>E</w:t>
      </w:r>
      <w:r w:rsidRPr="000E020E">
        <w:rPr>
          <w:rFonts w:asciiTheme="majorHAnsi" w:hAnsiTheme="majorHAnsi" w:cs="Arial"/>
          <w:i/>
          <w:color w:val="222222"/>
          <w:shd w:val="clear" w:color="auto" w:fill="FFFFFF"/>
        </w:rPr>
        <w:t xml:space="preserve">conomic </w:t>
      </w:r>
      <w:r w:rsidR="000E020E" w:rsidRPr="000E020E">
        <w:rPr>
          <w:rFonts w:asciiTheme="majorHAnsi" w:hAnsiTheme="majorHAnsi" w:cs="Arial"/>
          <w:i/>
          <w:color w:val="222222"/>
          <w:shd w:val="clear" w:color="auto" w:fill="FFFFFF"/>
        </w:rPr>
        <w:t>L</w:t>
      </w:r>
      <w:r w:rsidRPr="000E020E">
        <w:rPr>
          <w:rFonts w:asciiTheme="majorHAnsi" w:hAnsiTheme="majorHAnsi" w:cs="Arial"/>
          <w:i/>
          <w:color w:val="222222"/>
          <w:shd w:val="clear" w:color="auto" w:fill="FFFFFF"/>
        </w:rPr>
        <w:t>iterature</w:t>
      </w:r>
      <w:r w:rsidRPr="007C7CD8">
        <w:rPr>
          <w:rFonts w:asciiTheme="majorHAnsi" w:hAnsiTheme="majorHAnsi" w:cs="Arial"/>
          <w:color w:val="222222"/>
          <w:shd w:val="clear" w:color="auto" w:fill="FFFFFF"/>
        </w:rPr>
        <w:t>. 1988</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Jun 1</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26(2)</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646-79.</w:t>
      </w:r>
    </w:p>
    <w:p w14:paraId="7F813283" w14:textId="259E60FA"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Box-Steffensmeier</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 J</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M</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E020E">
        <w:rPr>
          <w:rFonts w:asciiTheme="majorHAnsi" w:hAnsiTheme="majorHAnsi" w:cs="Arial"/>
          <w:color w:val="222222"/>
          <w:shd w:val="clear" w:color="auto" w:fill="FFFFFF"/>
        </w:rPr>
        <w:t xml:space="preserve"> &amp; </w:t>
      </w:r>
      <w:r w:rsidRPr="007C7CD8">
        <w:rPr>
          <w:rFonts w:asciiTheme="majorHAnsi" w:hAnsiTheme="majorHAnsi" w:cs="Arial"/>
          <w:color w:val="222222"/>
          <w:shd w:val="clear" w:color="auto" w:fill="FFFFFF"/>
        </w:rPr>
        <w:t>Jones</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B</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S. Time is of the essence: Event history models in political science. </w:t>
      </w:r>
      <w:r w:rsidRPr="000E020E">
        <w:rPr>
          <w:rFonts w:asciiTheme="majorHAnsi" w:hAnsiTheme="majorHAnsi" w:cs="Arial"/>
          <w:i/>
          <w:color w:val="222222"/>
          <w:shd w:val="clear" w:color="auto" w:fill="FFFFFF"/>
        </w:rPr>
        <w:t>American Journal of Political Science</w:t>
      </w:r>
      <w:r w:rsidRPr="007C7CD8">
        <w:rPr>
          <w:rFonts w:asciiTheme="majorHAnsi" w:hAnsiTheme="majorHAnsi" w:cs="Arial"/>
          <w:color w:val="222222"/>
          <w:shd w:val="clear" w:color="auto" w:fill="FFFFFF"/>
        </w:rPr>
        <w:t>. 1997</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Oct 1</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1414-61.</w:t>
      </w:r>
    </w:p>
    <w:p w14:paraId="1A7BB52B" w14:textId="73C63AF3"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Bennett</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S. Parametric models, duration dependence, and time-varying data revisited. </w:t>
      </w:r>
      <w:r w:rsidRPr="000E020E">
        <w:rPr>
          <w:rFonts w:asciiTheme="majorHAnsi" w:hAnsiTheme="majorHAnsi" w:cs="Arial"/>
          <w:i/>
          <w:color w:val="222222"/>
          <w:shd w:val="clear" w:color="auto" w:fill="FFFFFF"/>
        </w:rPr>
        <w:t>American Journal of Political Science</w:t>
      </w:r>
      <w:r w:rsidRPr="007C7CD8">
        <w:rPr>
          <w:rFonts w:asciiTheme="majorHAnsi" w:hAnsiTheme="majorHAnsi" w:cs="Arial"/>
          <w:color w:val="222222"/>
          <w:shd w:val="clear" w:color="auto" w:fill="FFFFFF"/>
        </w:rPr>
        <w:t>. 1999</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Jan 1</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256-70.</w:t>
      </w:r>
    </w:p>
    <w:p w14:paraId="16E1E38D" w14:textId="38B056F6"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Smith</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K</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R</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E020E">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Zick</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C</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D. Linked lives, dependent demise? Survival analysis of husbands and wives. </w:t>
      </w:r>
      <w:r w:rsidRPr="000E020E">
        <w:rPr>
          <w:rFonts w:asciiTheme="majorHAnsi" w:hAnsiTheme="majorHAnsi" w:cs="Arial"/>
          <w:i/>
          <w:color w:val="222222"/>
          <w:shd w:val="clear" w:color="auto" w:fill="FFFFFF"/>
        </w:rPr>
        <w:t>Demography</w:t>
      </w:r>
      <w:r w:rsidRPr="007C7CD8">
        <w:rPr>
          <w:rFonts w:asciiTheme="majorHAnsi" w:hAnsiTheme="majorHAnsi" w:cs="Arial"/>
          <w:color w:val="222222"/>
          <w:shd w:val="clear" w:color="auto" w:fill="FFFFFF"/>
        </w:rPr>
        <w:t>. 1994</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Feb 1</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31(1)</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81-93.</w:t>
      </w:r>
    </w:p>
    <w:p w14:paraId="72E36326" w14:textId="3F4DE2F5"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Li</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Z</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Zhou</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Choubey</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E020E">
        <w:rPr>
          <w:rFonts w:asciiTheme="majorHAnsi" w:hAnsiTheme="majorHAnsi" w:cs="Arial"/>
          <w:color w:val="222222"/>
          <w:shd w:val="clear" w:color="auto" w:fill="FFFFFF"/>
        </w:rPr>
        <w:t xml:space="preserve"> &amp; </w:t>
      </w:r>
      <w:r w:rsidRPr="007C7CD8">
        <w:rPr>
          <w:rFonts w:asciiTheme="majorHAnsi" w:hAnsiTheme="majorHAnsi" w:cs="Arial"/>
          <w:color w:val="222222"/>
          <w:shd w:val="clear" w:color="auto" w:fill="FFFFFF"/>
        </w:rPr>
        <w:t>Sievenpiper</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C. Failure event prediction using the Cox proportional hazard model driven by frequent failure signatures. </w:t>
      </w:r>
      <w:r w:rsidRPr="000E020E">
        <w:rPr>
          <w:rFonts w:asciiTheme="majorHAnsi" w:hAnsiTheme="majorHAnsi" w:cs="Arial"/>
          <w:i/>
          <w:color w:val="222222"/>
          <w:shd w:val="clear" w:color="auto" w:fill="FFFFFF"/>
        </w:rPr>
        <w:t>IIE transactions</w:t>
      </w:r>
      <w:r w:rsidRPr="007C7CD8">
        <w:rPr>
          <w:rFonts w:asciiTheme="majorHAnsi" w:hAnsiTheme="majorHAnsi" w:cs="Arial"/>
          <w:color w:val="222222"/>
          <w:shd w:val="clear" w:color="auto" w:fill="FFFFFF"/>
        </w:rPr>
        <w:t>. 2007</w:t>
      </w:r>
      <w:r w:rsidR="000E020E">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Mar 1</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39(3)</w:t>
      </w:r>
      <w:r w:rsidR="000E020E">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303-15.</w:t>
      </w:r>
    </w:p>
    <w:p w14:paraId="185F9B39" w14:textId="673F2BAB" w:rsidR="00327615" w:rsidRPr="000014AC" w:rsidRDefault="00327615" w:rsidP="00327615">
      <w:pPr>
        <w:pStyle w:val="ListParagraph"/>
        <w:numPr>
          <w:ilvl w:val="0"/>
          <w:numId w:val="12"/>
        </w:numPr>
        <w:spacing w:after="160" w:line="259" w:lineRule="auto"/>
        <w:ind w:left="426" w:hanging="426"/>
        <w:rPr>
          <w:rFonts w:asciiTheme="majorHAnsi" w:hAnsiTheme="majorHAnsi"/>
        </w:rPr>
      </w:pPr>
      <w:r w:rsidRPr="000014AC">
        <w:rPr>
          <w:rFonts w:asciiTheme="majorHAnsi" w:hAnsiTheme="majorHAnsi" w:cs="Arial"/>
          <w:color w:val="222222"/>
          <w:shd w:val="clear" w:color="auto" w:fill="FFFFFF"/>
        </w:rPr>
        <w:t>Bloemen</w:t>
      </w:r>
      <w:r w:rsidR="000014AC" w:rsidRPr="000014AC">
        <w:rPr>
          <w:rFonts w:asciiTheme="majorHAnsi" w:hAnsiTheme="majorHAnsi" w:cs="Arial"/>
          <w:color w:val="222222"/>
          <w:shd w:val="clear" w:color="auto" w:fill="FFFFFF"/>
        </w:rPr>
        <w:t>,</w:t>
      </w:r>
      <w:r w:rsidRPr="000014AC">
        <w:rPr>
          <w:rFonts w:asciiTheme="majorHAnsi" w:hAnsiTheme="majorHAnsi" w:cs="Arial"/>
          <w:color w:val="222222"/>
          <w:shd w:val="clear" w:color="auto" w:fill="FFFFFF"/>
        </w:rPr>
        <w:t xml:space="preserve"> H</w:t>
      </w:r>
      <w:r w:rsidR="000014AC" w:rsidRPr="000014AC">
        <w:rPr>
          <w:rFonts w:asciiTheme="majorHAnsi" w:hAnsiTheme="majorHAnsi" w:cs="Arial"/>
          <w:color w:val="222222"/>
          <w:shd w:val="clear" w:color="auto" w:fill="FFFFFF"/>
        </w:rPr>
        <w:t>.</w:t>
      </w:r>
      <w:r w:rsidRPr="000014AC">
        <w:rPr>
          <w:rFonts w:asciiTheme="majorHAnsi" w:hAnsiTheme="majorHAnsi" w:cs="Arial"/>
          <w:color w:val="222222"/>
          <w:shd w:val="clear" w:color="auto" w:fill="FFFFFF"/>
        </w:rPr>
        <w:t xml:space="preserve">, </w:t>
      </w:r>
      <w:r w:rsidR="000014AC" w:rsidRPr="000014AC">
        <w:rPr>
          <w:rFonts w:asciiTheme="majorHAnsi" w:hAnsiTheme="majorHAnsi" w:cs="Arial"/>
          <w:color w:val="222222"/>
          <w:shd w:val="clear" w:color="auto" w:fill="FFFFFF"/>
        </w:rPr>
        <w:t xml:space="preserve">&amp; </w:t>
      </w:r>
      <w:r w:rsidRPr="000014AC">
        <w:rPr>
          <w:rFonts w:asciiTheme="majorHAnsi" w:hAnsiTheme="majorHAnsi" w:cs="Arial"/>
          <w:color w:val="222222"/>
          <w:shd w:val="clear" w:color="auto" w:fill="FFFFFF"/>
        </w:rPr>
        <w:t>Kalwij</w:t>
      </w:r>
      <w:r w:rsidR="000014AC" w:rsidRPr="000014AC">
        <w:rPr>
          <w:rFonts w:asciiTheme="majorHAnsi" w:hAnsiTheme="majorHAnsi" w:cs="Arial"/>
          <w:color w:val="222222"/>
          <w:shd w:val="clear" w:color="auto" w:fill="FFFFFF"/>
        </w:rPr>
        <w:t>,</w:t>
      </w:r>
      <w:r w:rsidRPr="000014AC">
        <w:rPr>
          <w:rFonts w:asciiTheme="majorHAnsi" w:hAnsiTheme="majorHAnsi" w:cs="Arial"/>
          <w:color w:val="222222"/>
          <w:shd w:val="clear" w:color="auto" w:fill="FFFFFF"/>
        </w:rPr>
        <w:t xml:space="preserve"> A</w:t>
      </w:r>
      <w:r w:rsidR="000014AC" w:rsidRPr="000014AC">
        <w:rPr>
          <w:rFonts w:asciiTheme="majorHAnsi" w:hAnsiTheme="majorHAnsi" w:cs="Arial"/>
          <w:color w:val="222222"/>
          <w:shd w:val="clear" w:color="auto" w:fill="FFFFFF"/>
        </w:rPr>
        <w:t xml:space="preserve">. </w:t>
      </w:r>
      <w:r w:rsidRPr="000014AC">
        <w:rPr>
          <w:rFonts w:asciiTheme="majorHAnsi" w:hAnsiTheme="majorHAnsi" w:cs="Arial"/>
          <w:color w:val="222222"/>
          <w:shd w:val="clear" w:color="auto" w:fill="FFFFFF"/>
        </w:rPr>
        <w:t xml:space="preserve">S. Female labor market transitions and the timing of births: a simultaneous analysis of the effects of schooling. </w:t>
      </w:r>
      <w:r w:rsidRPr="000014AC">
        <w:rPr>
          <w:rFonts w:asciiTheme="majorHAnsi" w:hAnsiTheme="majorHAnsi" w:cs="Arial"/>
          <w:i/>
          <w:color w:val="222222"/>
          <w:shd w:val="clear" w:color="auto" w:fill="FFFFFF"/>
        </w:rPr>
        <w:t>Labour Economics</w:t>
      </w:r>
      <w:r w:rsidRPr="000014AC">
        <w:rPr>
          <w:rFonts w:asciiTheme="majorHAnsi" w:hAnsiTheme="majorHAnsi" w:cs="Arial"/>
          <w:color w:val="222222"/>
          <w:shd w:val="clear" w:color="auto" w:fill="FFFFFF"/>
        </w:rPr>
        <w:t>. 2001</w:t>
      </w:r>
      <w:r w:rsidR="000014AC">
        <w:rPr>
          <w:rFonts w:asciiTheme="majorHAnsi" w:hAnsiTheme="majorHAnsi" w:cs="Arial"/>
          <w:color w:val="222222"/>
          <w:shd w:val="clear" w:color="auto" w:fill="FFFFFF"/>
        </w:rPr>
        <w:t>,</w:t>
      </w:r>
      <w:r w:rsidRPr="000014AC">
        <w:rPr>
          <w:rFonts w:asciiTheme="majorHAnsi" w:hAnsiTheme="majorHAnsi" w:cs="Arial"/>
          <w:color w:val="222222"/>
          <w:shd w:val="clear" w:color="auto" w:fill="FFFFFF"/>
        </w:rPr>
        <w:t xml:space="preserve"> Dec 31</w:t>
      </w:r>
      <w:r w:rsidR="000014AC">
        <w:rPr>
          <w:rFonts w:asciiTheme="majorHAnsi" w:hAnsiTheme="majorHAnsi" w:cs="Arial"/>
          <w:color w:val="222222"/>
          <w:shd w:val="clear" w:color="auto" w:fill="FFFFFF"/>
        </w:rPr>
        <w:t xml:space="preserve">, </w:t>
      </w:r>
      <w:r w:rsidRPr="000014AC">
        <w:rPr>
          <w:rFonts w:asciiTheme="majorHAnsi" w:hAnsiTheme="majorHAnsi" w:cs="Arial"/>
          <w:color w:val="222222"/>
          <w:shd w:val="clear" w:color="auto" w:fill="FFFFFF"/>
        </w:rPr>
        <w:t>8(5)</w:t>
      </w:r>
      <w:r w:rsidR="000014AC">
        <w:rPr>
          <w:rFonts w:asciiTheme="majorHAnsi" w:hAnsiTheme="majorHAnsi" w:cs="Arial"/>
          <w:color w:val="222222"/>
          <w:shd w:val="clear" w:color="auto" w:fill="FFFFFF"/>
        </w:rPr>
        <w:t xml:space="preserve">, </w:t>
      </w:r>
      <w:r w:rsidRPr="000014AC">
        <w:rPr>
          <w:rFonts w:asciiTheme="majorHAnsi" w:hAnsiTheme="majorHAnsi" w:cs="Arial"/>
          <w:color w:val="222222"/>
          <w:shd w:val="clear" w:color="auto" w:fill="FFFFFF"/>
        </w:rPr>
        <w:t>593-620.</w:t>
      </w:r>
    </w:p>
    <w:p w14:paraId="26D29B45" w14:textId="114B5149"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Lunde</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Timmermann</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014AC">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Blake</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 The hazards of mutual fund underperformance: A Cox regression analysis. </w:t>
      </w:r>
      <w:r w:rsidRPr="000014AC">
        <w:rPr>
          <w:rFonts w:asciiTheme="majorHAnsi" w:hAnsiTheme="majorHAnsi" w:cs="Arial"/>
          <w:i/>
          <w:color w:val="222222"/>
          <w:shd w:val="clear" w:color="auto" w:fill="FFFFFF"/>
        </w:rPr>
        <w:t>Journal of Empirical Finance</w:t>
      </w:r>
      <w:r w:rsidRPr="007C7CD8">
        <w:rPr>
          <w:rFonts w:asciiTheme="majorHAnsi" w:hAnsiTheme="majorHAnsi" w:cs="Arial"/>
          <w:color w:val="222222"/>
          <w:shd w:val="clear" w:color="auto" w:fill="FFFFFF"/>
        </w:rPr>
        <w:t>. 1999</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Apr 30</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6(2)</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121-52.</w:t>
      </w:r>
    </w:p>
    <w:p w14:paraId="789B7D6E" w14:textId="105242CC"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Ongena</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014AC">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Smith</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C. Empirical evidence on the duration of bank relationships. Wharton Financial Institutions Center, Wharton School, University of Pennsylvania</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1997 Mar 18.</w:t>
      </w:r>
    </w:p>
    <w:p w14:paraId="0027DD3A" w14:textId="03AF5ED3"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Shane</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014AC">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Foo</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D. New firm survival: Institutional explanations for new franchisor mortality. </w:t>
      </w:r>
      <w:r w:rsidRPr="000014AC">
        <w:rPr>
          <w:rFonts w:asciiTheme="majorHAnsi" w:hAnsiTheme="majorHAnsi" w:cs="Arial"/>
          <w:i/>
          <w:color w:val="222222"/>
          <w:shd w:val="clear" w:color="auto" w:fill="FFFFFF"/>
        </w:rPr>
        <w:t>Management Science</w:t>
      </w:r>
      <w:r w:rsidRPr="007C7CD8">
        <w:rPr>
          <w:rFonts w:asciiTheme="majorHAnsi" w:hAnsiTheme="majorHAnsi" w:cs="Arial"/>
          <w:color w:val="222222"/>
          <w:shd w:val="clear" w:color="auto" w:fill="FFFFFF"/>
        </w:rPr>
        <w:t>. 1999</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Feb</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45(2)</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142-59.</w:t>
      </w:r>
    </w:p>
    <w:p w14:paraId="145E9BB7" w14:textId="2E7AAE65"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Kamakura</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A</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014AC">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Kossar</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B</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S</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014AC">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Wedel</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 Identifying innovators for the cross-selling of new products. </w:t>
      </w:r>
      <w:r w:rsidRPr="000014AC">
        <w:rPr>
          <w:rFonts w:asciiTheme="majorHAnsi" w:hAnsiTheme="majorHAnsi" w:cs="Arial"/>
          <w:i/>
          <w:color w:val="222222"/>
          <w:shd w:val="clear" w:color="auto" w:fill="FFFFFF"/>
        </w:rPr>
        <w:t>Management Science</w:t>
      </w:r>
      <w:r w:rsidRPr="007C7CD8">
        <w:rPr>
          <w:rFonts w:asciiTheme="majorHAnsi" w:hAnsiTheme="majorHAnsi" w:cs="Arial"/>
          <w:color w:val="222222"/>
          <w:shd w:val="clear" w:color="auto" w:fill="FFFFFF"/>
        </w:rPr>
        <w:t>. 2004</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Aug</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50(8)</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1120-33.</w:t>
      </w:r>
    </w:p>
    <w:p w14:paraId="0C888451" w14:textId="02A3B7F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Cox</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R. Regression models and life-tables. In</w:t>
      </w:r>
      <w:r w:rsidR="00A419C0">
        <w:rPr>
          <w:rFonts w:asciiTheme="majorHAnsi" w:hAnsiTheme="majorHAnsi" w:cs="Arial"/>
          <w:color w:val="222222"/>
          <w:shd w:val="clear" w:color="auto" w:fill="FFFFFF"/>
        </w:rPr>
        <w:t xml:space="preserve"> </w:t>
      </w:r>
      <w:r w:rsidRPr="000014AC">
        <w:rPr>
          <w:rFonts w:asciiTheme="majorHAnsi" w:hAnsiTheme="majorHAnsi" w:cs="Arial"/>
          <w:i/>
          <w:color w:val="222222"/>
          <w:shd w:val="clear" w:color="auto" w:fill="FFFFFF"/>
        </w:rPr>
        <w:t xml:space="preserve">Breakthroughs in </w:t>
      </w:r>
      <w:r w:rsidR="000014AC" w:rsidRPr="000014AC">
        <w:rPr>
          <w:rFonts w:asciiTheme="majorHAnsi" w:hAnsiTheme="majorHAnsi" w:cs="Arial"/>
          <w:i/>
          <w:color w:val="222222"/>
          <w:shd w:val="clear" w:color="auto" w:fill="FFFFFF"/>
        </w:rPr>
        <w:t>S</w:t>
      </w:r>
      <w:r w:rsidRPr="000014AC">
        <w:rPr>
          <w:rFonts w:asciiTheme="majorHAnsi" w:hAnsiTheme="majorHAnsi" w:cs="Arial"/>
          <w:i/>
          <w:color w:val="222222"/>
          <w:shd w:val="clear" w:color="auto" w:fill="FFFFFF"/>
        </w:rPr>
        <w:t>tatistics</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1992 (pp. 527-541)</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Springer</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New York.</w:t>
      </w:r>
    </w:p>
    <w:p w14:paraId="6C48C82F" w14:textId="06BEA928"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Lane</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R</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Looney</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W</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0014AC">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Wansley</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W. An application of the Cox proportional hazards model to bank failure. </w:t>
      </w:r>
      <w:r w:rsidRPr="000014AC">
        <w:rPr>
          <w:rFonts w:asciiTheme="majorHAnsi" w:hAnsiTheme="majorHAnsi" w:cs="Arial"/>
          <w:i/>
          <w:color w:val="222222"/>
          <w:shd w:val="clear" w:color="auto" w:fill="FFFFFF"/>
        </w:rPr>
        <w:t>Journal of Banking &amp; Finance</w:t>
      </w:r>
      <w:r w:rsidRPr="007C7CD8">
        <w:rPr>
          <w:rFonts w:asciiTheme="majorHAnsi" w:hAnsiTheme="majorHAnsi" w:cs="Arial"/>
          <w:color w:val="222222"/>
          <w:shd w:val="clear" w:color="auto" w:fill="FFFFFF"/>
        </w:rPr>
        <w:t>. 1986</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Dec 1</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10(4)</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511-31.</w:t>
      </w:r>
      <w:r w:rsidRPr="007C7CD8">
        <w:rPr>
          <w:rFonts w:asciiTheme="majorHAnsi" w:hAnsiTheme="majorHAnsi"/>
          <w:lang w:val="en-US"/>
        </w:rPr>
        <w:t xml:space="preserve"> </w:t>
      </w:r>
    </w:p>
    <w:p w14:paraId="3F349E47" w14:textId="20632ACA"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364BC8">
        <w:rPr>
          <w:rFonts w:asciiTheme="majorHAnsi" w:hAnsiTheme="majorHAnsi" w:cs="Arial"/>
          <w:color w:val="222222"/>
          <w:shd w:val="clear" w:color="auto" w:fill="FFFFFF"/>
        </w:rPr>
        <w:t>Ma</w:t>
      </w:r>
      <w:r w:rsidR="000014AC" w:rsidRP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T</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Tang</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L</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McGroarty</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F</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Sung</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C</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Johnson</w:t>
      </w:r>
      <w:r w:rsidR="000014AC">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0014AC">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E. </w:t>
      </w:r>
      <w:r w:rsidR="00364BC8">
        <w:rPr>
          <w:rFonts w:asciiTheme="majorHAnsi" w:hAnsiTheme="majorHAnsi" w:cs="Arial"/>
          <w:color w:val="222222"/>
          <w:shd w:val="clear" w:color="auto" w:fill="FFFFFF"/>
        </w:rPr>
        <w:t xml:space="preserve">V. </w:t>
      </w:r>
      <w:r w:rsidRPr="007C7CD8">
        <w:rPr>
          <w:rFonts w:asciiTheme="majorHAnsi" w:hAnsiTheme="majorHAnsi" w:cs="Arial"/>
          <w:color w:val="222222"/>
          <w:shd w:val="clear" w:color="auto" w:fill="FFFFFF"/>
        </w:rPr>
        <w:t xml:space="preserve">Time is money: Costing the impact of duration misperception in market prices. </w:t>
      </w:r>
      <w:r w:rsidRPr="000014AC">
        <w:rPr>
          <w:rFonts w:asciiTheme="majorHAnsi" w:hAnsiTheme="majorHAnsi" w:cs="Arial"/>
          <w:i/>
          <w:color w:val="222222"/>
          <w:shd w:val="clear" w:color="auto" w:fill="FFFFFF"/>
        </w:rPr>
        <w:t>European Journal of Operational Research</w:t>
      </w:r>
      <w:r w:rsidRPr="007C7CD8">
        <w:rPr>
          <w:rFonts w:asciiTheme="majorHAnsi" w:hAnsiTheme="majorHAnsi" w:cs="Arial"/>
          <w:color w:val="222222"/>
          <w:shd w:val="clear" w:color="auto" w:fill="FFFFFF"/>
        </w:rPr>
        <w:t>. 2016</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Dec 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255(2)</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397-410.</w:t>
      </w:r>
    </w:p>
    <w:p w14:paraId="60A8E8BA" w14:textId="3A71F2C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Fisher</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L</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D</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Lin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Y. Time-dependent covariates in the Cox proportional-hazards regression model. </w:t>
      </w:r>
      <w:r w:rsidRPr="00364BC8">
        <w:rPr>
          <w:rFonts w:asciiTheme="majorHAnsi" w:hAnsiTheme="majorHAnsi" w:cs="Arial"/>
          <w:i/>
          <w:color w:val="222222"/>
          <w:shd w:val="clear" w:color="auto" w:fill="FFFFFF"/>
        </w:rPr>
        <w:t xml:space="preserve">Annual </w:t>
      </w:r>
      <w:r w:rsidR="00364BC8" w:rsidRPr="00364BC8">
        <w:rPr>
          <w:rFonts w:asciiTheme="majorHAnsi" w:hAnsiTheme="majorHAnsi" w:cs="Arial"/>
          <w:i/>
          <w:color w:val="222222"/>
          <w:shd w:val="clear" w:color="auto" w:fill="FFFFFF"/>
        </w:rPr>
        <w:t>R</w:t>
      </w:r>
      <w:r w:rsidRPr="00364BC8">
        <w:rPr>
          <w:rFonts w:asciiTheme="majorHAnsi" w:hAnsiTheme="majorHAnsi" w:cs="Arial"/>
          <w:i/>
          <w:color w:val="222222"/>
          <w:shd w:val="clear" w:color="auto" w:fill="FFFFFF"/>
        </w:rPr>
        <w:t xml:space="preserve">eview of </w:t>
      </w:r>
      <w:r w:rsidR="00364BC8" w:rsidRPr="00364BC8">
        <w:rPr>
          <w:rFonts w:asciiTheme="majorHAnsi" w:hAnsiTheme="majorHAnsi" w:cs="Arial"/>
          <w:i/>
          <w:color w:val="222222"/>
          <w:shd w:val="clear" w:color="auto" w:fill="FFFFFF"/>
        </w:rPr>
        <w:t>P</w:t>
      </w:r>
      <w:r w:rsidRPr="00364BC8">
        <w:rPr>
          <w:rFonts w:asciiTheme="majorHAnsi" w:hAnsiTheme="majorHAnsi" w:cs="Arial"/>
          <w:i/>
          <w:color w:val="222222"/>
          <w:shd w:val="clear" w:color="auto" w:fill="FFFFFF"/>
        </w:rPr>
        <w:t xml:space="preserve">ublic </w:t>
      </w:r>
      <w:r w:rsidR="00364BC8" w:rsidRPr="00364BC8">
        <w:rPr>
          <w:rFonts w:asciiTheme="majorHAnsi" w:hAnsiTheme="majorHAnsi" w:cs="Arial"/>
          <w:i/>
          <w:color w:val="222222"/>
          <w:shd w:val="clear" w:color="auto" w:fill="FFFFFF"/>
        </w:rPr>
        <w:t>H</w:t>
      </w:r>
      <w:r w:rsidRPr="00364BC8">
        <w:rPr>
          <w:rFonts w:asciiTheme="majorHAnsi" w:hAnsiTheme="majorHAnsi" w:cs="Arial"/>
          <w:i/>
          <w:color w:val="222222"/>
          <w:shd w:val="clear" w:color="auto" w:fill="FFFFFF"/>
        </w:rPr>
        <w:t>ealth</w:t>
      </w:r>
      <w:r w:rsidRPr="007C7CD8">
        <w:rPr>
          <w:rFonts w:asciiTheme="majorHAnsi" w:hAnsiTheme="majorHAnsi" w:cs="Arial"/>
          <w:color w:val="222222"/>
          <w:shd w:val="clear" w:color="auto" w:fill="FFFFFF"/>
        </w:rPr>
        <w:t>. 1999</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May</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20(1)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145-57.</w:t>
      </w:r>
    </w:p>
    <w:p w14:paraId="4AF506BB" w14:textId="32CE7A6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Chen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H</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Ibrahim</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G</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Shao</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Q</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M. Maximum likelihood inference for the Cox regression model with applications to missing covariates. </w:t>
      </w:r>
      <w:r w:rsidRPr="00364BC8">
        <w:rPr>
          <w:rFonts w:asciiTheme="majorHAnsi" w:hAnsiTheme="majorHAnsi" w:cs="Arial"/>
          <w:i/>
          <w:color w:val="222222"/>
          <w:shd w:val="clear" w:color="auto" w:fill="FFFFFF"/>
        </w:rPr>
        <w:t xml:space="preserve">Journal of </w:t>
      </w:r>
      <w:r w:rsidR="00364BC8" w:rsidRPr="00364BC8">
        <w:rPr>
          <w:rFonts w:asciiTheme="majorHAnsi" w:hAnsiTheme="majorHAnsi" w:cs="Arial"/>
          <w:i/>
          <w:color w:val="222222"/>
          <w:shd w:val="clear" w:color="auto" w:fill="FFFFFF"/>
        </w:rPr>
        <w:t>M</w:t>
      </w:r>
      <w:r w:rsidRPr="00364BC8">
        <w:rPr>
          <w:rFonts w:asciiTheme="majorHAnsi" w:hAnsiTheme="majorHAnsi" w:cs="Arial"/>
          <w:i/>
          <w:color w:val="222222"/>
          <w:shd w:val="clear" w:color="auto" w:fill="FFFFFF"/>
        </w:rPr>
        <w:t xml:space="preserve">ultivariate </w:t>
      </w:r>
      <w:r w:rsidR="00364BC8" w:rsidRPr="00364BC8">
        <w:rPr>
          <w:rFonts w:asciiTheme="majorHAnsi" w:hAnsiTheme="majorHAnsi" w:cs="Arial"/>
          <w:i/>
          <w:color w:val="222222"/>
          <w:shd w:val="clear" w:color="auto" w:fill="FFFFFF"/>
        </w:rPr>
        <w:t>A</w:t>
      </w:r>
      <w:r w:rsidRPr="00364BC8">
        <w:rPr>
          <w:rFonts w:asciiTheme="majorHAnsi" w:hAnsiTheme="majorHAnsi" w:cs="Arial"/>
          <w:i/>
          <w:color w:val="222222"/>
          <w:shd w:val="clear" w:color="auto" w:fill="FFFFFF"/>
        </w:rPr>
        <w:t>nalysis</w:t>
      </w:r>
      <w:r w:rsidRPr="007C7CD8">
        <w:rPr>
          <w:rFonts w:asciiTheme="majorHAnsi" w:hAnsiTheme="majorHAnsi" w:cs="Arial"/>
          <w:color w:val="222222"/>
          <w:shd w:val="clear" w:color="auto" w:fill="FFFFFF"/>
        </w:rPr>
        <w:t>. 2009</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Oct 31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100(9)</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2018-30.</w:t>
      </w:r>
    </w:p>
    <w:p w14:paraId="351001A3" w14:textId="1511D563"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Barber</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B</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M</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Lee</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Y</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T</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Liu</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Y</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Odean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T. Just how much do individual investors lose by trading? </w:t>
      </w:r>
      <w:r w:rsidRPr="00364BC8">
        <w:rPr>
          <w:rFonts w:asciiTheme="majorHAnsi" w:hAnsiTheme="majorHAnsi" w:cs="Arial"/>
          <w:i/>
          <w:color w:val="222222"/>
          <w:shd w:val="clear" w:color="auto" w:fill="FFFFFF"/>
        </w:rPr>
        <w:t>The Review of Financial Studies</w:t>
      </w:r>
      <w:r w:rsidRPr="007C7CD8">
        <w:rPr>
          <w:rFonts w:asciiTheme="majorHAnsi" w:hAnsiTheme="majorHAnsi" w:cs="Arial"/>
          <w:color w:val="222222"/>
          <w:shd w:val="clear" w:color="auto" w:fill="FFFFFF"/>
        </w:rPr>
        <w:t>. 2008</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Apr 19</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22(2)</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609-32.</w:t>
      </w:r>
    </w:p>
    <w:p w14:paraId="421B8B8D" w14:textId="5A96818C"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Hoffmann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O</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Post</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T</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Pennings</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M. Individual investor perceptions and behavior during the financial crisis. </w:t>
      </w:r>
      <w:r w:rsidRPr="00364BC8">
        <w:rPr>
          <w:rFonts w:asciiTheme="majorHAnsi" w:hAnsiTheme="majorHAnsi" w:cs="Arial"/>
          <w:i/>
          <w:color w:val="222222"/>
          <w:shd w:val="clear" w:color="auto" w:fill="FFFFFF"/>
        </w:rPr>
        <w:t>Journal of Banking &amp; Finance</w:t>
      </w:r>
      <w:r w:rsidRPr="007C7CD8">
        <w:rPr>
          <w:rFonts w:asciiTheme="majorHAnsi" w:hAnsiTheme="majorHAnsi" w:cs="Arial"/>
          <w:color w:val="222222"/>
          <w:shd w:val="clear" w:color="auto" w:fill="FFFFFF"/>
        </w:rPr>
        <w:t>. 2013</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Jan 31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37(1)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60-74.</w:t>
      </w:r>
    </w:p>
    <w:p w14:paraId="35C5890C" w14:textId="7C179779"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Hirshleifer</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Luo</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G</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Y. On the survival of overconfident traders in a competitive securities market. </w:t>
      </w:r>
      <w:r w:rsidRPr="00364BC8">
        <w:rPr>
          <w:rFonts w:asciiTheme="majorHAnsi" w:hAnsiTheme="majorHAnsi" w:cs="Arial"/>
          <w:i/>
          <w:color w:val="222222"/>
          <w:shd w:val="clear" w:color="auto" w:fill="FFFFFF"/>
        </w:rPr>
        <w:t>Journal of Financial Markets</w:t>
      </w:r>
      <w:r w:rsidRPr="007C7CD8">
        <w:rPr>
          <w:rFonts w:asciiTheme="majorHAnsi" w:hAnsiTheme="majorHAnsi" w:cs="Arial"/>
          <w:color w:val="222222"/>
          <w:shd w:val="clear" w:color="auto" w:fill="FFFFFF"/>
        </w:rPr>
        <w:t>. 2001</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Jan 31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73-84.</w:t>
      </w:r>
      <w:r w:rsidRPr="007C7CD8">
        <w:rPr>
          <w:rFonts w:asciiTheme="majorHAnsi" w:hAnsiTheme="majorHAnsi"/>
          <w:lang w:val="en-US"/>
        </w:rPr>
        <w:t xml:space="preserve"> </w:t>
      </w:r>
    </w:p>
    <w:p w14:paraId="76276F9E" w14:textId="4C3CFAA0"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De Long</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B</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Shleifer</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Summers</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L</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H,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Waldmann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J. Noise trader risk in financial markets. </w:t>
      </w:r>
      <w:r w:rsidRPr="00364BC8">
        <w:rPr>
          <w:rFonts w:asciiTheme="majorHAnsi" w:hAnsiTheme="majorHAnsi" w:cs="Arial"/>
          <w:i/>
          <w:color w:val="222222"/>
          <w:shd w:val="clear" w:color="auto" w:fill="FFFFFF"/>
        </w:rPr>
        <w:t xml:space="preserve">Journal of </w:t>
      </w:r>
      <w:r w:rsidR="00364BC8" w:rsidRPr="00364BC8">
        <w:rPr>
          <w:rFonts w:asciiTheme="majorHAnsi" w:hAnsiTheme="majorHAnsi" w:cs="Arial"/>
          <w:i/>
          <w:color w:val="222222"/>
          <w:shd w:val="clear" w:color="auto" w:fill="FFFFFF"/>
        </w:rPr>
        <w:t>P</w:t>
      </w:r>
      <w:r w:rsidRPr="00364BC8">
        <w:rPr>
          <w:rFonts w:asciiTheme="majorHAnsi" w:hAnsiTheme="majorHAnsi" w:cs="Arial"/>
          <w:i/>
          <w:color w:val="222222"/>
          <w:shd w:val="clear" w:color="auto" w:fill="FFFFFF"/>
        </w:rPr>
        <w:t>olitical Economy</w:t>
      </w:r>
      <w:r w:rsidRPr="007C7CD8">
        <w:rPr>
          <w:rFonts w:asciiTheme="majorHAnsi" w:hAnsiTheme="majorHAnsi" w:cs="Arial"/>
          <w:color w:val="222222"/>
          <w:shd w:val="clear" w:color="auto" w:fill="FFFFFF"/>
        </w:rPr>
        <w:t>. 1990</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Aug 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98(4)</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703-38.</w:t>
      </w:r>
      <w:r w:rsidRPr="007C7CD8">
        <w:rPr>
          <w:rFonts w:asciiTheme="majorHAnsi" w:hAnsiTheme="majorHAnsi"/>
          <w:lang w:val="en-US"/>
        </w:rPr>
        <w:t xml:space="preserve"> </w:t>
      </w:r>
    </w:p>
    <w:p w14:paraId="61F1ED91" w14:textId="14486C11"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De Long</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B</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Shleifer</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Summers</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L</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H</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Waldmann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J. The survival of noise traders in financial markets. </w:t>
      </w:r>
      <w:r w:rsidRPr="00364BC8">
        <w:rPr>
          <w:rFonts w:asciiTheme="majorHAnsi" w:hAnsiTheme="majorHAnsi" w:cs="Arial"/>
          <w:i/>
          <w:color w:val="222222"/>
          <w:shd w:val="clear" w:color="auto" w:fill="FFFFFF"/>
        </w:rPr>
        <w:t>Journal of Business</w:t>
      </w:r>
      <w:r w:rsidRPr="007C7CD8">
        <w:rPr>
          <w:rFonts w:asciiTheme="majorHAnsi" w:hAnsiTheme="majorHAnsi" w:cs="Arial"/>
          <w:color w:val="222222"/>
          <w:shd w:val="clear" w:color="auto" w:fill="FFFFFF"/>
        </w:rPr>
        <w:t>. 1991</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64</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1-19.</w:t>
      </w:r>
    </w:p>
    <w:p w14:paraId="1933C68B" w14:textId="1F5A967F" w:rsidR="00327615" w:rsidRPr="007C7CD8" w:rsidRDefault="00327615" w:rsidP="00327615">
      <w:pPr>
        <w:pStyle w:val="ListParagraph"/>
        <w:numPr>
          <w:ilvl w:val="0"/>
          <w:numId w:val="12"/>
        </w:numPr>
        <w:spacing w:after="160" w:line="259" w:lineRule="auto"/>
        <w:ind w:left="426" w:hanging="426"/>
        <w:rPr>
          <w:rStyle w:val="apple-converted-space"/>
          <w:rFonts w:asciiTheme="majorHAnsi" w:hAnsiTheme="majorHAnsi"/>
        </w:rPr>
      </w:pPr>
      <w:r w:rsidRPr="007C7CD8">
        <w:rPr>
          <w:rFonts w:asciiTheme="majorHAnsi" w:hAnsiTheme="majorHAnsi" w:cs="Arial"/>
          <w:color w:val="222222"/>
          <w:shd w:val="clear" w:color="auto" w:fill="FFFFFF"/>
        </w:rPr>
        <w:t>Goudriaan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E</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Oosterlaan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de Beurs</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E</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64BC8">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Van den Brink</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 Pathological gambling: a comprehensive review of biobehavioral findings. </w:t>
      </w:r>
      <w:r w:rsidRPr="00364BC8">
        <w:rPr>
          <w:rFonts w:asciiTheme="majorHAnsi" w:hAnsiTheme="majorHAnsi" w:cs="Arial"/>
          <w:i/>
          <w:color w:val="222222"/>
          <w:shd w:val="clear" w:color="auto" w:fill="FFFFFF"/>
        </w:rPr>
        <w:t>Neuroscience &amp; Biobehavioral Reviews.</w:t>
      </w:r>
      <w:r w:rsidRPr="007C7CD8">
        <w:rPr>
          <w:rFonts w:asciiTheme="majorHAnsi" w:hAnsiTheme="majorHAnsi" w:cs="Arial"/>
          <w:color w:val="222222"/>
          <w:shd w:val="clear" w:color="auto" w:fill="FFFFFF"/>
        </w:rPr>
        <w:t xml:space="preserve"> 2004</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Apr 30</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28(2)</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123-41.</w:t>
      </w:r>
      <w:r w:rsidRPr="007C7CD8">
        <w:rPr>
          <w:rStyle w:val="apple-converted-space"/>
          <w:rFonts w:asciiTheme="majorHAnsi" w:eastAsia="Arial Unicode MS" w:hAnsiTheme="majorHAnsi" w:cs="Arial Unicode MS"/>
          <w:color w:val="2E2E2E"/>
          <w:shd w:val="clear" w:color="auto" w:fill="FFFFFF"/>
        </w:rPr>
        <w:t> </w:t>
      </w:r>
    </w:p>
    <w:p w14:paraId="7254876D" w14:textId="07E07718"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Petry</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N</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M</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Ammerman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Y</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Bohl</w:t>
      </w:r>
      <w:r w:rsidR="00364BC8">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Doersch</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Gay</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H</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Kadden</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Molina</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C</w:t>
      </w:r>
      <w:r w:rsidR="00364BC8">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A47B7B">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Steinberg</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K. Cognitive-behavioral therapy for pathological gamblers. </w:t>
      </w:r>
      <w:r w:rsidRPr="00A47B7B">
        <w:rPr>
          <w:rFonts w:asciiTheme="majorHAnsi" w:hAnsiTheme="majorHAnsi" w:cs="Arial"/>
          <w:i/>
          <w:color w:val="222222"/>
          <w:shd w:val="clear" w:color="auto" w:fill="FFFFFF"/>
        </w:rPr>
        <w:t xml:space="preserve">Journal of </w:t>
      </w:r>
      <w:r w:rsidR="00A47B7B" w:rsidRPr="00A47B7B">
        <w:rPr>
          <w:rFonts w:asciiTheme="majorHAnsi" w:hAnsiTheme="majorHAnsi" w:cs="Arial"/>
          <w:i/>
          <w:color w:val="222222"/>
          <w:shd w:val="clear" w:color="auto" w:fill="FFFFFF"/>
        </w:rPr>
        <w:t>C</w:t>
      </w:r>
      <w:r w:rsidRPr="00A47B7B">
        <w:rPr>
          <w:rFonts w:asciiTheme="majorHAnsi" w:hAnsiTheme="majorHAnsi" w:cs="Arial"/>
          <w:i/>
          <w:color w:val="222222"/>
          <w:shd w:val="clear" w:color="auto" w:fill="FFFFFF"/>
        </w:rPr>
        <w:t xml:space="preserve">onsulting and </w:t>
      </w:r>
      <w:r w:rsidR="00A47B7B" w:rsidRPr="00A47B7B">
        <w:rPr>
          <w:rFonts w:asciiTheme="majorHAnsi" w:hAnsiTheme="majorHAnsi" w:cs="Arial"/>
          <w:i/>
          <w:color w:val="222222"/>
          <w:shd w:val="clear" w:color="auto" w:fill="FFFFFF"/>
        </w:rPr>
        <w:t>C</w:t>
      </w:r>
      <w:r w:rsidRPr="00A47B7B">
        <w:rPr>
          <w:rFonts w:asciiTheme="majorHAnsi" w:hAnsiTheme="majorHAnsi" w:cs="Arial"/>
          <w:i/>
          <w:color w:val="222222"/>
          <w:shd w:val="clear" w:color="auto" w:fill="FFFFFF"/>
        </w:rPr>
        <w:t xml:space="preserve">linical </w:t>
      </w:r>
      <w:r w:rsidR="00A47B7B" w:rsidRPr="00A47B7B">
        <w:rPr>
          <w:rFonts w:asciiTheme="majorHAnsi" w:hAnsiTheme="majorHAnsi" w:cs="Arial"/>
          <w:i/>
          <w:color w:val="222222"/>
          <w:shd w:val="clear" w:color="auto" w:fill="FFFFFF"/>
        </w:rPr>
        <w:t>P</w:t>
      </w:r>
      <w:r w:rsidRPr="00A47B7B">
        <w:rPr>
          <w:rFonts w:asciiTheme="majorHAnsi" w:hAnsiTheme="majorHAnsi" w:cs="Arial"/>
          <w:i/>
          <w:color w:val="222222"/>
          <w:shd w:val="clear" w:color="auto" w:fill="FFFFFF"/>
        </w:rPr>
        <w:t>sychology</w:t>
      </w:r>
      <w:r w:rsidRPr="007C7CD8">
        <w:rPr>
          <w:rFonts w:asciiTheme="majorHAnsi" w:hAnsiTheme="majorHAnsi" w:cs="Arial"/>
          <w:color w:val="222222"/>
          <w:shd w:val="clear" w:color="auto" w:fill="FFFFFF"/>
        </w:rPr>
        <w:t>. 2006</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Jun</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74(3)</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555</w:t>
      </w:r>
      <w:r w:rsidR="00A47B7B">
        <w:rPr>
          <w:rFonts w:asciiTheme="majorHAnsi" w:hAnsiTheme="majorHAnsi" w:cs="Arial"/>
          <w:color w:val="222222"/>
          <w:shd w:val="clear" w:color="auto" w:fill="FFFFFF"/>
        </w:rPr>
        <w:t>-567</w:t>
      </w:r>
      <w:r w:rsidRPr="007C7CD8">
        <w:rPr>
          <w:rFonts w:asciiTheme="majorHAnsi" w:hAnsiTheme="majorHAnsi" w:cs="Arial"/>
          <w:color w:val="222222"/>
          <w:shd w:val="clear" w:color="auto" w:fill="FFFFFF"/>
        </w:rPr>
        <w:t>.</w:t>
      </w:r>
      <w:r w:rsidRPr="007C7CD8" w:rsidDel="00A8747B">
        <w:rPr>
          <w:rFonts w:asciiTheme="majorHAnsi" w:eastAsia="Arial Unicode MS" w:hAnsiTheme="majorHAnsi" w:cs="Arial Unicode MS"/>
          <w:color w:val="2E2E2E"/>
          <w:shd w:val="clear" w:color="auto" w:fill="FFFFFF"/>
        </w:rPr>
        <w:t xml:space="preserve"> </w:t>
      </w:r>
    </w:p>
    <w:p w14:paraId="2FDC64FF" w14:textId="20C65D9E"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Tamminga</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C</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A</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A47B7B">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Nestler</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E</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J. Pathological gambling: focusing on the addiction, not the activity. </w:t>
      </w:r>
      <w:r w:rsidRPr="00A47B7B">
        <w:rPr>
          <w:rFonts w:asciiTheme="majorHAnsi" w:hAnsiTheme="majorHAnsi" w:cs="Arial"/>
          <w:i/>
          <w:color w:val="222222"/>
          <w:shd w:val="clear" w:color="auto" w:fill="FFFFFF"/>
        </w:rPr>
        <w:t>American Journal of Psychiatry</w:t>
      </w:r>
      <w:r w:rsidRPr="007C7CD8">
        <w:rPr>
          <w:rFonts w:asciiTheme="majorHAnsi" w:hAnsiTheme="majorHAnsi" w:cs="Arial"/>
          <w:color w:val="222222"/>
          <w:shd w:val="clear" w:color="auto" w:fill="FFFFFF"/>
        </w:rPr>
        <w:t>. 2006</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Feb 1</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163(2)</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180-1.</w:t>
      </w:r>
    </w:p>
    <w:p w14:paraId="351B62FA" w14:textId="071CCC65"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Lakey</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C</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E</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Rose P</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Campbell</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K</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A47B7B">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Goodie</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S. Probing the link between narcissism and gambling: the mediating role of judgment and decision</w:t>
      </w:r>
      <w:r w:rsidRPr="007C7CD8">
        <w:rPr>
          <w:rFonts w:asciiTheme="majorHAnsi" w:hAnsiTheme="majorHAnsi" w:cs="Cambria Math"/>
          <w:color w:val="222222"/>
          <w:shd w:val="clear" w:color="auto" w:fill="FFFFFF"/>
        </w:rPr>
        <w:t>‐</w:t>
      </w:r>
      <w:r w:rsidRPr="007C7CD8">
        <w:rPr>
          <w:rFonts w:asciiTheme="majorHAnsi" w:hAnsiTheme="majorHAnsi" w:cs="Arial"/>
          <w:color w:val="222222"/>
          <w:shd w:val="clear" w:color="auto" w:fill="FFFFFF"/>
        </w:rPr>
        <w:t xml:space="preserve">making biases. </w:t>
      </w:r>
      <w:r w:rsidRPr="00A47B7B">
        <w:rPr>
          <w:rFonts w:asciiTheme="majorHAnsi" w:hAnsiTheme="majorHAnsi" w:cs="Arial"/>
          <w:i/>
          <w:color w:val="222222"/>
          <w:shd w:val="clear" w:color="auto" w:fill="FFFFFF"/>
        </w:rPr>
        <w:t>Journal of Behavioral Decision Making</w:t>
      </w:r>
      <w:r w:rsidRPr="007C7CD8">
        <w:rPr>
          <w:rFonts w:asciiTheme="majorHAnsi" w:hAnsiTheme="majorHAnsi" w:cs="Arial"/>
          <w:color w:val="222222"/>
          <w:shd w:val="clear" w:color="auto" w:fill="FFFFFF"/>
        </w:rPr>
        <w:t>. 2008</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Apr 1</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21(2)</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113-37.</w:t>
      </w:r>
      <w:r w:rsidRPr="007C7CD8">
        <w:rPr>
          <w:rFonts w:asciiTheme="majorHAnsi" w:hAnsiTheme="majorHAnsi"/>
        </w:rPr>
        <w:t xml:space="preserve"> </w:t>
      </w:r>
    </w:p>
    <w:p w14:paraId="76B0F093" w14:textId="7A285B61"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Toneatto</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T</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Blitz-Miller</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T</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Calderwood</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K</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Dragonetti</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A47B7B">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Tsanos</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 Cognitive distortions in heavy gambling. </w:t>
      </w:r>
      <w:r w:rsidRPr="00A47B7B">
        <w:rPr>
          <w:rFonts w:asciiTheme="majorHAnsi" w:hAnsiTheme="majorHAnsi" w:cs="Arial"/>
          <w:i/>
          <w:color w:val="222222"/>
          <w:shd w:val="clear" w:color="auto" w:fill="FFFFFF"/>
        </w:rPr>
        <w:t xml:space="preserve">Journal of </w:t>
      </w:r>
      <w:r w:rsidR="00A47B7B" w:rsidRPr="00A47B7B">
        <w:rPr>
          <w:rFonts w:asciiTheme="majorHAnsi" w:hAnsiTheme="majorHAnsi" w:cs="Arial"/>
          <w:i/>
          <w:color w:val="222222"/>
          <w:shd w:val="clear" w:color="auto" w:fill="FFFFFF"/>
        </w:rPr>
        <w:t>G</w:t>
      </w:r>
      <w:r w:rsidRPr="00A47B7B">
        <w:rPr>
          <w:rFonts w:asciiTheme="majorHAnsi" w:hAnsiTheme="majorHAnsi" w:cs="Arial"/>
          <w:i/>
          <w:color w:val="222222"/>
          <w:shd w:val="clear" w:color="auto" w:fill="FFFFFF"/>
        </w:rPr>
        <w:t xml:space="preserve">ambling </w:t>
      </w:r>
      <w:r w:rsidR="00A47B7B" w:rsidRPr="00A47B7B">
        <w:rPr>
          <w:rFonts w:asciiTheme="majorHAnsi" w:hAnsiTheme="majorHAnsi" w:cs="Arial"/>
          <w:i/>
          <w:color w:val="222222"/>
          <w:shd w:val="clear" w:color="auto" w:fill="FFFFFF"/>
        </w:rPr>
        <w:t>S</w:t>
      </w:r>
      <w:r w:rsidRPr="00A47B7B">
        <w:rPr>
          <w:rFonts w:asciiTheme="majorHAnsi" w:hAnsiTheme="majorHAnsi" w:cs="Arial"/>
          <w:i/>
          <w:color w:val="222222"/>
          <w:shd w:val="clear" w:color="auto" w:fill="FFFFFF"/>
        </w:rPr>
        <w:t>tudies</w:t>
      </w:r>
      <w:r w:rsidRPr="007C7CD8">
        <w:rPr>
          <w:rFonts w:asciiTheme="majorHAnsi" w:hAnsiTheme="majorHAnsi" w:cs="Arial"/>
          <w:color w:val="222222"/>
          <w:shd w:val="clear" w:color="auto" w:fill="FFFFFF"/>
        </w:rPr>
        <w:t>. 1997</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Sep 1</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13(3)</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253-66.</w:t>
      </w:r>
    </w:p>
    <w:p w14:paraId="7D0A3CD9" w14:textId="00F19E0F"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Friedman</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 </w:t>
      </w:r>
      <w:r w:rsidRPr="00A47B7B">
        <w:rPr>
          <w:rFonts w:asciiTheme="majorHAnsi" w:hAnsiTheme="majorHAnsi" w:cs="Arial"/>
          <w:i/>
          <w:color w:val="222222"/>
          <w:shd w:val="clear" w:color="auto" w:fill="FFFFFF"/>
        </w:rPr>
        <w:t xml:space="preserve">Flexible Exchange Rates. Essays in </w:t>
      </w:r>
      <w:r w:rsidR="00A47B7B" w:rsidRPr="00A47B7B">
        <w:rPr>
          <w:rFonts w:asciiTheme="majorHAnsi" w:hAnsiTheme="majorHAnsi" w:cs="Arial"/>
          <w:i/>
          <w:color w:val="222222"/>
          <w:shd w:val="clear" w:color="auto" w:fill="FFFFFF"/>
        </w:rPr>
        <w:t>P</w:t>
      </w:r>
      <w:r w:rsidRPr="00A47B7B">
        <w:rPr>
          <w:rFonts w:asciiTheme="majorHAnsi" w:hAnsiTheme="majorHAnsi" w:cs="Arial"/>
          <w:i/>
          <w:color w:val="222222"/>
          <w:shd w:val="clear" w:color="auto" w:fill="FFFFFF"/>
        </w:rPr>
        <w:t xml:space="preserve">ositive </w:t>
      </w:r>
      <w:r w:rsidR="00A47B7B" w:rsidRPr="00A47B7B">
        <w:rPr>
          <w:rFonts w:asciiTheme="majorHAnsi" w:hAnsiTheme="majorHAnsi" w:cs="Arial"/>
          <w:i/>
          <w:color w:val="222222"/>
          <w:shd w:val="clear" w:color="auto" w:fill="FFFFFF"/>
        </w:rPr>
        <w:t>E</w:t>
      </w:r>
      <w:r w:rsidRPr="00A47B7B">
        <w:rPr>
          <w:rFonts w:asciiTheme="majorHAnsi" w:hAnsiTheme="majorHAnsi" w:cs="Arial"/>
          <w:i/>
          <w:color w:val="222222"/>
          <w:shd w:val="clear" w:color="auto" w:fill="FFFFFF"/>
        </w:rPr>
        <w:t>conomics</w:t>
      </w:r>
      <w:r w:rsidRPr="007C7CD8">
        <w:rPr>
          <w:rFonts w:asciiTheme="majorHAnsi" w:hAnsiTheme="majorHAnsi" w:cs="Arial"/>
          <w:color w:val="222222"/>
          <w:shd w:val="clear" w:color="auto" w:fill="FFFFFF"/>
        </w:rPr>
        <w:t>. 1966.</w:t>
      </w:r>
      <w:r w:rsidRPr="007C7CD8">
        <w:rPr>
          <w:rFonts w:asciiTheme="majorHAnsi" w:eastAsia="Times New Roman" w:hAnsiTheme="majorHAnsi" w:cs="Times New Roman"/>
          <w:lang w:val="en-US" w:eastAsia="en-GB"/>
        </w:rPr>
        <w:t xml:space="preserve"> University of Chicago Press.</w:t>
      </w:r>
      <w:r w:rsidRPr="007C7CD8">
        <w:rPr>
          <w:rFonts w:asciiTheme="majorHAnsi" w:hAnsiTheme="majorHAnsi"/>
          <w:lang w:val="en-US"/>
        </w:rPr>
        <w:t xml:space="preserve"> </w:t>
      </w:r>
    </w:p>
    <w:p w14:paraId="0CCD3E02" w14:textId="637651C2"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Figlewski</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 Market" efficiency" in a market with heterogeneous information. </w:t>
      </w:r>
      <w:r w:rsidRPr="00A47B7B">
        <w:rPr>
          <w:rFonts w:asciiTheme="majorHAnsi" w:hAnsiTheme="majorHAnsi" w:cs="Arial"/>
          <w:i/>
          <w:color w:val="222222"/>
          <w:shd w:val="clear" w:color="auto" w:fill="FFFFFF"/>
        </w:rPr>
        <w:t>Journal of Political Economy</w:t>
      </w:r>
      <w:r w:rsidRPr="007C7CD8">
        <w:rPr>
          <w:rFonts w:asciiTheme="majorHAnsi" w:hAnsiTheme="majorHAnsi" w:cs="Arial"/>
          <w:color w:val="222222"/>
          <w:shd w:val="clear" w:color="auto" w:fill="FFFFFF"/>
        </w:rPr>
        <w:t>. 1978</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Aug 1</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86(4)</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581-97.</w:t>
      </w:r>
      <w:r w:rsidRPr="007C7CD8">
        <w:rPr>
          <w:rFonts w:asciiTheme="majorHAnsi" w:hAnsiTheme="majorHAnsi"/>
          <w:lang w:val="en-US"/>
        </w:rPr>
        <w:t xml:space="preserve"> </w:t>
      </w:r>
    </w:p>
    <w:p w14:paraId="38D078DE" w14:textId="3AA6B23E"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Sandroni</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 Do markets favor agents able to make accurate predictions? </w:t>
      </w:r>
      <w:r w:rsidRPr="00A47B7B">
        <w:rPr>
          <w:rFonts w:asciiTheme="majorHAnsi" w:hAnsiTheme="majorHAnsi" w:cs="Arial"/>
          <w:i/>
          <w:color w:val="222222"/>
          <w:shd w:val="clear" w:color="auto" w:fill="FFFFFF"/>
        </w:rPr>
        <w:t>Econometrica.</w:t>
      </w:r>
      <w:r w:rsidRPr="007C7CD8">
        <w:rPr>
          <w:rFonts w:asciiTheme="majorHAnsi" w:hAnsiTheme="majorHAnsi" w:cs="Arial"/>
          <w:color w:val="222222"/>
          <w:shd w:val="clear" w:color="auto" w:fill="FFFFFF"/>
        </w:rPr>
        <w:t xml:space="preserve"> 2000</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Nov 1</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68(6)</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1303-41.</w:t>
      </w:r>
      <w:r w:rsidRPr="007C7CD8">
        <w:rPr>
          <w:rFonts w:asciiTheme="majorHAnsi" w:hAnsiTheme="majorHAnsi"/>
          <w:lang w:val="en-US"/>
        </w:rPr>
        <w:t xml:space="preserve"> </w:t>
      </w:r>
    </w:p>
    <w:p w14:paraId="30B9A195" w14:textId="46C7C031"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Blume</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L</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A47B7B">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Easley</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 If you're so smart, why aren't you rich? Belief selection in complete and incomplete markets. </w:t>
      </w:r>
      <w:r w:rsidRPr="00A47B7B">
        <w:rPr>
          <w:rFonts w:asciiTheme="majorHAnsi" w:hAnsiTheme="majorHAnsi" w:cs="Arial"/>
          <w:i/>
          <w:color w:val="222222"/>
          <w:shd w:val="clear" w:color="auto" w:fill="FFFFFF"/>
        </w:rPr>
        <w:t>Econometrica</w:t>
      </w:r>
      <w:r w:rsidRPr="007C7CD8">
        <w:rPr>
          <w:rFonts w:asciiTheme="majorHAnsi" w:hAnsiTheme="majorHAnsi" w:cs="Arial"/>
          <w:color w:val="222222"/>
          <w:shd w:val="clear" w:color="auto" w:fill="FFFFFF"/>
        </w:rPr>
        <w:t>. 2006</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Jul 1</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74(4)</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929-66.</w:t>
      </w:r>
    </w:p>
    <w:p w14:paraId="5C78AF2A" w14:textId="7EDB35DA"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Lo</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W. The adaptive markets hypothesis. </w:t>
      </w:r>
      <w:r w:rsidRPr="00A47B7B">
        <w:rPr>
          <w:rFonts w:asciiTheme="majorHAnsi" w:hAnsiTheme="majorHAnsi" w:cs="Arial"/>
          <w:i/>
          <w:color w:val="222222"/>
          <w:shd w:val="clear" w:color="auto" w:fill="FFFFFF"/>
        </w:rPr>
        <w:t>The Journal of Portfolio Management</w:t>
      </w:r>
      <w:r w:rsidRPr="007C7CD8">
        <w:rPr>
          <w:rFonts w:asciiTheme="majorHAnsi" w:hAnsiTheme="majorHAnsi" w:cs="Arial"/>
          <w:color w:val="222222"/>
          <w:shd w:val="clear" w:color="auto" w:fill="FFFFFF"/>
        </w:rPr>
        <w:t>. 2004</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30(5)</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15-29.</w:t>
      </w:r>
    </w:p>
    <w:p w14:paraId="1CE4B687" w14:textId="018FF9C5"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Lo</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W. Reconciling efficient markets with behavioral finance: the adaptive markets hypothesis. </w:t>
      </w:r>
      <w:r w:rsidRPr="00A47B7B">
        <w:rPr>
          <w:rFonts w:asciiTheme="majorHAnsi" w:hAnsiTheme="majorHAnsi" w:cs="Arial"/>
          <w:i/>
          <w:color w:val="222222"/>
          <w:shd w:val="clear" w:color="auto" w:fill="FFFFFF"/>
        </w:rPr>
        <w:t>Journal of Investment Consulting</w:t>
      </w:r>
      <w:r w:rsidR="00A47B7B">
        <w:rPr>
          <w:rFonts w:asciiTheme="majorHAnsi" w:hAnsiTheme="majorHAnsi" w:cs="Arial"/>
          <w:color w:val="222222"/>
          <w:shd w:val="clear" w:color="auto" w:fill="FFFFFF"/>
        </w:rPr>
        <w:t xml:space="preserve">. 2005, </w:t>
      </w:r>
      <w:r w:rsidRPr="007C7CD8">
        <w:rPr>
          <w:rFonts w:asciiTheme="majorHAnsi" w:hAnsiTheme="majorHAnsi" w:cs="Arial"/>
          <w:color w:val="222222"/>
          <w:shd w:val="clear" w:color="auto" w:fill="FFFFFF"/>
        </w:rPr>
        <w:t>7(2)</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21-44</w:t>
      </w:r>
      <w:r w:rsidR="00A47B7B">
        <w:rPr>
          <w:rFonts w:asciiTheme="majorHAnsi" w:hAnsiTheme="majorHAnsi" w:cs="Arial"/>
          <w:color w:val="222222"/>
          <w:shd w:val="clear" w:color="auto" w:fill="FFFFFF"/>
        </w:rPr>
        <w:t>.</w:t>
      </w:r>
    </w:p>
    <w:p w14:paraId="0D3B0B79" w14:textId="1E184AED"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Yan</w:t>
      </w:r>
      <w:r w:rsidR="00A47B7B">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H. Natural selection in financial markets: Does it work? </w:t>
      </w:r>
      <w:r w:rsidRPr="00A47B7B">
        <w:rPr>
          <w:rFonts w:asciiTheme="majorHAnsi" w:hAnsiTheme="majorHAnsi" w:cs="Arial"/>
          <w:i/>
          <w:color w:val="222222"/>
          <w:shd w:val="clear" w:color="auto" w:fill="FFFFFF"/>
        </w:rPr>
        <w:t>Management Science</w:t>
      </w:r>
      <w:r w:rsidRPr="007C7CD8">
        <w:rPr>
          <w:rFonts w:asciiTheme="majorHAnsi" w:hAnsiTheme="majorHAnsi" w:cs="Arial"/>
          <w:color w:val="222222"/>
          <w:shd w:val="clear" w:color="auto" w:fill="FFFFFF"/>
        </w:rPr>
        <w:t>. 2008</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 Nov</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54(11)</w:t>
      </w:r>
      <w:r w:rsidR="00A47B7B">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1935-50.</w:t>
      </w:r>
    </w:p>
    <w:p w14:paraId="2D33DDCD" w14:textId="52B0A8F9"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Neely</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C</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J</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Weller</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P</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A</w:t>
      </w:r>
      <w:r w:rsidR="00245BF9">
        <w:rPr>
          <w:rFonts w:asciiTheme="majorHAnsi" w:hAnsiTheme="majorHAnsi" w:cs="Arial"/>
          <w:color w:val="222222"/>
          <w:shd w:val="clear" w:color="auto" w:fill="FFFFFF"/>
        </w:rPr>
        <w:t xml:space="preserve">. &amp; </w:t>
      </w:r>
      <w:r w:rsidRPr="007C7CD8">
        <w:rPr>
          <w:rFonts w:asciiTheme="majorHAnsi" w:hAnsiTheme="majorHAnsi" w:cs="Arial"/>
          <w:color w:val="222222"/>
          <w:shd w:val="clear" w:color="auto" w:fill="FFFFFF"/>
        </w:rPr>
        <w:t>Ulrich</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M. The adaptive markets hypothesis: evidence from the foreign exchange market. </w:t>
      </w:r>
      <w:r w:rsidRPr="00245BF9">
        <w:rPr>
          <w:rFonts w:asciiTheme="majorHAnsi" w:hAnsiTheme="majorHAnsi" w:cs="Arial"/>
          <w:i/>
          <w:color w:val="222222"/>
          <w:shd w:val="clear" w:color="auto" w:fill="FFFFFF"/>
        </w:rPr>
        <w:t>Journal of Financial and Quantitative Analysis</w:t>
      </w:r>
      <w:r w:rsidRPr="007C7CD8">
        <w:rPr>
          <w:rFonts w:asciiTheme="majorHAnsi" w:hAnsiTheme="majorHAnsi" w:cs="Arial"/>
          <w:color w:val="222222"/>
          <w:shd w:val="clear" w:color="auto" w:fill="FFFFFF"/>
        </w:rPr>
        <w:t>. 2009</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Apr</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44(2)</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467-88.</w:t>
      </w:r>
      <w:r w:rsidRPr="007C7CD8">
        <w:rPr>
          <w:rFonts w:asciiTheme="majorHAnsi" w:hAnsiTheme="majorHAnsi"/>
          <w:lang w:val="en-US"/>
        </w:rPr>
        <w:t xml:space="preserve"> </w:t>
      </w:r>
    </w:p>
    <w:p w14:paraId="39D0C7D5" w14:textId="34CC25D5"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Todea</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Ulici</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245BF9">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 xml:space="preserve">Silaghi S. Adaptive markets hypothesis: Evidence from Asia-Pacific financial markets. </w:t>
      </w:r>
      <w:r w:rsidRPr="00245BF9">
        <w:rPr>
          <w:rFonts w:asciiTheme="majorHAnsi" w:hAnsiTheme="majorHAnsi" w:cs="Arial"/>
          <w:i/>
          <w:color w:val="222222"/>
          <w:shd w:val="clear" w:color="auto" w:fill="FFFFFF"/>
        </w:rPr>
        <w:t>The Review of Finance and Banking</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2009</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Dec 1</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1(1)</w:t>
      </w:r>
      <w:r w:rsidR="00245BF9">
        <w:rPr>
          <w:rFonts w:asciiTheme="majorHAnsi" w:hAnsiTheme="majorHAnsi" w:cs="Arial"/>
          <w:color w:val="222222"/>
          <w:shd w:val="clear" w:color="auto" w:fill="FFFFFF"/>
        </w:rPr>
        <w:t>, 7-13.</w:t>
      </w:r>
      <w:r w:rsidRPr="007C7CD8">
        <w:rPr>
          <w:rFonts w:asciiTheme="majorHAnsi" w:hAnsiTheme="majorHAnsi"/>
          <w:lang w:val="en-US"/>
        </w:rPr>
        <w:t xml:space="preserve"> </w:t>
      </w:r>
    </w:p>
    <w:p w14:paraId="198EFF5D" w14:textId="366202A0"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Kim</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H</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Shamsuddin</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245BF9">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Lim</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K</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P. Stock return predictability and the adaptive markets hypothesis: Evidence from century-long US data. </w:t>
      </w:r>
      <w:r w:rsidRPr="00245BF9">
        <w:rPr>
          <w:rFonts w:asciiTheme="majorHAnsi" w:hAnsiTheme="majorHAnsi" w:cs="Arial"/>
          <w:i/>
          <w:color w:val="222222"/>
          <w:shd w:val="clear" w:color="auto" w:fill="FFFFFF"/>
        </w:rPr>
        <w:t>Journal of Empirical Finance</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2011</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Dec 31</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18(5)</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868-79.</w:t>
      </w:r>
      <w:r w:rsidRPr="007C7CD8">
        <w:rPr>
          <w:rFonts w:asciiTheme="majorHAnsi" w:hAnsiTheme="majorHAnsi"/>
          <w:lang w:val="en-US"/>
        </w:rPr>
        <w:t xml:space="preserve"> </w:t>
      </w:r>
    </w:p>
    <w:p w14:paraId="1DE7431E" w14:textId="0C9171DD"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Charles</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Darné</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O</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245BF9">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Kim</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H. Exchange-rate return predictability and the adaptive markets hypothesis: Evidence from major foreign exchange rates. </w:t>
      </w:r>
      <w:r w:rsidRPr="00245BF9">
        <w:rPr>
          <w:rFonts w:asciiTheme="majorHAnsi" w:hAnsiTheme="majorHAnsi" w:cs="Arial"/>
          <w:i/>
          <w:color w:val="222222"/>
          <w:shd w:val="clear" w:color="auto" w:fill="FFFFFF"/>
        </w:rPr>
        <w:t>Journal of International Money and Finance</w:t>
      </w:r>
      <w:r w:rsidRPr="007C7CD8">
        <w:rPr>
          <w:rFonts w:asciiTheme="majorHAnsi" w:hAnsiTheme="majorHAnsi" w:cs="Arial"/>
          <w:color w:val="222222"/>
          <w:shd w:val="clear" w:color="auto" w:fill="FFFFFF"/>
        </w:rPr>
        <w:t>. 2012</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Oct 31</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31(6)</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1607-26.</w:t>
      </w:r>
      <w:r w:rsidRPr="007C7CD8">
        <w:rPr>
          <w:rFonts w:asciiTheme="majorHAnsi" w:hAnsiTheme="majorHAnsi"/>
          <w:lang w:val="en-US"/>
        </w:rPr>
        <w:t xml:space="preserve"> </w:t>
      </w:r>
    </w:p>
    <w:p w14:paraId="4C068F71" w14:textId="71E452D7"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Urquhart</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245BF9">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Hudson</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 Efficient or adaptive markets? Evidence from major stock markets using very long run historic data. </w:t>
      </w:r>
      <w:r w:rsidRPr="00245BF9">
        <w:rPr>
          <w:rFonts w:asciiTheme="majorHAnsi" w:hAnsiTheme="majorHAnsi" w:cs="Arial"/>
          <w:i/>
          <w:color w:val="222222"/>
          <w:shd w:val="clear" w:color="auto" w:fill="FFFFFF"/>
        </w:rPr>
        <w:t>International Review of Financial Analysis</w:t>
      </w:r>
      <w:r w:rsidRPr="007C7CD8">
        <w:rPr>
          <w:rFonts w:asciiTheme="majorHAnsi" w:hAnsiTheme="majorHAnsi" w:cs="Arial"/>
          <w:color w:val="222222"/>
          <w:shd w:val="clear" w:color="auto" w:fill="FFFFFF"/>
        </w:rPr>
        <w:t>. 2013</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Jun 30</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28</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130-42.</w:t>
      </w:r>
      <w:r w:rsidRPr="007C7CD8">
        <w:rPr>
          <w:rFonts w:asciiTheme="majorHAnsi" w:hAnsiTheme="majorHAnsi"/>
          <w:lang w:val="en-US"/>
        </w:rPr>
        <w:t xml:space="preserve"> </w:t>
      </w:r>
    </w:p>
    <w:p w14:paraId="32B9CF13" w14:textId="794B9C41" w:rsidR="00327615" w:rsidRPr="001410E6"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Urquhart</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245BF9">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McGroarty</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F. Calendar effects, market conditions and the Adaptive Market Hypothesis: Evidence from long-run US data. </w:t>
      </w:r>
      <w:r w:rsidRPr="00245BF9">
        <w:rPr>
          <w:rFonts w:asciiTheme="majorHAnsi" w:hAnsiTheme="majorHAnsi" w:cs="Arial"/>
          <w:i/>
          <w:color w:val="222222"/>
          <w:shd w:val="clear" w:color="auto" w:fill="FFFFFF"/>
        </w:rPr>
        <w:t>International Review of Financial Analysis</w:t>
      </w:r>
      <w:r w:rsidRPr="007C7CD8">
        <w:rPr>
          <w:rFonts w:asciiTheme="majorHAnsi" w:hAnsiTheme="majorHAnsi" w:cs="Arial"/>
          <w:color w:val="222222"/>
          <w:shd w:val="clear" w:color="auto" w:fill="FFFFFF"/>
        </w:rPr>
        <w:t>. 2014</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Oct 31</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35</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154-66.</w:t>
      </w:r>
    </w:p>
    <w:p w14:paraId="2E535F14" w14:textId="687EF048" w:rsidR="008F5DE8" w:rsidRPr="00A55D7E" w:rsidRDefault="008F5DE8" w:rsidP="008F5DE8">
      <w:pPr>
        <w:pStyle w:val="ListParagraph"/>
        <w:numPr>
          <w:ilvl w:val="0"/>
          <w:numId w:val="12"/>
        </w:numPr>
        <w:spacing w:after="160" w:line="259" w:lineRule="auto"/>
        <w:ind w:left="426" w:hanging="426"/>
        <w:rPr>
          <w:rFonts w:asciiTheme="majorHAnsi" w:hAnsiTheme="majorHAnsi"/>
        </w:rPr>
      </w:pPr>
      <w:r w:rsidRPr="00A55D7E">
        <w:rPr>
          <w:rFonts w:asciiTheme="majorHAnsi" w:hAnsiTheme="majorHAnsi"/>
        </w:rPr>
        <w:t>Grinblatt</w:t>
      </w:r>
      <w:r w:rsidR="00245BF9">
        <w:rPr>
          <w:rFonts w:asciiTheme="majorHAnsi" w:hAnsiTheme="majorHAnsi"/>
        </w:rPr>
        <w:t>,</w:t>
      </w:r>
      <w:r w:rsidRPr="00A55D7E">
        <w:rPr>
          <w:rFonts w:asciiTheme="majorHAnsi" w:hAnsiTheme="majorHAnsi"/>
        </w:rPr>
        <w:t xml:space="preserve"> M</w:t>
      </w:r>
      <w:r w:rsidR="00245BF9">
        <w:rPr>
          <w:rFonts w:asciiTheme="majorHAnsi" w:hAnsiTheme="majorHAnsi"/>
        </w:rPr>
        <w:t>.</w:t>
      </w:r>
      <w:r w:rsidRPr="00A55D7E">
        <w:rPr>
          <w:rFonts w:asciiTheme="majorHAnsi" w:hAnsiTheme="majorHAnsi"/>
        </w:rPr>
        <w:t xml:space="preserve">, </w:t>
      </w:r>
      <w:r w:rsidR="00245BF9">
        <w:rPr>
          <w:rFonts w:asciiTheme="majorHAnsi" w:hAnsiTheme="majorHAnsi"/>
        </w:rPr>
        <w:t xml:space="preserve">&amp; </w:t>
      </w:r>
      <w:r w:rsidRPr="00A55D7E">
        <w:rPr>
          <w:rFonts w:asciiTheme="majorHAnsi" w:hAnsiTheme="majorHAnsi"/>
        </w:rPr>
        <w:t>Han</w:t>
      </w:r>
      <w:r w:rsidR="00245BF9">
        <w:rPr>
          <w:rFonts w:asciiTheme="majorHAnsi" w:hAnsiTheme="majorHAnsi"/>
        </w:rPr>
        <w:t>,</w:t>
      </w:r>
      <w:r w:rsidRPr="00A55D7E">
        <w:rPr>
          <w:rFonts w:asciiTheme="majorHAnsi" w:hAnsiTheme="majorHAnsi"/>
        </w:rPr>
        <w:t xml:space="preserve"> B. Prospect theory, mental accounting, and momentum. </w:t>
      </w:r>
      <w:r w:rsidRPr="00245BF9">
        <w:rPr>
          <w:rFonts w:asciiTheme="majorHAnsi" w:hAnsiTheme="majorHAnsi"/>
          <w:i/>
        </w:rPr>
        <w:t xml:space="preserve">Journal of </w:t>
      </w:r>
      <w:r w:rsidR="00D02F37" w:rsidRPr="00245BF9">
        <w:rPr>
          <w:rFonts w:asciiTheme="majorHAnsi" w:hAnsiTheme="majorHAnsi"/>
          <w:i/>
        </w:rPr>
        <w:t>F</w:t>
      </w:r>
      <w:r w:rsidRPr="00245BF9">
        <w:rPr>
          <w:rFonts w:asciiTheme="majorHAnsi" w:hAnsiTheme="majorHAnsi"/>
          <w:i/>
        </w:rPr>
        <w:t xml:space="preserve">inancial </w:t>
      </w:r>
      <w:r w:rsidR="00D02F37" w:rsidRPr="00245BF9">
        <w:rPr>
          <w:rFonts w:asciiTheme="majorHAnsi" w:hAnsiTheme="majorHAnsi"/>
          <w:i/>
        </w:rPr>
        <w:t>E</w:t>
      </w:r>
      <w:r w:rsidRPr="00245BF9">
        <w:rPr>
          <w:rFonts w:asciiTheme="majorHAnsi" w:hAnsiTheme="majorHAnsi"/>
          <w:i/>
        </w:rPr>
        <w:t>conomics</w:t>
      </w:r>
      <w:r w:rsidRPr="00A55D7E">
        <w:rPr>
          <w:rFonts w:asciiTheme="majorHAnsi" w:hAnsiTheme="majorHAnsi"/>
        </w:rPr>
        <w:t>. 2005</w:t>
      </w:r>
      <w:r w:rsidR="00245BF9">
        <w:rPr>
          <w:rFonts w:asciiTheme="majorHAnsi" w:hAnsiTheme="majorHAnsi"/>
        </w:rPr>
        <w:t>,</w:t>
      </w:r>
      <w:r w:rsidRPr="00A55D7E">
        <w:rPr>
          <w:rFonts w:asciiTheme="majorHAnsi" w:hAnsiTheme="majorHAnsi"/>
        </w:rPr>
        <w:t xml:space="preserve"> Nov 1</w:t>
      </w:r>
      <w:r w:rsidR="00245BF9">
        <w:rPr>
          <w:rFonts w:asciiTheme="majorHAnsi" w:hAnsiTheme="majorHAnsi"/>
        </w:rPr>
        <w:t xml:space="preserve">, </w:t>
      </w:r>
      <w:r w:rsidRPr="00A55D7E">
        <w:rPr>
          <w:rFonts w:asciiTheme="majorHAnsi" w:hAnsiTheme="majorHAnsi"/>
        </w:rPr>
        <w:t>78(2)</w:t>
      </w:r>
      <w:r w:rsidR="00245BF9">
        <w:rPr>
          <w:rFonts w:asciiTheme="majorHAnsi" w:hAnsiTheme="majorHAnsi"/>
        </w:rPr>
        <w:t xml:space="preserve">, </w:t>
      </w:r>
      <w:r w:rsidRPr="00A55D7E">
        <w:rPr>
          <w:rFonts w:asciiTheme="majorHAnsi" w:hAnsiTheme="majorHAnsi"/>
        </w:rPr>
        <w:t>311-39.</w:t>
      </w:r>
    </w:p>
    <w:p w14:paraId="3DAB4212" w14:textId="34DA69B1" w:rsidR="00870A1F" w:rsidRPr="001410E6" w:rsidRDefault="008F5DE8" w:rsidP="001410E6">
      <w:pPr>
        <w:pStyle w:val="ListParagraph"/>
        <w:numPr>
          <w:ilvl w:val="0"/>
          <w:numId w:val="12"/>
        </w:numPr>
        <w:spacing w:after="160" w:line="259" w:lineRule="auto"/>
        <w:ind w:left="426" w:hanging="426"/>
        <w:rPr>
          <w:rFonts w:asciiTheme="majorHAnsi" w:hAnsiTheme="majorHAnsi"/>
        </w:rPr>
      </w:pPr>
      <w:r w:rsidRPr="00A55D7E">
        <w:rPr>
          <w:rFonts w:asciiTheme="majorHAnsi" w:hAnsiTheme="majorHAnsi"/>
        </w:rPr>
        <w:t>Shefrin</w:t>
      </w:r>
      <w:r w:rsidR="00245BF9">
        <w:rPr>
          <w:rFonts w:asciiTheme="majorHAnsi" w:hAnsiTheme="majorHAnsi"/>
        </w:rPr>
        <w:t>,</w:t>
      </w:r>
      <w:r w:rsidRPr="00A55D7E">
        <w:rPr>
          <w:rFonts w:asciiTheme="majorHAnsi" w:hAnsiTheme="majorHAnsi"/>
        </w:rPr>
        <w:t xml:space="preserve"> H</w:t>
      </w:r>
      <w:r w:rsidR="00245BF9">
        <w:rPr>
          <w:rFonts w:asciiTheme="majorHAnsi" w:hAnsiTheme="majorHAnsi"/>
        </w:rPr>
        <w:t>.</w:t>
      </w:r>
      <w:r w:rsidRPr="00A55D7E">
        <w:rPr>
          <w:rFonts w:asciiTheme="majorHAnsi" w:hAnsiTheme="majorHAnsi"/>
        </w:rPr>
        <w:t xml:space="preserve">, </w:t>
      </w:r>
      <w:r w:rsidR="00245BF9">
        <w:rPr>
          <w:rFonts w:asciiTheme="majorHAnsi" w:hAnsiTheme="majorHAnsi"/>
        </w:rPr>
        <w:t xml:space="preserve">&amp; </w:t>
      </w:r>
      <w:r w:rsidRPr="00A55D7E">
        <w:rPr>
          <w:rFonts w:asciiTheme="majorHAnsi" w:hAnsiTheme="majorHAnsi"/>
        </w:rPr>
        <w:t>Statman</w:t>
      </w:r>
      <w:r w:rsidR="00245BF9">
        <w:rPr>
          <w:rFonts w:asciiTheme="majorHAnsi" w:hAnsiTheme="majorHAnsi"/>
        </w:rPr>
        <w:t>,</w:t>
      </w:r>
      <w:r w:rsidRPr="00A55D7E">
        <w:rPr>
          <w:rFonts w:asciiTheme="majorHAnsi" w:hAnsiTheme="majorHAnsi"/>
        </w:rPr>
        <w:t xml:space="preserve"> M. The disposition to sell winners too early and ride losers too long: Theory and evidence. </w:t>
      </w:r>
      <w:r w:rsidRPr="00245BF9">
        <w:rPr>
          <w:rFonts w:asciiTheme="majorHAnsi" w:hAnsiTheme="majorHAnsi"/>
          <w:i/>
        </w:rPr>
        <w:t xml:space="preserve">The Journal of </w:t>
      </w:r>
      <w:r w:rsidR="00D02F37" w:rsidRPr="00245BF9">
        <w:rPr>
          <w:rFonts w:asciiTheme="majorHAnsi" w:hAnsiTheme="majorHAnsi"/>
          <w:i/>
        </w:rPr>
        <w:t>F</w:t>
      </w:r>
      <w:r w:rsidRPr="00245BF9">
        <w:rPr>
          <w:rFonts w:asciiTheme="majorHAnsi" w:hAnsiTheme="majorHAnsi"/>
          <w:i/>
        </w:rPr>
        <w:t>inance</w:t>
      </w:r>
      <w:r w:rsidRPr="00A55D7E">
        <w:rPr>
          <w:rFonts w:asciiTheme="majorHAnsi" w:hAnsiTheme="majorHAnsi"/>
        </w:rPr>
        <w:t>. 1985</w:t>
      </w:r>
      <w:r w:rsidR="00245BF9">
        <w:rPr>
          <w:rFonts w:asciiTheme="majorHAnsi" w:hAnsiTheme="majorHAnsi"/>
        </w:rPr>
        <w:t xml:space="preserve">, </w:t>
      </w:r>
      <w:r w:rsidRPr="00A55D7E">
        <w:rPr>
          <w:rFonts w:asciiTheme="majorHAnsi" w:hAnsiTheme="majorHAnsi"/>
        </w:rPr>
        <w:t>Jul 1</w:t>
      </w:r>
      <w:r w:rsidR="00245BF9">
        <w:rPr>
          <w:rFonts w:asciiTheme="majorHAnsi" w:hAnsiTheme="majorHAnsi"/>
        </w:rPr>
        <w:t xml:space="preserve">, </w:t>
      </w:r>
      <w:r w:rsidRPr="00A55D7E">
        <w:rPr>
          <w:rFonts w:asciiTheme="majorHAnsi" w:hAnsiTheme="majorHAnsi"/>
        </w:rPr>
        <w:t>40(3)</w:t>
      </w:r>
      <w:r w:rsidR="00245BF9">
        <w:rPr>
          <w:rFonts w:asciiTheme="majorHAnsi" w:hAnsiTheme="majorHAnsi"/>
        </w:rPr>
        <w:t xml:space="preserve">, </w:t>
      </w:r>
      <w:r w:rsidRPr="00A55D7E">
        <w:rPr>
          <w:rFonts w:asciiTheme="majorHAnsi" w:hAnsiTheme="majorHAnsi"/>
        </w:rPr>
        <w:t>777-90</w:t>
      </w:r>
      <w:r w:rsidR="00870A1F">
        <w:rPr>
          <w:rFonts w:asciiTheme="majorHAnsi" w:hAnsiTheme="majorHAnsi"/>
        </w:rPr>
        <w:t>.</w:t>
      </w:r>
    </w:p>
    <w:p w14:paraId="7A98746E" w14:textId="307E30CA" w:rsidR="00870A1F" w:rsidRPr="001410E6" w:rsidRDefault="00870A1F" w:rsidP="001410E6">
      <w:pPr>
        <w:pStyle w:val="ListParagraph"/>
        <w:numPr>
          <w:ilvl w:val="0"/>
          <w:numId w:val="12"/>
        </w:numPr>
        <w:spacing w:after="160" w:line="259" w:lineRule="auto"/>
        <w:ind w:left="426" w:hanging="426"/>
        <w:rPr>
          <w:rFonts w:asciiTheme="majorHAnsi" w:hAnsiTheme="majorHAnsi"/>
        </w:rPr>
      </w:pPr>
      <w:r w:rsidRPr="001410E6">
        <w:rPr>
          <w:rFonts w:asciiTheme="majorHAnsi" w:hAnsiTheme="majorHAnsi"/>
        </w:rPr>
        <w:t>Odean</w:t>
      </w:r>
      <w:r w:rsidR="00245BF9">
        <w:rPr>
          <w:rFonts w:asciiTheme="majorHAnsi" w:hAnsiTheme="majorHAnsi"/>
        </w:rPr>
        <w:t>,</w:t>
      </w:r>
      <w:r w:rsidRPr="001410E6">
        <w:rPr>
          <w:rFonts w:asciiTheme="majorHAnsi" w:hAnsiTheme="majorHAnsi"/>
        </w:rPr>
        <w:t xml:space="preserve"> T. Are investors reluctant to realize their losses? </w:t>
      </w:r>
      <w:r w:rsidRPr="00245BF9">
        <w:rPr>
          <w:rFonts w:asciiTheme="majorHAnsi" w:hAnsiTheme="majorHAnsi"/>
          <w:i/>
        </w:rPr>
        <w:t xml:space="preserve">The Journal of </w:t>
      </w:r>
      <w:r w:rsidR="00016A5C" w:rsidRPr="00245BF9">
        <w:rPr>
          <w:rFonts w:asciiTheme="majorHAnsi" w:hAnsiTheme="majorHAnsi"/>
          <w:i/>
        </w:rPr>
        <w:t>F</w:t>
      </w:r>
      <w:r w:rsidRPr="00245BF9">
        <w:rPr>
          <w:rFonts w:asciiTheme="majorHAnsi" w:hAnsiTheme="majorHAnsi"/>
          <w:i/>
        </w:rPr>
        <w:t>inance</w:t>
      </w:r>
      <w:r w:rsidRPr="001410E6">
        <w:rPr>
          <w:rFonts w:asciiTheme="majorHAnsi" w:hAnsiTheme="majorHAnsi"/>
        </w:rPr>
        <w:t>. 1998</w:t>
      </w:r>
      <w:r w:rsidR="00245BF9">
        <w:rPr>
          <w:rFonts w:asciiTheme="majorHAnsi" w:hAnsiTheme="majorHAnsi"/>
        </w:rPr>
        <w:t>,</w:t>
      </w:r>
      <w:r w:rsidRPr="001410E6">
        <w:rPr>
          <w:rFonts w:asciiTheme="majorHAnsi" w:hAnsiTheme="majorHAnsi"/>
        </w:rPr>
        <w:t xml:space="preserve"> Oct 1</w:t>
      </w:r>
      <w:r w:rsidR="00245BF9">
        <w:rPr>
          <w:rFonts w:asciiTheme="majorHAnsi" w:hAnsiTheme="majorHAnsi"/>
        </w:rPr>
        <w:t xml:space="preserve">, </w:t>
      </w:r>
      <w:r w:rsidRPr="001410E6">
        <w:rPr>
          <w:rFonts w:asciiTheme="majorHAnsi" w:hAnsiTheme="majorHAnsi"/>
        </w:rPr>
        <w:t>53(5)</w:t>
      </w:r>
      <w:r w:rsidR="00245BF9">
        <w:rPr>
          <w:rFonts w:asciiTheme="majorHAnsi" w:hAnsiTheme="majorHAnsi"/>
        </w:rPr>
        <w:t xml:space="preserve">, </w:t>
      </w:r>
      <w:r w:rsidRPr="001410E6">
        <w:rPr>
          <w:rFonts w:asciiTheme="majorHAnsi" w:hAnsiTheme="majorHAnsi"/>
        </w:rPr>
        <w:t>1775-98.</w:t>
      </w:r>
    </w:p>
    <w:p w14:paraId="306FC01B" w14:textId="70119E26" w:rsidR="008F5DE8" w:rsidRPr="001410E6" w:rsidRDefault="00327615" w:rsidP="001410E6">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Vlaev</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I</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Kusev</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P</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Stewart</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N</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Aldrovandi</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245BF9">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Chater</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N. Domain effects and financial risk attitudes. </w:t>
      </w:r>
      <w:r w:rsidRPr="00245BF9">
        <w:rPr>
          <w:rFonts w:asciiTheme="majorHAnsi" w:hAnsiTheme="majorHAnsi" w:cs="Arial"/>
          <w:i/>
          <w:color w:val="222222"/>
          <w:shd w:val="clear" w:color="auto" w:fill="FFFFFF"/>
        </w:rPr>
        <w:t>Risk Analysis</w:t>
      </w:r>
      <w:r w:rsidRPr="007C7CD8">
        <w:rPr>
          <w:rFonts w:asciiTheme="majorHAnsi" w:hAnsiTheme="majorHAnsi" w:cs="Arial"/>
          <w:color w:val="222222"/>
          <w:shd w:val="clear" w:color="auto" w:fill="FFFFFF"/>
        </w:rPr>
        <w:t>. 2010</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Sep 1</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30(9)</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1374-86.</w:t>
      </w:r>
    </w:p>
    <w:p w14:paraId="32E64AE6" w14:textId="100936CD"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Fraser</w:t>
      </w:r>
      <w:r w:rsidRPr="007C7CD8">
        <w:rPr>
          <w:rFonts w:asciiTheme="majorHAnsi" w:hAnsiTheme="majorHAnsi" w:cs="Cambria Math"/>
          <w:color w:val="222222"/>
          <w:shd w:val="clear" w:color="auto" w:fill="FFFFFF"/>
        </w:rPr>
        <w:t>‐</w:t>
      </w:r>
      <w:r w:rsidRPr="007C7CD8">
        <w:rPr>
          <w:rFonts w:asciiTheme="majorHAnsi" w:hAnsiTheme="majorHAnsi" w:cs="Arial"/>
          <w:color w:val="222222"/>
          <w:shd w:val="clear" w:color="auto" w:fill="FFFFFF"/>
        </w:rPr>
        <w:t>Mackenzie</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P</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Sung</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245BF9">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C</w:t>
      </w:r>
      <w:r w:rsidR="00245BF9">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B292A">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Johnson</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E. Toward an </w:t>
      </w:r>
      <w:r w:rsidR="003B292A">
        <w:rPr>
          <w:rFonts w:asciiTheme="majorHAnsi" w:hAnsiTheme="majorHAnsi" w:cs="Arial"/>
          <w:color w:val="222222"/>
          <w:shd w:val="clear" w:color="auto" w:fill="FFFFFF"/>
        </w:rPr>
        <w:t>u</w:t>
      </w:r>
      <w:r w:rsidRPr="007C7CD8">
        <w:rPr>
          <w:rFonts w:asciiTheme="majorHAnsi" w:hAnsiTheme="majorHAnsi" w:cs="Arial"/>
          <w:color w:val="222222"/>
          <w:shd w:val="clear" w:color="auto" w:fill="FFFFFF"/>
        </w:rPr>
        <w:t xml:space="preserve">nderstanding of the </w:t>
      </w:r>
      <w:r w:rsidR="003B292A">
        <w:rPr>
          <w:rFonts w:asciiTheme="majorHAnsi" w:hAnsiTheme="majorHAnsi" w:cs="Arial"/>
          <w:color w:val="222222"/>
          <w:shd w:val="clear" w:color="auto" w:fill="FFFFFF"/>
        </w:rPr>
        <w:t>i</w:t>
      </w:r>
      <w:r w:rsidRPr="007C7CD8">
        <w:rPr>
          <w:rFonts w:asciiTheme="majorHAnsi" w:hAnsiTheme="majorHAnsi" w:cs="Arial"/>
          <w:color w:val="222222"/>
          <w:shd w:val="clear" w:color="auto" w:fill="FFFFFF"/>
        </w:rPr>
        <w:t xml:space="preserve">nfluence of </w:t>
      </w:r>
      <w:r w:rsidR="003B292A">
        <w:rPr>
          <w:rFonts w:asciiTheme="majorHAnsi" w:hAnsiTheme="majorHAnsi" w:cs="Arial"/>
          <w:color w:val="222222"/>
          <w:shd w:val="clear" w:color="auto" w:fill="FFFFFF"/>
        </w:rPr>
        <w:t>c</w:t>
      </w:r>
      <w:r w:rsidRPr="007C7CD8">
        <w:rPr>
          <w:rFonts w:asciiTheme="majorHAnsi" w:hAnsiTheme="majorHAnsi" w:cs="Arial"/>
          <w:color w:val="222222"/>
          <w:shd w:val="clear" w:color="auto" w:fill="FFFFFF"/>
        </w:rPr>
        <w:t xml:space="preserve">ultural </w:t>
      </w:r>
      <w:r w:rsidR="003B292A">
        <w:rPr>
          <w:rFonts w:asciiTheme="majorHAnsi" w:hAnsiTheme="majorHAnsi" w:cs="Arial"/>
          <w:color w:val="222222"/>
          <w:shd w:val="clear" w:color="auto" w:fill="FFFFFF"/>
        </w:rPr>
        <w:t>b</w:t>
      </w:r>
      <w:r w:rsidRPr="007C7CD8">
        <w:rPr>
          <w:rFonts w:asciiTheme="majorHAnsi" w:hAnsiTheme="majorHAnsi" w:cs="Arial"/>
          <w:color w:val="222222"/>
          <w:shd w:val="clear" w:color="auto" w:fill="FFFFFF"/>
        </w:rPr>
        <w:t xml:space="preserve">ackground and </w:t>
      </w:r>
      <w:r w:rsidR="003B292A">
        <w:rPr>
          <w:rFonts w:asciiTheme="majorHAnsi" w:hAnsiTheme="majorHAnsi" w:cs="Arial"/>
          <w:color w:val="222222"/>
          <w:shd w:val="clear" w:color="auto" w:fill="FFFFFF"/>
        </w:rPr>
        <w:t>d</w:t>
      </w:r>
      <w:r w:rsidRPr="007C7CD8">
        <w:rPr>
          <w:rFonts w:asciiTheme="majorHAnsi" w:hAnsiTheme="majorHAnsi" w:cs="Arial"/>
          <w:color w:val="222222"/>
          <w:shd w:val="clear" w:color="auto" w:fill="FFFFFF"/>
        </w:rPr>
        <w:t xml:space="preserve">omain </w:t>
      </w:r>
      <w:r w:rsidR="003B292A">
        <w:rPr>
          <w:rFonts w:asciiTheme="majorHAnsi" w:hAnsiTheme="majorHAnsi" w:cs="Arial"/>
          <w:color w:val="222222"/>
          <w:shd w:val="clear" w:color="auto" w:fill="FFFFFF"/>
        </w:rPr>
        <w:t>e</w:t>
      </w:r>
      <w:r w:rsidRPr="007C7CD8">
        <w:rPr>
          <w:rFonts w:asciiTheme="majorHAnsi" w:hAnsiTheme="majorHAnsi" w:cs="Arial"/>
          <w:color w:val="222222"/>
          <w:shd w:val="clear" w:color="auto" w:fill="FFFFFF"/>
        </w:rPr>
        <w:t xml:space="preserve">xperience on the </w:t>
      </w:r>
      <w:r w:rsidR="003B292A">
        <w:rPr>
          <w:rFonts w:asciiTheme="majorHAnsi" w:hAnsiTheme="majorHAnsi" w:cs="Arial"/>
          <w:color w:val="222222"/>
          <w:shd w:val="clear" w:color="auto" w:fill="FFFFFF"/>
        </w:rPr>
        <w:t>e</w:t>
      </w:r>
      <w:r w:rsidRPr="007C7CD8">
        <w:rPr>
          <w:rFonts w:asciiTheme="majorHAnsi" w:hAnsiTheme="majorHAnsi" w:cs="Arial"/>
          <w:color w:val="222222"/>
          <w:shd w:val="clear" w:color="auto" w:fill="FFFFFF"/>
        </w:rPr>
        <w:t xml:space="preserve">ffects of </w:t>
      </w:r>
      <w:r w:rsidR="003B292A">
        <w:rPr>
          <w:rFonts w:asciiTheme="majorHAnsi" w:hAnsiTheme="majorHAnsi" w:cs="Arial"/>
          <w:color w:val="222222"/>
          <w:shd w:val="clear" w:color="auto" w:fill="FFFFFF"/>
        </w:rPr>
        <w:t>r</w:t>
      </w:r>
      <w:r w:rsidRPr="007C7CD8">
        <w:rPr>
          <w:rFonts w:asciiTheme="majorHAnsi" w:hAnsiTheme="majorHAnsi" w:cs="Arial"/>
          <w:color w:val="222222"/>
          <w:shd w:val="clear" w:color="auto" w:fill="FFFFFF"/>
        </w:rPr>
        <w:t>isk</w:t>
      </w:r>
      <w:r w:rsidRPr="007C7CD8">
        <w:rPr>
          <w:rFonts w:asciiTheme="majorHAnsi" w:hAnsiTheme="majorHAnsi" w:cs="Cambria Math"/>
          <w:color w:val="222222"/>
          <w:shd w:val="clear" w:color="auto" w:fill="FFFFFF"/>
        </w:rPr>
        <w:t>‐</w:t>
      </w:r>
      <w:r w:rsidR="003B292A">
        <w:rPr>
          <w:rFonts w:asciiTheme="majorHAnsi" w:hAnsiTheme="majorHAnsi" w:cs="Arial"/>
          <w:color w:val="222222"/>
          <w:shd w:val="clear" w:color="auto" w:fill="FFFFFF"/>
        </w:rPr>
        <w:t>p</w:t>
      </w:r>
      <w:r w:rsidRPr="007C7CD8">
        <w:rPr>
          <w:rFonts w:asciiTheme="majorHAnsi" w:hAnsiTheme="majorHAnsi" w:cs="Arial"/>
          <w:color w:val="222222"/>
          <w:shd w:val="clear" w:color="auto" w:fill="FFFFFF"/>
        </w:rPr>
        <w:t xml:space="preserve">ricing </w:t>
      </w:r>
      <w:r w:rsidR="003B292A">
        <w:rPr>
          <w:rFonts w:asciiTheme="majorHAnsi" w:hAnsiTheme="majorHAnsi" w:cs="Arial"/>
          <w:color w:val="222222"/>
          <w:shd w:val="clear" w:color="auto" w:fill="FFFFFF"/>
        </w:rPr>
        <w:t>f</w:t>
      </w:r>
      <w:r w:rsidRPr="007C7CD8">
        <w:rPr>
          <w:rFonts w:asciiTheme="majorHAnsi" w:hAnsiTheme="majorHAnsi" w:cs="Arial"/>
          <w:color w:val="222222"/>
          <w:shd w:val="clear" w:color="auto" w:fill="FFFFFF"/>
        </w:rPr>
        <w:t xml:space="preserve">ormats on </w:t>
      </w:r>
      <w:r w:rsidR="003B292A">
        <w:rPr>
          <w:rFonts w:asciiTheme="majorHAnsi" w:hAnsiTheme="majorHAnsi" w:cs="Arial"/>
          <w:color w:val="222222"/>
          <w:shd w:val="clear" w:color="auto" w:fill="FFFFFF"/>
        </w:rPr>
        <w:t>r</w:t>
      </w:r>
      <w:r w:rsidRPr="007C7CD8">
        <w:rPr>
          <w:rFonts w:asciiTheme="majorHAnsi" w:hAnsiTheme="majorHAnsi" w:cs="Arial"/>
          <w:color w:val="222222"/>
          <w:shd w:val="clear" w:color="auto" w:fill="FFFFFF"/>
        </w:rPr>
        <w:t xml:space="preserve">isk </w:t>
      </w:r>
      <w:r w:rsidR="003B292A">
        <w:rPr>
          <w:rFonts w:asciiTheme="majorHAnsi" w:hAnsiTheme="majorHAnsi" w:cs="Arial"/>
          <w:color w:val="222222"/>
          <w:shd w:val="clear" w:color="auto" w:fill="FFFFFF"/>
        </w:rPr>
        <w:t>p</w:t>
      </w:r>
      <w:r w:rsidRPr="007C7CD8">
        <w:rPr>
          <w:rFonts w:asciiTheme="majorHAnsi" w:hAnsiTheme="majorHAnsi" w:cs="Arial"/>
          <w:color w:val="222222"/>
          <w:shd w:val="clear" w:color="auto" w:fill="FFFFFF"/>
        </w:rPr>
        <w:t xml:space="preserve">erception. </w:t>
      </w:r>
      <w:r w:rsidRPr="003B292A">
        <w:rPr>
          <w:rFonts w:asciiTheme="majorHAnsi" w:hAnsiTheme="majorHAnsi" w:cs="Arial"/>
          <w:i/>
          <w:color w:val="222222"/>
          <w:shd w:val="clear" w:color="auto" w:fill="FFFFFF"/>
        </w:rPr>
        <w:t xml:space="preserve">Risk </w:t>
      </w:r>
      <w:r w:rsidR="00AE1AB3" w:rsidRPr="003B292A">
        <w:rPr>
          <w:rFonts w:asciiTheme="majorHAnsi" w:hAnsiTheme="majorHAnsi" w:cs="Arial"/>
          <w:i/>
          <w:color w:val="222222"/>
          <w:shd w:val="clear" w:color="auto" w:fill="FFFFFF"/>
        </w:rPr>
        <w:t>A</w:t>
      </w:r>
      <w:r w:rsidRPr="003B292A">
        <w:rPr>
          <w:rFonts w:asciiTheme="majorHAnsi" w:hAnsiTheme="majorHAnsi" w:cs="Arial"/>
          <w:i/>
          <w:color w:val="222222"/>
          <w:shd w:val="clear" w:color="auto" w:fill="FFFFFF"/>
        </w:rPr>
        <w:t>nalysis</w:t>
      </w:r>
      <w:r w:rsidRPr="007C7CD8">
        <w:rPr>
          <w:rFonts w:asciiTheme="majorHAnsi" w:hAnsiTheme="majorHAnsi" w:cs="Arial"/>
          <w:color w:val="222222"/>
          <w:shd w:val="clear" w:color="auto" w:fill="FFFFFF"/>
        </w:rPr>
        <w:t>. 2014</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Oct 1</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34(10)</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1846-69.</w:t>
      </w:r>
    </w:p>
    <w:p w14:paraId="47D43AF6" w14:textId="5462283F" w:rsidR="00327615" w:rsidRPr="007C7CD8"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Keller</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C</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Siegrist</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M</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w:t>
      </w:r>
      <w:r w:rsidR="003B292A">
        <w:rPr>
          <w:rFonts w:asciiTheme="majorHAnsi" w:hAnsiTheme="majorHAnsi" w:cs="Arial"/>
          <w:color w:val="222222"/>
          <w:shd w:val="clear" w:color="auto" w:fill="FFFFFF"/>
        </w:rPr>
        <w:t xml:space="preserve">&amp; </w:t>
      </w:r>
      <w:r w:rsidRPr="007C7CD8">
        <w:rPr>
          <w:rFonts w:asciiTheme="majorHAnsi" w:hAnsiTheme="majorHAnsi" w:cs="Arial"/>
          <w:color w:val="222222"/>
          <w:shd w:val="clear" w:color="auto" w:fill="FFFFFF"/>
        </w:rPr>
        <w:t>Gutscher</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H. The role of the affect and availability heuristics in risk communication. </w:t>
      </w:r>
      <w:r w:rsidRPr="003B292A">
        <w:rPr>
          <w:rFonts w:asciiTheme="majorHAnsi" w:hAnsiTheme="majorHAnsi" w:cs="Arial"/>
          <w:i/>
          <w:color w:val="222222"/>
          <w:shd w:val="clear" w:color="auto" w:fill="FFFFFF"/>
        </w:rPr>
        <w:t xml:space="preserve">Risk </w:t>
      </w:r>
      <w:r w:rsidR="00AE1AB3" w:rsidRPr="003B292A">
        <w:rPr>
          <w:rFonts w:asciiTheme="majorHAnsi" w:hAnsiTheme="majorHAnsi" w:cs="Arial"/>
          <w:i/>
          <w:color w:val="222222"/>
          <w:shd w:val="clear" w:color="auto" w:fill="FFFFFF"/>
        </w:rPr>
        <w:t>A</w:t>
      </w:r>
      <w:r w:rsidRPr="003B292A">
        <w:rPr>
          <w:rFonts w:asciiTheme="majorHAnsi" w:hAnsiTheme="majorHAnsi" w:cs="Arial"/>
          <w:i/>
          <w:color w:val="222222"/>
          <w:shd w:val="clear" w:color="auto" w:fill="FFFFFF"/>
        </w:rPr>
        <w:t>nalysis</w:t>
      </w:r>
      <w:r w:rsidRPr="007C7CD8">
        <w:rPr>
          <w:rFonts w:asciiTheme="majorHAnsi" w:hAnsiTheme="majorHAnsi" w:cs="Arial"/>
          <w:color w:val="222222"/>
          <w:shd w:val="clear" w:color="auto" w:fill="FFFFFF"/>
        </w:rPr>
        <w:t>. 2006</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Jun 1</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26(3)</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631-9.</w:t>
      </w:r>
    </w:p>
    <w:p w14:paraId="33E6CE4D" w14:textId="6DE549ED" w:rsidR="00327615" w:rsidRPr="00D3702F" w:rsidRDefault="00327615" w:rsidP="00327615">
      <w:pPr>
        <w:pStyle w:val="ListParagraph"/>
        <w:numPr>
          <w:ilvl w:val="0"/>
          <w:numId w:val="12"/>
        </w:numPr>
        <w:spacing w:after="160" w:line="259" w:lineRule="auto"/>
        <w:ind w:left="426" w:hanging="426"/>
        <w:rPr>
          <w:rFonts w:asciiTheme="majorHAnsi" w:hAnsiTheme="majorHAnsi"/>
        </w:rPr>
      </w:pPr>
      <w:r w:rsidRPr="007C7CD8">
        <w:rPr>
          <w:rFonts w:asciiTheme="majorHAnsi" w:hAnsiTheme="majorHAnsi" w:cs="Arial"/>
          <w:color w:val="222222"/>
          <w:shd w:val="clear" w:color="auto" w:fill="FFFFFF"/>
        </w:rPr>
        <w:t>Wilson</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R</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S</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Arvai</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J</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L, Arkes</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H</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 xml:space="preserve">R. My loss is your loss… sometimes: loss aversion and the effect of motivational biases. </w:t>
      </w:r>
      <w:r w:rsidRPr="003B292A">
        <w:rPr>
          <w:rFonts w:asciiTheme="majorHAnsi" w:hAnsiTheme="majorHAnsi" w:cs="Arial"/>
          <w:i/>
          <w:color w:val="222222"/>
          <w:shd w:val="clear" w:color="auto" w:fill="FFFFFF"/>
        </w:rPr>
        <w:t>Risk Analysis</w:t>
      </w:r>
      <w:r w:rsidRPr="007C7CD8">
        <w:rPr>
          <w:rFonts w:asciiTheme="majorHAnsi" w:hAnsiTheme="majorHAnsi" w:cs="Arial"/>
          <w:color w:val="222222"/>
          <w:shd w:val="clear" w:color="auto" w:fill="FFFFFF"/>
        </w:rPr>
        <w:t>. 2008</w:t>
      </w:r>
      <w:r w:rsidR="003B292A">
        <w:rPr>
          <w:rFonts w:asciiTheme="majorHAnsi" w:hAnsiTheme="majorHAnsi" w:cs="Arial"/>
          <w:color w:val="222222"/>
          <w:shd w:val="clear" w:color="auto" w:fill="FFFFFF"/>
        </w:rPr>
        <w:t>,</w:t>
      </w:r>
      <w:r w:rsidRPr="007C7CD8">
        <w:rPr>
          <w:rFonts w:asciiTheme="majorHAnsi" w:hAnsiTheme="majorHAnsi" w:cs="Arial"/>
          <w:color w:val="222222"/>
          <w:shd w:val="clear" w:color="auto" w:fill="FFFFFF"/>
        </w:rPr>
        <w:t xml:space="preserve"> Aug 1</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28(4)</w:t>
      </w:r>
      <w:r w:rsidR="003B292A">
        <w:rPr>
          <w:rFonts w:asciiTheme="majorHAnsi" w:hAnsiTheme="majorHAnsi" w:cs="Arial"/>
          <w:color w:val="222222"/>
          <w:shd w:val="clear" w:color="auto" w:fill="FFFFFF"/>
        </w:rPr>
        <w:t xml:space="preserve">, </w:t>
      </w:r>
      <w:r w:rsidRPr="007C7CD8">
        <w:rPr>
          <w:rFonts w:asciiTheme="majorHAnsi" w:hAnsiTheme="majorHAnsi" w:cs="Arial"/>
          <w:color w:val="222222"/>
          <w:shd w:val="clear" w:color="auto" w:fill="FFFFFF"/>
        </w:rPr>
        <w:t>929-38.</w:t>
      </w:r>
    </w:p>
    <w:p w14:paraId="10520841" w14:textId="0C81B445" w:rsidR="003F5EC4" w:rsidRPr="00D3702F" w:rsidRDefault="003F5EC4" w:rsidP="003F5EC4">
      <w:pPr>
        <w:pStyle w:val="ListParagraph"/>
        <w:numPr>
          <w:ilvl w:val="0"/>
          <w:numId w:val="12"/>
        </w:numPr>
        <w:spacing w:after="160" w:line="259" w:lineRule="auto"/>
        <w:ind w:left="426" w:hanging="426"/>
        <w:rPr>
          <w:rFonts w:asciiTheme="majorHAnsi" w:hAnsiTheme="majorHAnsi"/>
        </w:rPr>
      </w:pPr>
      <w:r w:rsidRPr="00D3702F">
        <w:rPr>
          <w:rFonts w:asciiTheme="majorHAnsi" w:hAnsiTheme="majorHAnsi" w:cs="Arial"/>
          <w:color w:val="222222"/>
          <w:shd w:val="clear" w:color="auto" w:fill="FFFFFF"/>
        </w:rPr>
        <w:t xml:space="preserve">Johnstone, D. Behavioral and prescriptive explanations of a reverse sunk cost effect. </w:t>
      </w:r>
      <w:r w:rsidRPr="00D3702F">
        <w:rPr>
          <w:rFonts w:asciiTheme="majorHAnsi" w:hAnsiTheme="majorHAnsi" w:cs="Arial"/>
          <w:i/>
          <w:color w:val="222222"/>
          <w:shd w:val="clear" w:color="auto" w:fill="FFFFFF"/>
        </w:rPr>
        <w:t>Theory and Decision.</w:t>
      </w:r>
      <w:r w:rsidRPr="00D3702F">
        <w:rPr>
          <w:rFonts w:asciiTheme="majorHAnsi" w:hAnsiTheme="majorHAnsi" w:cs="Arial"/>
          <w:color w:val="222222"/>
          <w:shd w:val="clear" w:color="auto" w:fill="FFFFFF"/>
        </w:rPr>
        <w:t xml:space="preserve"> 2003, Nov 1, 53 (3), , 209-242</w:t>
      </w:r>
    </w:p>
    <w:p w14:paraId="02493452" w14:textId="41117944" w:rsidR="00EE5149" w:rsidRPr="00AE1AB3" w:rsidRDefault="00327615" w:rsidP="00A419C0">
      <w:pPr>
        <w:pStyle w:val="ListParagraph"/>
        <w:numPr>
          <w:ilvl w:val="0"/>
          <w:numId w:val="12"/>
        </w:numPr>
        <w:spacing w:after="160" w:line="259" w:lineRule="auto"/>
        <w:ind w:left="426" w:hanging="426"/>
        <w:rPr>
          <w:rFonts w:asciiTheme="majorHAnsi" w:hAnsiTheme="majorHAnsi"/>
          <w:lang w:val="en-US"/>
        </w:rPr>
      </w:pPr>
      <w:r w:rsidRPr="00AE1AB3">
        <w:rPr>
          <w:rFonts w:asciiTheme="majorHAnsi" w:hAnsiTheme="majorHAnsi"/>
          <w:lang w:val="en-US"/>
        </w:rPr>
        <w:t>Statman</w:t>
      </w:r>
      <w:r w:rsidR="003B292A">
        <w:rPr>
          <w:rFonts w:asciiTheme="majorHAnsi" w:hAnsiTheme="majorHAnsi"/>
          <w:lang w:val="en-US"/>
        </w:rPr>
        <w:t>,</w:t>
      </w:r>
      <w:r w:rsidR="00AE1AB3" w:rsidRPr="00AE1AB3">
        <w:rPr>
          <w:rFonts w:asciiTheme="majorHAnsi" w:hAnsiTheme="majorHAnsi"/>
          <w:lang w:val="en-US"/>
        </w:rPr>
        <w:t xml:space="preserve"> M</w:t>
      </w:r>
      <w:r w:rsidR="003B292A">
        <w:rPr>
          <w:rFonts w:asciiTheme="majorHAnsi" w:hAnsiTheme="majorHAnsi"/>
          <w:lang w:val="en-US"/>
        </w:rPr>
        <w:t>.</w:t>
      </w:r>
      <w:r w:rsidRPr="00AE1AB3">
        <w:rPr>
          <w:rFonts w:asciiTheme="majorHAnsi" w:hAnsiTheme="majorHAnsi"/>
          <w:lang w:val="en-US"/>
        </w:rPr>
        <w:t>, Thorley</w:t>
      </w:r>
      <w:r w:rsidR="003B292A">
        <w:rPr>
          <w:rFonts w:asciiTheme="majorHAnsi" w:hAnsiTheme="majorHAnsi"/>
          <w:lang w:val="en-US"/>
        </w:rPr>
        <w:t>,</w:t>
      </w:r>
      <w:r w:rsidR="00AE1AB3" w:rsidRPr="00AE1AB3">
        <w:rPr>
          <w:rFonts w:asciiTheme="majorHAnsi" w:hAnsiTheme="majorHAnsi"/>
          <w:lang w:val="en-US"/>
        </w:rPr>
        <w:t xml:space="preserve"> S</w:t>
      </w:r>
      <w:r w:rsidR="003B292A">
        <w:rPr>
          <w:rFonts w:asciiTheme="majorHAnsi" w:hAnsiTheme="majorHAnsi"/>
          <w:lang w:val="en-US"/>
        </w:rPr>
        <w:t>.</w:t>
      </w:r>
      <w:r w:rsidR="00AE1AB3" w:rsidRPr="00AE1AB3">
        <w:rPr>
          <w:rFonts w:asciiTheme="majorHAnsi" w:hAnsiTheme="majorHAnsi"/>
          <w:lang w:val="en-US"/>
        </w:rPr>
        <w:t>,</w:t>
      </w:r>
      <w:r w:rsidRPr="00AE1AB3">
        <w:rPr>
          <w:rFonts w:asciiTheme="majorHAnsi" w:hAnsiTheme="majorHAnsi"/>
          <w:lang w:val="en-US"/>
        </w:rPr>
        <w:t xml:space="preserve"> </w:t>
      </w:r>
      <w:r w:rsidR="003B292A">
        <w:rPr>
          <w:rFonts w:asciiTheme="majorHAnsi" w:hAnsiTheme="majorHAnsi"/>
          <w:lang w:val="en-US"/>
        </w:rPr>
        <w:t>&amp;</w:t>
      </w:r>
      <w:r w:rsidRPr="00AE1AB3">
        <w:rPr>
          <w:rFonts w:asciiTheme="majorHAnsi" w:hAnsiTheme="majorHAnsi"/>
          <w:lang w:val="en-US"/>
        </w:rPr>
        <w:t xml:space="preserve"> Vorkink</w:t>
      </w:r>
      <w:r w:rsidR="003B292A">
        <w:rPr>
          <w:rFonts w:asciiTheme="majorHAnsi" w:hAnsiTheme="majorHAnsi"/>
          <w:lang w:val="en-US"/>
        </w:rPr>
        <w:t>,</w:t>
      </w:r>
      <w:r w:rsidR="00AE1AB3" w:rsidRPr="00AE1AB3">
        <w:rPr>
          <w:rFonts w:asciiTheme="majorHAnsi" w:hAnsiTheme="majorHAnsi"/>
          <w:lang w:val="en-US"/>
        </w:rPr>
        <w:t xml:space="preserve"> K. Investor overconfidence and trading volume. </w:t>
      </w:r>
      <w:r w:rsidR="00AE1AB3" w:rsidRPr="003B292A">
        <w:rPr>
          <w:rFonts w:asciiTheme="majorHAnsi" w:hAnsiTheme="majorHAnsi"/>
          <w:i/>
          <w:lang w:val="en-US"/>
        </w:rPr>
        <w:t>The Review of Financial Studies</w:t>
      </w:r>
      <w:r w:rsidR="00AE1AB3" w:rsidRPr="00AE1AB3">
        <w:rPr>
          <w:rFonts w:asciiTheme="majorHAnsi" w:hAnsiTheme="majorHAnsi"/>
          <w:lang w:val="en-US"/>
        </w:rPr>
        <w:t>. 2006</w:t>
      </w:r>
      <w:r w:rsidR="003B292A">
        <w:rPr>
          <w:rFonts w:asciiTheme="majorHAnsi" w:hAnsiTheme="majorHAnsi"/>
          <w:lang w:val="en-US"/>
        </w:rPr>
        <w:t>,</w:t>
      </w:r>
      <w:r w:rsidR="00AE1AB3" w:rsidRPr="00AE1AB3">
        <w:rPr>
          <w:rFonts w:asciiTheme="majorHAnsi" w:hAnsiTheme="majorHAnsi"/>
          <w:lang w:val="en-US"/>
        </w:rPr>
        <w:t xml:space="preserve"> Dec 1</w:t>
      </w:r>
      <w:r w:rsidR="003B292A">
        <w:rPr>
          <w:rFonts w:asciiTheme="majorHAnsi" w:hAnsiTheme="majorHAnsi"/>
          <w:lang w:val="en-US"/>
        </w:rPr>
        <w:t>,</w:t>
      </w:r>
      <w:r w:rsidR="00AE1AB3" w:rsidRPr="00AE1AB3">
        <w:rPr>
          <w:rFonts w:asciiTheme="majorHAnsi" w:hAnsiTheme="majorHAnsi"/>
          <w:lang w:val="en-US"/>
        </w:rPr>
        <w:t xml:space="preserve"> 19(4)</w:t>
      </w:r>
      <w:r w:rsidR="003B292A">
        <w:rPr>
          <w:rFonts w:asciiTheme="majorHAnsi" w:hAnsiTheme="majorHAnsi"/>
          <w:lang w:val="en-US"/>
        </w:rPr>
        <w:t>,</w:t>
      </w:r>
      <w:r w:rsidR="00AE1AB3" w:rsidRPr="00AE1AB3">
        <w:rPr>
          <w:rFonts w:asciiTheme="majorHAnsi" w:hAnsiTheme="majorHAnsi"/>
          <w:lang w:val="en-US"/>
        </w:rPr>
        <w:t xml:space="preserve"> 1531-1565.</w:t>
      </w:r>
    </w:p>
    <w:p w14:paraId="745965C5" w14:textId="52418F95" w:rsidR="00EE5149" w:rsidRDefault="00EE5149" w:rsidP="00EE5149">
      <w:pPr>
        <w:pStyle w:val="ListParagraph"/>
        <w:spacing w:after="160" w:line="259" w:lineRule="auto"/>
        <w:ind w:left="426"/>
        <w:rPr>
          <w:rFonts w:asciiTheme="majorHAnsi" w:hAnsiTheme="majorHAnsi"/>
          <w:lang w:val="en-US"/>
        </w:rPr>
      </w:pPr>
    </w:p>
    <w:p w14:paraId="382E2FA8" w14:textId="5DEB8E6B" w:rsidR="00EE5149" w:rsidRDefault="00EE5149" w:rsidP="00EE5149">
      <w:pPr>
        <w:pStyle w:val="ListParagraph"/>
        <w:spacing w:after="160" w:line="259" w:lineRule="auto"/>
        <w:ind w:left="426"/>
        <w:rPr>
          <w:rFonts w:asciiTheme="majorHAnsi" w:hAnsiTheme="majorHAnsi"/>
          <w:lang w:val="en-US"/>
        </w:rPr>
      </w:pPr>
    </w:p>
    <w:p w14:paraId="30C3848D" w14:textId="7FC9A8B6" w:rsidR="00EE5149" w:rsidRDefault="00EE5149" w:rsidP="00EE5149">
      <w:pPr>
        <w:pStyle w:val="ListParagraph"/>
        <w:spacing w:after="160" w:line="259" w:lineRule="auto"/>
        <w:ind w:left="426"/>
        <w:rPr>
          <w:rFonts w:asciiTheme="majorHAnsi" w:hAnsiTheme="majorHAnsi"/>
          <w:lang w:val="en-US"/>
        </w:rPr>
      </w:pPr>
    </w:p>
    <w:p w14:paraId="765A4A6C" w14:textId="25177B8B" w:rsidR="00EE5149" w:rsidRDefault="00EE5149" w:rsidP="00EE5149">
      <w:pPr>
        <w:pStyle w:val="ListParagraph"/>
        <w:spacing w:after="160" w:line="259" w:lineRule="auto"/>
        <w:ind w:left="426"/>
        <w:rPr>
          <w:rFonts w:asciiTheme="majorHAnsi" w:hAnsiTheme="majorHAnsi"/>
          <w:lang w:val="en-US"/>
        </w:rPr>
      </w:pPr>
    </w:p>
    <w:p w14:paraId="10EB4EA7" w14:textId="2DBF501D" w:rsidR="00EE5149" w:rsidRDefault="00EE5149" w:rsidP="00EE5149">
      <w:pPr>
        <w:pStyle w:val="ListParagraph"/>
        <w:spacing w:after="160" w:line="259" w:lineRule="auto"/>
        <w:ind w:left="426"/>
        <w:rPr>
          <w:rFonts w:asciiTheme="majorHAnsi" w:hAnsiTheme="majorHAnsi"/>
          <w:lang w:val="en-US"/>
        </w:rPr>
      </w:pPr>
    </w:p>
    <w:p w14:paraId="1F712947" w14:textId="65635A38" w:rsidR="00EE5149" w:rsidRDefault="00EE5149" w:rsidP="00EE5149">
      <w:pPr>
        <w:pStyle w:val="ListParagraph"/>
        <w:spacing w:after="160" w:line="259" w:lineRule="auto"/>
        <w:ind w:left="426"/>
        <w:rPr>
          <w:rFonts w:asciiTheme="majorHAnsi" w:hAnsiTheme="majorHAnsi"/>
          <w:lang w:val="en-US"/>
        </w:rPr>
      </w:pPr>
    </w:p>
    <w:p w14:paraId="2F890FE1" w14:textId="3F6F61F1" w:rsidR="00EE5149" w:rsidRDefault="00EE5149" w:rsidP="00EE5149">
      <w:pPr>
        <w:pStyle w:val="ListParagraph"/>
        <w:spacing w:after="160" w:line="259" w:lineRule="auto"/>
        <w:ind w:left="426"/>
        <w:rPr>
          <w:rFonts w:asciiTheme="majorHAnsi" w:hAnsiTheme="majorHAnsi"/>
          <w:lang w:val="en-US"/>
        </w:rPr>
      </w:pPr>
    </w:p>
    <w:p w14:paraId="2F0D2E2C" w14:textId="38821CA0" w:rsidR="00EE5149" w:rsidRDefault="00EE5149" w:rsidP="00EE5149">
      <w:pPr>
        <w:pStyle w:val="ListParagraph"/>
        <w:spacing w:after="160" w:line="259" w:lineRule="auto"/>
        <w:ind w:left="426"/>
        <w:rPr>
          <w:rFonts w:asciiTheme="majorHAnsi" w:hAnsiTheme="majorHAnsi"/>
          <w:lang w:val="en-US"/>
        </w:rPr>
      </w:pPr>
    </w:p>
    <w:p w14:paraId="7290EF54" w14:textId="51C66270" w:rsidR="00EE5149" w:rsidRDefault="00EE5149" w:rsidP="00EE5149">
      <w:pPr>
        <w:pStyle w:val="ListParagraph"/>
        <w:spacing w:after="160" w:line="259" w:lineRule="auto"/>
        <w:ind w:left="426"/>
        <w:rPr>
          <w:rFonts w:asciiTheme="majorHAnsi" w:hAnsiTheme="majorHAnsi"/>
          <w:lang w:val="en-US"/>
        </w:rPr>
      </w:pPr>
    </w:p>
    <w:p w14:paraId="42BB315D" w14:textId="4D5A27F0" w:rsidR="00EE5149" w:rsidRDefault="00EE5149" w:rsidP="00EE5149">
      <w:pPr>
        <w:pStyle w:val="ListParagraph"/>
        <w:spacing w:after="160" w:line="259" w:lineRule="auto"/>
        <w:ind w:left="426"/>
        <w:rPr>
          <w:rFonts w:asciiTheme="majorHAnsi" w:hAnsiTheme="majorHAnsi"/>
          <w:lang w:val="en-US"/>
        </w:rPr>
      </w:pPr>
    </w:p>
    <w:p w14:paraId="16BAFD74" w14:textId="29289397" w:rsidR="00EE5149" w:rsidRDefault="00EE5149" w:rsidP="00EE5149">
      <w:pPr>
        <w:pStyle w:val="ListParagraph"/>
        <w:spacing w:after="160" w:line="259" w:lineRule="auto"/>
        <w:ind w:left="426"/>
        <w:rPr>
          <w:rFonts w:asciiTheme="majorHAnsi" w:hAnsiTheme="majorHAnsi"/>
          <w:lang w:val="en-US"/>
        </w:rPr>
      </w:pPr>
    </w:p>
    <w:p w14:paraId="14B2DD6D" w14:textId="1FB6D885" w:rsidR="00EE5149" w:rsidRDefault="00EE5149" w:rsidP="00EE5149">
      <w:pPr>
        <w:pStyle w:val="ListParagraph"/>
        <w:spacing w:after="160" w:line="259" w:lineRule="auto"/>
        <w:ind w:left="426"/>
        <w:rPr>
          <w:rFonts w:asciiTheme="majorHAnsi" w:hAnsiTheme="majorHAnsi"/>
          <w:lang w:val="en-US"/>
        </w:rPr>
      </w:pPr>
    </w:p>
    <w:p w14:paraId="449D3B0F" w14:textId="0D7E99A9" w:rsidR="00EE5149" w:rsidRDefault="00EE5149" w:rsidP="00EE5149">
      <w:pPr>
        <w:pStyle w:val="ListParagraph"/>
        <w:spacing w:after="160" w:line="259" w:lineRule="auto"/>
        <w:ind w:left="426"/>
        <w:rPr>
          <w:rFonts w:asciiTheme="majorHAnsi" w:hAnsiTheme="majorHAnsi"/>
          <w:lang w:val="en-US"/>
        </w:rPr>
      </w:pPr>
    </w:p>
    <w:p w14:paraId="4CD9A71C" w14:textId="4DC63A6B" w:rsidR="00EE5149" w:rsidRDefault="00EE5149" w:rsidP="00EE5149">
      <w:pPr>
        <w:pStyle w:val="ListParagraph"/>
        <w:spacing w:after="160" w:line="259" w:lineRule="auto"/>
        <w:ind w:left="426"/>
        <w:rPr>
          <w:rFonts w:asciiTheme="majorHAnsi" w:hAnsiTheme="majorHAnsi"/>
          <w:lang w:val="en-US"/>
        </w:rPr>
      </w:pPr>
    </w:p>
    <w:p w14:paraId="3B9108D5" w14:textId="77777777" w:rsidR="00EE5149" w:rsidRPr="007C7CD8" w:rsidRDefault="00EE5149" w:rsidP="00EE5149">
      <w:pPr>
        <w:spacing w:after="0" w:line="240" w:lineRule="auto"/>
        <w:rPr>
          <w:rFonts w:asciiTheme="majorHAnsi" w:hAnsiTheme="majorHAnsi"/>
          <w:b/>
        </w:rPr>
      </w:pPr>
      <w:r w:rsidRPr="007C7CD8">
        <w:rPr>
          <w:rFonts w:asciiTheme="majorHAnsi" w:hAnsiTheme="majorHAnsi"/>
          <w:b/>
        </w:rPr>
        <w:t>Appendix A: The Extended Cox Proportional Hazard Model</w:t>
      </w:r>
    </w:p>
    <w:p w14:paraId="460CAEB7" w14:textId="77777777" w:rsidR="00EE5149" w:rsidRDefault="00EE5149" w:rsidP="00EE5149">
      <w:pPr>
        <w:spacing w:after="0" w:line="240" w:lineRule="auto"/>
        <w:rPr>
          <w:rFonts w:asciiTheme="majorHAnsi" w:hAnsiTheme="majorHAnsi"/>
        </w:rPr>
      </w:pPr>
    </w:p>
    <w:p w14:paraId="6F978C6D" w14:textId="0D21A32A" w:rsidR="00EE5149" w:rsidRPr="00F670BD" w:rsidRDefault="00EE5149" w:rsidP="00EE5149">
      <w:pPr>
        <w:spacing w:after="0" w:line="480" w:lineRule="auto"/>
        <w:ind w:firstLine="720"/>
        <w:rPr>
          <w:rFonts w:asciiTheme="majorHAnsi" w:hAnsiTheme="majorHAnsi"/>
          <w:color w:val="000000" w:themeColor="text1"/>
          <w:lang w:val="en-US" w:eastAsia="zh-CN"/>
        </w:rPr>
      </w:pPr>
      <w:r>
        <w:rPr>
          <w:rFonts w:asciiTheme="majorHAnsi" w:hAnsiTheme="majorHAnsi"/>
          <w:lang w:val="en-US"/>
        </w:rPr>
        <w:t xml:space="preserve">The CPH </w:t>
      </w:r>
      <w:r w:rsidRPr="008A05FC">
        <w:rPr>
          <w:rFonts w:asciiTheme="majorHAnsi" w:hAnsiTheme="majorHAnsi"/>
          <w:lang w:val="en-US"/>
        </w:rPr>
        <w:t xml:space="preserve">allows us to investigate the probability distribution of </w:t>
      </w:r>
      <w:r>
        <w:rPr>
          <w:rFonts w:asciiTheme="majorHAnsi" w:hAnsiTheme="majorHAnsi"/>
          <w:lang w:val="en-US"/>
        </w:rPr>
        <w:t>individuals</w:t>
      </w:r>
      <w:r w:rsidRPr="008A05FC">
        <w:rPr>
          <w:rFonts w:asciiTheme="majorHAnsi" w:hAnsiTheme="majorHAnsi"/>
          <w:lang w:val="en-US"/>
        </w:rPr>
        <w:t xml:space="preserve"> ceasing </w:t>
      </w:r>
      <w:r w:rsidR="00C40A4E">
        <w:rPr>
          <w:rFonts w:asciiTheme="majorHAnsi" w:hAnsiTheme="majorHAnsi"/>
          <w:lang w:val="en-US"/>
        </w:rPr>
        <w:t xml:space="preserve">to </w:t>
      </w:r>
      <w:r w:rsidRPr="008A05FC">
        <w:rPr>
          <w:rFonts w:asciiTheme="majorHAnsi" w:hAnsiTheme="majorHAnsi"/>
          <w:lang w:val="en-US"/>
        </w:rPr>
        <w:t>trad</w:t>
      </w:r>
      <w:r w:rsidR="00C40A4E">
        <w:rPr>
          <w:rFonts w:asciiTheme="majorHAnsi" w:hAnsiTheme="majorHAnsi"/>
          <w:lang w:val="en-US"/>
        </w:rPr>
        <w:t>e</w:t>
      </w:r>
      <w:r w:rsidRPr="008A05FC">
        <w:rPr>
          <w:rFonts w:asciiTheme="majorHAnsi" w:hAnsiTheme="majorHAnsi"/>
          <w:lang w:val="en-US"/>
        </w:rPr>
        <w:t xml:space="preserve"> at time </w:t>
      </w:r>
      <w:r w:rsidRPr="00730039">
        <w:rPr>
          <w:rFonts w:asciiTheme="majorHAnsi" w:hAnsiTheme="majorHAnsi"/>
          <w:i/>
          <w:lang w:val="en-US"/>
        </w:rPr>
        <w:t>t</w:t>
      </w:r>
      <w:r>
        <w:rPr>
          <w:rFonts w:asciiTheme="majorHAnsi" w:hAnsiTheme="majorHAnsi"/>
          <w:lang w:val="en-US"/>
        </w:rPr>
        <w:t>, assuming</w:t>
      </w:r>
      <w:r w:rsidRPr="008A05FC">
        <w:rPr>
          <w:rFonts w:asciiTheme="majorHAnsi" w:hAnsiTheme="majorHAnsi"/>
          <w:lang w:val="en-US"/>
        </w:rPr>
        <w:t xml:space="preserve"> they had not ceased trad</w:t>
      </w:r>
      <w:r w:rsidR="003B292A">
        <w:rPr>
          <w:rFonts w:asciiTheme="majorHAnsi" w:hAnsiTheme="majorHAnsi"/>
          <w:lang w:val="en-US"/>
        </w:rPr>
        <w:t>ing</w:t>
      </w:r>
      <w:r w:rsidRPr="008A05FC">
        <w:rPr>
          <w:rFonts w:asciiTheme="majorHAnsi" w:hAnsiTheme="majorHAnsi"/>
          <w:lang w:val="en-US"/>
        </w:rPr>
        <w:t xml:space="preserve"> before time </w:t>
      </w:r>
      <w:r w:rsidRPr="00C9492E">
        <w:rPr>
          <w:rFonts w:asciiTheme="majorHAnsi" w:hAnsiTheme="majorHAnsi"/>
          <w:i/>
          <w:iCs/>
          <w:lang w:val="en-US"/>
        </w:rPr>
        <w:t>t</w:t>
      </w:r>
      <w:r w:rsidRPr="008A05FC">
        <w:rPr>
          <w:rFonts w:asciiTheme="majorHAnsi" w:hAnsiTheme="majorHAnsi"/>
          <w:lang w:val="en-US"/>
        </w:rPr>
        <w:t xml:space="preserve">. </w:t>
      </w:r>
      <w:r>
        <w:rPr>
          <w:rFonts w:asciiTheme="majorHAnsi" w:hAnsiTheme="majorHAnsi"/>
          <w:lang w:val="en-US"/>
        </w:rPr>
        <w:t>Th</w:t>
      </w:r>
      <w:r w:rsidRPr="008A05FC">
        <w:rPr>
          <w:rFonts w:asciiTheme="majorHAnsi" w:hAnsiTheme="majorHAnsi"/>
          <w:lang w:val="en-US"/>
        </w:rPr>
        <w:t xml:space="preserve">is </w:t>
      </w:r>
      <w:r>
        <w:rPr>
          <w:rFonts w:asciiTheme="majorHAnsi" w:hAnsiTheme="majorHAnsi"/>
          <w:lang w:val="en-US"/>
        </w:rPr>
        <w:t xml:space="preserve">is </w:t>
      </w:r>
      <w:r w:rsidRPr="008A05FC">
        <w:rPr>
          <w:rFonts w:asciiTheme="majorHAnsi" w:hAnsiTheme="majorHAnsi"/>
          <w:lang w:val="en-US"/>
        </w:rPr>
        <w:t xml:space="preserve">particularly </w:t>
      </w:r>
      <w:r>
        <w:rPr>
          <w:rFonts w:asciiTheme="majorHAnsi" w:hAnsiTheme="majorHAnsi"/>
          <w:lang w:val="en-US"/>
        </w:rPr>
        <w:t xml:space="preserve">useful, since </w:t>
      </w:r>
      <w:r w:rsidRPr="008A05FC">
        <w:rPr>
          <w:rFonts w:asciiTheme="majorHAnsi" w:hAnsiTheme="majorHAnsi"/>
          <w:lang w:val="en-US"/>
        </w:rPr>
        <w:t>characteristics</w:t>
      </w:r>
      <w:r>
        <w:rPr>
          <w:rFonts w:asciiTheme="majorHAnsi" w:hAnsiTheme="majorHAnsi"/>
          <w:lang w:val="en-US"/>
        </w:rPr>
        <w:t xml:space="preserve"> (e.g. profitability)</w:t>
      </w:r>
      <w:r w:rsidRPr="008A05FC">
        <w:rPr>
          <w:rFonts w:asciiTheme="majorHAnsi" w:hAnsiTheme="majorHAnsi"/>
          <w:lang w:val="en-US"/>
        </w:rPr>
        <w:t xml:space="preserve"> associated with individual</w:t>
      </w:r>
      <w:r>
        <w:rPr>
          <w:rFonts w:asciiTheme="majorHAnsi" w:hAnsiTheme="majorHAnsi"/>
          <w:lang w:val="en-US"/>
        </w:rPr>
        <w:t xml:space="preserve">s </w:t>
      </w:r>
      <w:r w:rsidRPr="008A05FC">
        <w:rPr>
          <w:rFonts w:asciiTheme="majorHAnsi" w:hAnsiTheme="majorHAnsi"/>
          <w:lang w:val="en-US"/>
        </w:rPr>
        <w:t xml:space="preserve">may change in value </w:t>
      </w:r>
      <w:r>
        <w:rPr>
          <w:rFonts w:asciiTheme="majorHAnsi" w:hAnsiTheme="majorHAnsi"/>
          <w:lang w:val="en-US"/>
        </w:rPr>
        <w:t>through time (</w:t>
      </w:r>
      <w:r w:rsidRPr="003920BC">
        <w:rPr>
          <w:rFonts w:asciiTheme="majorHAnsi" w:hAnsiTheme="majorHAnsi"/>
          <w:lang w:val="en-US"/>
        </w:rPr>
        <w:t>Chen et al.</w:t>
      </w:r>
      <w:r>
        <w:rPr>
          <w:rFonts w:asciiTheme="majorHAnsi" w:hAnsiTheme="majorHAnsi"/>
          <w:lang w:val="en-US"/>
        </w:rPr>
        <w:t xml:space="preserve">, </w:t>
      </w:r>
      <w:r w:rsidRPr="003920BC">
        <w:rPr>
          <w:rFonts w:asciiTheme="majorHAnsi" w:hAnsiTheme="majorHAnsi"/>
          <w:lang w:val="en-US"/>
        </w:rPr>
        <w:t>2</w:t>
      </w:r>
      <w:r>
        <w:rPr>
          <w:rFonts w:asciiTheme="majorHAnsi" w:hAnsiTheme="majorHAnsi"/>
          <w:lang w:val="en-US"/>
        </w:rPr>
        <w:t>009</w:t>
      </w:r>
      <w:r w:rsidRPr="003920BC">
        <w:rPr>
          <w:rFonts w:asciiTheme="majorHAnsi" w:hAnsiTheme="majorHAnsi"/>
          <w:lang w:val="en-US"/>
        </w:rPr>
        <w:t>)</w:t>
      </w:r>
      <w:r>
        <w:rPr>
          <w:rFonts w:asciiTheme="majorHAnsi" w:hAnsiTheme="majorHAnsi"/>
          <w:lang w:val="en-US"/>
        </w:rPr>
        <w:t>.  Furthermore, a CPH</w:t>
      </w:r>
      <w:r w:rsidRPr="00FC6DF5">
        <w:rPr>
          <w:rFonts w:asciiTheme="majorHAnsi" w:hAnsiTheme="majorHAnsi"/>
          <w:lang w:val="en-US"/>
        </w:rPr>
        <w:t xml:space="preserve"> model </w:t>
      </w:r>
      <w:r>
        <w:rPr>
          <w:rFonts w:asciiTheme="majorHAnsi" w:hAnsiTheme="majorHAnsi"/>
          <w:lang w:val="en-US"/>
        </w:rPr>
        <w:t>en</w:t>
      </w:r>
      <w:r w:rsidRPr="00FC6DF5">
        <w:rPr>
          <w:rFonts w:asciiTheme="majorHAnsi" w:hAnsiTheme="majorHAnsi"/>
          <w:lang w:val="en-US"/>
        </w:rPr>
        <w:t>able</w:t>
      </w:r>
      <w:r>
        <w:rPr>
          <w:rFonts w:asciiTheme="majorHAnsi" w:hAnsiTheme="majorHAnsi"/>
          <w:lang w:val="en-US"/>
        </w:rPr>
        <w:t>s us</w:t>
      </w:r>
      <w:r w:rsidRPr="00FC6DF5">
        <w:rPr>
          <w:rFonts w:asciiTheme="majorHAnsi" w:hAnsiTheme="majorHAnsi"/>
          <w:lang w:val="en-US"/>
        </w:rPr>
        <w:t xml:space="preserve"> to </w:t>
      </w:r>
      <w:r>
        <w:rPr>
          <w:rFonts w:asciiTheme="majorHAnsi" w:hAnsiTheme="majorHAnsi"/>
          <w:lang w:val="en-US"/>
        </w:rPr>
        <w:t>employ</w:t>
      </w:r>
      <w:r w:rsidRPr="00FC6DF5">
        <w:rPr>
          <w:rFonts w:asciiTheme="majorHAnsi" w:hAnsiTheme="majorHAnsi"/>
          <w:lang w:val="en-US"/>
        </w:rPr>
        <w:t xml:space="preserve"> partial information </w:t>
      </w:r>
      <w:r>
        <w:rPr>
          <w:rFonts w:asciiTheme="majorHAnsi" w:hAnsiTheme="majorHAnsi"/>
          <w:lang w:val="en-US"/>
        </w:rPr>
        <w:t>concerning traders,</w:t>
      </w:r>
      <w:r w:rsidRPr="00FC6DF5">
        <w:rPr>
          <w:rFonts w:asciiTheme="majorHAnsi" w:hAnsiTheme="majorHAnsi"/>
          <w:lang w:val="en-US"/>
        </w:rPr>
        <w:t xml:space="preserve"> using censoring techniques</w:t>
      </w:r>
      <w:r>
        <w:rPr>
          <w:rFonts w:asciiTheme="majorHAnsi" w:hAnsiTheme="majorHAnsi"/>
          <w:lang w:val="en-US"/>
        </w:rPr>
        <w:t>, where the</w:t>
      </w:r>
      <w:r w:rsidRPr="00FC6DF5">
        <w:rPr>
          <w:rFonts w:asciiTheme="majorHAnsi" w:hAnsiTheme="majorHAnsi"/>
          <w:lang w:val="en-US"/>
        </w:rPr>
        <w:t xml:space="preserve"> event</w:t>
      </w:r>
      <w:r>
        <w:rPr>
          <w:rFonts w:asciiTheme="majorHAnsi" w:hAnsiTheme="majorHAnsi"/>
          <w:lang w:val="en-US"/>
        </w:rPr>
        <w:t xml:space="preserve"> (e.g. ceasing to trade)</w:t>
      </w:r>
      <w:r w:rsidRPr="00FC6DF5">
        <w:rPr>
          <w:rFonts w:asciiTheme="majorHAnsi" w:hAnsiTheme="majorHAnsi"/>
          <w:lang w:val="en-US"/>
        </w:rPr>
        <w:t xml:space="preserve"> has not yet occurred</w:t>
      </w:r>
      <w:r>
        <w:rPr>
          <w:rFonts w:asciiTheme="majorHAnsi" w:hAnsiTheme="majorHAnsi"/>
          <w:lang w:val="en-US"/>
        </w:rPr>
        <w:t>. W</w:t>
      </w:r>
      <w:r w:rsidRPr="008A05FC">
        <w:rPr>
          <w:rFonts w:asciiTheme="majorHAnsi" w:hAnsiTheme="majorHAnsi"/>
          <w:lang w:val="en-US"/>
        </w:rPr>
        <w:t>e defined the event that a</w:t>
      </w:r>
      <w:r>
        <w:rPr>
          <w:rFonts w:asciiTheme="majorHAnsi" w:hAnsiTheme="majorHAnsi"/>
          <w:lang w:val="en-US"/>
        </w:rPr>
        <w:t>n</w:t>
      </w:r>
      <w:r w:rsidRPr="008A05FC">
        <w:rPr>
          <w:rFonts w:asciiTheme="majorHAnsi" w:hAnsiTheme="majorHAnsi"/>
          <w:lang w:val="en-US"/>
        </w:rPr>
        <w:t xml:space="preserve"> </w:t>
      </w:r>
      <w:r>
        <w:rPr>
          <w:rFonts w:asciiTheme="majorHAnsi" w:hAnsiTheme="majorHAnsi"/>
          <w:lang w:val="en-US"/>
        </w:rPr>
        <w:t>individual</w:t>
      </w:r>
      <w:r w:rsidRPr="008A05FC" w:rsidDel="009504D5">
        <w:rPr>
          <w:rFonts w:asciiTheme="majorHAnsi" w:hAnsiTheme="majorHAnsi"/>
          <w:lang w:val="en-US"/>
        </w:rPr>
        <w:t xml:space="preserve"> </w:t>
      </w:r>
      <w:r w:rsidRPr="008A05FC">
        <w:rPr>
          <w:rFonts w:asciiTheme="majorHAnsi" w:hAnsiTheme="majorHAnsi"/>
          <w:lang w:val="en-US"/>
        </w:rPr>
        <w:t xml:space="preserve">ceased trading as </w:t>
      </w:r>
      <w:r>
        <w:rPr>
          <w:rFonts w:asciiTheme="majorHAnsi" w:hAnsiTheme="majorHAnsi"/>
          <w:lang w:val="en-US"/>
        </w:rPr>
        <w:t xml:space="preserve">the </w:t>
      </w:r>
      <w:r w:rsidRPr="008A05FC">
        <w:rPr>
          <w:rFonts w:asciiTheme="majorHAnsi" w:hAnsiTheme="majorHAnsi"/>
          <w:lang w:val="en-US"/>
        </w:rPr>
        <w:t xml:space="preserve">last </w:t>
      </w:r>
      <w:r>
        <w:rPr>
          <w:rFonts w:asciiTheme="majorHAnsi" w:hAnsiTheme="majorHAnsi"/>
          <w:lang w:val="en-US"/>
        </w:rPr>
        <w:t>recorded trade for this individual related to</w:t>
      </w:r>
      <w:r w:rsidRPr="008A05FC">
        <w:rPr>
          <w:rFonts w:asciiTheme="majorHAnsi" w:hAnsiTheme="majorHAnsi"/>
          <w:lang w:val="en-US"/>
        </w:rPr>
        <w:t xml:space="preserve"> the market</w:t>
      </w:r>
      <w:r>
        <w:rPr>
          <w:rFonts w:asciiTheme="majorHAnsi" w:hAnsiTheme="majorHAnsi"/>
          <w:lang w:val="en-US"/>
        </w:rPr>
        <w:t xml:space="preserve"> </w:t>
      </w:r>
      <w:r w:rsidRPr="008A05FC">
        <w:rPr>
          <w:rFonts w:asciiTheme="majorHAnsi" w:hAnsiTheme="majorHAnsi"/>
          <w:lang w:val="en-US"/>
        </w:rPr>
        <w:t xml:space="preserve">we investigated (FTSE futures). However, it </w:t>
      </w:r>
      <w:r>
        <w:rPr>
          <w:rFonts w:asciiTheme="majorHAnsi" w:hAnsiTheme="majorHAnsi"/>
          <w:lang w:val="en-US"/>
        </w:rPr>
        <w:t>is</w:t>
      </w:r>
      <w:r w:rsidRPr="008A05FC">
        <w:rPr>
          <w:rFonts w:asciiTheme="majorHAnsi" w:hAnsiTheme="majorHAnsi"/>
          <w:lang w:val="en-US"/>
        </w:rPr>
        <w:t xml:space="preserve"> possible </w:t>
      </w:r>
      <w:r>
        <w:rPr>
          <w:rFonts w:asciiTheme="majorHAnsi" w:hAnsiTheme="majorHAnsi"/>
          <w:lang w:val="en-US"/>
        </w:rPr>
        <w:t>that</w:t>
      </w:r>
      <w:r w:rsidRPr="008A05FC">
        <w:rPr>
          <w:rFonts w:asciiTheme="majorHAnsi" w:hAnsiTheme="majorHAnsi"/>
          <w:lang w:val="en-US"/>
        </w:rPr>
        <w:t xml:space="preserve"> a</w:t>
      </w:r>
      <w:r>
        <w:rPr>
          <w:rFonts w:asciiTheme="majorHAnsi" w:hAnsiTheme="majorHAnsi"/>
          <w:lang w:val="en-US"/>
        </w:rPr>
        <w:t>n individual</w:t>
      </w:r>
      <w:r w:rsidRPr="008A05FC">
        <w:rPr>
          <w:rFonts w:asciiTheme="majorHAnsi" w:hAnsiTheme="majorHAnsi"/>
          <w:lang w:val="en-US"/>
        </w:rPr>
        <w:t xml:space="preserve"> continue</w:t>
      </w:r>
      <w:r>
        <w:rPr>
          <w:rFonts w:asciiTheme="majorHAnsi" w:hAnsiTheme="majorHAnsi"/>
          <w:lang w:val="en-US"/>
        </w:rPr>
        <w:t>d</w:t>
      </w:r>
      <w:r w:rsidRPr="008A05FC">
        <w:rPr>
          <w:rFonts w:asciiTheme="majorHAnsi" w:hAnsiTheme="majorHAnsi"/>
          <w:lang w:val="en-US"/>
        </w:rPr>
        <w:t xml:space="preserve"> trading beyond the final date in our </w:t>
      </w:r>
      <w:r>
        <w:rPr>
          <w:rFonts w:asciiTheme="majorHAnsi" w:hAnsiTheme="majorHAnsi"/>
          <w:lang w:val="en-US"/>
        </w:rPr>
        <w:t>sample</w:t>
      </w:r>
      <w:r w:rsidRPr="008A05FC">
        <w:rPr>
          <w:rFonts w:asciiTheme="majorHAnsi" w:hAnsiTheme="majorHAnsi"/>
          <w:lang w:val="en-US"/>
        </w:rPr>
        <w:t xml:space="preserve"> (</w:t>
      </w:r>
      <w:r>
        <w:rPr>
          <w:rFonts w:asciiTheme="majorHAnsi" w:hAnsiTheme="majorHAnsi"/>
          <w:lang w:val="en-US"/>
        </w:rPr>
        <w:t>1</w:t>
      </w:r>
      <w:r w:rsidRPr="008A05FC">
        <w:rPr>
          <w:rFonts w:asciiTheme="majorHAnsi" w:hAnsiTheme="majorHAnsi"/>
          <w:lang w:val="en-US"/>
        </w:rPr>
        <w:t xml:space="preserve">7th </w:t>
      </w:r>
      <w:r>
        <w:rPr>
          <w:rFonts w:asciiTheme="majorHAnsi" w:hAnsiTheme="majorHAnsi"/>
          <w:lang w:val="en-US"/>
        </w:rPr>
        <w:t>April</w:t>
      </w:r>
      <w:r w:rsidRPr="008A05FC">
        <w:rPr>
          <w:rFonts w:asciiTheme="majorHAnsi" w:hAnsiTheme="majorHAnsi"/>
          <w:lang w:val="en-US"/>
        </w:rPr>
        <w:t xml:space="preserve"> 201</w:t>
      </w:r>
      <w:r>
        <w:rPr>
          <w:rFonts w:asciiTheme="majorHAnsi" w:hAnsiTheme="majorHAnsi"/>
          <w:lang w:val="en-US"/>
        </w:rPr>
        <w:t>3</w:t>
      </w:r>
      <w:r w:rsidRPr="008A05FC">
        <w:rPr>
          <w:rFonts w:asciiTheme="majorHAnsi" w:hAnsiTheme="majorHAnsi"/>
          <w:lang w:val="en-US"/>
        </w:rPr>
        <w:t>). Therefore</w:t>
      </w:r>
      <w:r>
        <w:rPr>
          <w:rFonts w:asciiTheme="majorHAnsi" w:hAnsiTheme="majorHAnsi"/>
          <w:lang w:val="en-US"/>
        </w:rPr>
        <w:t>,</w:t>
      </w:r>
      <w:r w:rsidRPr="008A05FC">
        <w:rPr>
          <w:rFonts w:asciiTheme="majorHAnsi" w:hAnsiTheme="majorHAnsi"/>
          <w:lang w:val="en-US"/>
        </w:rPr>
        <w:t xml:space="preserve"> we </w:t>
      </w:r>
      <w:r>
        <w:rPr>
          <w:rFonts w:asciiTheme="majorHAnsi" w:hAnsiTheme="majorHAnsi"/>
          <w:lang w:val="en-US"/>
        </w:rPr>
        <w:t>‘</w:t>
      </w:r>
      <w:r w:rsidRPr="008A05FC">
        <w:rPr>
          <w:rFonts w:asciiTheme="majorHAnsi" w:hAnsiTheme="majorHAnsi"/>
          <w:lang w:val="en-US"/>
        </w:rPr>
        <w:t>right censor</w:t>
      </w:r>
      <w:r>
        <w:rPr>
          <w:rFonts w:asciiTheme="majorHAnsi" w:hAnsiTheme="majorHAnsi"/>
          <w:lang w:val="en-US"/>
        </w:rPr>
        <w:t>ed’</w:t>
      </w:r>
      <w:r w:rsidRPr="008A05FC">
        <w:rPr>
          <w:rFonts w:asciiTheme="majorHAnsi" w:hAnsiTheme="majorHAnsi"/>
          <w:lang w:val="en-US"/>
        </w:rPr>
        <w:t xml:space="preserve"> those </w:t>
      </w:r>
      <w:r>
        <w:rPr>
          <w:rFonts w:asciiTheme="majorHAnsi" w:hAnsiTheme="majorHAnsi"/>
          <w:lang w:val="en-US"/>
        </w:rPr>
        <w:t>individuals</w:t>
      </w:r>
      <w:r w:rsidRPr="008A05FC">
        <w:rPr>
          <w:rFonts w:asciiTheme="majorHAnsi" w:hAnsiTheme="majorHAnsi"/>
          <w:lang w:val="en-US"/>
        </w:rPr>
        <w:t xml:space="preserve"> whose last recorded trade was regarded as sufficiently close to the final date that they may have continued trading</w:t>
      </w:r>
      <w:r>
        <w:rPr>
          <w:rFonts w:asciiTheme="majorHAnsi" w:hAnsiTheme="majorHAnsi"/>
          <w:lang w:val="en-US"/>
        </w:rPr>
        <w:t>.</w:t>
      </w:r>
      <w:r w:rsidRPr="008A05FC">
        <w:rPr>
          <w:rFonts w:asciiTheme="majorHAnsi" w:hAnsiTheme="majorHAnsi"/>
          <w:lang w:val="en-US"/>
        </w:rPr>
        <w:t xml:space="preserve"> As a result of being right censored</w:t>
      </w:r>
      <w:r>
        <w:rPr>
          <w:rFonts w:asciiTheme="majorHAnsi" w:hAnsiTheme="majorHAnsi"/>
          <w:lang w:val="en-US"/>
        </w:rPr>
        <w:t>,</w:t>
      </w:r>
      <w:r w:rsidRPr="008A05FC">
        <w:rPr>
          <w:rFonts w:asciiTheme="majorHAnsi" w:hAnsiTheme="majorHAnsi"/>
          <w:lang w:val="en-US"/>
        </w:rPr>
        <w:t xml:space="preserve"> they contribute to the overall calculation of </w:t>
      </w:r>
      <w:r>
        <w:rPr>
          <w:rFonts w:asciiTheme="majorHAnsi" w:hAnsiTheme="majorHAnsi"/>
          <w:lang w:val="en-US"/>
        </w:rPr>
        <w:t>the survival function</w:t>
      </w:r>
      <w:r w:rsidRPr="008A05FC">
        <w:rPr>
          <w:rFonts w:asciiTheme="majorHAnsi" w:hAnsiTheme="majorHAnsi"/>
          <w:lang w:val="en-US"/>
        </w:rPr>
        <w:t xml:space="preserve"> up until the end of our records and are not classed as having ceased trading on their final trade date. </w:t>
      </w:r>
      <w:r w:rsidRPr="008A05FC">
        <w:rPr>
          <w:rFonts w:asciiTheme="majorHAnsi" w:hAnsiTheme="majorHAnsi"/>
          <w:color w:val="000000" w:themeColor="text1"/>
          <w:lang w:val="en-US" w:eastAsia="zh-CN"/>
        </w:rPr>
        <w:t>We decided to right censor where the date of the last trade (</w:t>
      </w:r>
      <w:r w:rsidRPr="008A05FC">
        <w:rPr>
          <w:rFonts w:asciiTheme="majorHAnsi" w:hAnsiTheme="majorHAnsi"/>
          <w:i/>
          <w:color w:val="000000" w:themeColor="text1"/>
          <w:lang w:val="en-US" w:eastAsia="zh-CN"/>
        </w:rPr>
        <w:t>n)</w:t>
      </w:r>
      <w:r w:rsidRPr="008A05FC">
        <w:rPr>
          <w:rFonts w:asciiTheme="majorHAnsi" w:hAnsiTheme="majorHAnsi"/>
          <w:color w:val="000000" w:themeColor="text1"/>
          <w:lang w:val="en-US" w:eastAsia="zh-CN"/>
        </w:rPr>
        <w:t xml:space="preserve"> for </w:t>
      </w:r>
      <w:r>
        <w:rPr>
          <w:rFonts w:asciiTheme="majorHAnsi" w:hAnsiTheme="majorHAnsi"/>
          <w:lang w:val="en-US"/>
        </w:rPr>
        <w:t>individual</w:t>
      </w:r>
      <w:r w:rsidRPr="008A05FC">
        <w:rPr>
          <w:rFonts w:asciiTheme="majorHAnsi" w:hAnsiTheme="majorHAnsi"/>
          <w:color w:val="000000" w:themeColor="text1"/>
          <w:lang w:val="en-US" w:eastAsia="zh-CN"/>
        </w:rPr>
        <w:t xml:space="preserve"> </w:t>
      </w:r>
      <w:r w:rsidRPr="008A05FC">
        <w:rPr>
          <w:rFonts w:asciiTheme="majorHAnsi" w:hAnsiTheme="majorHAnsi"/>
          <w:i/>
          <w:color w:val="000000" w:themeColor="text1"/>
          <w:lang w:val="en-US" w:eastAsia="zh-CN"/>
        </w:rPr>
        <w:t>k</w:t>
      </w:r>
      <w:r>
        <w:rPr>
          <w:rFonts w:asciiTheme="majorHAnsi" w:hAnsiTheme="majorHAnsi"/>
          <w:i/>
          <w:color w:val="000000" w:themeColor="text1"/>
          <w:lang w:val="en-US" w:eastAsia="zh-CN"/>
        </w:rPr>
        <w:t xml:space="preserve"> </w:t>
      </w:r>
      <w:r w:rsidRPr="00314D0E">
        <w:rPr>
          <w:rFonts w:asciiTheme="majorHAnsi" w:hAnsiTheme="majorHAnsi"/>
          <w:color w:val="000000" w:themeColor="text1"/>
          <w:lang w:val="en-US" w:eastAsia="zh-CN"/>
        </w:rPr>
        <w:t>(</w:t>
      </w:r>
      <m:oMath>
        <m:sSubSup>
          <m:sSubSupPr>
            <m:ctrlPr>
              <w:rPr>
                <w:rFonts w:ascii="Cambria Math" w:hAnsi="Cambria Math"/>
                <w:i/>
                <w:color w:val="000000" w:themeColor="text1"/>
                <w:lang w:val="en-US" w:eastAsia="zh-CN"/>
              </w:rPr>
            </m:ctrlPr>
          </m:sSubSupPr>
          <m:e>
            <m:r>
              <w:rPr>
                <w:rFonts w:ascii="Cambria Math" w:hAnsi="Cambria Math"/>
                <w:color w:val="000000" w:themeColor="text1"/>
                <w:lang w:val="en-US" w:eastAsia="zh-CN"/>
              </w:rPr>
              <m:t>Date</m:t>
            </m:r>
          </m:e>
          <m:sub>
            <m:r>
              <w:rPr>
                <w:rFonts w:ascii="Cambria Math" w:hAnsi="Cambria Math"/>
                <w:color w:val="000000" w:themeColor="text1"/>
                <w:lang w:val="en-US" w:eastAsia="zh-CN"/>
              </w:rPr>
              <m:t>k</m:t>
            </m:r>
          </m:sub>
          <m:sup>
            <m:r>
              <w:rPr>
                <w:rFonts w:ascii="Cambria Math" w:hAnsi="Cambria Math"/>
                <w:color w:val="000000" w:themeColor="text1"/>
                <w:lang w:val="en-US" w:eastAsia="zh-CN"/>
              </w:rPr>
              <m:t>n</m:t>
            </m:r>
          </m:sup>
        </m:sSubSup>
        <m:r>
          <w:rPr>
            <w:rFonts w:ascii="Cambria Math" w:hAnsi="Cambria Math"/>
            <w:color w:val="000000" w:themeColor="text1"/>
            <w:lang w:val="en-US" w:eastAsia="zh-CN"/>
          </w:rPr>
          <m:t>)</m:t>
        </m:r>
      </m:oMath>
      <w:r w:rsidRPr="008A05FC">
        <w:rPr>
          <w:rFonts w:asciiTheme="majorHAnsi" w:hAnsiTheme="majorHAnsi"/>
          <w:color w:val="000000" w:themeColor="text1"/>
          <w:lang w:val="en-US" w:eastAsia="zh-CN"/>
        </w:rPr>
        <w:t xml:space="preserve">, </w:t>
      </w:r>
      <w:r>
        <w:rPr>
          <w:rFonts w:asciiTheme="majorHAnsi" w:hAnsiTheme="majorHAnsi"/>
          <w:color w:val="000000" w:themeColor="text1"/>
          <w:lang w:val="en-US" w:eastAsia="zh-CN"/>
        </w:rPr>
        <w:t>wa</w:t>
      </w:r>
      <w:r w:rsidRPr="008A05FC">
        <w:rPr>
          <w:rFonts w:asciiTheme="majorHAnsi" w:hAnsiTheme="majorHAnsi"/>
          <w:color w:val="000000" w:themeColor="text1"/>
          <w:lang w:val="en-US" w:eastAsia="zh-CN"/>
        </w:rPr>
        <w:t xml:space="preserve">s </w:t>
      </w:r>
      <w:r>
        <w:rPr>
          <w:rFonts w:asciiTheme="majorHAnsi" w:hAnsiTheme="majorHAnsi"/>
          <w:color w:val="000000" w:themeColor="text1"/>
          <w:lang w:val="en-US" w:eastAsia="zh-CN"/>
        </w:rPr>
        <w:t>after 1</w:t>
      </w:r>
      <w:r w:rsidRPr="00723314">
        <w:rPr>
          <w:rFonts w:asciiTheme="majorHAnsi" w:hAnsiTheme="majorHAnsi"/>
          <w:color w:val="000000" w:themeColor="text1"/>
          <w:vertAlign w:val="superscript"/>
          <w:lang w:val="en-US" w:eastAsia="zh-CN"/>
        </w:rPr>
        <w:t>st</w:t>
      </w:r>
      <w:r>
        <w:rPr>
          <w:rFonts w:asciiTheme="majorHAnsi" w:hAnsiTheme="majorHAnsi"/>
          <w:color w:val="000000" w:themeColor="text1"/>
          <w:lang w:val="en-US" w:eastAsia="zh-CN"/>
        </w:rPr>
        <w:t xml:space="preserve"> January 2012 (i.e. we only classified individuals that had not traded in over a year (15 months) as having ceased trading). This was considered reasonable, since the median individual traded 0.84 times (mean = 1.61) per day and only one individual in our sample (0.019%) had a time between opening and closing a trade greater than 12.9 months.</w:t>
      </w:r>
    </w:p>
    <w:p w14:paraId="23F32BA8" w14:textId="36254D26" w:rsidR="00EE5149" w:rsidRPr="00B560FE" w:rsidRDefault="00EE5149" w:rsidP="00EE5149">
      <w:pPr>
        <w:spacing w:after="0" w:line="480" w:lineRule="auto"/>
        <w:jc w:val="both"/>
        <w:rPr>
          <w:rFonts w:asciiTheme="majorHAnsi" w:hAnsiTheme="majorHAnsi"/>
          <w:lang w:val="en-US"/>
        </w:rPr>
      </w:pPr>
      <w:r w:rsidRPr="008A05FC">
        <w:rPr>
          <w:rFonts w:asciiTheme="majorHAnsi" w:hAnsiTheme="majorHAnsi"/>
          <w:lang w:val="en-US"/>
        </w:rPr>
        <w:tab/>
      </w:r>
      <w:bookmarkStart w:id="14" w:name="_Hlk490216828"/>
      <w:r w:rsidRPr="00B560FE">
        <w:rPr>
          <w:rFonts w:asciiTheme="majorHAnsi" w:hAnsiTheme="majorHAnsi"/>
          <w:lang w:val="en-US"/>
        </w:rPr>
        <w:t xml:space="preserve">To </w:t>
      </w:r>
      <w:r>
        <w:rPr>
          <w:rFonts w:asciiTheme="majorHAnsi" w:hAnsiTheme="majorHAnsi"/>
          <w:lang w:val="en-US"/>
        </w:rPr>
        <w:t>examine the factors which influence the time until an</w:t>
      </w:r>
      <w:r w:rsidRPr="00B560FE">
        <w:rPr>
          <w:rFonts w:asciiTheme="majorHAnsi" w:hAnsiTheme="majorHAnsi"/>
          <w:lang w:val="en-US"/>
        </w:rPr>
        <w:t xml:space="preserve"> </w:t>
      </w:r>
      <w:r>
        <w:rPr>
          <w:rFonts w:asciiTheme="majorHAnsi" w:hAnsiTheme="majorHAnsi"/>
          <w:lang w:val="en-US"/>
        </w:rPr>
        <w:t>individual</w:t>
      </w:r>
      <w:r w:rsidRPr="00B560FE" w:rsidDel="009504D5">
        <w:rPr>
          <w:rFonts w:asciiTheme="majorHAnsi" w:hAnsiTheme="majorHAnsi"/>
          <w:lang w:val="en-US"/>
        </w:rPr>
        <w:t xml:space="preserve"> </w:t>
      </w:r>
      <w:r w:rsidRPr="00B560FE">
        <w:rPr>
          <w:rFonts w:asciiTheme="majorHAnsi" w:hAnsiTheme="majorHAnsi"/>
          <w:lang w:val="en-US"/>
        </w:rPr>
        <w:t>ceas</w:t>
      </w:r>
      <w:r>
        <w:rPr>
          <w:rFonts w:asciiTheme="majorHAnsi" w:hAnsiTheme="majorHAnsi"/>
          <w:lang w:val="en-US"/>
        </w:rPr>
        <w:t xml:space="preserve">es </w:t>
      </w:r>
      <w:r w:rsidRPr="00B560FE">
        <w:rPr>
          <w:rFonts w:asciiTheme="majorHAnsi" w:hAnsiTheme="majorHAnsi"/>
          <w:lang w:val="en-US"/>
        </w:rPr>
        <w:t>trad</w:t>
      </w:r>
      <w:r w:rsidR="003B292A">
        <w:rPr>
          <w:rFonts w:asciiTheme="majorHAnsi" w:hAnsiTheme="majorHAnsi"/>
          <w:lang w:val="en-US"/>
        </w:rPr>
        <w:t>ing</w:t>
      </w:r>
      <w:r w:rsidRPr="00B560FE">
        <w:rPr>
          <w:rFonts w:asciiTheme="majorHAnsi" w:hAnsiTheme="majorHAnsi"/>
          <w:lang w:val="en-US"/>
        </w:rPr>
        <w:t xml:space="preserve">, we defined the hazard rate </w:t>
      </w:r>
      <m:oMath>
        <m:r>
          <w:rPr>
            <w:rFonts w:ascii="Cambria Math" w:hAnsi="Cambria Math"/>
            <w:lang w:val="en-US"/>
          </w:rPr>
          <m:t>h</m:t>
        </m:r>
        <m:d>
          <m:dPr>
            <m:ctrlPr>
              <w:rPr>
                <w:rFonts w:ascii="Cambria Math" w:hAnsi="Cambria Math"/>
                <w:i/>
                <w:lang w:val="en-US"/>
              </w:rPr>
            </m:ctrlPr>
          </m:dPr>
          <m:e>
            <m:r>
              <w:rPr>
                <w:rFonts w:ascii="Cambria Math" w:hAnsi="Cambria Math"/>
                <w:lang w:val="en-US"/>
              </w:rPr>
              <m:t>t,</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e>
        </m:d>
      </m:oMath>
      <w:r w:rsidRPr="00B560FE">
        <w:rPr>
          <w:rFonts w:asciiTheme="majorHAnsi" w:hAnsiTheme="majorHAnsi"/>
          <w:lang w:val="en-US"/>
        </w:rPr>
        <w:t xml:space="preserve"> as the instantaneous probability of </w:t>
      </w:r>
      <w:r>
        <w:rPr>
          <w:rFonts w:asciiTheme="majorHAnsi" w:hAnsiTheme="majorHAnsi"/>
          <w:lang w:val="en-US"/>
        </w:rPr>
        <w:t>individual</w:t>
      </w:r>
      <w:r w:rsidRPr="00B560FE" w:rsidDel="009504D5">
        <w:rPr>
          <w:rFonts w:asciiTheme="majorHAnsi" w:hAnsiTheme="majorHAnsi"/>
          <w:lang w:val="en-US"/>
        </w:rPr>
        <w:t xml:space="preserve"> </w:t>
      </w:r>
      <m:oMath>
        <m:r>
          <w:rPr>
            <w:rFonts w:ascii="Cambria Math" w:hAnsi="Cambria Math"/>
            <w:lang w:val="en-US"/>
          </w:rPr>
          <m:t>k</m:t>
        </m:r>
      </m:oMath>
      <w:r w:rsidRPr="00B560FE">
        <w:rPr>
          <w:rFonts w:asciiTheme="majorHAnsi" w:hAnsiTheme="majorHAnsi"/>
          <w:lang w:val="en-US"/>
        </w:rPr>
        <w:t xml:space="preserve"> ceasing </w:t>
      </w:r>
      <w:r w:rsidR="00C40A4E">
        <w:rPr>
          <w:rFonts w:asciiTheme="majorHAnsi" w:hAnsiTheme="majorHAnsi"/>
          <w:lang w:val="en-US"/>
        </w:rPr>
        <w:t xml:space="preserve">to </w:t>
      </w:r>
      <w:r w:rsidRPr="00B560FE">
        <w:rPr>
          <w:rFonts w:asciiTheme="majorHAnsi" w:hAnsiTheme="majorHAnsi"/>
          <w:lang w:val="en-US"/>
        </w:rPr>
        <w:t>trad</w:t>
      </w:r>
      <w:r w:rsidR="00C40A4E">
        <w:rPr>
          <w:rFonts w:asciiTheme="majorHAnsi" w:hAnsiTheme="majorHAnsi"/>
          <w:lang w:val="en-US"/>
        </w:rPr>
        <w:t>e</w:t>
      </w:r>
      <w:r w:rsidRPr="00B560FE">
        <w:rPr>
          <w:rFonts w:asciiTheme="majorHAnsi" w:hAnsiTheme="majorHAnsi"/>
          <w:lang w:val="en-US"/>
        </w:rPr>
        <w:t xml:space="preserve"> at</w:t>
      </w:r>
      <w:r>
        <w:rPr>
          <w:rFonts w:asciiTheme="majorHAnsi" w:hAnsiTheme="majorHAnsi"/>
          <w:lang w:val="en-US"/>
        </w:rPr>
        <w:t xml:space="preserve"> month </w:t>
      </w:r>
      <w:r w:rsidRPr="00275768">
        <w:rPr>
          <w:rFonts w:asciiTheme="majorHAnsi" w:hAnsiTheme="majorHAnsi"/>
          <w:i/>
          <w:lang w:val="en-US"/>
        </w:rPr>
        <w:t>m</w:t>
      </w:r>
      <w:r>
        <w:rPr>
          <w:rFonts w:asciiTheme="majorHAnsi" w:hAnsiTheme="majorHAnsi"/>
          <w:i/>
          <w:lang w:val="en-US"/>
        </w:rPr>
        <w:t xml:space="preserve"> </w:t>
      </w:r>
      <w:r>
        <w:rPr>
          <w:rFonts w:asciiTheme="majorHAnsi" w:hAnsiTheme="majorHAnsi"/>
          <w:lang w:val="en-US"/>
        </w:rPr>
        <w:t>(</w:t>
      </w:r>
      <w:r w:rsidRPr="00B560FE">
        <w:rPr>
          <w:rFonts w:asciiTheme="majorHAnsi" w:hAnsiTheme="majorHAnsi"/>
          <w:i/>
          <w:lang w:val="en-US"/>
        </w:rPr>
        <w:t>t</w:t>
      </w:r>
      <w:r>
        <w:rPr>
          <w:rFonts w:asciiTheme="majorHAnsi" w:hAnsiTheme="majorHAnsi"/>
          <w:i/>
          <w:lang w:val="en-US"/>
        </w:rPr>
        <w:t>=m</w:t>
      </w:r>
      <w:r w:rsidRPr="00B560FE">
        <w:rPr>
          <w:rFonts w:asciiTheme="majorHAnsi" w:hAnsiTheme="majorHAnsi"/>
          <w:lang w:val="en-US"/>
        </w:rPr>
        <w:t xml:space="preserve">, conditional on the </w:t>
      </w:r>
      <w:r>
        <w:rPr>
          <w:rFonts w:asciiTheme="majorHAnsi" w:hAnsiTheme="majorHAnsi"/>
          <w:lang w:val="en-US"/>
        </w:rPr>
        <w:t>‘</w:t>
      </w:r>
      <w:r w:rsidRPr="00B560FE">
        <w:rPr>
          <w:rFonts w:asciiTheme="majorHAnsi" w:hAnsiTheme="majorHAnsi"/>
          <w:lang w:val="en-US"/>
        </w:rPr>
        <w:t>cease trading</w:t>
      </w:r>
      <w:r>
        <w:rPr>
          <w:rFonts w:asciiTheme="majorHAnsi" w:hAnsiTheme="majorHAnsi"/>
          <w:lang w:val="en-US"/>
        </w:rPr>
        <w:t>’</w:t>
      </w:r>
      <w:r w:rsidRPr="00B560FE">
        <w:rPr>
          <w:rFonts w:asciiTheme="majorHAnsi" w:hAnsiTheme="majorHAnsi"/>
          <w:lang w:val="en-US"/>
        </w:rPr>
        <w:t xml:space="preserve"> event not taking place before </w:t>
      </w:r>
      <w:r w:rsidRPr="00B560FE">
        <w:rPr>
          <w:rFonts w:asciiTheme="majorHAnsi" w:hAnsiTheme="majorHAnsi"/>
          <w:i/>
          <w:lang w:val="en-US"/>
        </w:rPr>
        <w:t>t</w:t>
      </w:r>
      <w:r>
        <w:rPr>
          <w:rFonts w:asciiTheme="majorHAnsi" w:hAnsiTheme="majorHAnsi"/>
          <w:lang w:val="en-US"/>
        </w:rPr>
        <w:t>)</w:t>
      </w:r>
      <w:r w:rsidRPr="00B560FE">
        <w:rPr>
          <w:rFonts w:asciiTheme="majorHAnsi" w:hAnsiTheme="majorHAnsi"/>
          <w:lang w:val="en-US"/>
        </w:rPr>
        <w:t xml:space="preserve"> where variable</w:t>
      </w:r>
      <m:oMath>
        <m:r>
          <m:rPr>
            <m:sty m:val="p"/>
          </m:rPr>
          <w:rPr>
            <w:rFonts w:ascii="Cambria Math" w:hAnsi="Cambria Math"/>
            <w:lang w:val="en-US"/>
          </w:rPr>
          <m:t xml:space="preserve"> </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p"/>
          </m:rPr>
          <w:rPr>
            <w:rFonts w:ascii="Cambria Math" w:hAnsi="Cambria Math"/>
            <w:lang w:val="en-US"/>
          </w:rPr>
          <m:t>(</m:t>
        </m:r>
        <m:r>
          <w:rPr>
            <w:rFonts w:ascii="Cambria Math" w:hAnsi="Cambria Math"/>
            <w:lang w:val="en-US"/>
          </w:rPr>
          <m:t>t</m:t>
        </m:r>
        <m:r>
          <m:rPr>
            <m:sty m:val="p"/>
          </m:rPr>
          <w:rPr>
            <w:rFonts w:ascii="Cambria Math" w:hAnsi="Cambria Math"/>
            <w:lang w:val="en-US"/>
          </w:rPr>
          <m:t xml:space="preserve">) </m:t>
        </m:r>
      </m:oMath>
      <w:r w:rsidRPr="00B560FE">
        <w:rPr>
          <w:rFonts w:asciiTheme="majorHAnsi" w:hAnsiTheme="majorHAnsi"/>
          <w:lang w:val="en-US"/>
        </w:rPr>
        <w:t>represents a set of</w:t>
      </w:r>
      <w:r>
        <w:rPr>
          <w:rFonts w:asciiTheme="majorHAnsi" w:hAnsiTheme="majorHAnsi"/>
          <w:lang w:val="en-US"/>
        </w:rPr>
        <w:t xml:space="preserve"> time-varying</w:t>
      </w:r>
      <w:r w:rsidRPr="00B560FE">
        <w:rPr>
          <w:rFonts w:asciiTheme="majorHAnsi" w:hAnsiTheme="majorHAnsi"/>
          <w:lang w:val="en-US"/>
        </w:rPr>
        <w:t xml:space="preserve"> characteristics (e.g. </w:t>
      </w:r>
      <w:r>
        <w:rPr>
          <w:rFonts w:asciiTheme="majorHAnsi" w:hAnsiTheme="majorHAnsi"/>
          <w:lang w:val="en-US"/>
        </w:rPr>
        <w:t>returns</w:t>
      </w:r>
      <w:r w:rsidRPr="00B560FE">
        <w:rPr>
          <w:rFonts w:asciiTheme="majorHAnsi" w:hAnsiTheme="majorHAnsi"/>
          <w:lang w:val="en-US"/>
        </w:rPr>
        <w:t xml:space="preserve">) for trader </w:t>
      </w:r>
      <w:r w:rsidRPr="00B560FE">
        <w:rPr>
          <w:rFonts w:asciiTheme="majorHAnsi" w:hAnsiTheme="majorHAnsi"/>
          <w:i/>
          <w:lang w:val="en-US"/>
        </w:rPr>
        <w:t>k</w:t>
      </w:r>
      <w:r w:rsidRPr="00B560FE">
        <w:rPr>
          <w:rFonts w:asciiTheme="majorHAnsi" w:hAnsiTheme="majorHAnsi"/>
          <w:lang w:val="en-US"/>
        </w:rPr>
        <w:t>.</w:t>
      </w:r>
      <w:bookmarkEnd w:id="14"/>
      <w:r>
        <w:rPr>
          <w:rFonts w:asciiTheme="majorHAnsi" w:hAnsiTheme="majorHAnsi"/>
          <w:lang w:val="en-US"/>
        </w:rPr>
        <w:t xml:space="preserve"> </w:t>
      </w:r>
      <w:r w:rsidRPr="00B560FE">
        <w:rPr>
          <w:rFonts w:asciiTheme="majorHAnsi" w:hAnsiTheme="majorHAnsi"/>
          <w:lang w:val="en-US"/>
        </w:rPr>
        <w:t xml:space="preserve"> </w:t>
      </w:r>
      <w:r>
        <w:rPr>
          <w:rFonts w:asciiTheme="majorHAnsi" w:eastAsia="Times New Roman" w:hAnsiTheme="majorHAnsi" w:cs="Times New Roman"/>
          <w:lang w:val="en-US" w:eastAsia="en-GB"/>
        </w:rPr>
        <w:t>Fisher and Lin (1999)</w:t>
      </w:r>
      <w:r w:rsidRPr="00B560FE">
        <w:rPr>
          <w:rFonts w:asciiTheme="majorHAnsi" w:hAnsiTheme="majorHAnsi"/>
          <w:lang w:val="en-US"/>
        </w:rPr>
        <w:t xml:space="preserve"> showed that </w:t>
      </w:r>
      <m:oMath>
        <m:r>
          <w:rPr>
            <w:rFonts w:ascii="Cambria Math" w:hAnsi="Cambria Math"/>
            <w:lang w:val="en-US"/>
          </w:rPr>
          <m:t>h</m:t>
        </m:r>
        <m:d>
          <m:dPr>
            <m:ctrlPr>
              <w:rPr>
                <w:rFonts w:ascii="Cambria Math" w:hAnsi="Cambria Math"/>
                <w:i/>
                <w:lang w:val="en-US"/>
              </w:rPr>
            </m:ctrlPr>
          </m:dPr>
          <m:e>
            <m:r>
              <w:rPr>
                <w:rFonts w:ascii="Cambria Math" w:hAnsi="Cambria Math"/>
                <w:lang w:val="en-US"/>
              </w:rPr>
              <m:t>t,</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e>
        </m:d>
      </m:oMath>
      <w:r>
        <w:rPr>
          <w:rFonts w:asciiTheme="majorHAnsi" w:hAnsiTheme="majorHAnsi"/>
          <w:lang w:val="en-US"/>
        </w:rPr>
        <w:t xml:space="preserve">, for the time-varying CPH model, </w:t>
      </w:r>
      <w:r w:rsidRPr="00B560FE">
        <w:rPr>
          <w:rFonts w:asciiTheme="majorHAnsi" w:hAnsiTheme="majorHAnsi"/>
          <w:lang w:val="en-US"/>
        </w:rPr>
        <w:t>is a log-linear function of a set of covariates</w:t>
      </w:r>
      <w:r w:rsidRPr="00B560FE">
        <w:rPr>
          <w:rFonts w:asciiTheme="majorHAnsi" w:hAnsiTheme="majorHAnsi"/>
          <w:b/>
          <w:i/>
          <w:lang w:val="en-US"/>
        </w:rPr>
        <w:t xml:space="preserve"> </w:t>
      </w:r>
      <m:oMath>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oMath>
      <w:r w:rsidRPr="00B560FE">
        <w:rPr>
          <w:rFonts w:asciiTheme="majorHAnsi" w:hAnsiTheme="majorHAnsi"/>
          <w:b/>
          <w:lang w:val="en-US"/>
        </w:rPr>
        <w:t xml:space="preserve"> </w:t>
      </w:r>
      <w:r w:rsidRPr="00B560FE">
        <w:rPr>
          <w:rFonts w:asciiTheme="majorHAnsi" w:hAnsiTheme="majorHAnsi"/>
          <w:lang w:val="en-US"/>
        </w:rPr>
        <w:t>and a baseline hazard,</w:t>
      </w:r>
      <w:r w:rsidRPr="00B560FE">
        <w:rPr>
          <w:rFonts w:asciiTheme="majorHAnsi" w:hAnsiTheme="majorHAnsi"/>
          <w:lang w:val="en-US" w:eastAsia="zh-CN"/>
        </w:rPr>
        <w:t xml:space="preserv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d>
          <m:dPr>
            <m:ctrlPr>
              <w:rPr>
                <w:rFonts w:ascii="Cambria Math" w:hAnsi="Cambria Math"/>
                <w:i/>
                <w:lang w:val="en-US"/>
              </w:rPr>
            </m:ctrlPr>
          </m:dPr>
          <m:e>
            <m:r>
              <w:rPr>
                <w:rFonts w:ascii="Cambria Math" w:hAnsi="Cambria Math"/>
                <w:lang w:val="en-US"/>
              </w:rPr>
              <m:t>t</m:t>
            </m:r>
          </m:e>
        </m:d>
      </m:oMath>
      <w:r w:rsidRPr="00B560FE">
        <w:rPr>
          <w:rFonts w:asciiTheme="majorHAnsi" w:hAnsiTheme="majorHAnsi"/>
          <w:lang w:val="en-US"/>
        </w:rPr>
        <w:t xml:space="preserve"> as follows:</w:t>
      </w:r>
    </w:p>
    <w:p w14:paraId="20B09512" w14:textId="77777777" w:rsidR="00060C2F" w:rsidRPr="00060C2F" w:rsidRDefault="0034304F" w:rsidP="00EE5149">
      <w:pPr>
        <w:spacing w:after="0" w:line="480" w:lineRule="auto"/>
        <w:ind w:firstLine="709"/>
        <w:jc w:val="right"/>
        <w:rPr>
          <w:rFonts w:asciiTheme="majorHAnsi" w:eastAsiaTheme="minorEastAsia" w:hAnsiTheme="majorHAnsi"/>
          <w:lang w:val="en-US"/>
        </w:rPr>
      </w:pPr>
      <m:oMathPara>
        <m:oMath>
          <m:eqArr>
            <m:eqArrPr>
              <m:maxDist m:val="1"/>
              <m:ctrlPr>
                <w:rPr>
                  <w:rFonts w:ascii="Cambria Math" w:hAnsi="Cambria Math"/>
                  <w:i/>
                  <w:lang w:val="en-US"/>
                </w:rPr>
              </m:ctrlPr>
            </m:eqArrPr>
            <m:e>
              <m:r>
                <w:rPr>
                  <w:rFonts w:ascii="Cambria Math" w:hAnsi="Cambria Math"/>
                  <w:lang w:val="en-US"/>
                </w:rPr>
                <m:t>h</m:t>
              </m:r>
              <m:d>
                <m:dPr>
                  <m:ctrlPr>
                    <w:rPr>
                      <w:rFonts w:ascii="Cambria Math" w:hAnsi="Cambria Math"/>
                      <w:i/>
                      <w:lang w:val="en-US"/>
                    </w:rPr>
                  </m:ctrlPr>
                </m:dPr>
                <m:e>
                  <m:r>
                    <w:rPr>
                      <w:rFonts w:ascii="Cambria Math" w:hAnsi="Cambria Math"/>
                      <w:lang w:val="en-US"/>
                    </w:rPr>
                    <m:t>t,</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d>
                    <m:dPr>
                      <m:ctrlPr>
                        <w:rPr>
                          <w:rFonts w:ascii="Cambria Math" w:hAnsi="Cambria Math"/>
                          <w:b/>
                          <w:i/>
                          <w:lang w:val="en-US"/>
                        </w:rPr>
                      </m:ctrlPr>
                    </m:dPr>
                    <m:e>
                      <m:r>
                        <w:rPr>
                          <w:rFonts w:ascii="Cambria Math" w:hAnsi="Cambria Math"/>
                          <w:lang w:val="en-US"/>
                        </w:rPr>
                        <m:t>t</m:t>
                      </m:r>
                    </m:e>
                  </m:d>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d>
                <m:dPr>
                  <m:ctrlPr>
                    <w:rPr>
                      <w:rFonts w:ascii="Cambria Math" w:hAnsi="Cambria Math"/>
                      <w:i/>
                      <w:lang w:val="en-US"/>
                    </w:rPr>
                  </m:ctrlPr>
                </m:dPr>
                <m:e>
                  <m:r>
                    <w:rPr>
                      <w:rFonts w:ascii="Cambria Math" w:hAnsi="Cambria Math"/>
                      <w:lang w:val="en-US"/>
                    </w:rPr>
                    <m:t>t</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nary>
                        <m:naryPr>
                          <m:chr m:val="∑"/>
                          <m:limLoc m:val="undOvr"/>
                          <m:ctrlPr>
                            <w:rPr>
                              <w:rFonts w:ascii="Cambria Math" w:hAnsi="Cambria Math"/>
                              <w:i/>
                              <w:lang w:val="en-US"/>
                            </w:rPr>
                          </m:ctrlPr>
                        </m:naryPr>
                        <m:sub>
                          <m:r>
                            <w:rPr>
                              <w:rFonts w:ascii="Cambria Math" w:hAnsi="Cambria Math"/>
                              <w:lang w:val="en-US"/>
                            </w:rPr>
                            <m:t>l</m:t>
                          </m:r>
                        </m:sub>
                        <m:sup>
                          <m:r>
                            <w:rPr>
                              <w:rFonts w:ascii="Cambria Math" w:hAnsi="Cambria Math"/>
                              <w:lang w:val="en-US"/>
                            </w:rPr>
                            <m:t>n</m:t>
                          </m:r>
                        </m:sup>
                        <m:e>
                          <m:sSubSup>
                            <m:sSubSupPr>
                              <m:ctrlPr>
                                <w:rPr>
                                  <w:rFonts w:ascii="Cambria Math" w:hAnsi="Cambria Math"/>
                                  <w:i/>
                                  <w:lang w:val="en-US"/>
                                </w:rPr>
                              </m:ctrlPr>
                            </m:sSubSupPr>
                            <m:e>
                              <m:r>
                                <w:rPr>
                                  <w:rFonts w:ascii="Cambria Math" w:hAnsi="Cambria Math"/>
                                  <w:lang w:val="en-US"/>
                                </w:rPr>
                                <m:t>β</m:t>
                              </m:r>
                            </m:e>
                            <m:sub>
                              <m:r>
                                <w:rPr>
                                  <w:rFonts w:ascii="Cambria Math" w:hAnsi="Cambria Math"/>
                                  <w:lang w:val="en-US"/>
                                </w:rPr>
                                <m:t>l</m:t>
                              </m:r>
                            </m:sub>
                            <m:sup>
                              <m:r>
                                <w:rPr>
                                  <w:rFonts w:ascii="Cambria Math" w:hAnsi="Cambria Math"/>
                                  <w:lang w:val="en-US"/>
                                </w:rPr>
                                <m:t>'</m:t>
                              </m:r>
                            </m:sup>
                          </m:sSubSup>
                        </m:e>
                      </m:nary>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d>
                        <m:dPr>
                          <m:ctrlPr>
                            <w:rPr>
                              <w:rFonts w:ascii="Cambria Math" w:hAnsi="Cambria Math"/>
                              <w:b/>
                              <w:i/>
                              <w:lang w:val="en-US"/>
                            </w:rPr>
                          </m:ctrlPr>
                        </m:dPr>
                        <m:e>
                          <m:r>
                            <w:rPr>
                              <w:rFonts w:ascii="Cambria Math" w:hAnsi="Cambria Math"/>
                              <w:lang w:val="en-US"/>
                            </w:rPr>
                            <m:t>t</m:t>
                          </m:r>
                        </m:e>
                      </m:d>
                    </m:e>
                  </m:d>
                  <m:ctrlPr>
                    <w:rPr>
                      <w:rFonts w:ascii="Cambria Math" w:hAnsi="Cambria Math"/>
                      <w:i/>
                      <w:lang w:val="en-US"/>
                    </w:rPr>
                  </m:ctrlPr>
                </m:e>
              </m:func>
              <m:r>
                <w:rPr>
                  <w:rFonts w:ascii="Cambria Math" w:hAnsi="Cambria Math"/>
                  <w:lang w:val="en-US"/>
                </w:rPr>
                <m:t>,#</m:t>
              </m:r>
              <m:d>
                <m:dPr>
                  <m:ctrlPr>
                    <w:rPr>
                      <w:rFonts w:ascii="Cambria Math" w:hAnsi="Cambria Math"/>
                      <w:i/>
                      <w:lang w:val="en-US"/>
                    </w:rPr>
                  </m:ctrlPr>
                </m:dPr>
                <m:e>
                  <m:r>
                    <w:rPr>
                      <w:rFonts w:ascii="Cambria Math" w:hAnsi="Cambria Math"/>
                      <w:lang w:val="en-US"/>
                    </w:rPr>
                    <m:t>A1</m:t>
                  </m:r>
                </m:e>
              </m:d>
            </m:e>
          </m:eqArr>
        </m:oMath>
      </m:oMathPara>
    </w:p>
    <w:p w14:paraId="42DEA1D3" w14:textId="1483D5DF" w:rsidR="00EE5149" w:rsidRPr="00060C2F" w:rsidRDefault="00EE5149" w:rsidP="00EE5149">
      <w:pPr>
        <w:spacing w:after="0" w:line="480" w:lineRule="auto"/>
        <w:ind w:firstLine="709"/>
        <w:jc w:val="right"/>
        <w:rPr>
          <w:rFonts w:asciiTheme="majorHAnsi" w:eastAsiaTheme="minorEastAsia" w:hAnsiTheme="majorHAnsi"/>
          <w:lang w:val="en-US"/>
        </w:rPr>
      </w:pPr>
      <w:r w:rsidRPr="00B560FE">
        <w:rPr>
          <w:rFonts w:asciiTheme="majorHAnsi" w:hAnsiTheme="majorHAnsi"/>
          <w:lang w:val="en-US"/>
        </w:rPr>
        <w:t xml:space="preserve">                          </w:t>
      </w:r>
      <w:r w:rsidR="00060C2F">
        <w:rPr>
          <w:rFonts w:asciiTheme="majorHAnsi" w:hAnsiTheme="majorHAnsi"/>
          <w:lang w:val="en-US"/>
        </w:rPr>
        <w:t xml:space="preserve">                               </w:t>
      </w:r>
    </w:p>
    <w:p w14:paraId="71F2F4AA" w14:textId="77777777" w:rsidR="00EE5149" w:rsidRDefault="00EE5149" w:rsidP="00EE5149">
      <w:pPr>
        <w:spacing w:after="0" w:line="480" w:lineRule="auto"/>
        <w:jc w:val="both"/>
        <w:rPr>
          <w:rFonts w:asciiTheme="majorHAnsi" w:hAnsiTheme="majorHAnsi"/>
          <w:lang w:val="en-US"/>
        </w:rPr>
      </w:pPr>
      <w:r>
        <w:rPr>
          <w:rFonts w:asciiTheme="majorHAnsi" w:eastAsiaTheme="minorEastAsia" w:hAnsiTheme="majorHAnsi"/>
          <w:lang w:val="en-US"/>
        </w:rPr>
        <w:t xml:space="preserve">where </w:t>
      </w:r>
      <m:oMath>
        <m:r>
          <w:rPr>
            <w:rFonts w:ascii="Cambria Math" w:hAnsi="Cambria Math"/>
            <w:lang w:val="en-US"/>
          </w:rPr>
          <m:t>h</m:t>
        </m:r>
        <m:d>
          <m:dPr>
            <m:ctrlPr>
              <w:rPr>
                <w:rFonts w:ascii="Cambria Math" w:hAnsi="Cambria Math"/>
                <w:i/>
                <w:lang w:val="en-US"/>
              </w:rPr>
            </m:ctrlPr>
          </m:dPr>
          <m:e>
            <m:r>
              <w:rPr>
                <w:rFonts w:ascii="Cambria Math" w:hAnsi="Cambria Math"/>
                <w:lang w:val="en-US"/>
              </w:rPr>
              <m:t>t,</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e>
        </m:d>
      </m:oMath>
      <w:r>
        <w:rPr>
          <w:rFonts w:asciiTheme="majorHAnsi" w:hAnsiTheme="majorHAnsi"/>
          <w:lang w:val="en-US"/>
        </w:rPr>
        <w:t>, is the time-dependent hazard function for individual</w:t>
      </w:r>
      <w:r w:rsidDel="009504D5">
        <w:rPr>
          <w:rFonts w:asciiTheme="majorHAnsi" w:hAnsiTheme="majorHAnsi"/>
          <w:lang w:val="en-US"/>
        </w:rPr>
        <w:t xml:space="preserve"> </w:t>
      </w:r>
      <m:oMath>
        <m:r>
          <w:rPr>
            <w:rFonts w:ascii="Cambria Math" w:hAnsi="Cambria Math"/>
            <w:lang w:val="en-US"/>
          </w:rPr>
          <m:t>k</m:t>
        </m:r>
      </m:oMath>
      <w:r>
        <w:rPr>
          <w:rFonts w:asciiTheme="majorHAnsi" w:hAnsiTheme="majorHAnsi"/>
          <w:lang w:val="en-US"/>
        </w:rPr>
        <w:t xml:space="preserve"> at time </w:t>
      </w:r>
      <w:r w:rsidRPr="00B560FE">
        <w:rPr>
          <w:rFonts w:asciiTheme="majorHAnsi" w:hAnsiTheme="majorHAnsi"/>
          <w:i/>
          <w:lang w:val="en-US"/>
        </w:rPr>
        <w:t>t</w:t>
      </w:r>
      <w:r>
        <w:rPr>
          <w:rFonts w:asciiTheme="majorHAnsi" w:hAnsiTheme="majorHAnsi"/>
          <w:lang w:val="en-US"/>
        </w:rPr>
        <w:t>,</w:t>
      </w:r>
      <m:oMath>
        <m:r>
          <w:rPr>
            <w:rFonts w:ascii="Cambria Math" w:hAnsi="Cambria Math"/>
            <w:lang w:val="en-US"/>
          </w:rPr>
          <m:t xml:space="preserve">  </m:t>
        </m:r>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oMath>
      <w:r>
        <w:rPr>
          <w:rFonts w:asciiTheme="majorHAnsi" w:hAnsiTheme="majorHAnsi"/>
          <w:b/>
          <w:lang w:val="en-US"/>
        </w:rPr>
        <w:t xml:space="preserve"> </w:t>
      </w:r>
      <w:r w:rsidRPr="002D1041">
        <w:rPr>
          <w:rFonts w:asciiTheme="majorHAnsi" w:hAnsiTheme="majorHAnsi"/>
          <w:lang w:val="en-US"/>
        </w:rPr>
        <w:t>is the</w:t>
      </w:r>
      <w:r>
        <w:rPr>
          <w:rFonts w:asciiTheme="majorHAnsi" w:hAnsiTheme="majorHAnsi"/>
          <w:lang w:val="en-US"/>
        </w:rPr>
        <w:t xml:space="preserve"> value of the </w:t>
      </w:r>
      <w:r>
        <w:rPr>
          <w:rFonts w:asciiTheme="majorHAnsi" w:hAnsiTheme="majorHAnsi"/>
          <w:i/>
          <w:iCs/>
          <w:lang w:val="en-US"/>
        </w:rPr>
        <w:t>l</w:t>
      </w:r>
      <w:r>
        <w:rPr>
          <w:rFonts w:asciiTheme="majorHAnsi" w:hAnsiTheme="majorHAnsi"/>
          <w:lang w:val="en-US"/>
        </w:rPr>
        <w:t>th (</w:t>
      </w:r>
      <m:oMath>
        <m:r>
          <w:rPr>
            <w:rFonts w:ascii="Cambria Math" w:hAnsi="Cambria Math"/>
            <w:lang w:val="en-US"/>
          </w:rPr>
          <m:t>l</m:t>
        </m:r>
      </m:oMath>
      <w:r w:rsidRPr="00B560FE" w:rsidDel="00592E8F">
        <w:rPr>
          <w:rFonts w:asciiTheme="majorHAnsi" w:hAnsiTheme="majorHAnsi"/>
          <w:i/>
          <w:lang w:val="en-US"/>
        </w:rPr>
        <w:t xml:space="preserve"> </w:t>
      </w:r>
      <w:r w:rsidRPr="00B560FE">
        <w:rPr>
          <w:rFonts w:asciiTheme="majorHAnsi" w:hAnsiTheme="majorHAnsi"/>
          <w:lang w:val="en-US"/>
        </w:rPr>
        <w:t>=1,2,3…</w:t>
      </w:r>
      <w:r w:rsidRPr="00B560FE">
        <w:rPr>
          <w:rFonts w:asciiTheme="majorHAnsi" w:hAnsiTheme="majorHAnsi"/>
          <w:i/>
          <w:lang w:val="en-US"/>
        </w:rPr>
        <w:t>N</w:t>
      </w:r>
      <w:r>
        <w:rPr>
          <w:rFonts w:asciiTheme="majorHAnsi" w:hAnsiTheme="majorHAnsi"/>
          <w:lang w:val="en-US"/>
        </w:rPr>
        <w:t xml:space="preserve">) covariate at time </w:t>
      </w:r>
      <w:r w:rsidRPr="002D1041">
        <w:rPr>
          <w:rFonts w:asciiTheme="majorHAnsi" w:hAnsiTheme="majorHAnsi"/>
          <w:i/>
          <w:iCs/>
          <w:lang w:val="en-US"/>
        </w:rPr>
        <w:t>t</w:t>
      </w:r>
      <w:r>
        <w:rPr>
          <w:rFonts w:asciiTheme="majorHAnsi" w:hAnsiTheme="majorHAnsi"/>
          <w:lang w:val="en-US"/>
        </w:rPr>
        <w:t xml:space="preserve"> for individual</w:t>
      </w:r>
      <w:r w:rsidDel="009504D5">
        <w:rPr>
          <w:rFonts w:asciiTheme="majorHAnsi" w:hAnsiTheme="majorHAnsi"/>
          <w:lang w:val="en-US"/>
        </w:rPr>
        <w:t xml:space="preserve"> </w:t>
      </w:r>
      <w:r w:rsidRPr="002D1041">
        <w:rPr>
          <w:rFonts w:asciiTheme="majorHAnsi" w:hAnsiTheme="majorHAnsi"/>
          <w:i/>
          <w:iCs/>
          <w:lang w:val="en-US"/>
        </w:rPr>
        <w:t>k</w:t>
      </w:r>
      <w:r>
        <w:rPr>
          <w:rFonts w:asciiTheme="majorHAnsi" w:hAnsiTheme="majorHAnsi"/>
          <w:i/>
          <w:iCs/>
          <w:lang w:val="en-US"/>
        </w:rPr>
        <w:t xml:space="preserve"> </w:t>
      </w:r>
      <w:r>
        <w:rPr>
          <w:rFonts w:asciiTheme="majorHAnsi" w:hAnsiTheme="majorHAnsi"/>
          <w:iCs/>
          <w:lang w:val="en-US"/>
        </w:rPr>
        <w:t>and</w:t>
      </w:r>
      <w:r>
        <w:rPr>
          <w:rFonts w:asciiTheme="majorHAnsi" w:hAnsiTheme="majorHAnsi"/>
          <w:lang w:val="en-US"/>
        </w:rPr>
        <w:t xml:space="preserve"> </w:t>
      </w:r>
      <m:oMath>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l</m:t>
            </m:r>
          </m:sub>
        </m:sSub>
      </m:oMath>
      <w:r>
        <w:rPr>
          <w:rFonts w:asciiTheme="majorHAnsi" w:hAnsiTheme="majorHAnsi"/>
          <w:lang w:val="en-US"/>
        </w:rPr>
        <w:t xml:space="preserve"> are the corresponding coefficients for </w:t>
      </w:r>
      <m:oMath>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oMath>
      <w:r>
        <w:rPr>
          <w:rFonts w:asciiTheme="majorHAnsi" w:hAnsiTheme="majorHAnsi"/>
          <w:b/>
          <w:lang w:val="en-US"/>
        </w:rPr>
        <w:t xml:space="preserve"> </w:t>
      </w:r>
      <w:r w:rsidRPr="008A05FC">
        <w:rPr>
          <w:rFonts w:asciiTheme="majorHAnsi" w:hAnsiTheme="majorHAnsi"/>
          <w:lang w:val="en-US"/>
        </w:rPr>
        <w:t>for measuring the impact of the explanatory covariates</w:t>
      </w:r>
      <w:r>
        <w:rPr>
          <w:rFonts w:asciiTheme="majorHAnsi" w:hAnsiTheme="majorHAnsi"/>
          <w:lang w:val="en-US"/>
        </w:rPr>
        <w:t xml:space="preserve"> on the hazard function</w:t>
      </w:r>
      <w:r w:rsidRPr="008A05FC">
        <w:rPr>
          <w:rFonts w:asciiTheme="majorHAnsi" w:hAnsiTheme="majorHAnsi"/>
          <w:lang w:val="en-US"/>
        </w:rPr>
        <w:t xml:space="preserve">.  </w:t>
      </w:r>
    </w:p>
    <w:p w14:paraId="10A115DF" w14:textId="5D6A9761" w:rsidR="00EE5149" w:rsidRPr="008A05FC" w:rsidRDefault="00EE5149" w:rsidP="00EE5149">
      <w:pPr>
        <w:spacing w:after="0" w:line="480" w:lineRule="auto"/>
        <w:ind w:firstLine="709"/>
        <w:jc w:val="both"/>
        <w:rPr>
          <w:rFonts w:asciiTheme="majorHAnsi" w:hAnsiTheme="majorHAnsi"/>
          <w:lang w:val="en-US"/>
        </w:rPr>
      </w:pPr>
      <w:bookmarkStart w:id="15" w:name="_Hlk490216915"/>
      <w:r>
        <w:rPr>
          <w:rFonts w:asciiTheme="majorHAnsi" w:hAnsiTheme="majorHAnsi"/>
          <w:lang w:val="en-US"/>
        </w:rPr>
        <w:t>T</w:t>
      </w:r>
      <w:r w:rsidRPr="002D1041">
        <w:rPr>
          <w:rFonts w:asciiTheme="majorHAnsi" w:hAnsiTheme="majorHAnsi"/>
          <w:lang w:val="en-US"/>
        </w:rPr>
        <w:t xml:space="preserve">he </w:t>
      </w:r>
      <w:r w:rsidRPr="008A05FC">
        <w:rPr>
          <w:rFonts w:asciiTheme="majorHAnsi" w:hAnsiTheme="majorHAnsi"/>
          <w:lang w:val="en-US"/>
        </w:rPr>
        <w:t xml:space="preserve">baseline hazard </w:t>
      </w:r>
      <m:oMath>
        <m:sSub>
          <m:sSubPr>
            <m:ctrlPr>
              <w:rPr>
                <w:rFonts w:ascii="Cambria Math" w:hAnsi="Cambria Math"/>
                <w:lang w:val="en-US"/>
              </w:rPr>
            </m:ctrlPr>
          </m:sSubPr>
          <m:e>
            <m:r>
              <w:rPr>
                <w:rFonts w:ascii="Cambria Math" w:hAnsi="Cambria Math"/>
                <w:lang w:val="en-US"/>
              </w:rPr>
              <m:t>h</m:t>
            </m:r>
          </m:e>
          <m:sub>
            <m:r>
              <m:rPr>
                <m:sty m:val="p"/>
              </m:rPr>
              <w:rPr>
                <w:rFonts w:ascii="Cambria Math" w:hAnsi="Cambria Math"/>
                <w:lang w:val="en-US"/>
              </w:rPr>
              <m:t>0</m:t>
            </m:r>
          </m:sub>
        </m:sSub>
        <m:d>
          <m:dPr>
            <m:ctrlPr>
              <w:rPr>
                <w:rFonts w:ascii="Cambria Math" w:hAnsi="Cambria Math"/>
                <w:lang w:val="en-US"/>
              </w:rPr>
            </m:ctrlPr>
          </m:dPr>
          <m:e>
            <m:r>
              <w:rPr>
                <w:rFonts w:ascii="Cambria Math" w:hAnsi="Cambria Math"/>
                <w:lang w:val="en-US"/>
              </w:rPr>
              <m:t>t</m:t>
            </m:r>
          </m:e>
        </m:d>
      </m:oMath>
      <w:r w:rsidRPr="008A05FC">
        <w:rPr>
          <w:rFonts w:asciiTheme="majorHAnsi" w:hAnsiTheme="majorHAnsi"/>
          <w:lang w:val="en-US"/>
        </w:rPr>
        <w:t xml:space="preserve"> </w:t>
      </w:r>
      <w:r>
        <w:rPr>
          <w:rFonts w:asciiTheme="majorHAnsi" w:hAnsiTheme="majorHAnsi"/>
          <w:lang w:val="en-US"/>
        </w:rPr>
        <w:t>describes</w:t>
      </w:r>
      <w:r w:rsidRPr="008A05FC">
        <w:rPr>
          <w:rFonts w:asciiTheme="majorHAnsi" w:hAnsiTheme="majorHAnsi"/>
          <w:lang w:val="en-US"/>
        </w:rPr>
        <w:t xml:space="preserve"> </w:t>
      </w:r>
      <w:r>
        <w:rPr>
          <w:rFonts w:asciiTheme="majorHAnsi" w:hAnsiTheme="majorHAnsi"/>
          <w:lang w:val="en-US"/>
        </w:rPr>
        <w:t xml:space="preserve">how the risk event of ‘individuals’ </w:t>
      </w:r>
      <w:r w:rsidR="00C40A4E">
        <w:rPr>
          <w:rFonts w:asciiTheme="majorHAnsi" w:hAnsiTheme="majorHAnsi"/>
          <w:lang w:val="en-US"/>
        </w:rPr>
        <w:t>cease</w:t>
      </w:r>
      <w:r>
        <w:rPr>
          <w:rFonts w:asciiTheme="majorHAnsi" w:hAnsiTheme="majorHAnsi"/>
          <w:lang w:val="en-US"/>
        </w:rPr>
        <w:t xml:space="preserve">-trading </w:t>
      </w:r>
      <w:r w:rsidRPr="00545624">
        <w:rPr>
          <w:rFonts w:asciiTheme="majorHAnsi" w:hAnsiTheme="majorHAnsi"/>
          <w:lang w:val="en-US"/>
        </w:rPr>
        <w:t>per time unit</w:t>
      </w:r>
      <w:r>
        <w:rPr>
          <w:rFonts w:asciiTheme="majorHAnsi" w:hAnsiTheme="majorHAnsi"/>
          <w:lang w:val="en-US"/>
        </w:rPr>
        <w:t>’ changes over time</w:t>
      </w:r>
      <w:r w:rsidRPr="008A05FC">
        <w:rPr>
          <w:rFonts w:asciiTheme="majorHAnsi" w:hAnsiTheme="majorHAnsi"/>
          <w:lang w:val="en-US"/>
        </w:rPr>
        <w:t xml:space="preserve"> </w:t>
      </w:r>
      <w:r>
        <w:rPr>
          <w:rFonts w:asciiTheme="majorHAnsi" w:hAnsiTheme="majorHAnsi"/>
          <w:lang w:val="en-US"/>
        </w:rPr>
        <w:t>at the baseline level of covariates (</w:t>
      </w:r>
      <w:r w:rsidRPr="008A05FC">
        <w:rPr>
          <w:rFonts w:asciiTheme="majorHAnsi" w:hAnsiTheme="majorHAnsi"/>
          <w:lang w:val="en-US"/>
        </w:rPr>
        <w:t xml:space="preserve">when </w:t>
      </w:r>
      <m:oMath>
        <m:sSubSup>
          <m:sSubSupPr>
            <m:ctrlPr>
              <w:rPr>
                <w:rFonts w:ascii="Cambria Math" w:hAnsi="Cambria Math"/>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d>
          <m:dPr>
            <m:ctrlPr>
              <w:rPr>
                <w:rFonts w:ascii="Cambria Math" w:hAnsi="Cambria Math"/>
                <w:lang w:val="en-US"/>
              </w:rPr>
            </m:ctrlPr>
          </m:dPr>
          <m:e>
            <m:r>
              <w:rPr>
                <w:rFonts w:ascii="Cambria Math" w:hAnsi="Cambria Math"/>
                <w:lang w:val="en-US"/>
              </w:rPr>
              <m:t>t</m:t>
            </m:r>
          </m:e>
        </m:d>
        <m:r>
          <m:rPr>
            <m:sty m:val="p"/>
          </m:rPr>
          <w:rPr>
            <w:rFonts w:ascii="Cambria Math" w:hAnsi="Cambria Math"/>
            <w:lang w:val="en-US"/>
          </w:rPr>
          <m:t xml:space="preserve"> </m:t>
        </m:r>
      </m:oMath>
      <w:r w:rsidRPr="008A05FC">
        <w:rPr>
          <w:rFonts w:asciiTheme="majorHAnsi" w:hAnsiTheme="majorHAnsi"/>
          <w:lang w:val="en-US"/>
        </w:rPr>
        <w:t>equals zero</w:t>
      </w:r>
      <w:r>
        <w:rPr>
          <w:rFonts w:asciiTheme="majorHAnsi" w:hAnsiTheme="majorHAnsi"/>
          <w:lang w:val="en-US"/>
        </w:rPr>
        <w:t>).</w:t>
      </w:r>
      <w:r w:rsidRPr="008A05FC">
        <w:rPr>
          <w:rFonts w:asciiTheme="majorHAnsi" w:hAnsiTheme="majorHAnsi"/>
          <w:lang w:val="en-US"/>
        </w:rPr>
        <w:t xml:space="preserve"> By using such a CPH model, </w:t>
      </w:r>
      <w:r>
        <w:rPr>
          <w:rFonts w:asciiTheme="majorHAnsi" w:hAnsiTheme="majorHAnsi"/>
          <w:lang w:val="en-US"/>
        </w:rPr>
        <w:t>individual</w:t>
      </w:r>
      <w:r w:rsidRPr="008A05FC">
        <w:rPr>
          <w:rFonts w:asciiTheme="majorHAnsi" w:hAnsiTheme="majorHAnsi"/>
          <w:lang w:val="en-US"/>
        </w:rPr>
        <w:t xml:space="preserve"> </w:t>
      </w:r>
      <w:r w:rsidRPr="00355A90">
        <w:rPr>
          <w:rFonts w:asciiTheme="majorHAnsi" w:hAnsiTheme="majorHAnsi"/>
          <w:i/>
          <w:lang w:val="en-US"/>
        </w:rPr>
        <w:t>k</w:t>
      </w:r>
      <w:r w:rsidRPr="008A05FC">
        <w:rPr>
          <w:rFonts w:asciiTheme="majorHAnsi" w:hAnsiTheme="majorHAnsi"/>
          <w:lang w:val="en-US"/>
        </w:rPr>
        <w:t xml:space="preserve">’s trading characteristics are included as explanatory covariates in </w:t>
      </w:r>
      <m:oMath>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d>
          <m:dPr>
            <m:ctrlPr>
              <w:rPr>
                <w:rFonts w:ascii="Cambria Math" w:hAnsi="Cambria Math"/>
                <w:b/>
                <w:i/>
                <w:lang w:val="en-US"/>
              </w:rPr>
            </m:ctrlPr>
          </m:dPr>
          <m:e>
            <m:r>
              <w:rPr>
                <w:rFonts w:ascii="Cambria Math" w:hAnsi="Cambria Math"/>
                <w:lang w:val="en-US"/>
              </w:rPr>
              <m:t>t</m:t>
            </m:r>
          </m:e>
        </m:d>
      </m:oMath>
      <w:r w:rsidRPr="008A05FC">
        <w:rPr>
          <w:rFonts w:asciiTheme="majorHAnsi" w:hAnsiTheme="majorHAnsi"/>
          <w:lang w:val="en-US"/>
        </w:rPr>
        <w:t xml:space="preserve">. </w:t>
      </w:r>
    </w:p>
    <w:bookmarkEnd w:id="15"/>
    <w:p w14:paraId="0ED0C616" w14:textId="77777777" w:rsidR="00EE5149" w:rsidRPr="0035753A" w:rsidRDefault="00EE5149" w:rsidP="00EE5149">
      <w:pPr>
        <w:spacing w:after="0" w:line="480" w:lineRule="auto"/>
        <w:ind w:firstLine="709"/>
        <w:jc w:val="both"/>
        <w:rPr>
          <w:rFonts w:asciiTheme="majorHAnsi" w:hAnsiTheme="majorHAnsi"/>
          <w:lang w:val="en-US"/>
        </w:rPr>
      </w:pPr>
      <w:r>
        <w:rPr>
          <w:rFonts w:asciiTheme="majorHAnsi" w:hAnsiTheme="majorHAnsi"/>
          <w:lang w:val="en-US"/>
        </w:rPr>
        <w:t>Using</w:t>
      </w:r>
      <w:r w:rsidRPr="001A3FF1">
        <w:rPr>
          <w:rFonts w:asciiTheme="majorHAnsi" w:hAnsiTheme="majorHAnsi"/>
          <w:lang w:val="en-US"/>
        </w:rPr>
        <w:t xml:space="preserve"> the hazard function introduced in Equation (</w:t>
      </w:r>
      <w:r>
        <w:rPr>
          <w:rFonts w:asciiTheme="majorHAnsi" w:hAnsiTheme="majorHAnsi"/>
          <w:lang w:val="en-US"/>
        </w:rPr>
        <w:t>A1</w:t>
      </w:r>
      <w:r w:rsidRPr="001A3FF1">
        <w:rPr>
          <w:rFonts w:asciiTheme="majorHAnsi" w:hAnsiTheme="majorHAnsi"/>
          <w:lang w:val="en-US"/>
        </w:rPr>
        <w:t xml:space="preserve">) and assuming that there is only one </w:t>
      </w:r>
      <w:r>
        <w:rPr>
          <w:rFonts w:asciiTheme="majorHAnsi" w:hAnsiTheme="majorHAnsi"/>
          <w:lang w:val="en-US"/>
        </w:rPr>
        <w:t>‘</w:t>
      </w:r>
      <w:r w:rsidRPr="001A3FF1">
        <w:rPr>
          <w:rFonts w:asciiTheme="majorHAnsi" w:hAnsiTheme="majorHAnsi"/>
          <w:lang w:val="en-US"/>
        </w:rPr>
        <w:t>cease trading</w:t>
      </w:r>
      <w:r>
        <w:rPr>
          <w:rFonts w:asciiTheme="majorHAnsi" w:hAnsiTheme="majorHAnsi"/>
          <w:lang w:val="en-US"/>
        </w:rPr>
        <w:t>’</w:t>
      </w:r>
      <w:r w:rsidRPr="001A3FF1">
        <w:rPr>
          <w:rFonts w:asciiTheme="majorHAnsi" w:hAnsiTheme="majorHAnsi"/>
          <w:lang w:val="en-US"/>
        </w:rPr>
        <w:t xml:space="preserve"> event occurring</w:t>
      </w:r>
      <w:r w:rsidRPr="001A3FF1">
        <w:rPr>
          <w:rFonts w:asciiTheme="majorHAnsi" w:hAnsiTheme="majorHAnsi"/>
          <w:i/>
          <w:lang w:val="en-US"/>
        </w:rPr>
        <w:t xml:space="preserve"> at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1A3FF1">
        <w:rPr>
          <w:rFonts w:asciiTheme="majorHAnsi" w:hAnsiTheme="majorHAnsi"/>
          <w:lang w:val="en-US"/>
        </w:rPr>
        <w:t xml:space="preserve">, the probability that </w:t>
      </w:r>
      <w:r>
        <w:rPr>
          <w:rFonts w:asciiTheme="majorHAnsi" w:hAnsiTheme="majorHAnsi"/>
          <w:lang w:val="en-US"/>
        </w:rPr>
        <w:t>individual</w:t>
      </w:r>
      <w:r w:rsidRPr="001A3FF1">
        <w:rPr>
          <w:rFonts w:asciiTheme="majorHAnsi" w:hAnsiTheme="majorHAnsi"/>
          <w:lang w:val="en-US"/>
        </w:rPr>
        <w:t xml:space="preserve"> </w:t>
      </w:r>
      <w:r w:rsidRPr="001A3FF1">
        <w:rPr>
          <w:rFonts w:asciiTheme="majorHAnsi" w:hAnsiTheme="majorHAnsi"/>
          <w:i/>
          <w:lang w:val="en-US"/>
        </w:rPr>
        <w:t xml:space="preserve">k </w:t>
      </w:r>
      <w:r w:rsidRPr="001A3FF1">
        <w:rPr>
          <w:rFonts w:asciiTheme="majorHAnsi" w:hAnsiTheme="majorHAnsi"/>
          <w:lang w:val="en-US"/>
        </w:rPr>
        <w:t>will cease trading at time</w:t>
      </w:r>
      <w:r w:rsidRPr="001A3FF1">
        <w:rPr>
          <w:rFonts w:asciiTheme="majorHAnsi" w:hAnsiTheme="majorHAnsi"/>
          <w:i/>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1A3FF1">
        <w:rPr>
          <w:rFonts w:asciiTheme="majorHAnsi" w:hAnsiTheme="majorHAnsi"/>
          <w:i/>
          <w:lang w:val="en-US"/>
        </w:rPr>
        <w:t>,</w:t>
      </w:r>
      <m:oMath>
        <m:r>
          <w:rPr>
            <w:rFonts w:ascii="Cambria Math" w:hAnsi="Cambria Math" w:cs="Menlo Regular"/>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d>
          <m:dPr>
            <m:ctrlPr>
              <w:rPr>
                <w:rFonts w:ascii="Cambria Math" w:hAnsi="Cambria Math" w:cstheme="majorBidi"/>
                <w:i/>
                <w:color w:val="000000"/>
                <w:sz w:val="24"/>
                <w:szCs w:val="24"/>
              </w:rPr>
            </m:ctrlPr>
          </m:dPr>
          <m:e>
            <m:r>
              <w:rPr>
                <w:rFonts w:ascii="Cambria Math" w:hAnsi="Cambria Math"/>
                <w:lang w:val="en-US"/>
              </w:rPr>
              <m:t>t</m:t>
            </m:r>
            <m:r>
              <w:rPr>
                <w:rFonts w:ascii="Cambria Math" w:hAnsi="Cambria Math" w:cstheme="majorBidi"/>
                <w:color w:val="000000"/>
                <w:sz w:val="24"/>
                <w:szCs w:val="24"/>
              </w:rPr>
              <m:t>+Δ</m:t>
            </m:r>
            <m:r>
              <w:rPr>
                <w:rFonts w:ascii="Cambria Math" w:hAnsi="Cambria Math"/>
                <w:lang w:val="en-US"/>
              </w:rPr>
              <m:t>t</m:t>
            </m:r>
            <m:r>
              <w:rPr>
                <w:rFonts w:ascii="Cambria Math" w:hAnsi="Cambria Math" w:cstheme="majorBidi"/>
                <w:color w:val="000000"/>
                <w:sz w:val="24"/>
                <w:szCs w:val="24"/>
              </w:rPr>
              <m:t>&gt;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cstheme="majorBidi"/>
                <w:color w:val="000000"/>
                <w:sz w:val="24"/>
                <w:szCs w:val="24"/>
              </w:rPr>
              <m:t>≥</m:t>
            </m:r>
            <m:r>
              <w:rPr>
                <w:rFonts w:ascii="Cambria Math" w:hAnsi="Cambria Math"/>
                <w:lang w:val="en-US"/>
              </w:rPr>
              <m:t>t</m:t>
            </m:r>
          </m:e>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cstheme="majorBidi"/>
                <w:color w:val="000000"/>
                <w:sz w:val="24"/>
                <w:szCs w:val="24"/>
              </w:rPr>
              <m:t>≥</m:t>
            </m:r>
            <m:r>
              <w:rPr>
                <w:rFonts w:ascii="Cambria Math" w:hAnsi="Cambria Math"/>
                <w:lang w:val="en-US"/>
              </w:rPr>
              <m:t>t</m:t>
            </m:r>
          </m:e>
        </m:d>
        <m:r>
          <w:rPr>
            <w:rFonts w:ascii="Cambria Math" w:hAnsi="Cambria Math" w:cstheme="majorBidi"/>
            <w:color w:val="000000"/>
            <w:sz w:val="24"/>
            <w:szCs w:val="24"/>
          </w:rPr>
          <m:t xml:space="preserve"> </m:t>
        </m:r>
      </m:oMath>
      <w:r w:rsidRPr="00406D9F">
        <w:rPr>
          <w:rFonts w:asciiTheme="majorHAnsi" w:eastAsiaTheme="minorEastAsia" w:hAnsiTheme="majorHAnsi"/>
          <w:iCs/>
          <w:lang w:val="en-US"/>
        </w:rPr>
        <w:t>noted as</w:t>
      </w:r>
      <w:r>
        <w:rPr>
          <w:rFonts w:asciiTheme="majorHAnsi" w:eastAsiaTheme="minorEastAsia" w:hAnsiTheme="majorHAnsi"/>
          <w:i/>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oMath>
      <w:r>
        <w:rPr>
          <w:rFonts w:asciiTheme="majorHAnsi" w:eastAsiaTheme="minorEastAsia" w:hAnsiTheme="majorHAnsi"/>
          <w:i/>
          <w:lang w:val="en-US"/>
        </w:rPr>
        <w:t xml:space="preserve">, </w:t>
      </w:r>
      <w:r w:rsidRPr="001A3FF1">
        <w:rPr>
          <w:rFonts w:asciiTheme="majorHAnsi" w:hAnsiTheme="majorHAnsi"/>
          <w:lang w:val="en-US"/>
        </w:rPr>
        <w:t>can</w:t>
      </w:r>
      <w:r w:rsidRPr="001A3FF1">
        <w:rPr>
          <w:rFonts w:asciiTheme="majorHAnsi" w:hAnsiTheme="majorHAnsi"/>
          <w:i/>
          <w:lang w:val="en-US"/>
        </w:rPr>
        <w:t xml:space="preserve"> </w:t>
      </w:r>
      <w:r w:rsidRPr="001A3FF1">
        <w:rPr>
          <w:rFonts w:asciiTheme="majorHAnsi" w:hAnsiTheme="majorHAnsi"/>
          <w:lang w:val="en-US"/>
        </w:rPr>
        <w:t>be represented by</w:t>
      </w:r>
      <w:r w:rsidRPr="001A3FF1">
        <w:rPr>
          <w:rFonts w:asciiTheme="majorHAnsi" w:hAnsiTheme="majorHAnsi"/>
          <w:i/>
          <w:lang w:val="en-US"/>
        </w:rPr>
        <w:t xml:space="preserve"> </w:t>
      </w:r>
      <m:oMath>
        <m:r>
          <w:rPr>
            <w:rFonts w:ascii="Cambria Math" w:hAnsi="Cambria Math"/>
            <w:lang w:val="en-US"/>
          </w:rPr>
          <m:t>h</m:t>
        </m:r>
        <m:d>
          <m:dPr>
            <m:ctrlPr>
              <w:rPr>
                <w:rFonts w:ascii="Cambria Math" w:hAnsi="Cambria Math"/>
                <w:i/>
                <w:lang w:val="en-US"/>
              </w:rPr>
            </m:ctrlPr>
          </m:dPr>
          <m:e>
            <m:r>
              <w:rPr>
                <w:rFonts w:ascii="Cambria Math" w:hAnsi="Cambria Math"/>
                <w:lang w:val="en-US"/>
              </w:rPr>
              <m:t>t,</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e>
        </m:d>
      </m:oMath>
      <w:r>
        <w:rPr>
          <w:rFonts w:asciiTheme="majorHAnsi" w:hAnsiTheme="majorHAnsi"/>
          <w:i/>
          <w:lang w:val="en-US"/>
        </w:rPr>
        <w:t xml:space="preserve"> </w:t>
      </w:r>
      <w:r w:rsidRPr="001A3FF1">
        <w:rPr>
          <w:rFonts w:asciiTheme="majorHAnsi" w:hAnsiTheme="majorHAnsi"/>
          <w:lang w:val="en-US"/>
        </w:rPr>
        <w:t>divided by the sum of all the hazards. This sum of hazards is represented by</w:t>
      </w:r>
      <w:r w:rsidRPr="001A3FF1">
        <w:rPr>
          <w:rFonts w:asciiTheme="majorHAnsi" w:hAnsiTheme="majorHAnsi"/>
          <w:i/>
          <w:lang w:val="en-US"/>
        </w:rPr>
        <w:t xml:space="preserve"> </w:t>
      </w:r>
      <m:oMath>
        <m:nary>
          <m:naryPr>
            <m:chr m:val="∑"/>
            <m:limLoc m:val="subSup"/>
            <m:supHide m:val="1"/>
            <m:ctrlPr>
              <w:rPr>
                <w:rFonts w:ascii="Cambria Math" w:hAnsi="Cambria Math"/>
                <w:i/>
                <w:lang w:val="en-US"/>
              </w:rPr>
            </m:ctrlPr>
          </m:naryPr>
          <m:sub>
            <m:r>
              <w:rPr>
                <w:rFonts w:ascii="Cambria Math" w:hAnsi="Cambria Math"/>
                <w:lang w:val="en-US"/>
              </w:rPr>
              <m:t>j:</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&gt;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sub>
          <m:sup/>
          <m:e>
            <m:r>
              <w:rPr>
                <w:rFonts w:ascii="Cambria Math" w:hAnsi="Cambria Math"/>
                <w:lang w:val="en-US"/>
              </w:rPr>
              <m:t>h</m:t>
            </m:r>
            <m:d>
              <m:dPr>
                <m:ctrlPr>
                  <w:rPr>
                    <w:rFonts w:ascii="Cambria Math" w:hAnsi="Cambria Math"/>
                    <w:i/>
                    <w:lang w:val="en-US"/>
                  </w:rPr>
                </m:ctrlPr>
              </m:dPr>
              <m:e>
                <m:r>
                  <w:rPr>
                    <w:rFonts w:ascii="Cambria Math" w:hAnsi="Cambria Math"/>
                    <w:lang w:val="en-US"/>
                  </w:rPr>
                  <m:t>t,</m:t>
                </m:r>
                <m:sSub>
                  <m:sSubPr>
                    <m:ctrlPr>
                      <w:rPr>
                        <w:rFonts w:ascii="Cambria Math" w:hAnsi="Cambria Math"/>
                        <w:b/>
                        <w:lang w:val="en-US"/>
                      </w:rPr>
                    </m:ctrlPr>
                  </m:sSubPr>
                  <m:e>
                    <m:r>
                      <m:rPr>
                        <m:sty m:val="b"/>
                      </m:rPr>
                      <w:rPr>
                        <w:rFonts w:ascii="Cambria Math" w:hAnsi="Cambria Math"/>
                        <w:lang w:val="en-US"/>
                      </w:rPr>
                      <m:t>x</m:t>
                    </m:r>
                  </m:e>
                  <m:sub>
                    <m:r>
                      <m:rPr>
                        <m:sty m:val="p"/>
                      </m:rPr>
                      <w:rPr>
                        <w:rFonts w:ascii="Cambria Math" w:hAnsi="Cambria Math"/>
                        <w:lang w:val="en-US"/>
                      </w:rPr>
                      <m:t>k</m:t>
                    </m:r>
                  </m:sub>
                </m:sSub>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e>
            </m:d>
          </m:e>
        </m:nary>
      </m:oMath>
      <w:r w:rsidRPr="001A3FF1">
        <w:rPr>
          <w:rFonts w:asciiTheme="majorHAnsi" w:hAnsiTheme="majorHAnsi"/>
          <w:lang w:val="en-US"/>
        </w:rPr>
        <w:t xml:space="preserve"> at time</w:t>
      </w:r>
      <w:r w:rsidRPr="001A3FF1">
        <w:rPr>
          <w:rFonts w:asciiTheme="majorHAnsi" w:hAnsiTheme="majorHAnsi"/>
          <w:i/>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1A3FF1">
        <w:rPr>
          <w:rFonts w:asciiTheme="majorHAnsi" w:hAnsiTheme="majorHAnsi"/>
          <w:i/>
          <w:lang w:val="en-US"/>
        </w:rPr>
        <w:t xml:space="preserve"> </w:t>
      </w:r>
      <w:r w:rsidRPr="001A3FF1">
        <w:rPr>
          <w:rFonts w:asciiTheme="majorHAnsi" w:hAnsiTheme="majorHAnsi"/>
          <w:lang w:val="en-US"/>
        </w:rPr>
        <w:t xml:space="preserve">for </w:t>
      </w:r>
      <w:r>
        <w:rPr>
          <w:rFonts w:asciiTheme="majorHAnsi" w:hAnsiTheme="majorHAnsi"/>
          <w:lang w:val="en-US"/>
        </w:rPr>
        <w:t>the individuals</w:t>
      </w:r>
      <w:r w:rsidRPr="001A3FF1">
        <w:rPr>
          <w:rFonts w:asciiTheme="majorHAnsi" w:hAnsiTheme="majorHAnsi"/>
          <w:lang w:val="en-US"/>
        </w:rPr>
        <w:t xml:space="preserve"> (including </w:t>
      </w:r>
      <w:r w:rsidRPr="001A3FF1">
        <w:rPr>
          <w:rFonts w:asciiTheme="majorHAnsi" w:hAnsiTheme="majorHAnsi"/>
          <w:i/>
          <w:lang w:val="en-US"/>
        </w:rPr>
        <w:t>k</w:t>
      </w:r>
      <w:r w:rsidRPr="001A3FF1">
        <w:rPr>
          <w:rFonts w:asciiTheme="majorHAnsi" w:hAnsiTheme="majorHAnsi"/>
          <w:lang w:val="en-US"/>
        </w:rPr>
        <w:t>)</w:t>
      </w:r>
      <w:r w:rsidRPr="001A3FF1">
        <w:rPr>
          <w:rFonts w:asciiTheme="majorHAnsi" w:hAnsiTheme="majorHAnsi"/>
          <w:i/>
          <w:lang w:val="en-US"/>
        </w:rPr>
        <w:t xml:space="preserve"> </w:t>
      </w:r>
      <w:r w:rsidRPr="001A3FF1">
        <w:rPr>
          <w:rFonts w:asciiTheme="majorHAnsi" w:hAnsiTheme="majorHAnsi"/>
          <w:lang w:val="en-US"/>
        </w:rPr>
        <w:t>who were at risk at</w:t>
      </w:r>
      <w:r w:rsidRPr="001A3FF1">
        <w:rPr>
          <w:rFonts w:asciiTheme="majorHAnsi" w:hAnsiTheme="majorHAnsi"/>
          <w:i/>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1A3FF1">
        <w:rPr>
          <w:rFonts w:asciiTheme="majorHAnsi" w:hAnsiTheme="majorHAnsi"/>
          <w:i/>
          <w:lang w:val="en-US"/>
        </w:rPr>
        <w:t xml:space="preserve"> </w:t>
      </w:r>
      <w:r w:rsidRPr="001A3FF1">
        <w:rPr>
          <w:rFonts w:asciiTheme="majorHAnsi" w:hAnsiTheme="majorHAnsi"/>
          <w:lang w:val="en-US"/>
        </w:rPr>
        <w:t>and where trader</w:t>
      </w:r>
      <w:r w:rsidRPr="001A3FF1">
        <w:rPr>
          <w:rFonts w:asciiTheme="majorHAnsi" w:hAnsiTheme="majorHAnsi"/>
          <w:i/>
          <w:lang w:val="en-US"/>
        </w:rPr>
        <w:t xml:space="preserve"> j </w:t>
      </w:r>
      <w:r w:rsidRPr="001A3FF1">
        <w:rPr>
          <w:rFonts w:asciiTheme="majorHAnsi" w:hAnsiTheme="majorHAnsi"/>
          <w:lang w:val="en-US"/>
        </w:rPr>
        <w:t>ceases to trade at a time greater than</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1A3FF1">
        <w:rPr>
          <w:rFonts w:asciiTheme="majorHAnsi" w:hAnsiTheme="majorHAnsi"/>
          <w:lang w:val="en-US"/>
        </w:rPr>
        <w:t xml:space="preserve"> (i.e.</w:t>
      </w:r>
      <w:r w:rsidRPr="001A3FF1">
        <w:rPr>
          <w:rFonts w:asciiTheme="majorHAnsi" w:hAnsiTheme="majorHAnsi"/>
          <w:i/>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&gt;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1A3FF1">
        <w:rPr>
          <w:rFonts w:asciiTheme="majorHAnsi" w:hAnsiTheme="majorHAnsi"/>
          <w:i/>
          <w:lang w:val="en-US"/>
        </w:rPr>
        <w:t xml:space="preserve"> </w:t>
      </w:r>
      <w:r w:rsidRPr="001A3FF1">
        <w:rPr>
          <w:rFonts w:asciiTheme="majorHAnsi" w:hAnsiTheme="majorHAnsi"/>
          <w:lang w:val="en-US"/>
        </w:rPr>
        <w:t xml:space="preserve">: all traders who have started to trade and have not yet ceased at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1A3FF1">
        <w:rPr>
          <w:rFonts w:asciiTheme="majorHAnsi" w:hAnsiTheme="majorHAnsi"/>
          <w:lang w:val="en-US"/>
        </w:rPr>
        <w:t xml:space="preserve">). In other words, </w:t>
      </w:r>
      <m:oMath>
        <m:r>
          <w:rPr>
            <w:rFonts w:ascii="Cambria Math" w:hAnsi="Cambria Math"/>
            <w:lang w:val="en-US"/>
          </w:rPr>
          <m:t>j:</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&gt;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1A3FF1">
        <w:rPr>
          <w:rFonts w:asciiTheme="majorHAnsi" w:hAnsiTheme="majorHAnsi"/>
          <w:lang w:val="en-US"/>
        </w:rPr>
        <w:t xml:space="preserve"> represents the set of individuals,</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R(t</m:t>
            </m:r>
          </m:e>
          <m:sub>
            <m:r>
              <w:rPr>
                <w:rFonts w:ascii="Cambria Math" w:hAnsi="Cambria Math"/>
                <w:lang w:val="en-US"/>
              </w:rPr>
              <m:t>k</m:t>
            </m:r>
          </m:sub>
        </m:sSub>
        <m:r>
          <w:rPr>
            <w:rFonts w:ascii="Cambria Math" w:hAnsi="Cambria Math"/>
            <w:lang w:val="en-US"/>
          </w:rPr>
          <m:t>)</m:t>
        </m:r>
      </m:oMath>
      <w:r>
        <w:rPr>
          <w:rFonts w:asciiTheme="majorHAnsi" w:hAnsiTheme="majorHAnsi"/>
          <w:lang w:val="en-US"/>
        </w:rPr>
        <w:t xml:space="preserve"> </w:t>
      </w:r>
      <w:r w:rsidRPr="001A3FF1">
        <w:rPr>
          <w:rFonts w:asciiTheme="majorHAnsi" w:hAnsiTheme="majorHAnsi"/>
          <w:lang w:val="en-US"/>
        </w:rPr>
        <w:t xml:space="preserve"> at risk of ceasing to trade at time</w:t>
      </w:r>
      <m:oMath>
        <m:sSub>
          <m:sSubPr>
            <m:ctrlPr>
              <w:rPr>
                <w:rFonts w:ascii="Cambria Math" w:hAnsi="Cambria Math"/>
                <w:i/>
                <w:lang w:val="en-US"/>
              </w:rPr>
            </m:ctrlPr>
          </m:sSubPr>
          <m:e>
            <m:r>
              <w:rPr>
                <w:rFonts w:ascii="Cambria Math" w:hAnsi="Cambria Math"/>
                <w:lang w:val="en-US"/>
              </w:rPr>
              <m:t xml:space="preserve"> t</m:t>
            </m:r>
          </m:e>
          <m:sub>
            <m:r>
              <w:rPr>
                <w:rFonts w:ascii="Cambria Math" w:hAnsi="Cambria Math"/>
                <w:lang w:val="en-US"/>
              </w:rPr>
              <m:t>k</m:t>
            </m:r>
          </m:sub>
        </m:sSub>
      </m:oMath>
      <w:r w:rsidRPr="001A3FF1">
        <w:rPr>
          <w:rFonts w:asciiTheme="majorHAnsi" w:hAnsiTheme="majorHAnsi"/>
          <w:lang w:val="en-US"/>
        </w:rPr>
        <w:t>. According to Equation (</w:t>
      </w:r>
      <w:r>
        <w:rPr>
          <w:rFonts w:asciiTheme="majorHAnsi" w:hAnsiTheme="majorHAnsi"/>
          <w:lang w:val="en-US"/>
        </w:rPr>
        <w:t>A1</w:t>
      </w:r>
      <w:r w:rsidRPr="001A3FF1">
        <w:rPr>
          <w:rFonts w:asciiTheme="majorHAnsi" w:hAnsiTheme="majorHAnsi"/>
          <w:lang w:val="en-US"/>
        </w:rPr>
        <w:t xml:space="preserve">), in which a hazard function for any individual trader </w:t>
      </w:r>
      <w:r>
        <w:rPr>
          <w:rFonts w:asciiTheme="majorHAnsi" w:hAnsiTheme="majorHAnsi"/>
          <w:lang w:val="en-US"/>
        </w:rPr>
        <w:t>is</w:t>
      </w:r>
      <w:r w:rsidRPr="001A3FF1">
        <w:rPr>
          <w:rFonts w:asciiTheme="majorHAnsi" w:hAnsiTheme="majorHAnsi"/>
          <w:lang w:val="en-US"/>
        </w:rPr>
        <w:t xml:space="preserve"> represented by the bas</w:t>
      </w:r>
      <w:r w:rsidRPr="0035753A">
        <w:rPr>
          <w:rFonts w:asciiTheme="majorHAnsi" w:hAnsiTheme="majorHAnsi"/>
          <w:lang w:val="en-US"/>
        </w:rPr>
        <w:t>eline hazard and the covariates,</w:t>
      </w:r>
      <m:oMath>
        <m:r>
          <m:rPr>
            <m:sty m:val="p"/>
          </m:rPr>
          <w:rPr>
            <w:rFonts w:ascii="Cambria Math" w:hAnsi="Cambria Math"/>
            <w:lang w:val="en-US"/>
          </w:rPr>
          <m:t xml:space="preserve"> </m:t>
        </m:r>
        <m:r>
          <w:rPr>
            <w:rFonts w:ascii="Cambria Math" w:hAnsi="Cambria Math" w:cs="Menlo Regular"/>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oMath>
      <w:r w:rsidRPr="008A05FC">
        <w:rPr>
          <w:rFonts w:asciiTheme="majorHAnsi" w:hAnsiTheme="majorHAnsi"/>
          <w:lang w:val="en-US"/>
        </w:rPr>
        <w:t xml:space="preserve"> can be represented as follows:</w:t>
      </w:r>
    </w:p>
    <w:p w14:paraId="7A4BE4B3" w14:textId="62E5FC18" w:rsidR="00EE5149" w:rsidRPr="00060C2F" w:rsidRDefault="0034304F" w:rsidP="00EE5149">
      <w:pPr>
        <w:spacing w:after="0" w:line="480" w:lineRule="auto"/>
        <w:ind w:firstLine="709"/>
        <w:jc w:val="right"/>
        <w:rPr>
          <w:rFonts w:asciiTheme="majorHAnsi" w:eastAsiaTheme="minorEastAsia" w:hAnsiTheme="majorHAnsi"/>
          <w:lang w:val="en-US"/>
        </w:rPr>
      </w:pPr>
      <m:oMathPara>
        <m:oMath>
          <m:eqArr>
            <m:eqArrPr>
              <m:maxDist m:val="1"/>
              <m:ctrlPr>
                <w:rPr>
                  <w:rFonts w:ascii="Cambria Math" w:eastAsiaTheme="minorEastAsia" w:hAnsi="Cambria Math"/>
                  <w:i/>
                  <w:lang w:val="en-US"/>
                </w:rPr>
              </m:ctrlPr>
            </m:eqArr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d>
                    <m:dPr>
                      <m:ctrlPr>
                        <w:rPr>
                          <w:rFonts w:ascii="Cambria Math" w:hAnsi="Cambria Math"/>
                          <w:i/>
                          <w:lang w:val="en-US"/>
                        </w:rPr>
                      </m:ctrlPr>
                    </m:dPr>
                    <m:e>
                      <m:r>
                        <w:rPr>
                          <w:rFonts w:ascii="Cambria Math" w:hAnsi="Cambria Math"/>
                          <w:lang w:val="en-US"/>
                        </w:rPr>
                        <m:t>t</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nary>
                            <m:naryPr>
                              <m:chr m:val="∑"/>
                              <m:limLoc m:val="undOvr"/>
                              <m:ctrlPr>
                                <w:rPr>
                                  <w:rFonts w:ascii="Cambria Math" w:hAnsi="Cambria Math"/>
                                  <w:i/>
                                  <w:lang w:val="en-US"/>
                                </w:rPr>
                              </m:ctrlPr>
                            </m:naryPr>
                            <m:sub>
                              <m:r>
                                <w:rPr>
                                  <w:rFonts w:ascii="Cambria Math" w:hAnsi="Cambria Math"/>
                                  <w:lang w:val="en-US"/>
                                </w:rPr>
                                <m:t>l</m:t>
                              </m:r>
                            </m:sub>
                            <m:sup>
                              <m:r>
                                <w:rPr>
                                  <w:rFonts w:ascii="Cambria Math" w:hAnsi="Cambria Math"/>
                                  <w:lang w:val="en-US"/>
                                </w:rPr>
                                <m:t>n</m:t>
                              </m:r>
                            </m:sup>
                            <m:e>
                              <m:sSubSup>
                                <m:sSubSupPr>
                                  <m:ctrlPr>
                                    <w:rPr>
                                      <w:rFonts w:ascii="Cambria Math" w:hAnsi="Cambria Math"/>
                                      <w:i/>
                                      <w:lang w:val="en-US"/>
                                    </w:rPr>
                                  </m:ctrlPr>
                                </m:sSubSupPr>
                                <m:e>
                                  <m:r>
                                    <w:rPr>
                                      <w:rFonts w:ascii="Cambria Math" w:hAnsi="Cambria Math"/>
                                      <w:lang w:val="en-US"/>
                                    </w:rPr>
                                    <m:t>β</m:t>
                                  </m:r>
                                </m:e>
                                <m:sub>
                                  <m:r>
                                    <w:rPr>
                                      <w:rFonts w:ascii="Cambria Math" w:hAnsi="Cambria Math"/>
                                      <w:lang w:val="en-US"/>
                                    </w:rPr>
                                    <m:t>l</m:t>
                                  </m:r>
                                </m:sub>
                                <m:sup>
                                  <m:r>
                                    <w:rPr>
                                      <w:rFonts w:ascii="Cambria Math" w:hAnsi="Cambria Math"/>
                                      <w:lang w:val="en-US"/>
                                    </w:rPr>
                                    <m:t>'</m:t>
                                  </m:r>
                                </m:sup>
                              </m:sSubSup>
                            </m:e>
                          </m:nary>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d>
                            <m:dPr>
                              <m:ctrlPr>
                                <w:rPr>
                                  <w:rFonts w:ascii="Cambria Math" w:hAnsi="Cambria Math"/>
                                  <w:b/>
                                  <w:i/>
                                  <w:lang w:val="en-US"/>
                                </w:rPr>
                              </m:ctrlPr>
                            </m:dPr>
                            <m:e>
                              <m:r>
                                <w:rPr>
                                  <w:rFonts w:ascii="Cambria Math" w:hAnsi="Cambria Math"/>
                                  <w:lang w:val="en-US"/>
                                </w:rPr>
                                <m:t>t</m:t>
                              </m:r>
                            </m:e>
                          </m:d>
                        </m:e>
                      </m:d>
                      <m:ctrlPr>
                        <w:rPr>
                          <w:rFonts w:ascii="Cambria Math" w:hAnsi="Cambria Math"/>
                          <w:i/>
                          <w:lang w:val="en-US"/>
                        </w:rPr>
                      </m:ctrlPr>
                    </m:e>
                  </m:func>
                </m:num>
                <m:den>
                  <m:nary>
                    <m:naryPr>
                      <m:chr m:val="∑"/>
                      <m:limLoc m:val="subSup"/>
                      <m:supHide m:val="1"/>
                      <m:ctrlPr>
                        <w:rPr>
                          <w:rFonts w:ascii="Cambria Math" w:hAnsi="Cambria Math"/>
                          <w:i/>
                          <w:lang w:val="en-US"/>
                        </w:rPr>
                      </m:ctrlPr>
                    </m:naryPr>
                    <m:sub>
                      <m:r>
                        <w:rPr>
                          <w:rFonts w:ascii="Cambria Math" w:hAnsi="Cambria Math"/>
                          <w:lang w:val="en-US"/>
                        </w:rPr>
                        <m:t>j:</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&gt;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sub>
                    <m:sup/>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d>
                        <m:dPr>
                          <m:ctrlPr>
                            <w:rPr>
                              <w:rFonts w:ascii="Cambria Math" w:hAnsi="Cambria Math"/>
                              <w:i/>
                              <w:lang w:val="en-US"/>
                            </w:rPr>
                          </m:ctrlPr>
                        </m:dPr>
                        <m:e>
                          <m:r>
                            <w:rPr>
                              <w:rFonts w:ascii="Cambria Math" w:hAnsi="Cambria Math"/>
                              <w:lang w:val="en-US"/>
                            </w:rPr>
                            <m:t>t</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nary>
                                <m:naryPr>
                                  <m:chr m:val="∑"/>
                                  <m:limLoc m:val="undOvr"/>
                                  <m:ctrlPr>
                                    <w:rPr>
                                      <w:rFonts w:ascii="Cambria Math" w:hAnsi="Cambria Math"/>
                                      <w:i/>
                                      <w:lang w:val="en-US"/>
                                    </w:rPr>
                                  </m:ctrlPr>
                                </m:naryPr>
                                <m:sub>
                                  <m:r>
                                    <w:rPr>
                                      <w:rFonts w:ascii="Cambria Math" w:hAnsi="Cambria Math"/>
                                      <w:lang w:val="en-US"/>
                                    </w:rPr>
                                    <m:t>l</m:t>
                                  </m:r>
                                </m:sub>
                                <m:sup>
                                  <m:r>
                                    <w:rPr>
                                      <w:rFonts w:ascii="Cambria Math" w:hAnsi="Cambria Math"/>
                                      <w:lang w:val="en-US"/>
                                    </w:rPr>
                                    <m:t>n</m:t>
                                  </m:r>
                                </m:sup>
                                <m:e>
                                  <m:sSubSup>
                                    <m:sSubSupPr>
                                      <m:ctrlPr>
                                        <w:rPr>
                                          <w:rFonts w:ascii="Cambria Math" w:hAnsi="Cambria Math"/>
                                          <w:i/>
                                          <w:lang w:val="en-US"/>
                                        </w:rPr>
                                      </m:ctrlPr>
                                    </m:sSubSupPr>
                                    <m:e>
                                      <m:r>
                                        <w:rPr>
                                          <w:rFonts w:ascii="Cambria Math" w:hAnsi="Cambria Math"/>
                                          <w:lang w:val="en-US"/>
                                        </w:rPr>
                                        <m:t>β</m:t>
                                      </m:r>
                                    </m:e>
                                    <m:sub>
                                      <m:r>
                                        <w:rPr>
                                          <w:rFonts w:ascii="Cambria Math" w:hAnsi="Cambria Math"/>
                                          <w:lang w:val="en-US"/>
                                        </w:rPr>
                                        <m:t>l</m:t>
                                      </m:r>
                                    </m:sub>
                                    <m:sup>
                                      <m:r>
                                        <w:rPr>
                                          <w:rFonts w:ascii="Cambria Math" w:hAnsi="Cambria Math"/>
                                          <w:lang w:val="en-US"/>
                                        </w:rPr>
                                        <m:t>'</m:t>
                                      </m:r>
                                    </m:sup>
                                  </m:sSubSup>
                                </m:e>
                              </m:nary>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d>
                                <m:dPr>
                                  <m:ctrlPr>
                                    <w:rPr>
                                      <w:rFonts w:ascii="Cambria Math" w:hAnsi="Cambria Math"/>
                                      <w:b/>
                                      <w:i/>
                                      <w:lang w:val="en-US"/>
                                    </w:rPr>
                                  </m:ctrlPr>
                                </m:dPr>
                                <m:e>
                                  <m:r>
                                    <w:rPr>
                                      <w:rFonts w:ascii="Cambria Math" w:hAnsi="Cambria Math"/>
                                      <w:lang w:val="en-US"/>
                                    </w:rPr>
                                    <m:t>t</m:t>
                                  </m:r>
                                </m:e>
                              </m:d>
                            </m:e>
                          </m:d>
                          <m:ctrlPr>
                            <w:rPr>
                              <w:rFonts w:ascii="Cambria Math" w:hAnsi="Cambria Math"/>
                              <w:i/>
                              <w:lang w:val="en-US"/>
                            </w:rPr>
                          </m:ctrlPr>
                        </m:e>
                      </m:func>
                    </m:e>
                  </m:nary>
                </m:den>
              </m:f>
              <m:r>
                <w:rPr>
                  <w:rFonts w:ascii="Cambria Math" w:hAnsi="Cambria Math"/>
                  <w:lang w:val="en-US"/>
                </w:rPr>
                <m:t>=</m:t>
              </m:r>
              <m:f>
                <m:fPr>
                  <m:ctrlPr>
                    <w:rPr>
                      <w:rFonts w:ascii="Cambria Math" w:hAnsi="Cambria Math"/>
                      <w:i/>
                      <w:lang w:val="en-US"/>
                    </w:rPr>
                  </m:ctrlPr>
                </m:fPr>
                <m:num>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nary>
                            <m:naryPr>
                              <m:chr m:val="∑"/>
                              <m:limLoc m:val="undOvr"/>
                              <m:ctrlPr>
                                <w:rPr>
                                  <w:rFonts w:ascii="Cambria Math" w:hAnsi="Cambria Math"/>
                                  <w:i/>
                                  <w:lang w:val="en-US"/>
                                </w:rPr>
                              </m:ctrlPr>
                            </m:naryPr>
                            <m:sub>
                              <m:r>
                                <w:rPr>
                                  <w:rFonts w:ascii="Cambria Math" w:hAnsi="Cambria Math"/>
                                  <w:lang w:val="en-US"/>
                                </w:rPr>
                                <m:t>l</m:t>
                              </m:r>
                            </m:sub>
                            <m:sup>
                              <m:r>
                                <w:rPr>
                                  <w:rFonts w:ascii="Cambria Math" w:hAnsi="Cambria Math"/>
                                  <w:lang w:val="en-US"/>
                                </w:rPr>
                                <m:t>n</m:t>
                              </m:r>
                            </m:sup>
                            <m:e>
                              <m:sSubSup>
                                <m:sSubSupPr>
                                  <m:ctrlPr>
                                    <w:rPr>
                                      <w:rFonts w:ascii="Cambria Math" w:hAnsi="Cambria Math"/>
                                      <w:i/>
                                      <w:lang w:val="en-US"/>
                                    </w:rPr>
                                  </m:ctrlPr>
                                </m:sSubSupPr>
                                <m:e>
                                  <m:r>
                                    <w:rPr>
                                      <w:rFonts w:ascii="Cambria Math" w:hAnsi="Cambria Math"/>
                                      <w:lang w:val="en-US"/>
                                    </w:rPr>
                                    <m:t>β</m:t>
                                  </m:r>
                                </m:e>
                                <m:sub>
                                  <m:r>
                                    <w:rPr>
                                      <w:rFonts w:ascii="Cambria Math" w:hAnsi="Cambria Math"/>
                                      <w:lang w:val="en-US"/>
                                    </w:rPr>
                                    <m:t>l</m:t>
                                  </m:r>
                                </m:sub>
                                <m:sup>
                                  <m:r>
                                    <w:rPr>
                                      <w:rFonts w:ascii="Cambria Math" w:hAnsi="Cambria Math"/>
                                      <w:lang w:val="en-US"/>
                                    </w:rPr>
                                    <m:t>'</m:t>
                                  </m:r>
                                </m:sup>
                              </m:sSubSup>
                            </m:e>
                          </m:nary>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d>
                            <m:dPr>
                              <m:ctrlPr>
                                <w:rPr>
                                  <w:rFonts w:ascii="Cambria Math" w:hAnsi="Cambria Math"/>
                                  <w:b/>
                                  <w:i/>
                                  <w:lang w:val="en-US"/>
                                </w:rPr>
                              </m:ctrlPr>
                            </m:dPr>
                            <m:e>
                              <m:r>
                                <w:rPr>
                                  <w:rFonts w:ascii="Cambria Math" w:hAnsi="Cambria Math"/>
                                  <w:lang w:val="en-US"/>
                                </w:rPr>
                                <m:t>t</m:t>
                              </m:r>
                            </m:e>
                          </m:d>
                        </m:e>
                      </m:d>
                      <m:ctrlPr>
                        <w:rPr>
                          <w:rFonts w:ascii="Cambria Math" w:hAnsi="Cambria Math"/>
                          <w:i/>
                          <w:lang w:val="en-US"/>
                        </w:rPr>
                      </m:ctrlPr>
                    </m:e>
                  </m:func>
                </m:num>
                <m:den>
                  <m:nary>
                    <m:naryPr>
                      <m:chr m:val="∑"/>
                      <m:limLoc m:val="subSup"/>
                      <m:supHide m:val="1"/>
                      <m:ctrlPr>
                        <w:rPr>
                          <w:rFonts w:ascii="Cambria Math" w:hAnsi="Cambria Math"/>
                          <w:i/>
                          <w:lang w:val="en-US"/>
                        </w:rPr>
                      </m:ctrlPr>
                    </m:naryPr>
                    <m:sub>
                      <m:r>
                        <w:rPr>
                          <w:rFonts w:ascii="Cambria Math" w:hAnsi="Cambria Math"/>
                          <w:lang w:val="en-US"/>
                        </w:rPr>
                        <m:t>j:</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&gt;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sub>
                    <m:sup/>
                    <m:e>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nary>
                                <m:naryPr>
                                  <m:chr m:val="∑"/>
                                  <m:limLoc m:val="undOvr"/>
                                  <m:ctrlPr>
                                    <w:rPr>
                                      <w:rFonts w:ascii="Cambria Math" w:hAnsi="Cambria Math"/>
                                      <w:i/>
                                      <w:lang w:val="en-US"/>
                                    </w:rPr>
                                  </m:ctrlPr>
                                </m:naryPr>
                                <m:sub>
                                  <m:r>
                                    <w:rPr>
                                      <w:rFonts w:ascii="Cambria Math" w:hAnsi="Cambria Math"/>
                                      <w:lang w:val="en-US"/>
                                    </w:rPr>
                                    <m:t>l</m:t>
                                  </m:r>
                                </m:sub>
                                <m:sup>
                                  <m:r>
                                    <w:rPr>
                                      <w:rFonts w:ascii="Cambria Math" w:hAnsi="Cambria Math"/>
                                      <w:lang w:val="en-US"/>
                                    </w:rPr>
                                    <m:t>n</m:t>
                                  </m:r>
                                </m:sup>
                                <m:e>
                                  <m:sSubSup>
                                    <m:sSubSupPr>
                                      <m:ctrlPr>
                                        <w:rPr>
                                          <w:rFonts w:ascii="Cambria Math" w:hAnsi="Cambria Math"/>
                                          <w:i/>
                                          <w:lang w:val="en-US"/>
                                        </w:rPr>
                                      </m:ctrlPr>
                                    </m:sSubSupPr>
                                    <m:e>
                                      <m:r>
                                        <w:rPr>
                                          <w:rFonts w:ascii="Cambria Math" w:hAnsi="Cambria Math"/>
                                          <w:lang w:val="en-US"/>
                                        </w:rPr>
                                        <m:t>β</m:t>
                                      </m:r>
                                    </m:e>
                                    <m:sub>
                                      <m:r>
                                        <w:rPr>
                                          <w:rFonts w:ascii="Cambria Math" w:hAnsi="Cambria Math"/>
                                          <w:lang w:val="en-US"/>
                                        </w:rPr>
                                        <m:t>l</m:t>
                                      </m:r>
                                    </m:sub>
                                    <m:sup>
                                      <m:r>
                                        <w:rPr>
                                          <w:rFonts w:ascii="Cambria Math" w:hAnsi="Cambria Math"/>
                                          <w:lang w:val="en-US"/>
                                        </w:rPr>
                                        <m:t>'</m:t>
                                      </m:r>
                                    </m:sup>
                                  </m:sSubSup>
                                </m:e>
                              </m:nary>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d>
                                <m:dPr>
                                  <m:ctrlPr>
                                    <w:rPr>
                                      <w:rFonts w:ascii="Cambria Math" w:hAnsi="Cambria Math"/>
                                      <w:b/>
                                      <w:i/>
                                      <w:lang w:val="en-US"/>
                                    </w:rPr>
                                  </m:ctrlPr>
                                </m:dPr>
                                <m:e>
                                  <m:r>
                                    <w:rPr>
                                      <w:rFonts w:ascii="Cambria Math" w:hAnsi="Cambria Math"/>
                                      <w:lang w:val="en-US"/>
                                    </w:rPr>
                                    <m:t>t</m:t>
                                  </m:r>
                                </m:e>
                              </m:d>
                            </m:e>
                          </m:d>
                          <m:ctrlPr>
                            <w:rPr>
                              <w:rFonts w:ascii="Cambria Math" w:hAnsi="Cambria Math"/>
                              <w:i/>
                              <w:lang w:val="en-US"/>
                            </w:rPr>
                          </m:ctrlPr>
                        </m:e>
                      </m:func>
                    </m:e>
                  </m:nary>
                </m:den>
              </m:f>
              <m:r>
                <w:rPr>
                  <w:rFonts w:ascii="Cambria Math" w:eastAsiaTheme="minorEastAsia" w:hAnsi="Cambria Math"/>
                  <w:lang w:val="en-US"/>
                </w:rPr>
                <m:t>.</m:t>
              </m:r>
              <m:r>
                <w:rPr>
                  <w:rFonts w:ascii="Cambria Math"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A2</m:t>
                  </m:r>
                </m:e>
              </m:d>
              <m:ctrlPr>
                <w:rPr>
                  <w:rFonts w:ascii="Cambria Math" w:hAnsi="Cambria Math"/>
                  <w:i/>
                  <w:lang w:val="en-US"/>
                </w:rPr>
              </m:ctrlPr>
            </m:e>
          </m:eqArr>
        </m:oMath>
      </m:oMathPara>
    </w:p>
    <w:p w14:paraId="081D32F7" w14:textId="59F08E19" w:rsidR="00EE5149" w:rsidRPr="00E32303" w:rsidRDefault="00EE5149" w:rsidP="00F30438">
      <w:pPr>
        <w:spacing w:after="0" w:line="480" w:lineRule="auto"/>
        <w:ind w:firstLine="709"/>
        <w:jc w:val="both"/>
        <w:rPr>
          <w:rFonts w:asciiTheme="majorHAnsi" w:hAnsiTheme="majorHAnsi"/>
          <w:lang w:val="en-US"/>
        </w:rPr>
      </w:pPr>
      <w:r>
        <w:rPr>
          <w:rFonts w:asciiTheme="majorHAnsi" w:hAnsiTheme="majorHAnsi"/>
          <w:lang w:val="en-US"/>
        </w:rPr>
        <w:t xml:space="preserve">In </w:t>
      </w:r>
      <w:r w:rsidRPr="001A3FF1">
        <w:rPr>
          <w:rFonts w:asciiTheme="majorHAnsi" w:hAnsiTheme="majorHAnsi"/>
          <w:lang w:val="en-US"/>
        </w:rPr>
        <w:t>Equation</w:t>
      </w:r>
      <w:r>
        <w:rPr>
          <w:rFonts w:asciiTheme="majorHAnsi" w:hAnsiTheme="majorHAnsi"/>
          <w:lang w:val="en-US"/>
        </w:rPr>
        <w:t xml:space="preserve"> (A2),</w:t>
      </w:r>
      <w:r w:rsidRPr="00E32303">
        <w:rPr>
          <w:rFonts w:asciiTheme="majorHAnsi" w:hAnsiTheme="majorHAnsi"/>
          <w:lang w:val="en-US"/>
        </w:rPr>
        <w:t xml:space="preserve"> the numerator is proportional to the risk of </w:t>
      </w:r>
      <w:r>
        <w:rPr>
          <w:rFonts w:asciiTheme="majorHAnsi" w:hAnsiTheme="majorHAnsi"/>
          <w:lang w:val="en-US"/>
        </w:rPr>
        <w:t>individual</w:t>
      </w:r>
      <w:r w:rsidRPr="00E32303">
        <w:rPr>
          <w:rFonts w:asciiTheme="majorHAnsi" w:hAnsiTheme="majorHAnsi"/>
          <w:lang w:val="en-US"/>
        </w:rPr>
        <w:t xml:space="preserve"> </w:t>
      </w:r>
      <w:r w:rsidRPr="00E32303">
        <w:rPr>
          <w:rFonts w:asciiTheme="majorHAnsi" w:hAnsiTheme="majorHAnsi"/>
          <w:i/>
          <w:lang w:val="en-US"/>
        </w:rPr>
        <w:t>k</w:t>
      </w:r>
      <w:r w:rsidRPr="00E32303">
        <w:rPr>
          <w:rFonts w:asciiTheme="majorHAnsi" w:hAnsiTheme="majorHAnsi"/>
          <w:lang w:val="en-US"/>
        </w:rPr>
        <w:t xml:space="preserve"> ceasing to trade at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E32303">
        <w:rPr>
          <w:rFonts w:asciiTheme="majorHAnsi" w:hAnsiTheme="majorHAnsi"/>
          <w:lang w:val="en-US"/>
        </w:rPr>
        <w:t xml:space="preserve">, and the denominator is proportional to the total risk of </w:t>
      </w:r>
      <w:r>
        <w:rPr>
          <w:rFonts w:asciiTheme="majorHAnsi" w:hAnsiTheme="majorHAnsi"/>
          <w:lang w:val="en-US"/>
        </w:rPr>
        <w:t xml:space="preserve">ceasing </w:t>
      </w:r>
      <w:r w:rsidR="00C40A4E">
        <w:rPr>
          <w:rFonts w:asciiTheme="majorHAnsi" w:hAnsiTheme="majorHAnsi"/>
          <w:lang w:val="en-US"/>
        </w:rPr>
        <w:t xml:space="preserve">to </w:t>
      </w:r>
      <w:r>
        <w:rPr>
          <w:rFonts w:asciiTheme="majorHAnsi" w:hAnsiTheme="majorHAnsi"/>
          <w:lang w:val="en-US"/>
        </w:rPr>
        <w:t>trad</w:t>
      </w:r>
      <w:r w:rsidR="00C40A4E">
        <w:rPr>
          <w:rFonts w:asciiTheme="majorHAnsi" w:hAnsiTheme="majorHAnsi"/>
          <w:lang w:val="en-US"/>
        </w:rPr>
        <w:t>e</w:t>
      </w:r>
      <w:r>
        <w:rPr>
          <w:rFonts w:asciiTheme="majorHAnsi" w:hAnsiTheme="majorHAnsi"/>
          <w:lang w:val="en-US"/>
        </w:rPr>
        <w:t xml:space="preserve"> of</w:t>
      </w:r>
      <w:r w:rsidRPr="00E32303">
        <w:rPr>
          <w:rFonts w:asciiTheme="majorHAnsi" w:hAnsiTheme="majorHAnsi"/>
          <w:lang w:val="en-US"/>
        </w:rPr>
        <w:t xml:space="preserve"> all individual</w:t>
      </w:r>
      <w:r>
        <w:rPr>
          <w:rFonts w:asciiTheme="majorHAnsi" w:hAnsiTheme="majorHAnsi"/>
          <w:lang w:val="en-US"/>
        </w:rPr>
        <w:t>s</w:t>
      </w:r>
      <w:r w:rsidRPr="00E32303">
        <w:rPr>
          <w:rFonts w:asciiTheme="majorHAnsi" w:hAnsiTheme="majorHAnsi"/>
          <w:lang w:val="en-US"/>
        </w:rPr>
        <w:t xml:space="preserve"> </w:t>
      </w:r>
      <w:r w:rsidRPr="00E32303">
        <w:rPr>
          <w:rFonts w:asciiTheme="majorHAnsi" w:hAnsiTheme="majorHAnsi"/>
          <w:i/>
          <w:lang w:val="en-US"/>
        </w:rPr>
        <w:t>j</w:t>
      </w:r>
      <w:r w:rsidRPr="00E32303">
        <w:rPr>
          <w:rFonts w:asciiTheme="majorHAnsi" w:hAnsiTheme="majorHAnsi"/>
          <w:lang w:val="en-US"/>
        </w:rPr>
        <w:t xml:space="preserve"> in the risk set </w:t>
      </w:r>
      <m:oMath>
        <m:sSub>
          <m:sSubPr>
            <m:ctrlPr>
              <w:rPr>
                <w:rFonts w:ascii="Cambria Math" w:hAnsi="Cambria Math"/>
                <w:i/>
                <w:lang w:val="en-US"/>
              </w:rPr>
            </m:ctrlPr>
          </m:sSubPr>
          <m:e>
            <m:r>
              <w:rPr>
                <w:rFonts w:ascii="Cambria Math" w:hAnsi="Cambria Math"/>
                <w:lang w:val="en-US"/>
              </w:rPr>
              <m:t>R(t</m:t>
            </m:r>
          </m:e>
          <m:sub>
            <m:r>
              <w:rPr>
                <w:rFonts w:ascii="Cambria Math" w:hAnsi="Cambria Math"/>
                <w:lang w:val="en-US"/>
              </w:rPr>
              <m:t>k</m:t>
            </m:r>
          </m:sub>
        </m:sSub>
        <m:r>
          <w:rPr>
            <w:rFonts w:ascii="Cambria Math" w:hAnsi="Cambria Math"/>
            <w:lang w:val="en-US"/>
          </w:rPr>
          <m:t>)</m:t>
        </m:r>
      </m:oMath>
      <w:r w:rsidRPr="00E32303">
        <w:rPr>
          <w:rFonts w:asciiTheme="majorHAnsi" w:hAnsiTheme="majorHAnsi"/>
          <w:lang w:val="en-US"/>
        </w:rPr>
        <w:t>.</w:t>
      </w:r>
      <w:r>
        <w:rPr>
          <w:rFonts w:asciiTheme="majorHAnsi" w:hAnsiTheme="majorHAnsi"/>
          <w:lang w:val="en-US"/>
        </w:rPr>
        <w:t xml:space="preserve"> In addition, we adopted standard partial likelihood estimation methods </w:t>
      </w:r>
      <w:r>
        <w:rPr>
          <w:rFonts w:asciiTheme="majorHAnsi" w:eastAsia="Times New Roman" w:hAnsiTheme="majorHAnsi" w:cs="Times New Roman"/>
          <w:lang w:val="en-US" w:eastAsia="en-GB"/>
        </w:rPr>
        <w:t>to estimate the coefficients (</w:t>
      </w:r>
      <m:oMath>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l</m:t>
            </m:r>
          </m:sub>
        </m:sSub>
      </m:oMath>
      <w:r>
        <w:rPr>
          <w:rFonts w:asciiTheme="majorHAnsi" w:eastAsia="Times New Roman" w:hAnsiTheme="majorHAnsi" w:cs="Times New Roman"/>
          <w:lang w:val="en-US" w:eastAsia="en-GB"/>
        </w:rPr>
        <w:t>) in the time-varying CPH model.</w:t>
      </w:r>
      <w:r w:rsidRPr="00275768">
        <w:rPr>
          <w:rFonts w:asciiTheme="majorHAnsi" w:eastAsia="Times New Roman" w:hAnsiTheme="majorHAnsi" w:cs="Times New Roman"/>
          <w:vertAlign w:val="superscript"/>
          <w:lang w:val="en-US" w:eastAsia="en-GB"/>
        </w:rPr>
        <w:t>(48</w:t>
      </w:r>
      <w:r>
        <w:rPr>
          <w:rFonts w:asciiTheme="majorHAnsi" w:eastAsia="Times New Roman" w:hAnsiTheme="majorHAnsi" w:cs="Times New Roman"/>
          <w:vertAlign w:val="superscript"/>
          <w:lang w:val="en-US" w:eastAsia="en-GB"/>
        </w:rPr>
        <w:t>,49</w:t>
      </w:r>
      <w:r w:rsidRPr="00275768">
        <w:rPr>
          <w:rFonts w:asciiTheme="majorHAnsi" w:eastAsia="Times New Roman" w:hAnsiTheme="majorHAnsi" w:cs="Times New Roman"/>
          <w:vertAlign w:val="superscript"/>
          <w:lang w:val="en-US" w:eastAsia="en-GB"/>
        </w:rPr>
        <w:t>)</w:t>
      </w:r>
      <w:r>
        <w:rPr>
          <w:rFonts w:asciiTheme="majorHAnsi" w:eastAsia="Times New Roman" w:hAnsiTheme="majorHAnsi" w:cs="Times New Roman"/>
          <w:lang w:val="en-US" w:eastAsia="en-GB"/>
        </w:rPr>
        <w:t xml:space="preserve"> </w:t>
      </w:r>
    </w:p>
    <w:p w14:paraId="6338D717" w14:textId="22EE55A0" w:rsidR="00EE5149" w:rsidRPr="009D56E1" w:rsidRDefault="00EE5149" w:rsidP="00EE5149">
      <w:pPr>
        <w:spacing w:after="0" w:line="480" w:lineRule="auto"/>
        <w:ind w:firstLine="709"/>
        <w:jc w:val="both"/>
        <w:rPr>
          <w:rFonts w:asciiTheme="majorHAnsi" w:hAnsiTheme="majorHAnsi"/>
          <w:color w:val="000000" w:themeColor="text1"/>
          <w:lang w:val="en-US" w:eastAsia="zh-CN"/>
        </w:rPr>
      </w:pPr>
      <w:r>
        <w:rPr>
          <w:rFonts w:asciiTheme="majorHAnsi" w:hAnsiTheme="majorHAnsi"/>
          <w:color w:val="000000" w:themeColor="text1"/>
          <w:lang w:val="en-US" w:eastAsia="zh-CN"/>
        </w:rPr>
        <w:t>W</w:t>
      </w:r>
      <w:r w:rsidRPr="008A05FC">
        <w:rPr>
          <w:rFonts w:asciiTheme="majorHAnsi" w:hAnsiTheme="majorHAnsi"/>
          <w:color w:val="000000" w:themeColor="text1"/>
          <w:lang w:val="en-US" w:eastAsia="zh-CN"/>
        </w:rPr>
        <w:t>e derive a set of coefficients (</w:t>
      </w:r>
      <m:oMath>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l</m:t>
            </m:r>
          </m:sub>
        </m:sSub>
      </m:oMath>
      <w:r w:rsidRPr="008A05FC">
        <w:rPr>
          <w:rFonts w:asciiTheme="majorHAnsi" w:hAnsiTheme="majorHAnsi"/>
          <w:color w:val="000000" w:themeColor="text1"/>
          <w:lang w:val="en-US" w:eastAsia="zh-CN"/>
        </w:rPr>
        <w:t>) for each covariate</w:t>
      </w:r>
      <w:r>
        <w:rPr>
          <w:rFonts w:asciiTheme="majorHAnsi" w:hAnsiTheme="majorHAnsi"/>
          <w:color w:val="000000" w:themeColor="text1"/>
          <w:lang w:val="en-US" w:eastAsia="zh-CN"/>
        </w:rPr>
        <w:t>,</w:t>
      </w:r>
      <w:r w:rsidRPr="008A05FC">
        <w:rPr>
          <w:rFonts w:asciiTheme="majorHAnsi" w:hAnsiTheme="majorHAnsi"/>
          <w:color w:val="000000" w:themeColor="text1"/>
          <w:lang w:val="en-US" w:eastAsia="zh-CN"/>
        </w:rPr>
        <w:t xml:space="preserve"> </w:t>
      </w:r>
      <w:r>
        <w:rPr>
          <w:rFonts w:asciiTheme="majorHAnsi" w:hAnsiTheme="majorHAnsi"/>
          <w:color w:val="000000" w:themeColor="text1"/>
          <w:lang w:val="en-US" w:eastAsia="zh-CN"/>
        </w:rPr>
        <w:t xml:space="preserve">to </w:t>
      </w:r>
      <w:r w:rsidRPr="008A05FC">
        <w:rPr>
          <w:rFonts w:asciiTheme="majorHAnsi" w:hAnsiTheme="majorHAnsi"/>
          <w:color w:val="000000" w:themeColor="text1"/>
          <w:lang w:val="en-US" w:eastAsia="zh-CN"/>
        </w:rPr>
        <w:t xml:space="preserve">indicate the change in the likelihood of ceasing </w:t>
      </w:r>
      <w:r w:rsidR="00C40A4E">
        <w:rPr>
          <w:rFonts w:asciiTheme="majorHAnsi" w:hAnsiTheme="majorHAnsi"/>
          <w:color w:val="000000" w:themeColor="text1"/>
          <w:lang w:val="en-US" w:eastAsia="zh-CN"/>
        </w:rPr>
        <w:t xml:space="preserve">to </w:t>
      </w:r>
      <w:r w:rsidRPr="008A05FC">
        <w:rPr>
          <w:rFonts w:asciiTheme="majorHAnsi" w:hAnsiTheme="majorHAnsi"/>
          <w:color w:val="000000" w:themeColor="text1"/>
          <w:lang w:val="en-US" w:eastAsia="zh-CN"/>
        </w:rPr>
        <w:t>trad</w:t>
      </w:r>
      <w:r w:rsidR="00C40A4E">
        <w:rPr>
          <w:rFonts w:asciiTheme="majorHAnsi" w:hAnsiTheme="majorHAnsi"/>
          <w:color w:val="000000" w:themeColor="text1"/>
          <w:lang w:val="en-US" w:eastAsia="zh-CN"/>
        </w:rPr>
        <w:t>e</w:t>
      </w:r>
      <w:r w:rsidRPr="008A05FC">
        <w:rPr>
          <w:rFonts w:asciiTheme="majorHAnsi" w:hAnsiTheme="majorHAnsi"/>
          <w:color w:val="000000" w:themeColor="text1"/>
          <w:lang w:val="en-US" w:eastAsia="zh-CN"/>
        </w:rPr>
        <w:t>, based on the covariate value</w:t>
      </w:r>
      <w:r>
        <w:rPr>
          <w:rFonts w:asciiTheme="majorHAnsi" w:hAnsiTheme="majorHAnsi"/>
          <w:color w:val="000000" w:themeColor="text1"/>
          <w:lang w:val="en-US" w:eastAsia="zh-CN"/>
        </w:rPr>
        <w:t>s</w:t>
      </w:r>
      <w:r w:rsidRPr="008A05FC">
        <w:rPr>
          <w:rFonts w:asciiTheme="majorHAnsi" w:hAnsiTheme="majorHAnsi"/>
          <w:color w:val="000000" w:themeColor="text1"/>
          <w:lang w:val="en-US" w:eastAsia="zh-CN"/>
        </w:rPr>
        <w:t xml:space="preserve">. For example, given a value for covariate </w:t>
      </w:r>
      <m:oMath>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oMath>
      <w:r>
        <w:rPr>
          <w:rFonts w:asciiTheme="majorHAnsi" w:hAnsiTheme="majorHAnsi"/>
          <w:b/>
          <w:lang w:val="en-US"/>
        </w:rPr>
        <w:t xml:space="preserve"> </w:t>
      </w:r>
      <w:r w:rsidRPr="00A7521D">
        <w:rPr>
          <w:rFonts w:asciiTheme="majorHAnsi" w:hAnsiTheme="majorHAnsi"/>
          <w:iCs/>
          <w:color w:val="000000" w:themeColor="text1"/>
          <w:lang w:val="en-US" w:eastAsia="zh-CN"/>
        </w:rPr>
        <w:t xml:space="preserve">for a </w:t>
      </w:r>
      <w:r>
        <w:rPr>
          <w:rFonts w:asciiTheme="majorHAnsi" w:hAnsiTheme="majorHAnsi"/>
          <w:iCs/>
          <w:color w:val="000000" w:themeColor="text1"/>
          <w:lang w:val="en-US" w:eastAsia="zh-CN"/>
        </w:rPr>
        <w:t>particular individual</w:t>
      </w:r>
      <w:r w:rsidRPr="008A05FC">
        <w:rPr>
          <w:rFonts w:asciiTheme="majorHAnsi" w:hAnsiTheme="majorHAnsi"/>
          <w:color w:val="000000" w:themeColor="text1"/>
          <w:lang w:val="en-US" w:eastAsia="zh-CN"/>
        </w:rPr>
        <w:t xml:space="preserve">, say  </w:t>
      </w:r>
      <m:oMath>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oMath>
      <w:r>
        <w:rPr>
          <w:rFonts w:asciiTheme="majorHAnsi" w:hAnsiTheme="majorHAnsi"/>
          <w:b/>
          <w:lang w:val="en-US"/>
        </w:rPr>
        <w:t xml:space="preserve"> </w:t>
      </w:r>
      <w:r>
        <w:rPr>
          <w:rFonts w:asciiTheme="majorHAnsi" w:hAnsiTheme="majorHAnsi"/>
          <w:color w:val="000000" w:themeColor="text1"/>
          <w:lang w:val="en-US" w:eastAsia="zh-CN"/>
        </w:rPr>
        <w:t xml:space="preserve"> =</w:t>
      </w:r>
      <w:r w:rsidRPr="008A05FC">
        <w:rPr>
          <w:rFonts w:asciiTheme="majorHAnsi" w:hAnsiTheme="majorHAnsi"/>
          <w:color w:val="000000" w:themeColor="text1"/>
          <w:lang w:val="en-US" w:eastAsia="zh-CN"/>
        </w:rPr>
        <w:t xml:space="preserve"> 1, and a coefficient for that covariate of </w:t>
      </w:r>
      <m:oMath>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l</m:t>
            </m:r>
          </m:sub>
        </m:sSub>
      </m:oMath>
      <w:r w:rsidRPr="008A05FC">
        <w:rPr>
          <w:rFonts w:asciiTheme="majorHAnsi" w:hAnsiTheme="majorHAnsi"/>
          <w:color w:val="000000" w:themeColor="text1"/>
          <w:lang w:val="en-US" w:eastAsia="zh-CN"/>
        </w:rPr>
        <w:t xml:space="preserve"> = 0.1, the hazard (of </w:t>
      </w:r>
      <w:r>
        <w:rPr>
          <w:rFonts w:asciiTheme="majorHAnsi" w:hAnsiTheme="majorHAnsi"/>
          <w:color w:val="000000" w:themeColor="text1"/>
          <w:lang w:val="en-US" w:eastAsia="zh-CN"/>
        </w:rPr>
        <w:t xml:space="preserve">this individual </w:t>
      </w:r>
      <w:r w:rsidRPr="008A05FC">
        <w:rPr>
          <w:rFonts w:asciiTheme="majorHAnsi" w:hAnsiTheme="majorHAnsi"/>
          <w:color w:val="000000" w:themeColor="text1"/>
          <w:lang w:val="en-US" w:eastAsia="zh-CN"/>
        </w:rPr>
        <w:t>ceasing trad</w:t>
      </w:r>
      <w:r w:rsidR="00E73AE9">
        <w:rPr>
          <w:rFonts w:asciiTheme="majorHAnsi" w:hAnsiTheme="majorHAnsi"/>
          <w:color w:val="000000" w:themeColor="text1"/>
          <w:lang w:val="en-US" w:eastAsia="zh-CN"/>
        </w:rPr>
        <w:t>ing</w:t>
      </w:r>
      <w:r w:rsidRPr="008A05FC">
        <w:rPr>
          <w:rFonts w:asciiTheme="majorHAnsi" w:hAnsiTheme="majorHAnsi"/>
          <w:color w:val="000000" w:themeColor="text1"/>
          <w:lang w:val="en-US" w:eastAsia="zh-CN"/>
        </w:rPr>
        <w:t xml:space="preserve">) compared to the baseline (i.e., </w:t>
      </w:r>
      <w:r>
        <w:rPr>
          <w:rFonts w:asciiTheme="majorHAnsi" w:hAnsiTheme="majorHAnsi"/>
          <w:color w:val="000000" w:themeColor="text1"/>
          <w:lang w:val="en-US" w:eastAsia="zh-CN"/>
        </w:rPr>
        <w:t xml:space="preserve">where </w:t>
      </w:r>
      <m:oMath>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oMath>
      <w:r>
        <w:rPr>
          <w:rFonts w:asciiTheme="majorHAnsi" w:hAnsiTheme="majorHAnsi"/>
          <w:color w:val="000000" w:themeColor="text1"/>
          <w:lang w:val="en-US" w:eastAsia="zh-CN"/>
        </w:rPr>
        <w:t xml:space="preserve"> = 0</w:t>
      </w:r>
      <w:r w:rsidRPr="009D56E1">
        <w:rPr>
          <w:rFonts w:asciiTheme="majorHAnsi" w:hAnsiTheme="majorHAnsi"/>
          <w:color w:val="000000" w:themeColor="text1"/>
          <w:lang w:val="en-US" w:eastAsia="zh-CN"/>
        </w:rPr>
        <w:t>), is</w:t>
      </w:r>
      <w:r w:rsidRPr="009D56E1" w:rsidDel="001F5FB9">
        <w:rPr>
          <w:rFonts w:asciiTheme="majorHAnsi" w:hAnsiTheme="majorHAnsi"/>
          <w:color w:val="000000" w:themeColor="text1"/>
          <w:lang w:val="en-US" w:eastAsia="zh-CN"/>
        </w:rPr>
        <w:t xml:space="preserve"> </w:t>
      </w:r>
      <w:r w:rsidRPr="009D56E1">
        <w:rPr>
          <w:rFonts w:asciiTheme="majorHAnsi" w:hAnsiTheme="majorHAnsi"/>
          <w:color w:val="000000" w:themeColor="text1"/>
          <w:lang w:val="en-US" w:eastAsia="zh-CN"/>
        </w:rPr>
        <w:t>exp(0.1</w:t>
      </w:r>
      <w:r>
        <w:rPr>
          <w:rFonts w:asciiTheme="majorHAnsi" w:hAnsiTheme="majorHAnsi"/>
          <w:color w:val="000000" w:themeColor="text1"/>
          <w:lang w:val="en-US" w:eastAsia="zh-CN"/>
        </w:rPr>
        <w:t>*</w:t>
      </w:r>
      <w:r w:rsidRPr="009D56E1">
        <w:rPr>
          <w:rFonts w:asciiTheme="majorHAnsi" w:hAnsiTheme="majorHAnsi"/>
          <w:color w:val="000000" w:themeColor="text1"/>
          <w:lang w:val="en-US" w:eastAsia="zh-CN"/>
        </w:rPr>
        <w:t>(1)) =1.105</w:t>
      </w:r>
      <w:r>
        <w:rPr>
          <w:rFonts w:asciiTheme="majorHAnsi" w:hAnsiTheme="majorHAnsi"/>
          <w:color w:val="000000" w:themeColor="text1"/>
          <w:lang w:val="en-US" w:eastAsia="zh-CN"/>
        </w:rPr>
        <w:t xml:space="preserve"> at time </w:t>
      </w:r>
      <w:r w:rsidRPr="002D1041">
        <w:rPr>
          <w:rFonts w:asciiTheme="majorHAnsi" w:hAnsiTheme="majorHAnsi"/>
          <w:i/>
          <w:iCs/>
          <w:color w:val="000000" w:themeColor="text1"/>
          <w:lang w:val="en-US" w:eastAsia="zh-CN"/>
        </w:rPr>
        <w:t>t</w:t>
      </w:r>
      <w:r w:rsidRPr="009D56E1">
        <w:rPr>
          <w:rFonts w:asciiTheme="majorHAnsi" w:hAnsiTheme="majorHAnsi"/>
          <w:color w:val="000000" w:themeColor="text1"/>
          <w:lang w:val="en-US" w:eastAsia="zh-CN"/>
        </w:rPr>
        <w:t>. In other words, compared to a</w:t>
      </w:r>
      <w:r>
        <w:rPr>
          <w:rFonts w:asciiTheme="majorHAnsi" w:hAnsiTheme="majorHAnsi"/>
          <w:color w:val="000000" w:themeColor="text1"/>
          <w:lang w:val="en-US" w:eastAsia="zh-CN"/>
        </w:rPr>
        <w:t xml:space="preserve">n individual with </w:t>
      </w:r>
      <m:oMath>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oMath>
      <w:r>
        <w:rPr>
          <w:rFonts w:asciiTheme="majorHAnsi" w:hAnsiTheme="majorHAnsi"/>
          <w:b/>
          <w:lang w:val="en-US"/>
        </w:rPr>
        <w:t xml:space="preserve"> </w:t>
      </w:r>
      <w:r>
        <w:rPr>
          <w:rFonts w:asciiTheme="majorHAnsi" w:hAnsiTheme="majorHAnsi"/>
          <w:color w:val="000000" w:themeColor="text1"/>
          <w:lang w:val="en-US" w:eastAsia="zh-CN"/>
        </w:rPr>
        <w:t>=0,</w:t>
      </w:r>
      <w:r w:rsidRPr="009D56E1">
        <w:rPr>
          <w:rFonts w:asciiTheme="majorHAnsi" w:hAnsiTheme="majorHAnsi"/>
          <w:color w:val="000000" w:themeColor="text1"/>
          <w:lang w:val="en-US" w:eastAsia="zh-CN"/>
        </w:rPr>
        <w:t xml:space="preserve"> this trader has a 10.5% higher likelihood of ceasing trad</w:t>
      </w:r>
      <w:r w:rsidR="00E73AE9">
        <w:rPr>
          <w:rFonts w:asciiTheme="majorHAnsi" w:hAnsiTheme="majorHAnsi"/>
          <w:color w:val="000000" w:themeColor="text1"/>
          <w:lang w:val="en-US" w:eastAsia="zh-CN"/>
        </w:rPr>
        <w:t>ing</w:t>
      </w:r>
      <w:r w:rsidRPr="009D56E1">
        <w:rPr>
          <w:rFonts w:asciiTheme="majorHAnsi" w:hAnsiTheme="majorHAnsi"/>
          <w:color w:val="000000" w:themeColor="text1"/>
          <w:lang w:val="en-US" w:eastAsia="zh-CN"/>
        </w:rPr>
        <w:t xml:space="preserve"> </w:t>
      </w:r>
      <w:r>
        <w:rPr>
          <w:rFonts w:asciiTheme="majorHAnsi" w:hAnsiTheme="majorHAnsi"/>
          <w:color w:val="000000" w:themeColor="text1"/>
          <w:lang w:val="en-US" w:eastAsia="zh-CN"/>
        </w:rPr>
        <w:t>at</w:t>
      </w:r>
      <w:r w:rsidRPr="009D56E1">
        <w:rPr>
          <w:rFonts w:asciiTheme="majorHAnsi" w:hAnsiTheme="majorHAnsi"/>
          <w:color w:val="000000" w:themeColor="text1"/>
          <w:lang w:val="en-US" w:eastAsia="zh-CN"/>
        </w:rPr>
        <w:t xml:space="preserve"> </w:t>
      </w:r>
      <w:r w:rsidRPr="002D1041">
        <w:rPr>
          <w:rFonts w:asciiTheme="majorHAnsi" w:hAnsiTheme="majorHAnsi"/>
          <w:i/>
          <w:iCs/>
          <w:color w:val="000000" w:themeColor="text1"/>
          <w:lang w:val="en-US" w:eastAsia="zh-CN"/>
        </w:rPr>
        <w:t>t</w:t>
      </w:r>
      <w:r w:rsidRPr="009D56E1">
        <w:rPr>
          <w:rFonts w:asciiTheme="majorHAnsi" w:hAnsiTheme="majorHAnsi"/>
          <w:color w:val="000000" w:themeColor="text1"/>
          <w:lang w:val="en-US" w:eastAsia="zh-CN"/>
        </w:rPr>
        <w:t xml:space="preserve">, assuming that they have not ceased trading before </w:t>
      </w:r>
      <w:r w:rsidRPr="002D1041">
        <w:rPr>
          <w:rFonts w:asciiTheme="majorHAnsi" w:hAnsiTheme="majorHAnsi"/>
          <w:i/>
          <w:iCs/>
          <w:color w:val="000000" w:themeColor="text1"/>
          <w:lang w:val="en-US" w:eastAsia="zh-CN"/>
        </w:rPr>
        <w:t>t</w:t>
      </w:r>
      <w:r w:rsidRPr="009D56E1">
        <w:rPr>
          <w:rFonts w:asciiTheme="majorHAnsi" w:hAnsiTheme="majorHAnsi"/>
          <w:color w:val="000000" w:themeColor="text1"/>
          <w:lang w:val="en-US" w:eastAsia="zh-CN"/>
        </w:rPr>
        <w:t xml:space="preserve">. A negative covariate, e.g., </w:t>
      </w:r>
      <m:oMath>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l</m:t>
            </m:r>
          </m:sub>
        </m:sSub>
      </m:oMath>
      <w:r w:rsidRPr="009D56E1">
        <w:rPr>
          <w:rFonts w:asciiTheme="majorHAnsi" w:hAnsiTheme="majorHAnsi"/>
          <w:color w:val="000000" w:themeColor="text1"/>
          <w:lang w:val="en-US" w:eastAsia="zh-CN"/>
        </w:rPr>
        <w:t xml:space="preserve"> = </w:t>
      </w:r>
      <w:r w:rsidRPr="009D56E1">
        <w:rPr>
          <w:rFonts w:ascii="MS Gothic" w:eastAsia="MS Gothic" w:hAnsi="MS Gothic"/>
          <w:color w:val="000000"/>
          <w:lang w:val="en-US"/>
        </w:rPr>
        <w:t>−</w:t>
      </w:r>
      <w:r w:rsidRPr="009D56E1">
        <w:rPr>
          <w:rFonts w:asciiTheme="majorHAnsi" w:hAnsiTheme="majorHAnsi"/>
          <w:color w:val="000000" w:themeColor="text1"/>
          <w:lang w:val="en-US" w:eastAsia="zh-CN"/>
        </w:rPr>
        <w:t>0.1, would result in a reduced likelihood of ceasing to trade. In this case exp(</w:t>
      </w:r>
      <w:r w:rsidRPr="009D56E1">
        <w:rPr>
          <w:rFonts w:ascii="MS Gothic" w:eastAsia="MS Gothic" w:hAnsi="MS Gothic"/>
          <w:color w:val="000000"/>
          <w:lang w:val="en-US"/>
        </w:rPr>
        <w:t>−</w:t>
      </w:r>
      <w:r w:rsidRPr="009D56E1">
        <w:rPr>
          <w:rFonts w:asciiTheme="majorHAnsi" w:hAnsiTheme="majorHAnsi"/>
          <w:color w:val="000000" w:themeColor="text1"/>
          <w:lang w:val="en-US" w:eastAsia="zh-CN"/>
        </w:rPr>
        <w:t>0.1</w:t>
      </w:r>
      <w:r>
        <w:rPr>
          <w:rFonts w:asciiTheme="majorHAnsi" w:hAnsiTheme="majorHAnsi"/>
          <w:color w:val="000000" w:themeColor="text1"/>
          <w:lang w:val="en-US" w:eastAsia="zh-CN"/>
        </w:rPr>
        <w:t>*</w:t>
      </w:r>
      <w:r w:rsidRPr="009D56E1">
        <w:rPr>
          <w:rFonts w:asciiTheme="majorHAnsi" w:hAnsiTheme="majorHAnsi"/>
          <w:color w:val="000000" w:themeColor="text1"/>
          <w:lang w:val="en-US" w:eastAsia="zh-CN"/>
        </w:rPr>
        <w:t xml:space="preserve">(1))= 0.905, indicating that this </w:t>
      </w:r>
      <w:r>
        <w:rPr>
          <w:rFonts w:asciiTheme="majorHAnsi" w:hAnsiTheme="majorHAnsi"/>
          <w:color w:val="000000" w:themeColor="text1"/>
          <w:lang w:val="en-US" w:eastAsia="zh-CN"/>
        </w:rPr>
        <w:t>individual</w:t>
      </w:r>
      <w:r w:rsidRPr="009D56E1">
        <w:rPr>
          <w:rFonts w:asciiTheme="majorHAnsi" w:hAnsiTheme="majorHAnsi"/>
          <w:color w:val="000000" w:themeColor="text1"/>
          <w:lang w:val="en-US" w:eastAsia="zh-CN"/>
        </w:rPr>
        <w:t xml:space="preserve"> has a 9.5% lower likelihood of ceasing </w:t>
      </w:r>
      <w:r w:rsidR="00C40A4E">
        <w:rPr>
          <w:rFonts w:asciiTheme="majorHAnsi" w:hAnsiTheme="majorHAnsi"/>
          <w:color w:val="000000" w:themeColor="text1"/>
          <w:lang w:val="en-US" w:eastAsia="zh-CN"/>
        </w:rPr>
        <w:t xml:space="preserve">to </w:t>
      </w:r>
      <w:r w:rsidRPr="009D56E1">
        <w:rPr>
          <w:rFonts w:asciiTheme="majorHAnsi" w:hAnsiTheme="majorHAnsi"/>
          <w:color w:val="000000" w:themeColor="text1"/>
          <w:lang w:val="en-US" w:eastAsia="zh-CN"/>
        </w:rPr>
        <w:t>trad</w:t>
      </w:r>
      <w:r w:rsidR="00C40A4E">
        <w:rPr>
          <w:rFonts w:asciiTheme="majorHAnsi" w:hAnsiTheme="majorHAnsi"/>
          <w:color w:val="000000" w:themeColor="text1"/>
          <w:lang w:val="en-US" w:eastAsia="zh-CN"/>
        </w:rPr>
        <w:t>e</w:t>
      </w:r>
      <w:r w:rsidRPr="009D56E1">
        <w:rPr>
          <w:rFonts w:asciiTheme="majorHAnsi" w:hAnsiTheme="majorHAnsi"/>
          <w:color w:val="000000" w:themeColor="text1"/>
          <w:lang w:val="en-US" w:eastAsia="zh-CN"/>
        </w:rPr>
        <w:t xml:space="preserve"> </w:t>
      </w:r>
      <w:r>
        <w:rPr>
          <w:rFonts w:asciiTheme="majorHAnsi" w:hAnsiTheme="majorHAnsi"/>
          <w:color w:val="000000" w:themeColor="text1"/>
          <w:lang w:val="en-US" w:eastAsia="zh-CN"/>
        </w:rPr>
        <w:t>at</w:t>
      </w:r>
      <w:r w:rsidRPr="009D56E1">
        <w:rPr>
          <w:rFonts w:asciiTheme="majorHAnsi" w:hAnsiTheme="majorHAnsi"/>
          <w:color w:val="000000" w:themeColor="text1"/>
          <w:lang w:val="en-US" w:eastAsia="zh-CN"/>
        </w:rPr>
        <w:t xml:space="preserve"> </w:t>
      </w:r>
      <w:r>
        <w:rPr>
          <w:rFonts w:asciiTheme="majorHAnsi" w:hAnsiTheme="majorHAnsi"/>
          <w:color w:val="000000" w:themeColor="text1"/>
          <w:lang w:val="en-US" w:eastAsia="zh-CN"/>
        </w:rPr>
        <w:t xml:space="preserve">time </w:t>
      </w:r>
      <w:r w:rsidRPr="002D1041">
        <w:rPr>
          <w:rFonts w:asciiTheme="majorHAnsi" w:hAnsiTheme="majorHAnsi"/>
          <w:i/>
          <w:iCs/>
          <w:color w:val="000000" w:themeColor="text1"/>
          <w:lang w:val="en-US" w:eastAsia="zh-CN"/>
        </w:rPr>
        <w:t>t</w:t>
      </w:r>
      <w:r w:rsidRPr="009D56E1">
        <w:rPr>
          <w:rFonts w:asciiTheme="majorHAnsi" w:hAnsiTheme="majorHAnsi"/>
          <w:color w:val="000000" w:themeColor="text1"/>
          <w:lang w:val="en-US" w:eastAsia="zh-CN"/>
        </w:rPr>
        <w:t xml:space="preserve">, compared to a trader with </w:t>
      </w:r>
      <m:oMath>
        <m:sSubSup>
          <m:sSubSupPr>
            <m:ctrlPr>
              <w:rPr>
                <w:rFonts w:ascii="Cambria Math" w:hAnsi="Cambria Math"/>
                <w:i/>
                <w:lang w:val="en-US"/>
              </w:rPr>
            </m:ctrlPr>
          </m:sSubSupPr>
          <m:e>
            <m:r>
              <m:rPr>
                <m:sty m:val="b"/>
              </m:rPr>
              <w:rPr>
                <w:rFonts w:ascii="Cambria Math" w:hAnsi="Cambria Math"/>
                <w:lang w:val="en-US"/>
              </w:rPr>
              <m:t>x</m:t>
            </m:r>
          </m:e>
          <m:sub>
            <m:r>
              <m:rPr>
                <m:sty m:val="p"/>
              </m:rPr>
              <w:rPr>
                <w:rFonts w:ascii="Cambria Math" w:hAnsi="Cambria Math"/>
                <w:lang w:val="en-US"/>
              </w:rPr>
              <m:t>k</m:t>
            </m:r>
          </m:sub>
          <m:sup>
            <m:r>
              <w:rPr>
                <w:rFonts w:ascii="Cambria Math" w:hAnsi="Cambria Math"/>
                <w:lang w:val="en-US"/>
              </w:rPr>
              <m:t>l</m:t>
            </m:r>
          </m:sup>
        </m:sSubSup>
        <m:r>
          <m:rPr>
            <m:sty m:val="bi"/>
          </m:rPr>
          <w:rPr>
            <w:rFonts w:ascii="Cambria Math" w:hAnsi="Cambria Math"/>
            <w:lang w:val="en-US"/>
          </w:rPr>
          <m:t>(</m:t>
        </m:r>
        <m:r>
          <w:rPr>
            <w:rFonts w:ascii="Cambria Math" w:hAnsi="Cambria Math"/>
            <w:lang w:val="en-US"/>
          </w:rPr>
          <m:t>t</m:t>
        </m:r>
        <m:r>
          <m:rPr>
            <m:sty m:val="bi"/>
          </m:rPr>
          <w:rPr>
            <w:rFonts w:ascii="Cambria Math" w:hAnsi="Cambria Math"/>
            <w:lang w:val="en-US"/>
          </w:rPr>
          <m:t>)</m:t>
        </m:r>
      </m:oMath>
      <w:r>
        <w:rPr>
          <w:rFonts w:asciiTheme="majorHAnsi" w:hAnsiTheme="majorHAnsi"/>
          <w:b/>
          <w:lang w:val="en-US"/>
        </w:rPr>
        <w:t xml:space="preserve"> </w:t>
      </w:r>
      <w:r>
        <w:rPr>
          <w:rFonts w:asciiTheme="majorHAnsi" w:hAnsiTheme="majorHAnsi"/>
          <w:color w:val="000000" w:themeColor="text1"/>
          <w:lang w:val="en-US" w:eastAsia="zh-CN"/>
        </w:rPr>
        <w:t>= 0</w:t>
      </w:r>
      <w:r w:rsidRPr="009D56E1">
        <w:rPr>
          <w:rFonts w:asciiTheme="majorHAnsi" w:hAnsiTheme="majorHAnsi"/>
          <w:color w:val="000000" w:themeColor="text1"/>
          <w:lang w:val="en-US" w:eastAsia="zh-CN"/>
        </w:rPr>
        <w:t xml:space="preserve">.  </w:t>
      </w:r>
    </w:p>
    <w:p w14:paraId="624F36F3" w14:textId="77777777" w:rsidR="00EE5149" w:rsidRPr="007C7CD8" w:rsidRDefault="00EE5149" w:rsidP="00EE5149">
      <w:pPr>
        <w:pStyle w:val="ListParagraph"/>
        <w:spacing w:after="160" w:line="259" w:lineRule="auto"/>
        <w:ind w:left="426"/>
        <w:rPr>
          <w:rFonts w:asciiTheme="majorHAnsi" w:hAnsiTheme="majorHAnsi"/>
        </w:rPr>
      </w:pPr>
    </w:p>
    <w:p w14:paraId="749EACF3" w14:textId="77777777" w:rsidR="006020BA" w:rsidRPr="00033689" w:rsidRDefault="006020BA" w:rsidP="006020BA">
      <w:pPr>
        <w:spacing w:line="240" w:lineRule="auto"/>
        <w:rPr>
          <w:sz w:val="24"/>
          <w:szCs w:val="24"/>
        </w:rPr>
      </w:pPr>
    </w:p>
    <w:p w14:paraId="619428E7" w14:textId="76B5F82C" w:rsidR="00652BC7" w:rsidRDefault="0016286A" w:rsidP="00275768">
      <w:pPr>
        <w:rPr>
          <w:rFonts w:asciiTheme="majorHAnsi" w:hAnsiTheme="majorHAnsi"/>
          <w:lang w:val="en-US"/>
        </w:rPr>
      </w:pPr>
      <w:r>
        <w:rPr>
          <w:rFonts w:asciiTheme="majorHAnsi" w:eastAsia="Calibri" w:hAnsiTheme="majorHAnsi" w:cs="Cordia New"/>
          <w:lang w:bidi="th-TH"/>
        </w:rPr>
        <w:br w:type="page"/>
      </w:r>
      <w:r w:rsidR="00652BC7" w:rsidRPr="00FC6DF5">
        <w:rPr>
          <w:rFonts w:asciiTheme="majorHAnsi" w:hAnsiTheme="majorHAnsi"/>
          <w:b/>
          <w:lang w:val="en-US"/>
        </w:rPr>
        <w:t xml:space="preserve">Table </w:t>
      </w:r>
      <w:r w:rsidR="002823B7">
        <w:rPr>
          <w:rFonts w:asciiTheme="majorHAnsi" w:hAnsiTheme="majorHAnsi"/>
          <w:b/>
          <w:lang w:val="en-US"/>
        </w:rPr>
        <w:t>I</w:t>
      </w:r>
      <w:r w:rsidR="00652BC7" w:rsidRPr="00FC6DF5">
        <w:rPr>
          <w:rFonts w:asciiTheme="majorHAnsi" w:hAnsiTheme="majorHAnsi"/>
          <w:b/>
          <w:lang w:val="en-US"/>
        </w:rPr>
        <w:t>.</w:t>
      </w:r>
      <w:r w:rsidR="00652BC7">
        <w:rPr>
          <w:rFonts w:asciiTheme="majorHAnsi" w:hAnsiTheme="majorHAnsi"/>
          <w:lang w:val="en-US"/>
        </w:rPr>
        <w:t xml:space="preserve"> How combinations of the </w:t>
      </w:r>
      <w:r w:rsidR="00652BC7" w:rsidRPr="00400BA6">
        <w:rPr>
          <w:rFonts w:asciiTheme="majorHAnsi" w:hAnsiTheme="majorHAnsi"/>
          <w:i/>
          <w:lang w:val="en-US"/>
        </w:rPr>
        <w:t>GenerallyProfitable</w:t>
      </w:r>
      <w:r w:rsidR="00652BC7">
        <w:rPr>
          <w:rFonts w:asciiTheme="majorHAnsi" w:hAnsiTheme="majorHAnsi"/>
          <w:i/>
          <w:vertAlign w:val="subscript"/>
          <w:lang w:val="en-US"/>
        </w:rPr>
        <w:t>km</w:t>
      </w:r>
      <w:r w:rsidR="00652BC7">
        <w:rPr>
          <w:rFonts w:asciiTheme="majorHAnsi" w:hAnsiTheme="majorHAnsi"/>
          <w:i/>
          <w:lang w:val="en-US"/>
        </w:rPr>
        <w:t xml:space="preserve">, </w:t>
      </w:r>
      <w:r w:rsidR="00652BC7" w:rsidRPr="00400BA6">
        <w:rPr>
          <w:rFonts w:asciiTheme="majorHAnsi" w:hAnsiTheme="majorHAnsi"/>
          <w:i/>
          <w:lang w:val="en-US"/>
        </w:rPr>
        <w:t>StatusChange</w:t>
      </w:r>
      <w:r w:rsidR="00652BC7">
        <w:rPr>
          <w:rFonts w:asciiTheme="majorHAnsi" w:hAnsiTheme="majorHAnsi"/>
          <w:i/>
          <w:vertAlign w:val="subscript"/>
          <w:lang w:val="en-US"/>
        </w:rPr>
        <w:t>km</w:t>
      </w:r>
      <w:r w:rsidR="00652BC7">
        <w:rPr>
          <w:rFonts w:asciiTheme="majorHAnsi" w:hAnsiTheme="majorHAnsi"/>
          <w:i/>
          <w:lang w:val="en-US"/>
        </w:rPr>
        <w:t>,</w:t>
      </w:r>
      <w:r w:rsidR="00E73AE9">
        <w:rPr>
          <w:rFonts w:asciiTheme="majorHAnsi" w:hAnsiTheme="majorHAnsi"/>
          <w:i/>
          <w:lang w:val="en-US"/>
        </w:rPr>
        <w:t xml:space="preserve"> </w:t>
      </w:r>
      <w:r w:rsidR="00E73AE9" w:rsidRPr="00E73AE9">
        <w:rPr>
          <w:rFonts w:asciiTheme="majorHAnsi" w:hAnsiTheme="majorHAnsi"/>
          <w:lang w:val="en-US"/>
        </w:rPr>
        <w:t>and</w:t>
      </w:r>
      <w:r w:rsidR="00652BC7">
        <w:rPr>
          <w:rFonts w:asciiTheme="majorHAnsi" w:hAnsiTheme="majorHAnsi"/>
          <w:i/>
          <w:lang w:val="en-US"/>
        </w:rPr>
        <w:t xml:space="preserve"> </w:t>
      </w:r>
      <w:r w:rsidR="00BE439E">
        <w:rPr>
          <w:rFonts w:asciiTheme="majorHAnsi" w:hAnsiTheme="majorHAnsi"/>
          <w:i/>
          <w:lang w:val="en-US"/>
        </w:rPr>
        <w:t>Net</w:t>
      </w:r>
      <w:r w:rsidR="00652BC7" w:rsidRPr="00400BA6">
        <w:rPr>
          <w:rFonts w:asciiTheme="majorHAnsi" w:hAnsiTheme="majorHAnsi"/>
          <w:i/>
          <w:lang w:val="en-US"/>
        </w:rPr>
        <w:t>Loss</w:t>
      </w:r>
      <w:r w:rsidR="00652BC7" w:rsidRPr="00400BA6">
        <w:rPr>
          <w:rFonts w:asciiTheme="majorHAnsi" w:hAnsiTheme="majorHAnsi"/>
          <w:i/>
          <w:vertAlign w:val="subscript"/>
          <w:lang w:val="en-US"/>
        </w:rPr>
        <w:t>km</w:t>
      </w:r>
      <w:r w:rsidR="00652BC7">
        <w:rPr>
          <w:rFonts w:asciiTheme="majorHAnsi" w:hAnsiTheme="majorHAnsi"/>
          <w:i/>
          <w:lang w:val="en-US"/>
        </w:rPr>
        <w:t xml:space="preserve"> </w:t>
      </w:r>
      <w:r w:rsidR="00652BC7">
        <w:rPr>
          <w:rFonts w:asciiTheme="majorHAnsi" w:hAnsiTheme="majorHAnsi"/>
          <w:lang w:val="en-US"/>
        </w:rPr>
        <w:t xml:space="preserve">are used to indicate </w:t>
      </w:r>
      <w:r w:rsidR="008A3C80">
        <w:rPr>
          <w:rFonts w:asciiTheme="majorHAnsi" w:hAnsiTheme="majorHAnsi"/>
          <w:lang w:val="en-US"/>
        </w:rPr>
        <w:t xml:space="preserve">an </w:t>
      </w:r>
      <w:r w:rsidR="00652BC7">
        <w:rPr>
          <w:rFonts w:asciiTheme="majorHAnsi" w:hAnsiTheme="majorHAnsi"/>
          <w:lang w:val="en-US"/>
        </w:rPr>
        <w:t>individual</w:t>
      </w:r>
      <w:r w:rsidR="008A3C80">
        <w:rPr>
          <w:rFonts w:asciiTheme="majorHAnsi" w:hAnsiTheme="majorHAnsi"/>
          <w:lang w:val="en-US"/>
        </w:rPr>
        <w:t>’</w:t>
      </w:r>
      <w:r w:rsidR="00652BC7">
        <w:rPr>
          <w:rFonts w:asciiTheme="majorHAnsi" w:hAnsiTheme="majorHAnsi"/>
          <w:lang w:val="en-US"/>
        </w:rPr>
        <w:t xml:space="preserve">s mental model </w:t>
      </w:r>
      <w:r w:rsidR="008A3C80">
        <w:rPr>
          <w:rFonts w:asciiTheme="majorHAnsi" w:hAnsiTheme="majorHAnsi"/>
          <w:lang w:val="en-US"/>
        </w:rPr>
        <w:t>(</w:t>
      </w:r>
      <w:r w:rsidR="00652BC7">
        <w:rPr>
          <w:rFonts w:asciiTheme="majorHAnsi" w:hAnsiTheme="majorHAnsi"/>
          <w:lang w:val="en-US"/>
        </w:rPr>
        <w:t>based on their long-term profitability</w:t>
      </w:r>
      <w:r w:rsidR="008A3C80">
        <w:rPr>
          <w:rFonts w:asciiTheme="majorHAnsi" w:hAnsiTheme="majorHAnsi"/>
          <w:lang w:val="en-US"/>
        </w:rPr>
        <w:t>) and events related to their trading activity</w:t>
      </w:r>
      <w:r w:rsidR="00652BC7">
        <w:rPr>
          <w:rFonts w:asciiTheme="majorHAnsi" w:hAnsiTheme="majorHAnsi"/>
          <w:lang w:val="en-US"/>
        </w:rPr>
        <w:t>.</w:t>
      </w:r>
    </w:p>
    <w:p w14:paraId="74D4E360" w14:textId="77777777" w:rsidR="00652BC7" w:rsidRPr="00400BA6" w:rsidDel="00804C22" w:rsidRDefault="00652BC7" w:rsidP="00FC6DF5">
      <w:pPr>
        <w:spacing w:after="0" w:line="240" w:lineRule="auto"/>
        <w:rPr>
          <w:rFonts w:asciiTheme="majorHAnsi" w:hAnsiTheme="majorHAnsi"/>
          <w:lang w:val="en-US"/>
        </w:rPr>
      </w:pPr>
    </w:p>
    <w:tbl>
      <w:tblPr>
        <w:tblStyle w:val="TableGrid"/>
        <w:tblW w:w="9322" w:type="dxa"/>
        <w:tblLook w:val="04A0" w:firstRow="1" w:lastRow="0" w:firstColumn="1" w:lastColumn="0" w:noHBand="0" w:noVBand="1"/>
      </w:tblPr>
      <w:tblGrid>
        <w:gridCol w:w="4747"/>
        <w:gridCol w:w="2007"/>
        <w:gridCol w:w="1530"/>
        <w:gridCol w:w="1038"/>
      </w:tblGrid>
      <w:tr w:rsidR="00652BC7" w:rsidRPr="00400BA6" w14:paraId="311027D2" w14:textId="77777777" w:rsidTr="00C72402">
        <w:trPr>
          <w:trHeight w:val="497"/>
        </w:trPr>
        <w:tc>
          <w:tcPr>
            <w:tcW w:w="4870" w:type="dxa"/>
            <w:tcBorders>
              <w:top w:val="single" w:sz="4" w:space="0" w:color="auto"/>
              <w:left w:val="nil"/>
              <w:bottom w:val="single" w:sz="4" w:space="0" w:color="auto"/>
              <w:right w:val="nil"/>
            </w:tcBorders>
            <w:vAlign w:val="center"/>
          </w:tcPr>
          <w:p w14:paraId="0BF2223A" w14:textId="77777777" w:rsidR="00652BC7" w:rsidRPr="00C72402" w:rsidRDefault="00652BC7" w:rsidP="00C72402">
            <w:pPr>
              <w:rPr>
                <w:rFonts w:asciiTheme="majorHAnsi" w:hAnsiTheme="majorHAnsi"/>
                <w:sz w:val="20"/>
                <w:szCs w:val="20"/>
                <w:lang w:val="en-US"/>
              </w:rPr>
            </w:pPr>
            <w:r w:rsidRPr="00C72402">
              <w:rPr>
                <w:rFonts w:asciiTheme="majorHAnsi" w:hAnsiTheme="majorHAnsi"/>
                <w:sz w:val="20"/>
                <w:szCs w:val="20"/>
                <w:lang w:val="en-US"/>
              </w:rPr>
              <w:t>Description</w:t>
            </w:r>
          </w:p>
        </w:tc>
        <w:tc>
          <w:tcPr>
            <w:tcW w:w="2007" w:type="dxa"/>
            <w:tcBorders>
              <w:top w:val="single" w:sz="4" w:space="0" w:color="auto"/>
              <w:left w:val="nil"/>
              <w:bottom w:val="single" w:sz="4" w:space="0" w:color="auto"/>
              <w:right w:val="nil"/>
            </w:tcBorders>
            <w:vAlign w:val="center"/>
          </w:tcPr>
          <w:p w14:paraId="6317CBA8" w14:textId="77777777" w:rsidR="00652BC7" w:rsidRPr="00C72402" w:rsidRDefault="00652BC7" w:rsidP="00C72402">
            <w:pPr>
              <w:jc w:val="center"/>
              <w:rPr>
                <w:rFonts w:asciiTheme="majorHAnsi" w:hAnsiTheme="majorHAnsi"/>
                <w:i/>
                <w:sz w:val="20"/>
                <w:szCs w:val="20"/>
                <w:vertAlign w:val="subscript"/>
                <w:lang w:val="en-US"/>
              </w:rPr>
            </w:pPr>
            <w:r w:rsidRPr="00C72402">
              <w:rPr>
                <w:rFonts w:asciiTheme="majorHAnsi" w:hAnsiTheme="majorHAnsi"/>
                <w:i/>
                <w:sz w:val="20"/>
                <w:szCs w:val="20"/>
                <w:lang w:val="en-US"/>
              </w:rPr>
              <w:t>GenerallyProfitable</w:t>
            </w:r>
            <w:r w:rsidRPr="00C72402">
              <w:rPr>
                <w:rFonts w:asciiTheme="majorHAnsi" w:hAnsiTheme="majorHAnsi"/>
                <w:i/>
                <w:sz w:val="20"/>
                <w:szCs w:val="20"/>
                <w:vertAlign w:val="subscript"/>
                <w:lang w:val="en-US"/>
              </w:rPr>
              <w:t>km</w:t>
            </w:r>
          </w:p>
        </w:tc>
        <w:tc>
          <w:tcPr>
            <w:tcW w:w="1530" w:type="dxa"/>
            <w:tcBorders>
              <w:top w:val="single" w:sz="4" w:space="0" w:color="auto"/>
              <w:left w:val="nil"/>
              <w:bottom w:val="single" w:sz="4" w:space="0" w:color="auto"/>
              <w:right w:val="nil"/>
            </w:tcBorders>
            <w:vAlign w:val="center"/>
          </w:tcPr>
          <w:p w14:paraId="22ECDBE7" w14:textId="77777777" w:rsidR="00652BC7" w:rsidRPr="00C72402" w:rsidRDefault="00652BC7" w:rsidP="00C72402">
            <w:pPr>
              <w:jc w:val="center"/>
              <w:rPr>
                <w:rFonts w:asciiTheme="majorHAnsi" w:hAnsiTheme="majorHAnsi"/>
                <w:i/>
                <w:sz w:val="20"/>
                <w:szCs w:val="20"/>
                <w:vertAlign w:val="subscript"/>
                <w:lang w:val="en-US"/>
              </w:rPr>
            </w:pPr>
            <w:r w:rsidRPr="00C72402">
              <w:rPr>
                <w:rFonts w:asciiTheme="majorHAnsi" w:hAnsiTheme="majorHAnsi"/>
                <w:i/>
                <w:sz w:val="20"/>
                <w:szCs w:val="20"/>
                <w:lang w:val="en-US"/>
              </w:rPr>
              <w:t>StatusChange</w:t>
            </w:r>
            <w:r w:rsidRPr="00C72402">
              <w:rPr>
                <w:rFonts w:asciiTheme="majorHAnsi" w:hAnsiTheme="majorHAnsi"/>
                <w:i/>
                <w:sz w:val="20"/>
                <w:szCs w:val="20"/>
                <w:vertAlign w:val="subscript"/>
                <w:lang w:val="en-US"/>
              </w:rPr>
              <w:t>km</w:t>
            </w:r>
          </w:p>
        </w:tc>
        <w:tc>
          <w:tcPr>
            <w:tcW w:w="915" w:type="dxa"/>
            <w:tcBorders>
              <w:top w:val="single" w:sz="4" w:space="0" w:color="auto"/>
              <w:left w:val="nil"/>
              <w:bottom w:val="single" w:sz="4" w:space="0" w:color="auto"/>
              <w:right w:val="nil"/>
            </w:tcBorders>
            <w:vAlign w:val="center"/>
          </w:tcPr>
          <w:p w14:paraId="73BCE7A9" w14:textId="0D65D90D" w:rsidR="00652BC7" w:rsidRPr="00C72402" w:rsidRDefault="00652BC7" w:rsidP="00C72402">
            <w:pPr>
              <w:jc w:val="center"/>
              <w:rPr>
                <w:rFonts w:asciiTheme="majorHAnsi" w:hAnsiTheme="majorHAnsi"/>
                <w:i/>
                <w:sz w:val="20"/>
                <w:szCs w:val="20"/>
                <w:lang w:val="en-US"/>
              </w:rPr>
            </w:pPr>
            <w:r>
              <w:rPr>
                <w:rFonts w:asciiTheme="majorHAnsi" w:hAnsiTheme="majorHAnsi"/>
                <w:i/>
                <w:sz w:val="20"/>
                <w:szCs w:val="20"/>
                <w:lang w:val="en-US"/>
              </w:rPr>
              <w:t>Net</w:t>
            </w:r>
            <w:r w:rsidRPr="00C72402">
              <w:rPr>
                <w:rFonts w:asciiTheme="majorHAnsi" w:hAnsiTheme="majorHAnsi"/>
                <w:i/>
                <w:sz w:val="20"/>
                <w:szCs w:val="20"/>
                <w:lang w:val="en-US"/>
              </w:rPr>
              <w:t>Loss</w:t>
            </w:r>
            <w:r w:rsidRPr="00C72402">
              <w:rPr>
                <w:rFonts w:asciiTheme="majorHAnsi" w:hAnsiTheme="majorHAnsi"/>
                <w:i/>
                <w:sz w:val="20"/>
                <w:szCs w:val="20"/>
                <w:vertAlign w:val="subscript"/>
                <w:lang w:val="en-US"/>
              </w:rPr>
              <w:t>km</w:t>
            </w:r>
          </w:p>
        </w:tc>
      </w:tr>
      <w:tr w:rsidR="00652BC7" w14:paraId="298DA876" w14:textId="77777777" w:rsidTr="00C72402">
        <w:trPr>
          <w:trHeight w:val="959"/>
        </w:trPr>
        <w:tc>
          <w:tcPr>
            <w:tcW w:w="4870" w:type="dxa"/>
            <w:tcBorders>
              <w:top w:val="single" w:sz="4" w:space="0" w:color="auto"/>
              <w:left w:val="nil"/>
              <w:bottom w:val="nil"/>
              <w:right w:val="nil"/>
            </w:tcBorders>
            <w:vAlign w:val="center"/>
          </w:tcPr>
          <w:p w14:paraId="53D46CA5" w14:textId="73E4DAA5" w:rsidR="00652BC7" w:rsidRPr="00C72402" w:rsidRDefault="00652BC7" w:rsidP="00652BC7">
            <w:pPr>
              <w:spacing w:after="200" w:line="276" w:lineRule="auto"/>
              <w:rPr>
                <w:rFonts w:asciiTheme="majorHAnsi" w:hAnsiTheme="majorHAnsi"/>
                <w:sz w:val="20"/>
                <w:szCs w:val="20"/>
                <w:lang w:val="en-US"/>
              </w:rPr>
            </w:pPr>
            <w:r w:rsidRPr="00C72402">
              <w:rPr>
                <w:rFonts w:asciiTheme="majorHAnsi" w:hAnsiTheme="majorHAnsi"/>
                <w:sz w:val="20"/>
                <w:szCs w:val="20"/>
                <w:lang w:val="en-US"/>
              </w:rPr>
              <w:t>Positive mental model and has recently broken even</w:t>
            </w:r>
            <w:r w:rsidR="00AE01B6">
              <w:rPr>
                <w:rFonts w:asciiTheme="majorHAnsi" w:hAnsiTheme="majorHAnsi"/>
                <w:sz w:val="20"/>
                <w:szCs w:val="20"/>
                <w:lang w:val="en-US"/>
              </w:rPr>
              <w:t>,</w:t>
            </w:r>
            <w:r w:rsidRPr="00C72402">
              <w:rPr>
                <w:rFonts w:asciiTheme="majorHAnsi" w:hAnsiTheme="majorHAnsi"/>
                <w:sz w:val="20"/>
                <w:szCs w:val="20"/>
                <w:lang w:val="en-US"/>
              </w:rPr>
              <w:t xml:space="preserve"> changing from net loss in month </w:t>
            </w:r>
            <w:r w:rsidRPr="00C72402">
              <w:rPr>
                <w:rFonts w:asciiTheme="majorHAnsi" w:hAnsiTheme="majorHAnsi"/>
                <w:i/>
                <w:sz w:val="20"/>
                <w:szCs w:val="20"/>
                <w:lang w:val="en-US"/>
              </w:rPr>
              <w:t>m</w:t>
            </w:r>
            <w:r w:rsidRPr="00C72402">
              <w:rPr>
                <w:rFonts w:asciiTheme="majorHAnsi" w:hAnsiTheme="majorHAnsi"/>
                <w:sz w:val="20"/>
                <w:szCs w:val="20"/>
                <w:lang w:val="en-US"/>
              </w:rPr>
              <w:t xml:space="preserve">-1 to net profit in month </w:t>
            </w:r>
            <w:r w:rsidRPr="00C72402">
              <w:rPr>
                <w:rFonts w:asciiTheme="majorHAnsi" w:hAnsiTheme="majorHAnsi"/>
                <w:i/>
                <w:sz w:val="20"/>
                <w:szCs w:val="20"/>
                <w:lang w:val="en-US"/>
              </w:rPr>
              <w:t>m</w:t>
            </w:r>
            <w:r w:rsidRPr="00C72402">
              <w:rPr>
                <w:rFonts w:asciiTheme="majorHAnsi" w:hAnsiTheme="majorHAnsi"/>
                <w:sz w:val="20"/>
                <w:szCs w:val="20"/>
                <w:lang w:val="en-US"/>
              </w:rPr>
              <w:t>.</w:t>
            </w:r>
          </w:p>
        </w:tc>
        <w:tc>
          <w:tcPr>
            <w:tcW w:w="2007" w:type="dxa"/>
            <w:tcBorders>
              <w:top w:val="single" w:sz="4" w:space="0" w:color="auto"/>
              <w:left w:val="nil"/>
              <w:bottom w:val="nil"/>
              <w:right w:val="nil"/>
            </w:tcBorders>
            <w:vAlign w:val="center"/>
          </w:tcPr>
          <w:p w14:paraId="1758C91D"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c>
          <w:tcPr>
            <w:tcW w:w="1530" w:type="dxa"/>
            <w:tcBorders>
              <w:top w:val="single" w:sz="4" w:space="0" w:color="auto"/>
              <w:left w:val="nil"/>
              <w:bottom w:val="nil"/>
              <w:right w:val="nil"/>
            </w:tcBorders>
            <w:vAlign w:val="center"/>
          </w:tcPr>
          <w:p w14:paraId="442828D7"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c>
          <w:tcPr>
            <w:tcW w:w="915" w:type="dxa"/>
            <w:tcBorders>
              <w:top w:val="single" w:sz="4" w:space="0" w:color="auto"/>
              <w:left w:val="nil"/>
              <w:bottom w:val="nil"/>
              <w:right w:val="nil"/>
            </w:tcBorders>
            <w:vAlign w:val="center"/>
          </w:tcPr>
          <w:p w14:paraId="53B388A3"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r>
      <w:tr w:rsidR="00652BC7" w14:paraId="08724D34" w14:textId="77777777" w:rsidTr="00C72402">
        <w:trPr>
          <w:trHeight w:val="996"/>
        </w:trPr>
        <w:tc>
          <w:tcPr>
            <w:tcW w:w="4870" w:type="dxa"/>
            <w:tcBorders>
              <w:top w:val="nil"/>
              <w:left w:val="nil"/>
              <w:bottom w:val="nil"/>
              <w:right w:val="nil"/>
            </w:tcBorders>
            <w:vAlign w:val="center"/>
          </w:tcPr>
          <w:p w14:paraId="3A848924" w14:textId="0C334BE3" w:rsidR="00652BC7" w:rsidRPr="00C72402" w:rsidRDefault="00652BC7" w:rsidP="00652BC7">
            <w:pPr>
              <w:spacing w:after="200" w:line="276" w:lineRule="auto"/>
              <w:rPr>
                <w:rFonts w:asciiTheme="majorHAnsi" w:hAnsiTheme="majorHAnsi"/>
                <w:sz w:val="20"/>
                <w:szCs w:val="20"/>
                <w:lang w:val="en-US"/>
              </w:rPr>
            </w:pPr>
            <w:r w:rsidRPr="00C72402">
              <w:rPr>
                <w:rFonts w:asciiTheme="majorHAnsi" w:hAnsiTheme="majorHAnsi"/>
                <w:sz w:val="20"/>
                <w:szCs w:val="20"/>
                <w:lang w:val="en-US"/>
              </w:rPr>
              <w:t>Negative mental model and recently broken even</w:t>
            </w:r>
            <w:r w:rsidR="00AE01B6">
              <w:rPr>
                <w:rFonts w:asciiTheme="majorHAnsi" w:hAnsiTheme="majorHAnsi"/>
                <w:sz w:val="20"/>
                <w:szCs w:val="20"/>
                <w:lang w:val="en-US"/>
              </w:rPr>
              <w:t>,</w:t>
            </w:r>
            <w:r w:rsidRPr="00C72402">
              <w:rPr>
                <w:rFonts w:asciiTheme="majorHAnsi" w:hAnsiTheme="majorHAnsi"/>
                <w:sz w:val="20"/>
                <w:szCs w:val="20"/>
                <w:lang w:val="en-US"/>
              </w:rPr>
              <w:t xml:space="preserve"> changing from net loss in month </w:t>
            </w:r>
            <w:r w:rsidRPr="00C72402">
              <w:rPr>
                <w:rFonts w:asciiTheme="majorHAnsi" w:hAnsiTheme="majorHAnsi"/>
                <w:i/>
                <w:sz w:val="20"/>
                <w:szCs w:val="20"/>
                <w:lang w:val="en-US"/>
              </w:rPr>
              <w:t>m-1</w:t>
            </w:r>
            <w:r w:rsidRPr="00C72402">
              <w:rPr>
                <w:rFonts w:asciiTheme="majorHAnsi" w:hAnsiTheme="majorHAnsi"/>
                <w:sz w:val="20"/>
                <w:szCs w:val="20"/>
                <w:lang w:val="en-US"/>
              </w:rPr>
              <w:t xml:space="preserve"> to net profit in month m.</w:t>
            </w:r>
          </w:p>
        </w:tc>
        <w:tc>
          <w:tcPr>
            <w:tcW w:w="2007" w:type="dxa"/>
            <w:tcBorders>
              <w:top w:val="nil"/>
              <w:left w:val="nil"/>
              <w:bottom w:val="nil"/>
              <w:right w:val="nil"/>
            </w:tcBorders>
            <w:vAlign w:val="center"/>
          </w:tcPr>
          <w:p w14:paraId="098DEE7E"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c>
          <w:tcPr>
            <w:tcW w:w="1530" w:type="dxa"/>
            <w:tcBorders>
              <w:top w:val="nil"/>
              <w:left w:val="nil"/>
              <w:bottom w:val="nil"/>
              <w:right w:val="nil"/>
            </w:tcBorders>
            <w:vAlign w:val="center"/>
          </w:tcPr>
          <w:p w14:paraId="25030508"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c>
          <w:tcPr>
            <w:tcW w:w="915" w:type="dxa"/>
            <w:tcBorders>
              <w:top w:val="nil"/>
              <w:left w:val="nil"/>
              <w:bottom w:val="nil"/>
              <w:right w:val="nil"/>
            </w:tcBorders>
            <w:vAlign w:val="center"/>
          </w:tcPr>
          <w:p w14:paraId="7FE4D2A7"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r>
      <w:tr w:rsidR="00652BC7" w14:paraId="6AD857A5" w14:textId="77777777" w:rsidTr="00C72402">
        <w:trPr>
          <w:trHeight w:val="1138"/>
        </w:trPr>
        <w:tc>
          <w:tcPr>
            <w:tcW w:w="4870" w:type="dxa"/>
            <w:tcBorders>
              <w:top w:val="nil"/>
              <w:left w:val="nil"/>
              <w:bottom w:val="nil"/>
              <w:right w:val="nil"/>
            </w:tcBorders>
            <w:vAlign w:val="center"/>
          </w:tcPr>
          <w:p w14:paraId="2408732C" w14:textId="589F17DF" w:rsidR="00652BC7" w:rsidRPr="00C72402" w:rsidRDefault="00652BC7" w:rsidP="00652BC7">
            <w:pPr>
              <w:spacing w:after="200" w:line="276" w:lineRule="auto"/>
              <w:rPr>
                <w:rFonts w:asciiTheme="majorHAnsi" w:hAnsiTheme="majorHAnsi"/>
                <w:sz w:val="20"/>
                <w:szCs w:val="20"/>
                <w:lang w:val="en-US"/>
              </w:rPr>
            </w:pPr>
            <w:r w:rsidRPr="00C72402">
              <w:rPr>
                <w:rFonts w:asciiTheme="majorHAnsi" w:hAnsiTheme="majorHAnsi"/>
                <w:sz w:val="20"/>
                <w:szCs w:val="20"/>
                <w:lang w:val="en-US"/>
              </w:rPr>
              <w:t>Positive mental model and has recently fallen below the break-even point</w:t>
            </w:r>
            <w:r w:rsidR="00AE01B6">
              <w:rPr>
                <w:rFonts w:asciiTheme="majorHAnsi" w:hAnsiTheme="majorHAnsi"/>
                <w:sz w:val="20"/>
                <w:szCs w:val="20"/>
                <w:lang w:val="en-US"/>
              </w:rPr>
              <w:t>,</w:t>
            </w:r>
            <w:r w:rsidRPr="00C72402">
              <w:rPr>
                <w:rFonts w:asciiTheme="majorHAnsi" w:hAnsiTheme="majorHAnsi"/>
                <w:sz w:val="20"/>
                <w:szCs w:val="20"/>
                <w:lang w:val="en-US"/>
              </w:rPr>
              <w:t xml:space="preserve"> moving from net profit</w:t>
            </w:r>
            <w:r w:rsidR="00452B75">
              <w:rPr>
                <w:rFonts w:asciiTheme="majorHAnsi" w:hAnsiTheme="majorHAnsi"/>
                <w:sz w:val="20"/>
                <w:szCs w:val="20"/>
                <w:lang w:val="en-US"/>
              </w:rPr>
              <w:t xml:space="preserve"> in month</w:t>
            </w:r>
            <w:r w:rsidRPr="00C72402">
              <w:rPr>
                <w:rFonts w:asciiTheme="majorHAnsi" w:hAnsiTheme="majorHAnsi"/>
                <w:sz w:val="20"/>
                <w:szCs w:val="20"/>
                <w:lang w:val="en-US"/>
              </w:rPr>
              <w:t xml:space="preserve"> </w:t>
            </w:r>
            <w:r w:rsidRPr="00C72402">
              <w:rPr>
                <w:rFonts w:asciiTheme="majorHAnsi" w:hAnsiTheme="majorHAnsi"/>
                <w:i/>
                <w:sz w:val="20"/>
                <w:szCs w:val="20"/>
                <w:lang w:val="en-US"/>
              </w:rPr>
              <w:t>m-1</w:t>
            </w:r>
            <w:r w:rsidRPr="00C72402">
              <w:rPr>
                <w:rFonts w:asciiTheme="majorHAnsi" w:hAnsiTheme="majorHAnsi"/>
                <w:sz w:val="20"/>
                <w:szCs w:val="20"/>
                <w:lang w:val="en-US"/>
              </w:rPr>
              <w:t xml:space="preserve"> to net loss in month </w:t>
            </w:r>
            <w:r w:rsidRPr="00C72402">
              <w:rPr>
                <w:rFonts w:asciiTheme="majorHAnsi" w:hAnsiTheme="majorHAnsi"/>
                <w:i/>
                <w:sz w:val="20"/>
                <w:szCs w:val="20"/>
                <w:lang w:val="en-US"/>
              </w:rPr>
              <w:t>m</w:t>
            </w:r>
            <w:r w:rsidRPr="00C72402">
              <w:rPr>
                <w:rFonts w:asciiTheme="majorHAnsi" w:hAnsiTheme="majorHAnsi"/>
                <w:sz w:val="20"/>
                <w:szCs w:val="20"/>
                <w:lang w:val="en-US"/>
              </w:rPr>
              <w:t>.</w:t>
            </w:r>
          </w:p>
        </w:tc>
        <w:tc>
          <w:tcPr>
            <w:tcW w:w="2007" w:type="dxa"/>
            <w:tcBorders>
              <w:top w:val="nil"/>
              <w:left w:val="nil"/>
              <w:bottom w:val="nil"/>
              <w:right w:val="nil"/>
            </w:tcBorders>
            <w:vAlign w:val="center"/>
          </w:tcPr>
          <w:p w14:paraId="73372A0F"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c>
          <w:tcPr>
            <w:tcW w:w="1530" w:type="dxa"/>
            <w:tcBorders>
              <w:top w:val="nil"/>
              <w:left w:val="nil"/>
              <w:bottom w:val="nil"/>
              <w:right w:val="nil"/>
            </w:tcBorders>
            <w:vAlign w:val="center"/>
          </w:tcPr>
          <w:p w14:paraId="265581CE"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c>
          <w:tcPr>
            <w:tcW w:w="915" w:type="dxa"/>
            <w:tcBorders>
              <w:top w:val="nil"/>
              <w:left w:val="nil"/>
              <w:bottom w:val="nil"/>
              <w:right w:val="nil"/>
            </w:tcBorders>
            <w:vAlign w:val="center"/>
          </w:tcPr>
          <w:p w14:paraId="39617528"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r>
      <w:tr w:rsidR="00652BC7" w14:paraId="08F6C350" w14:textId="77777777" w:rsidTr="00C72402">
        <w:trPr>
          <w:trHeight w:val="984"/>
        </w:trPr>
        <w:tc>
          <w:tcPr>
            <w:tcW w:w="4870" w:type="dxa"/>
            <w:tcBorders>
              <w:top w:val="nil"/>
              <w:left w:val="nil"/>
              <w:bottom w:val="nil"/>
              <w:right w:val="nil"/>
            </w:tcBorders>
            <w:vAlign w:val="center"/>
          </w:tcPr>
          <w:p w14:paraId="08A74629" w14:textId="192148F5" w:rsidR="00652BC7" w:rsidRPr="00C72402" w:rsidRDefault="00652BC7" w:rsidP="00652BC7">
            <w:pPr>
              <w:spacing w:after="200" w:line="276" w:lineRule="auto"/>
              <w:rPr>
                <w:rFonts w:asciiTheme="majorHAnsi" w:hAnsiTheme="majorHAnsi"/>
                <w:sz w:val="20"/>
                <w:szCs w:val="20"/>
                <w:lang w:val="en-US"/>
              </w:rPr>
            </w:pPr>
            <w:r w:rsidRPr="00C72402">
              <w:rPr>
                <w:rFonts w:asciiTheme="majorHAnsi" w:hAnsiTheme="majorHAnsi"/>
                <w:sz w:val="20"/>
                <w:szCs w:val="20"/>
                <w:lang w:val="en-US"/>
              </w:rPr>
              <w:t>Negative mental model and has recently fallen below the break-even point</w:t>
            </w:r>
            <w:r w:rsidR="00AE01B6">
              <w:rPr>
                <w:rFonts w:asciiTheme="majorHAnsi" w:hAnsiTheme="majorHAnsi"/>
                <w:sz w:val="20"/>
                <w:szCs w:val="20"/>
                <w:lang w:val="en-US"/>
              </w:rPr>
              <w:t>,</w:t>
            </w:r>
            <w:r w:rsidRPr="00C72402">
              <w:rPr>
                <w:rFonts w:asciiTheme="majorHAnsi" w:hAnsiTheme="majorHAnsi"/>
                <w:sz w:val="20"/>
                <w:szCs w:val="20"/>
                <w:lang w:val="en-US"/>
              </w:rPr>
              <w:t xml:space="preserve"> moving from net profit</w:t>
            </w:r>
            <w:r w:rsidR="00452B75">
              <w:rPr>
                <w:rFonts w:asciiTheme="majorHAnsi" w:hAnsiTheme="majorHAnsi"/>
                <w:sz w:val="20"/>
                <w:szCs w:val="20"/>
                <w:lang w:val="en-US"/>
              </w:rPr>
              <w:t xml:space="preserve"> in month</w:t>
            </w:r>
            <w:r w:rsidRPr="00C72402">
              <w:rPr>
                <w:rFonts w:asciiTheme="majorHAnsi" w:hAnsiTheme="majorHAnsi"/>
                <w:i/>
                <w:sz w:val="20"/>
                <w:szCs w:val="20"/>
                <w:lang w:val="en-US"/>
              </w:rPr>
              <w:t xml:space="preserve"> m-1</w:t>
            </w:r>
            <w:r w:rsidRPr="00C72402">
              <w:rPr>
                <w:rFonts w:asciiTheme="majorHAnsi" w:hAnsiTheme="majorHAnsi"/>
                <w:sz w:val="20"/>
                <w:szCs w:val="20"/>
                <w:lang w:val="en-US"/>
              </w:rPr>
              <w:t xml:space="preserve"> to net loss in month </w:t>
            </w:r>
            <w:r w:rsidRPr="00C72402">
              <w:rPr>
                <w:rFonts w:asciiTheme="majorHAnsi" w:hAnsiTheme="majorHAnsi"/>
                <w:i/>
                <w:sz w:val="20"/>
                <w:szCs w:val="20"/>
                <w:lang w:val="en-US"/>
              </w:rPr>
              <w:t>m</w:t>
            </w:r>
            <w:r w:rsidRPr="00C72402">
              <w:rPr>
                <w:rFonts w:asciiTheme="majorHAnsi" w:hAnsiTheme="majorHAnsi"/>
                <w:sz w:val="20"/>
                <w:szCs w:val="20"/>
                <w:lang w:val="en-US"/>
              </w:rPr>
              <w:t>.</w:t>
            </w:r>
          </w:p>
        </w:tc>
        <w:tc>
          <w:tcPr>
            <w:tcW w:w="2007" w:type="dxa"/>
            <w:tcBorders>
              <w:top w:val="nil"/>
              <w:left w:val="nil"/>
              <w:bottom w:val="nil"/>
              <w:right w:val="nil"/>
            </w:tcBorders>
            <w:vAlign w:val="center"/>
          </w:tcPr>
          <w:p w14:paraId="143B580E"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c>
          <w:tcPr>
            <w:tcW w:w="1530" w:type="dxa"/>
            <w:tcBorders>
              <w:top w:val="nil"/>
              <w:left w:val="nil"/>
              <w:bottom w:val="nil"/>
              <w:right w:val="nil"/>
            </w:tcBorders>
            <w:vAlign w:val="center"/>
          </w:tcPr>
          <w:p w14:paraId="43ADDDAA"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c>
          <w:tcPr>
            <w:tcW w:w="915" w:type="dxa"/>
            <w:tcBorders>
              <w:top w:val="nil"/>
              <w:left w:val="nil"/>
              <w:bottom w:val="nil"/>
              <w:right w:val="nil"/>
            </w:tcBorders>
            <w:vAlign w:val="center"/>
          </w:tcPr>
          <w:p w14:paraId="001D8EAA"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r>
      <w:tr w:rsidR="00652BC7" w14:paraId="74620F6F" w14:textId="77777777" w:rsidTr="00C72402">
        <w:trPr>
          <w:trHeight w:val="983"/>
        </w:trPr>
        <w:tc>
          <w:tcPr>
            <w:tcW w:w="4870" w:type="dxa"/>
            <w:tcBorders>
              <w:top w:val="nil"/>
              <w:left w:val="nil"/>
              <w:bottom w:val="nil"/>
              <w:right w:val="nil"/>
            </w:tcBorders>
            <w:vAlign w:val="center"/>
          </w:tcPr>
          <w:p w14:paraId="7DAF8656" w14:textId="649A82E6" w:rsidR="00652BC7" w:rsidRPr="00C72402" w:rsidRDefault="00652BC7" w:rsidP="00652BC7">
            <w:pPr>
              <w:spacing w:after="200" w:line="276" w:lineRule="auto"/>
              <w:rPr>
                <w:rFonts w:asciiTheme="majorHAnsi" w:hAnsiTheme="majorHAnsi"/>
                <w:sz w:val="20"/>
                <w:szCs w:val="20"/>
                <w:lang w:val="en-US"/>
              </w:rPr>
            </w:pPr>
            <w:r w:rsidRPr="00C72402">
              <w:rPr>
                <w:rFonts w:asciiTheme="majorHAnsi" w:hAnsiTheme="majorHAnsi"/>
                <w:sz w:val="20"/>
                <w:szCs w:val="20"/>
                <w:lang w:val="en-US"/>
              </w:rPr>
              <w:t>Positive mental model</w:t>
            </w:r>
            <w:r w:rsidR="00AE01B6">
              <w:rPr>
                <w:rFonts w:asciiTheme="majorHAnsi" w:hAnsiTheme="majorHAnsi"/>
                <w:sz w:val="20"/>
                <w:szCs w:val="20"/>
                <w:lang w:val="en-US"/>
              </w:rPr>
              <w:t>,</w:t>
            </w:r>
            <w:r w:rsidRPr="00C72402">
              <w:rPr>
                <w:rFonts w:asciiTheme="majorHAnsi" w:hAnsiTheme="majorHAnsi"/>
                <w:sz w:val="20"/>
                <w:szCs w:val="20"/>
                <w:lang w:val="en-US"/>
              </w:rPr>
              <w:t xml:space="preserve"> is currently in net profit in month </w:t>
            </w:r>
            <w:r w:rsidRPr="00C72402">
              <w:rPr>
                <w:rFonts w:asciiTheme="majorHAnsi" w:hAnsiTheme="majorHAnsi"/>
                <w:i/>
                <w:sz w:val="20"/>
                <w:szCs w:val="20"/>
                <w:lang w:val="en-US"/>
              </w:rPr>
              <w:t>m</w:t>
            </w:r>
            <w:r w:rsidRPr="00C72402">
              <w:rPr>
                <w:rFonts w:asciiTheme="majorHAnsi" w:hAnsiTheme="majorHAnsi"/>
                <w:sz w:val="20"/>
                <w:szCs w:val="20"/>
                <w:lang w:val="en-US"/>
              </w:rPr>
              <w:t xml:space="preserve"> and was in net profit in month </w:t>
            </w:r>
            <w:r w:rsidRPr="00355A90">
              <w:rPr>
                <w:rFonts w:asciiTheme="majorHAnsi" w:hAnsiTheme="majorHAnsi"/>
                <w:i/>
                <w:sz w:val="20"/>
                <w:szCs w:val="20"/>
                <w:lang w:val="en-US"/>
              </w:rPr>
              <w:t>m</w:t>
            </w:r>
            <w:r w:rsidRPr="00C72402">
              <w:rPr>
                <w:rFonts w:asciiTheme="majorHAnsi" w:hAnsiTheme="majorHAnsi"/>
                <w:sz w:val="20"/>
                <w:szCs w:val="20"/>
                <w:lang w:val="en-US"/>
              </w:rPr>
              <w:t>-1.</w:t>
            </w:r>
          </w:p>
        </w:tc>
        <w:tc>
          <w:tcPr>
            <w:tcW w:w="2007" w:type="dxa"/>
            <w:tcBorders>
              <w:top w:val="nil"/>
              <w:left w:val="nil"/>
              <w:bottom w:val="nil"/>
              <w:right w:val="nil"/>
            </w:tcBorders>
            <w:vAlign w:val="center"/>
          </w:tcPr>
          <w:p w14:paraId="51C19B40"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c>
          <w:tcPr>
            <w:tcW w:w="1530" w:type="dxa"/>
            <w:tcBorders>
              <w:top w:val="nil"/>
              <w:left w:val="nil"/>
              <w:bottom w:val="nil"/>
              <w:right w:val="nil"/>
            </w:tcBorders>
            <w:vAlign w:val="center"/>
          </w:tcPr>
          <w:p w14:paraId="0B6DC749"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c>
          <w:tcPr>
            <w:tcW w:w="915" w:type="dxa"/>
            <w:tcBorders>
              <w:top w:val="nil"/>
              <w:left w:val="nil"/>
              <w:bottom w:val="nil"/>
              <w:right w:val="nil"/>
            </w:tcBorders>
            <w:vAlign w:val="center"/>
          </w:tcPr>
          <w:p w14:paraId="0D82F79E"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r>
      <w:tr w:rsidR="00652BC7" w14:paraId="76DF4ACC" w14:textId="77777777" w:rsidTr="00C72402">
        <w:trPr>
          <w:trHeight w:val="856"/>
        </w:trPr>
        <w:tc>
          <w:tcPr>
            <w:tcW w:w="4870" w:type="dxa"/>
            <w:tcBorders>
              <w:top w:val="nil"/>
              <w:left w:val="nil"/>
              <w:bottom w:val="nil"/>
              <w:right w:val="nil"/>
            </w:tcBorders>
            <w:vAlign w:val="center"/>
          </w:tcPr>
          <w:p w14:paraId="70F70783" w14:textId="57EB6281" w:rsidR="00652BC7" w:rsidRPr="00C72402" w:rsidRDefault="00652BC7" w:rsidP="00652BC7">
            <w:pPr>
              <w:spacing w:after="200" w:line="276" w:lineRule="auto"/>
              <w:rPr>
                <w:rFonts w:asciiTheme="majorHAnsi" w:hAnsiTheme="majorHAnsi"/>
                <w:sz w:val="20"/>
                <w:szCs w:val="20"/>
                <w:lang w:val="en-US"/>
              </w:rPr>
            </w:pPr>
            <w:r w:rsidRPr="00C72402">
              <w:rPr>
                <w:rFonts w:asciiTheme="majorHAnsi" w:hAnsiTheme="majorHAnsi"/>
                <w:sz w:val="20"/>
                <w:szCs w:val="20"/>
                <w:lang w:val="en-US"/>
              </w:rPr>
              <w:t>Negative mental model</w:t>
            </w:r>
            <w:r w:rsidR="00AE01B6">
              <w:rPr>
                <w:rFonts w:asciiTheme="majorHAnsi" w:hAnsiTheme="majorHAnsi"/>
                <w:sz w:val="20"/>
                <w:szCs w:val="20"/>
                <w:lang w:val="en-US"/>
              </w:rPr>
              <w:t>,</w:t>
            </w:r>
            <w:r w:rsidRPr="00C72402">
              <w:rPr>
                <w:rFonts w:asciiTheme="majorHAnsi" w:hAnsiTheme="majorHAnsi"/>
                <w:sz w:val="20"/>
                <w:szCs w:val="20"/>
                <w:lang w:val="en-US"/>
              </w:rPr>
              <w:t xml:space="preserve"> is currently in net profit in month </w:t>
            </w:r>
            <w:r w:rsidRPr="00C72402">
              <w:rPr>
                <w:rFonts w:asciiTheme="majorHAnsi" w:hAnsiTheme="majorHAnsi"/>
                <w:i/>
                <w:sz w:val="20"/>
                <w:szCs w:val="20"/>
                <w:lang w:val="en-US"/>
              </w:rPr>
              <w:t>m</w:t>
            </w:r>
            <w:r w:rsidRPr="00C72402">
              <w:rPr>
                <w:rFonts w:asciiTheme="majorHAnsi" w:hAnsiTheme="majorHAnsi"/>
                <w:sz w:val="20"/>
                <w:szCs w:val="20"/>
                <w:lang w:val="en-US"/>
              </w:rPr>
              <w:t xml:space="preserve"> and was in net profit in month </w:t>
            </w:r>
            <w:r w:rsidRPr="00C72402">
              <w:rPr>
                <w:rFonts w:asciiTheme="majorHAnsi" w:hAnsiTheme="majorHAnsi"/>
                <w:i/>
                <w:sz w:val="20"/>
                <w:szCs w:val="20"/>
                <w:lang w:val="en-US"/>
              </w:rPr>
              <w:t>m-</w:t>
            </w:r>
            <w:r w:rsidRPr="00C72402">
              <w:rPr>
                <w:rFonts w:asciiTheme="majorHAnsi" w:hAnsiTheme="majorHAnsi"/>
                <w:sz w:val="20"/>
                <w:szCs w:val="20"/>
                <w:lang w:val="en-US"/>
              </w:rPr>
              <w:t>1.</w:t>
            </w:r>
          </w:p>
        </w:tc>
        <w:tc>
          <w:tcPr>
            <w:tcW w:w="2007" w:type="dxa"/>
            <w:tcBorders>
              <w:top w:val="nil"/>
              <w:left w:val="nil"/>
              <w:bottom w:val="nil"/>
              <w:right w:val="nil"/>
            </w:tcBorders>
            <w:vAlign w:val="center"/>
          </w:tcPr>
          <w:p w14:paraId="4FE825E6"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c>
          <w:tcPr>
            <w:tcW w:w="1530" w:type="dxa"/>
            <w:tcBorders>
              <w:top w:val="nil"/>
              <w:left w:val="nil"/>
              <w:bottom w:val="nil"/>
              <w:right w:val="nil"/>
            </w:tcBorders>
            <w:vAlign w:val="center"/>
          </w:tcPr>
          <w:p w14:paraId="1802C565"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c>
          <w:tcPr>
            <w:tcW w:w="915" w:type="dxa"/>
            <w:tcBorders>
              <w:top w:val="nil"/>
              <w:left w:val="nil"/>
              <w:bottom w:val="nil"/>
              <w:right w:val="nil"/>
            </w:tcBorders>
            <w:vAlign w:val="center"/>
          </w:tcPr>
          <w:p w14:paraId="3D5B6931"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r>
      <w:tr w:rsidR="00652BC7" w14:paraId="3460B982" w14:textId="77777777" w:rsidTr="00C72402">
        <w:trPr>
          <w:trHeight w:val="996"/>
        </w:trPr>
        <w:tc>
          <w:tcPr>
            <w:tcW w:w="4870" w:type="dxa"/>
            <w:tcBorders>
              <w:top w:val="nil"/>
              <w:left w:val="nil"/>
              <w:bottom w:val="nil"/>
              <w:right w:val="nil"/>
            </w:tcBorders>
            <w:vAlign w:val="center"/>
          </w:tcPr>
          <w:p w14:paraId="6F4577AE" w14:textId="69136992" w:rsidR="00652BC7" w:rsidRPr="00C72402" w:rsidRDefault="00652BC7" w:rsidP="00652BC7">
            <w:pPr>
              <w:spacing w:after="200" w:line="276" w:lineRule="auto"/>
              <w:rPr>
                <w:rFonts w:asciiTheme="majorHAnsi" w:hAnsiTheme="majorHAnsi"/>
                <w:sz w:val="20"/>
                <w:szCs w:val="20"/>
                <w:lang w:val="en-US"/>
              </w:rPr>
            </w:pPr>
            <w:r w:rsidRPr="00C72402">
              <w:rPr>
                <w:rFonts w:asciiTheme="majorHAnsi" w:hAnsiTheme="majorHAnsi"/>
                <w:sz w:val="20"/>
                <w:szCs w:val="20"/>
                <w:lang w:val="en-US"/>
              </w:rPr>
              <w:t>Positive mental model</w:t>
            </w:r>
            <w:r w:rsidR="00AE01B6">
              <w:rPr>
                <w:rFonts w:asciiTheme="majorHAnsi" w:hAnsiTheme="majorHAnsi"/>
                <w:sz w:val="20"/>
                <w:szCs w:val="20"/>
                <w:lang w:val="en-US"/>
              </w:rPr>
              <w:t>,</w:t>
            </w:r>
            <w:r w:rsidRPr="00C72402">
              <w:rPr>
                <w:rFonts w:asciiTheme="majorHAnsi" w:hAnsiTheme="majorHAnsi"/>
                <w:sz w:val="20"/>
                <w:szCs w:val="20"/>
                <w:lang w:val="en-US"/>
              </w:rPr>
              <w:t xml:space="preserve"> is currently in net loss in month </w:t>
            </w:r>
            <w:r w:rsidRPr="00C72402">
              <w:rPr>
                <w:rFonts w:asciiTheme="majorHAnsi" w:hAnsiTheme="majorHAnsi"/>
                <w:i/>
                <w:sz w:val="20"/>
                <w:szCs w:val="20"/>
                <w:lang w:val="en-US"/>
              </w:rPr>
              <w:t xml:space="preserve">m </w:t>
            </w:r>
            <w:r w:rsidRPr="00C72402">
              <w:rPr>
                <w:rFonts w:asciiTheme="majorHAnsi" w:hAnsiTheme="majorHAnsi"/>
                <w:sz w:val="20"/>
                <w:szCs w:val="20"/>
                <w:lang w:val="en-US"/>
              </w:rPr>
              <w:t xml:space="preserve">and was in net loss in month </w:t>
            </w:r>
            <w:r w:rsidRPr="00C72402">
              <w:rPr>
                <w:rFonts w:asciiTheme="majorHAnsi" w:hAnsiTheme="majorHAnsi"/>
                <w:i/>
                <w:sz w:val="20"/>
                <w:szCs w:val="20"/>
                <w:lang w:val="en-US"/>
              </w:rPr>
              <w:t>m</w:t>
            </w:r>
            <w:r w:rsidRPr="00C72402">
              <w:rPr>
                <w:rFonts w:asciiTheme="majorHAnsi" w:hAnsiTheme="majorHAnsi"/>
                <w:sz w:val="20"/>
                <w:szCs w:val="20"/>
                <w:lang w:val="en-US"/>
              </w:rPr>
              <w:t>-1.</w:t>
            </w:r>
          </w:p>
        </w:tc>
        <w:tc>
          <w:tcPr>
            <w:tcW w:w="2007" w:type="dxa"/>
            <w:tcBorders>
              <w:top w:val="nil"/>
              <w:left w:val="nil"/>
              <w:bottom w:val="nil"/>
              <w:right w:val="nil"/>
            </w:tcBorders>
            <w:vAlign w:val="center"/>
          </w:tcPr>
          <w:p w14:paraId="570D4CEA"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c>
          <w:tcPr>
            <w:tcW w:w="1530" w:type="dxa"/>
            <w:tcBorders>
              <w:top w:val="nil"/>
              <w:left w:val="nil"/>
              <w:bottom w:val="nil"/>
              <w:right w:val="nil"/>
            </w:tcBorders>
            <w:vAlign w:val="center"/>
          </w:tcPr>
          <w:p w14:paraId="344C8CD8"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c>
          <w:tcPr>
            <w:tcW w:w="915" w:type="dxa"/>
            <w:tcBorders>
              <w:top w:val="nil"/>
              <w:left w:val="nil"/>
              <w:bottom w:val="nil"/>
              <w:right w:val="nil"/>
            </w:tcBorders>
            <w:vAlign w:val="center"/>
          </w:tcPr>
          <w:p w14:paraId="77C3FA28"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r>
      <w:tr w:rsidR="00652BC7" w14:paraId="6ADB156C" w14:textId="77777777" w:rsidTr="00C72402">
        <w:trPr>
          <w:trHeight w:val="853"/>
        </w:trPr>
        <w:tc>
          <w:tcPr>
            <w:tcW w:w="4870" w:type="dxa"/>
            <w:tcBorders>
              <w:top w:val="nil"/>
              <w:left w:val="nil"/>
              <w:bottom w:val="single" w:sz="4" w:space="0" w:color="auto"/>
              <w:right w:val="nil"/>
            </w:tcBorders>
            <w:vAlign w:val="center"/>
          </w:tcPr>
          <w:p w14:paraId="7DB97622" w14:textId="388630EB" w:rsidR="00652BC7" w:rsidRPr="00C72402" w:rsidRDefault="00652BC7" w:rsidP="00652BC7">
            <w:pPr>
              <w:spacing w:after="200" w:line="276" w:lineRule="auto"/>
              <w:rPr>
                <w:rFonts w:asciiTheme="majorHAnsi" w:hAnsiTheme="majorHAnsi"/>
                <w:sz w:val="20"/>
                <w:szCs w:val="20"/>
                <w:lang w:val="en-US"/>
              </w:rPr>
            </w:pPr>
            <w:r w:rsidRPr="00C72402">
              <w:rPr>
                <w:rFonts w:asciiTheme="majorHAnsi" w:hAnsiTheme="majorHAnsi"/>
                <w:sz w:val="20"/>
                <w:szCs w:val="20"/>
                <w:lang w:val="en-US"/>
              </w:rPr>
              <w:t>Negative mental model</w:t>
            </w:r>
            <w:r w:rsidR="00AE01B6">
              <w:rPr>
                <w:rFonts w:asciiTheme="majorHAnsi" w:hAnsiTheme="majorHAnsi"/>
                <w:sz w:val="20"/>
                <w:szCs w:val="20"/>
                <w:lang w:val="en-US"/>
              </w:rPr>
              <w:t>,</w:t>
            </w:r>
            <w:r w:rsidRPr="00C72402">
              <w:rPr>
                <w:rFonts w:asciiTheme="majorHAnsi" w:hAnsiTheme="majorHAnsi"/>
                <w:sz w:val="20"/>
                <w:szCs w:val="20"/>
                <w:lang w:val="en-US"/>
              </w:rPr>
              <w:t xml:space="preserve"> is currently in net loss in month </w:t>
            </w:r>
            <w:r w:rsidRPr="00C72402">
              <w:rPr>
                <w:rFonts w:asciiTheme="majorHAnsi" w:hAnsiTheme="majorHAnsi"/>
                <w:i/>
                <w:sz w:val="20"/>
                <w:szCs w:val="20"/>
                <w:lang w:val="en-US"/>
              </w:rPr>
              <w:t xml:space="preserve">m </w:t>
            </w:r>
            <w:r w:rsidRPr="00C72402">
              <w:rPr>
                <w:rFonts w:asciiTheme="majorHAnsi" w:hAnsiTheme="majorHAnsi"/>
                <w:sz w:val="20"/>
                <w:szCs w:val="20"/>
                <w:lang w:val="en-US"/>
              </w:rPr>
              <w:t xml:space="preserve">and was in net loss in month </w:t>
            </w:r>
            <w:r w:rsidRPr="00C72402">
              <w:rPr>
                <w:rFonts w:asciiTheme="majorHAnsi" w:hAnsiTheme="majorHAnsi"/>
                <w:i/>
                <w:sz w:val="20"/>
                <w:szCs w:val="20"/>
                <w:lang w:val="en-US"/>
              </w:rPr>
              <w:t>m</w:t>
            </w:r>
            <w:r w:rsidRPr="00C72402">
              <w:rPr>
                <w:rFonts w:asciiTheme="majorHAnsi" w:hAnsiTheme="majorHAnsi"/>
                <w:sz w:val="20"/>
                <w:szCs w:val="20"/>
                <w:lang w:val="en-US"/>
              </w:rPr>
              <w:t>-1.</w:t>
            </w:r>
          </w:p>
        </w:tc>
        <w:tc>
          <w:tcPr>
            <w:tcW w:w="2007" w:type="dxa"/>
            <w:tcBorders>
              <w:top w:val="nil"/>
              <w:left w:val="nil"/>
              <w:bottom w:val="single" w:sz="4" w:space="0" w:color="auto"/>
              <w:right w:val="nil"/>
            </w:tcBorders>
            <w:vAlign w:val="center"/>
          </w:tcPr>
          <w:p w14:paraId="4EF5E23F"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c>
          <w:tcPr>
            <w:tcW w:w="1530" w:type="dxa"/>
            <w:tcBorders>
              <w:top w:val="nil"/>
              <w:left w:val="nil"/>
              <w:bottom w:val="single" w:sz="4" w:space="0" w:color="auto"/>
              <w:right w:val="nil"/>
            </w:tcBorders>
            <w:vAlign w:val="center"/>
          </w:tcPr>
          <w:p w14:paraId="49F57A4E"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0</w:t>
            </w:r>
          </w:p>
        </w:tc>
        <w:tc>
          <w:tcPr>
            <w:tcW w:w="915" w:type="dxa"/>
            <w:tcBorders>
              <w:top w:val="nil"/>
              <w:left w:val="nil"/>
              <w:bottom w:val="single" w:sz="4" w:space="0" w:color="auto"/>
              <w:right w:val="nil"/>
            </w:tcBorders>
            <w:vAlign w:val="center"/>
          </w:tcPr>
          <w:p w14:paraId="6961DFFE" w14:textId="77777777" w:rsidR="00652BC7" w:rsidRPr="00C72402" w:rsidRDefault="00652BC7" w:rsidP="00652BC7">
            <w:pPr>
              <w:spacing w:after="200" w:line="480" w:lineRule="auto"/>
              <w:jc w:val="center"/>
              <w:rPr>
                <w:rFonts w:asciiTheme="majorHAnsi" w:hAnsiTheme="majorHAnsi"/>
                <w:sz w:val="20"/>
                <w:szCs w:val="20"/>
                <w:lang w:val="en-US"/>
              </w:rPr>
            </w:pPr>
            <w:r w:rsidRPr="00C72402">
              <w:rPr>
                <w:rFonts w:asciiTheme="majorHAnsi" w:hAnsiTheme="majorHAnsi"/>
                <w:sz w:val="20"/>
                <w:szCs w:val="20"/>
                <w:lang w:val="en-US"/>
              </w:rPr>
              <w:t>1</w:t>
            </w:r>
          </w:p>
        </w:tc>
      </w:tr>
    </w:tbl>
    <w:p w14:paraId="7F1C98B2" w14:textId="77777777" w:rsidR="00BD7704" w:rsidRDefault="00BD7704" w:rsidP="0079794A">
      <w:pPr>
        <w:spacing w:after="0" w:line="480" w:lineRule="auto"/>
        <w:jc w:val="both"/>
        <w:rPr>
          <w:rFonts w:asciiTheme="majorHAnsi" w:eastAsia="Calibri" w:hAnsiTheme="majorHAnsi" w:cs="Cordia New"/>
          <w:lang w:bidi="th-TH"/>
        </w:rPr>
      </w:pPr>
    </w:p>
    <w:p w14:paraId="071AD73C" w14:textId="77777777" w:rsidR="0016286A" w:rsidRDefault="0016286A" w:rsidP="0079794A">
      <w:pPr>
        <w:spacing w:after="0" w:line="480" w:lineRule="auto"/>
        <w:jc w:val="both"/>
        <w:rPr>
          <w:rFonts w:asciiTheme="majorHAnsi" w:eastAsia="Calibri" w:hAnsiTheme="majorHAnsi" w:cs="Cordia New"/>
          <w:lang w:bidi="th-TH"/>
        </w:rPr>
      </w:pPr>
    </w:p>
    <w:p w14:paraId="2BBFC1EF" w14:textId="77777777" w:rsidR="0016286A" w:rsidRDefault="0016286A" w:rsidP="0079794A">
      <w:pPr>
        <w:spacing w:after="0" w:line="480" w:lineRule="auto"/>
        <w:jc w:val="both"/>
        <w:rPr>
          <w:rFonts w:asciiTheme="majorHAnsi" w:eastAsia="Calibri" w:hAnsiTheme="majorHAnsi" w:cs="Cordia New"/>
          <w:lang w:bidi="th-TH"/>
        </w:rPr>
      </w:pPr>
    </w:p>
    <w:p w14:paraId="4743B53C" w14:textId="77777777" w:rsidR="00651A2B" w:rsidRDefault="00651A2B" w:rsidP="0079794A">
      <w:pPr>
        <w:spacing w:after="0" w:line="480" w:lineRule="auto"/>
        <w:jc w:val="both"/>
        <w:rPr>
          <w:rFonts w:asciiTheme="majorHAnsi" w:eastAsia="Calibri" w:hAnsiTheme="majorHAnsi" w:cs="Cordia New"/>
          <w:lang w:bidi="th-TH"/>
        </w:rPr>
      </w:pPr>
      <w:r>
        <w:rPr>
          <w:rFonts w:asciiTheme="majorHAnsi" w:eastAsia="Calibri" w:hAnsiTheme="majorHAnsi" w:cs="Cordia New"/>
          <w:lang w:bidi="th-TH"/>
        </w:rPr>
        <w:tab/>
      </w:r>
    </w:p>
    <w:p w14:paraId="0F17BD90" w14:textId="7AB88563" w:rsidR="0016286A" w:rsidRDefault="0016286A">
      <w:pPr>
        <w:rPr>
          <w:rFonts w:asciiTheme="majorHAnsi" w:eastAsia="Times New Roman" w:hAnsiTheme="majorHAnsi" w:cs="Times New Roman"/>
          <w:lang w:val="en-US" w:eastAsia="en-GB"/>
        </w:rPr>
      </w:pPr>
      <w:r>
        <w:rPr>
          <w:rFonts w:asciiTheme="majorHAnsi" w:eastAsia="Times New Roman" w:hAnsiTheme="majorHAnsi" w:cs="Times New Roman"/>
          <w:lang w:val="en-US" w:eastAsia="en-GB"/>
        </w:rPr>
        <w:br w:type="page"/>
      </w:r>
    </w:p>
    <w:p w14:paraId="13E22F43" w14:textId="77777777" w:rsidR="00326E18" w:rsidRPr="002D1041" w:rsidRDefault="00326E18" w:rsidP="00326E18">
      <w:pPr>
        <w:spacing w:after="0" w:line="240" w:lineRule="auto"/>
        <w:rPr>
          <w:rFonts w:asciiTheme="majorHAnsi" w:eastAsia="Times New Roman" w:hAnsiTheme="majorHAnsi" w:cs="Times New Roman"/>
          <w:lang w:val="en-US" w:eastAsia="en-GB"/>
        </w:rPr>
        <w:sectPr w:rsidR="00326E18" w:rsidRPr="002D1041">
          <w:footerReference w:type="default" r:id="rId8"/>
          <w:pgSz w:w="11906" w:h="16838"/>
          <w:pgMar w:top="1440" w:right="1440" w:bottom="1440" w:left="1440" w:header="708" w:footer="708" w:gutter="0"/>
          <w:cols w:space="708"/>
          <w:docGrid w:linePitch="360"/>
        </w:sectPr>
      </w:pPr>
    </w:p>
    <w:p w14:paraId="1CCFE6E6" w14:textId="4F471321" w:rsidR="00326E18" w:rsidRPr="00FC6DF5" w:rsidRDefault="00326E18" w:rsidP="00326E18">
      <w:pPr>
        <w:spacing w:after="0" w:line="240" w:lineRule="auto"/>
        <w:rPr>
          <w:rFonts w:asciiTheme="majorHAnsi" w:hAnsiTheme="majorHAnsi"/>
          <w:sz w:val="20"/>
          <w:szCs w:val="20"/>
          <w:lang w:val="en-US"/>
        </w:rPr>
      </w:pPr>
      <w:r w:rsidRPr="001E4DDD">
        <w:rPr>
          <w:rFonts w:asciiTheme="majorHAnsi" w:hAnsiTheme="majorHAnsi"/>
          <w:b/>
          <w:lang w:val="en-US"/>
        </w:rPr>
        <w:t xml:space="preserve">Table </w:t>
      </w:r>
      <w:r w:rsidR="002823B7">
        <w:rPr>
          <w:rFonts w:asciiTheme="majorHAnsi" w:hAnsiTheme="majorHAnsi"/>
          <w:b/>
          <w:lang w:val="en-US"/>
        </w:rPr>
        <w:t>II</w:t>
      </w:r>
      <w:r>
        <w:rPr>
          <w:rFonts w:asciiTheme="majorHAnsi" w:hAnsiTheme="majorHAnsi"/>
          <w:lang w:val="en-US"/>
        </w:rPr>
        <w:t xml:space="preserve">. Descriptive statistics for all the variables in the </w:t>
      </w:r>
      <w:r w:rsidR="00832631">
        <w:rPr>
          <w:rFonts w:asciiTheme="majorHAnsi" w:hAnsiTheme="majorHAnsi"/>
          <w:lang w:val="en-US"/>
        </w:rPr>
        <w:t xml:space="preserve">Cox </w:t>
      </w:r>
      <w:r w:rsidR="005F4158">
        <w:rPr>
          <w:rFonts w:asciiTheme="majorHAnsi" w:hAnsiTheme="majorHAnsi"/>
          <w:lang w:val="en-US"/>
        </w:rPr>
        <w:t xml:space="preserve">survival </w:t>
      </w:r>
      <w:r>
        <w:rPr>
          <w:rFonts w:asciiTheme="majorHAnsi" w:hAnsiTheme="majorHAnsi"/>
          <w:lang w:val="en-US"/>
        </w:rPr>
        <w:t xml:space="preserve">model. Figures </w:t>
      </w:r>
      <w:r w:rsidR="00500782">
        <w:rPr>
          <w:rFonts w:asciiTheme="majorHAnsi" w:hAnsiTheme="majorHAnsi"/>
          <w:lang w:val="en-US"/>
        </w:rPr>
        <w:t xml:space="preserve">in the table </w:t>
      </w:r>
      <w:r>
        <w:rPr>
          <w:rFonts w:asciiTheme="majorHAnsi" w:hAnsiTheme="majorHAnsi"/>
          <w:lang w:val="en-US"/>
        </w:rPr>
        <w:t xml:space="preserve">show the mean (standard deviation) </w:t>
      </w:r>
      <w:r w:rsidR="008D2E29">
        <w:rPr>
          <w:rFonts w:asciiTheme="majorHAnsi" w:hAnsiTheme="majorHAnsi"/>
          <w:lang w:val="en-US"/>
        </w:rPr>
        <w:t>of</w:t>
      </w:r>
      <w:r>
        <w:rPr>
          <w:rFonts w:asciiTheme="majorHAnsi" w:hAnsiTheme="majorHAnsi"/>
          <w:lang w:val="en-US"/>
        </w:rPr>
        <w:t xml:space="preserve"> each </w:t>
      </w:r>
      <w:r w:rsidR="009671BB">
        <w:rPr>
          <w:rFonts w:asciiTheme="majorHAnsi" w:hAnsiTheme="majorHAnsi"/>
          <w:lang w:val="en-US"/>
        </w:rPr>
        <w:t xml:space="preserve">monthly </w:t>
      </w:r>
      <w:r>
        <w:rPr>
          <w:rFonts w:asciiTheme="majorHAnsi" w:hAnsiTheme="majorHAnsi"/>
          <w:lang w:val="en-US"/>
        </w:rPr>
        <w:t>variable across all traders</w:t>
      </w:r>
      <w:r w:rsidR="008D2E29">
        <w:rPr>
          <w:rFonts w:asciiTheme="majorHAnsi" w:hAnsiTheme="majorHAnsi"/>
          <w:lang w:val="en-US"/>
        </w:rPr>
        <w:t xml:space="preserve"> aggregated by the year</w:t>
      </w:r>
      <w:r>
        <w:rPr>
          <w:rFonts w:asciiTheme="majorHAnsi" w:hAnsiTheme="majorHAnsi"/>
          <w:lang w:val="en-US"/>
        </w:rPr>
        <w:t>. Extreme value</w:t>
      </w:r>
      <w:r w:rsidR="00832631">
        <w:rPr>
          <w:rFonts w:asciiTheme="majorHAnsi" w:hAnsiTheme="majorHAnsi"/>
          <w:lang w:val="en-US"/>
        </w:rPr>
        <w:t>s</w:t>
      </w:r>
      <w:r>
        <w:rPr>
          <w:rFonts w:asciiTheme="majorHAnsi" w:hAnsiTheme="majorHAnsi"/>
          <w:lang w:val="en-US"/>
        </w:rPr>
        <w:t xml:space="preserve"> for a given period</w:t>
      </w:r>
      <w:r w:rsidR="00500782">
        <w:rPr>
          <w:rFonts w:asciiTheme="majorHAnsi" w:hAnsiTheme="majorHAnsi"/>
          <w:lang w:val="en-US"/>
        </w:rPr>
        <w:t xml:space="preserve"> (i.e. those</w:t>
      </w:r>
      <w:r>
        <w:rPr>
          <w:rFonts w:asciiTheme="majorHAnsi" w:hAnsiTheme="majorHAnsi"/>
          <w:lang w:val="en-US"/>
        </w:rPr>
        <w:t xml:space="preserve"> significantly different from the average across all remaining periods (tested via a </w:t>
      </w:r>
      <w:r w:rsidR="006812B2">
        <w:rPr>
          <w:rFonts w:asciiTheme="majorHAnsi" w:hAnsiTheme="majorHAnsi"/>
          <w:lang w:val="en-US"/>
        </w:rPr>
        <w:t xml:space="preserve">Bonferroni </w:t>
      </w:r>
      <w:r>
        <w:rPr>
          <w:rFonts w:asciiTheme="majorHAnsi" w:hAnsiTheme="majorHAnsi"/>
          <w:lang w:val="en-US"/>
        </w:rPr>
        <w:t>adjusted t-tests)</w:t>
      </w:r>
      <w:r w:rsidR="00500782">
        <w:rPr>
          <w:rFonts w:asciiTheme="majorHAnsi" w:hAnsiTheme="majorHAnsi"/>
          <w:lang w:val="en-US"/>
        </w:rPr>
        <w:t>)</w:t>
      </w:r>
      <w:r w:rsidR="00832631">
        <w:rPr>
          <w:rFonts w:asciiTheme="majorHAnsi" w:hAnsiTheme="majorHAnsi"/>
          <w:lang w:val="en-US"/>
        </w:rPr>
        <w:t>,</w:t>
      </w:r>
      <w:r>
        <w:rPr>
          <w:rFonts w:asciiTheme="majorHAnsi" w:hAnsiTheme="majorHAnsi"/>
          <w:lang w:val="en-US"/>
        </w:rPr>
        <w:t xml:space="preserve"> are indicated by </w:t>
      </w:r>
      <w:r w:rsidR="00933BBD">
        <w:rPr>
          <w:rFonts w:asciiTheme="majorHAnsi" w:hAnsiTheme="majorHAnsi"/>
          <w:lang w:val="en-US"/>
        </w:rPr>
        <w:t xml:space="preserve">the following </w:t>
      </w:r>
      <w:r>
        <w:rPr>
          <w:rFonts w:asciiTheme="majorHAnsi" w:hAnsiTheme="majorHAnsi"/>
          <w:lang w:val="en-US"/>
        </w:rPr>
        <w:t>asterisk notation</w:t>
      </w:r>
      <w:r w:rsidR="00933BBD">
        <w:rPr>
          <w:rFonts w:asciiTheme="majorHAnsi" w:hAnsiTheme="majorHAnsi"/>
          <w:lang w:val="en-US"/>
        </w:rPr>
        <w:t>:</w:t>
      </w:r>
      <w:r>
        <w:rPr>
          <w:rFonts w:asciiTheme="majorHAnsi" w:hAnsiTheme="majorHAnsi"/>
          <w:lang w:val="en-US"/>
        </w:rPr>
        <w:t xml:space="preserve"> </w:t>
      </w:r>
      <w:r>
        <w:rPr>
          <w:rFonts w:asciiTheme="majorHAnsi" w:hAnsiTheme="majorHAnsi"/>
          <w:i/>
          <w:lang w:val="en-US"/>
        </w:rPr>
        <w:t>p</w:t>
      </w:r>
      <w:r>
        <w:rPr>
          <w:rFonts w:asciiTheme="majorHAnsi" w:hAnsiTheme="majorHAnsi"/>
          <w:lang w:val="en-US"/>
        </w:rPr>
        <w:t xml:space="preserve"> &lt; .001 = ***, </w:t>
      </w:r>
      <w:r>
        <w:rPr>
          <w:rFonts w:asciiTheme="majorHAnsi" w:hAnsiTheme="majorHAnsi"/>
          <w:i/>
          <w:lang w:val="en-US"/>
        </w:rPr>
        <w:t>p</w:t>
      </w:r>
      <w:r>
        <w:rPr>
          <w:rFonts w:asciiTheme="majorHAnsi" w:hAnsiTheme="majorHAnsi"/>
          <w:lang w:val="en-US"/>
        </w:rPr>
        <w:t xml:space="preserve"> &lt; .01 = **, </w:t>
      </w:r>
      <w:r>
        <w:rPr>
          <w:rFonts w:asciiTheme="majorHAnsi" w:hAnsiTheme="majorHAnsi"/>
          <w:i/>
          <w:lang w:val="en-US"/>
        </w:rPr>
        <w:t>p</w:t>
      </w:r>
      <w:r>
        <w:rPr>
          <w:rFonts w:asciiTheme="majorHAnsi" w:hAnsiTheme="majorHAnsi"/>
          <w:lang w:val="en-US"/>
        </w:rPr>
        <w:t xml:space="preserve"> &lt; .05 = *.</w:t>
      </w:r>
    </w:p>
    <w:p w14:paraId="77764293" w14:textId="77777777" w:rsidR="00500782" w:rsidRPr="00FC6DF5" w:rsidRDefault="00500782" w:rsidP="00326E18">
      <w:pPr>
        <w:spacing w:after="0" w:line="240" w:lineRule="auto"/>
        <w:rPr>
          <w:rFonts w:asciiTheme="majorHAnsi" w:hAnsiTheme="majorHAnsi"/>
          <w:sz w:val="20"/>
          <w:szCs w:val="20"/>
          <w:lang w:val="en-US"/>
        </w:rPr>
      </w:pPr>
    </w:p>
    <w:tbl>
      <w:tblPr>
        <w:tblW w:w="14451" w:type="dxa"/>
        <w:tblInd w:w="93" w:type="dxa"/>
        <w:tblLook w:val="04A0" w:firstRow="1" w:lastRow="0" w:firstColumn="1" w:lastColumn="0" w:noHBand="0" w:noVBand="1"/>
      </w:tblPr>
      <w:tblGrid>
        <w:gridCol w:w="2175"/>
        <w:gridCol w:w="1663"/>
        <w:gridCol w:w="1815"/>
        <w:gridCol w:w="1792"/>
        <w:gridCol w:w="1738"/>
        <w:gridCol w:w="1738"/>
        <w:gridCol w:w="1792"/>
        <w:gridCol w:w="1738"/>
      </w:tblGrid>
      <w:tr w:rsidR="00326E18" w:rsidRPr="00277D3E" w14:paraId="1E8C28B6" w14:textId="77777777" w:rsidTr="007F1F1A">
        <w:trPr>
          <w:trHeight w:val="300"/>
        </w:trPr>
        <w:tc>
          <w:tcPr>
            <w:tcW w:w="2175" w:type="dxa"/>
            <w:tcBorders>
              <w:top w:val="single" w:sz="4" w:space="0" w:color="auto"/>
              <w:left w:val="nil"/>
              <w:bottom w:val="single" w:sz="4" w:space="0" w:color="auto"/>
              <w:right w:val="nil"/>
            </w:tcBorders>
            <w:shd w:val="clear" w:color="auto" w:fill="auto"/>
            <w:noWrap/>
            <w:vAlign w:val="bottom"/>
            <w:hideMark/>
          </w:tcPr>
          <w:p w14:paraId="6ED9D820"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Period</w:t>
            </w:r>
          </w:p>
        </w:tc>
        <w:tc>
          <w:tcPr>
            <w:tcW w:w="1663" w:type="dxa"/>
            <w:tcBorders>
              <w:top w:val="single" w:sz="4" w:space="0" w:color="auto"/>
              <w:left w:val="nil"/>
              <w:bottom w:val="single" w:sz="4" w:space="0" w:color="auto"/>
              <w:right w:val="nil"/>
            </w:tcBorders>
            <w:shd w:val="clear" w:color="auto" w:fill="auto"/>
            <w:noWrap/>
            <w:vAlign w:val="bottom"/>
            <w:hideMark/>
          </w:tcPr>
          <w:p w14:paraId="364523E9"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&lt;2006</w:t>
            </w:r>
          </w:p>
        </w:tc>
        <w:tc>
          <w:tcPr>
            <w:tcW w:w="1815" w:type="dxa"/>
            <w:tcBorders>
              <w:top w:val="single" w:sz="4" w:space="0" w:color="auto"/>
              <w:left w:val="nil"/>
              <w:bottom w:val="single" w:sz="4" w:space="0" w:color="auto"/>
              <w:right w:val="nil"/>
            </w:tcBorders>
            <w:shd w:val="clear" w:color="auto" w:fill="auto"/>
            <w:noWrap/>
            <w:vAlign w:val="bottom"/>
            <w:hideMark/>
          </w:tcPr>
          <w:p w14:paraId="157F64DC"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2006</w:t>
            </w:r>
          </w:p>
        </w:tc>
        <w:tc>
          <w:tcPr>
            <w:tcW w:w="1792" w:type="dxa"/>
            <w:tcBorders>
              <w:top w:val="single" w:sz="4" w:space="0" w:color="auto"/>
              <w:left w:val="nil"/>
              <w:bottom w:val="single" w:sz="4" w:space="0" w:color="auto"/>
              <w:right w:val="nil"/>
            </w:tcBorders>
            <w:shd w:val="clear" w:color="auto" w:fill="auto"/>
            <w:noWrap/>
            <w:vAlign w:val="bottom"/>
            <w:hideMark/>
          </w:tcPr>
          <w:p w14:paraId="534CFCC6"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2007</w:t>
            </w:r>
          </w:p>
        </w:tc>
        <w:tc>
          <w:tcPr>
            <w:tcW w:w="1738" w:type="dxa"/>
            <w:tcBorders>
              <w:top w:val="single" w:sz="4" w:space="0" w:color="auto"/>
              <w:left w:val="nil"/>
              <w:bottom w:val="single" w:sz="4" w:space="0" w:color="auto"/>
              <w:right w:val="nil"/>
            </w:tcBorders>
            <w:shd w:val="clear" w:color="auto" w:fill="auto"/>
            <w:noWrap/>
            <w:vAlign w:val="bottom"/>
            <w:hideMark/>
          </w:tcPr>
          <w:p w14:paraId="4B8A224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2008</w:t>
            </w:r>
          </w:p>
        </w:tc>
        <w:tc>
          <w:tcPr>
            <w:tcW w:w="1738" w:type="dxa"/>
            <w:tcBorders>
              <w:top w:val="single" w:sz="4" w:space="0" w:color="auto"/>
              <w:left w:val="nil"/>
              <w:bottom w:val="single" w:sz="4" w:space="0" w:color="auto"/>
              <w:right w:val="nil"/>
            </w:tcBorders>
            <w:shd w:val="clear" w:color="auto" w:fill="auto"/>
            <w:noWrap/>
            <w:vAlign w:val="bottom"/>
            <w:hideMark/>
          </w:tcPr>
          <w:p w14:paraId="0D50E7CA"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2009</w:t>
            </w:r>
          </w:p>
        </w:tc>
        <w:tc>
          <w:tcPr>
            <w:tcW w:w="1792" w:type="dxa"/>
            <w:tcBorders>
              <w:top w:val="single" w:sz="4" w:space="0" w:color="auto"/>
              <w:left w:val="nil"/>
              <w:bottom w:val="single" w:sz="4" w:space="0" w:color="auto"/>
              <w:right w:val="nil"/>
            </w:tcBorders>
            <w:shd w:val="clear" w:color="auto" w:fill="auto"/>
            <w:noWrap/>
            <w:vAlign w:val="bottom"/>
            <w:hideMark/>
          </w:tcPr>
          <w:p w14:paraId="73D8F17E"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2010</w:t>
            </w:r>
          </w:p>
        </w:tc>
        <w:tc>
          <w:tcPr>
            <w:tcW w:w="1738" w:type="dxa"/>
            <w:tcBorders>
              <w:top w:val="single" w:sz="4" w:space="0" w:color="auto"/>
              <w:left w:val="nil"/>
              <w:bottom w:val="single" w:sz="4" w:space="0" w:color="auto"/>
              <w:right w:val="nil"/>
            </w:tcBorders>
            <w:shd w:val="clear" w:color="auto" w:fill="auto"/>
            <w:noWrap/>
            <w:vAlign w:val="bottom"/>
            <w:hideMark/>
          </w:tcPr>
          <w:p w14:paraId="64B5690E"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2011+</w:t>
            </w:r>
          </w:p>
        </w:tc>
      </w:tr>
      <w:tr w:rsidR="00326E18" w:rsidRPr="00277D3E" w14:paraId="379EE22B" w14:textId="77777777" w:rsidTr="007F1F1A">
        <w:trPr>
          <w:trHeight w:val="300"/>
        </w:trPr>
        <w:tc>
          <w:tcPr>
            <w:tcW w:w="2175" w:type="dxa"/>
            <w:tcBorders>
              <w:top w:val="single" w:sz="4" w:space="0" w:color="auto"/>
              <w:left w:val="nil"/>
              <w:bottom w:val="nil"/>
              <w:right w:val="nil"/>
            </w:tcBorders>
            <w:shd w:val="clear" w:color="auto" w:fill="auto"/>
            <w:noWrap/>
            <w:vAlign w:val="bottom"/>
            <w:hideMark/>
          </w:tcPr>
          <w:p w14:paraId="020293CE"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Exit Rate (%)</w:t>
            </w:r>
          </w:p>
        </w:tc>
        <w:tc>
          <w:tcPr>
            <w:tcW w:w="1663" w:type="dxa"/>
            <w:tcBorders>
              <w:top w:val="single" w:sz="4" w:space="0" w:color="auto"/>
              <w:left w:val="nil"/>
              <w:bottom w:val="nil"/>
              <w:right w:val="nil"/>
            </w:tcBorders>
            <w:shd w:val="clear" w:color="auto" w:fill="auto"/>
            <w:noWrap/>
            <w:vAlign w:val="bottom"/>
            <w:hideMark/>
          </w:tcPr>
          <w:p w14:paraId="37ECF677"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60.5(49.0)</w:t>
            </w:r>
          </w:p>
        </w:tc>
        <w:tc>
          <w:tcPr>
            <w:tcW w:w="1815" w:type="dxa"/>
            <w:tcBorders>
              <w:top w:val="single" w:sz="4" w:space="0" w:color="auto"/>
              <w:left w:val="nil"/>
              <w:bottom w:val="nil"/>
              <w:right w:val="nil"/>
            </w:tcBorders>
            <w:shd w:val="clear" w:color="auto" w:fill="auto"/>
            <w:noWrap/>
            <w:vAlign w:val="bottom"/>
            <w:hideMark/>
          </w:tcPr>
          <w:p w14:paraId="18B808A7"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52.9(50.0)**</w:t>
            </w:r>
          </w:p>
        </w:tc>
        <w:tc>
          <w:tcPr>
            <w:tcW w:w="1792" w:type="dxa"/>
            <w:tcBorders>
              <w:top w:val="single" w:sz="4" w:space="0" w:color="auto"/>
              <w:left w:val="nil"/>
              <w:bottom w:val="nil"/>
              <w:right w:val="nil"/>
            </w:tcBorders>
            <w:shd w:val="clear" w:color="auto" w:fill="auto"/>
            <w:noWrap/>
            <w:vAlign w:val="bottom"/>
            <w:hideMark/>
          </w:tcPr>
          <w:p w14:paraId="6730BBD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61.7(48.6)</w:t>
            </w:r>
          </w:p>
        </w:tc>
        <w:tc>
          <w:tcPr>
            <w:tcW w:w="1738" w:type="dxa"/>
            <w:tcBorders>
              <w:top w:val="single" w:sz="4" w:space="0" w:color="auto"/>
              <w:left w:val="nil"/>
              <w:bottom w:val="nil"/>
              <w:right w:val="nil"/>
            </w:tcBorders>
            <w:shd w:val="clear" w:color="auto" w:fill="auto"/>
            <w:noWrap/>
            <w:vAlign w:val="bottom"/>
            <w:hideMark/>
          </w:tcPr>
          <w:p w14:paraId="53A32AC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68.8(46.3)***</w:t>
            </w:r>
          </w:p>
        </w:tc>
        <w:tc>
          <w:tcPr>
            <w:tcW w:w="1738" w:type="dxa"/>
            <w:tcBorders>
              <w:top w:val="single" w:sz="4" w:space="0" w:color="auto"/>
              <w:left w:val="nil"/>
              <w:bottom w:val="nil"/>
              <w:right w:val="nil"/>
            </w:tcBorders>
            <w:shd w:val="clear" w:color="auto" w:fill="auto"/>
            <w:noWrap/>
            <w:vAlign w:val="bottom"/>
            <w:hideMark/>
          </w:tcPr>
          <w:p w14:paraId="35AC0D6C"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75.8(42.8)***</w:t>
            </w:r>
          </w:p>
        </w:tc>
        <w:tc>
          <w:tcPr>
            <w:tcW w:w="1792" w:type="dxa"/>
            <w:tcBorders>
              <w:top w:val="single" w:sz="4" w:space="0" w:color="auto"/>
              <w:left w:val="nil"/>
              <w:bottom w:val="nil"/>
              <w:right w:val="nil"/>
            </w:tcBorders>
            <w:shd w:val="clear" w:color="auto" w:fill="auto"/>
            <w:noWrap/>
            <w:vAlign w:val="bottom"/>
            <w:hideMark/>
          </w:tcPr>
          <w:p w14:paraId="248BC3E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62.4(48.5)</w:t>
            </w:r>
          </w:p>
        </w:tc>
        <w:tc>
          <w:tcPr>
            <w:tcW w:w="1738" w:type="dxa"/>
            <w:tcBorders>
              <w:top w:val="single" w:sz="4" w:space="0" w:color="auto"/>
              <w:left w:val="nil"/>
              <w:bottom w:val="nil"/>
              <w:right w:val="nil"/>
            </w:tcBorders>
            <w:shd w:val="clear" w:color="auto" w:fill="auto"/>
            <w:noWrap/>
            <w:vAlign w:val="bottom"/>
            <w:hideMark/>
          </w:tcPr>
          <w:p w14:paraId="20E62179"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42.4(49.4)***</w:t>
            </w:r>
          </w:p>
        </w:tc>
      </w:tr>
      <w:tr w:rsidR="00326E18" w:rsidRPr="00277D3E" w14:paraId="22EFB8CA" w14:textId="77777777" w:rsidTr="007F1F1A">
        <w:trPr>
          <w:trHeight w:val="300"/>
        </w:trPr>
        <w:tc>
          <w:tcPr>
            <w:tcW w:w="2175" w:type="dxa"/>
            <w:tcBorders>
              <w:top w:val="nil"/>
              <w:left w:val="nil"/>
              <w:bottom w:val="nil"/>
              <w:right w:val="nil"/>
            </w:tcBorders>
            <w:shd w:val="clear" w:color="auto" w:fill="auto"/>
            <w:noWrap/>
            <w:vAlign w:val="bottom"/>
            <w:hideMark/>
          </w:tcPr>
          <w:p w14:paraId="655762D6"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Return (%)</w:t>
            </w:r>
          </w:p>
        </w:tc>
        <w:tc>
          <w:tcPr>
            <w:tcW w:w="1663" w:type="dxa"/>
            <w:tcBorders>
              <w:top w:val="nil"/>
              <w:left w:val="nil"/>
              <w:bottom w:val="nil"/>
              <w:right w:val="nil"/>
            </w:tcBorders>
            <w:shd w:val="clear" w:color="auto" w:fill="auto"/>
            <w:noWrap/>
            <w:vAlign w:val="bottom"/>
            <w:hideMark/>
          </w:tcPr>
          <w:p w14:paraId="6477961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-5.5(18.0)</w:t>
            </w:r>
          </w:p>
        </w:tc>
        <w:tc>
          <w:tcPr>
            <w:tcW w:w="1815" w:type="dxa"/>
            <w:tcBorders>
              <w:top w:val="nil"/>
              <w:left w:val="nil"/>
              <w:bottom w:val="nil"/>
              <w:right w:val="nil"/>
            </w:tcBorders>
            <w:shd w:val="clear" w:color="auto" w:fill="auto"/>
            <w:noWrap/>
            <w:vAlign w:val="bottom"/>
            <w:hideMark/>
          </w:tcPr>
          <w:p w14:paraId="5AC4DA59"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-5.4(28.1)</w:t>
            </w:r>
          </w:p>
        </w:tc>
        <w:tc>
          <w:tcPr>
            <w:tcW w:w="1792" w:type="dxa"/>
            <w:tcBorders>
              <w:top w:val="nil"/>
              <w:left w:val="nil"/>
              <w:bottom w:val="nil"/>
              <w:right w:val="nil"/>
            </w:tcBorders>
            <w:shd w:val="clear" w:color="auto" w:fill="auto"/>
            <w:noWrap/>
            <w:vAlign w:val="bottom"/>
            <w:hideMark/>
          </w:tcPr>
          <w:p w14:paraId="4CF96FCF"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-4.0(17.2)</w:t>
            </w:r>
          </w:p>
        </w:tc>
        <w:tc>
          <w:tcPr>
            <w:tcW w:w="1738" w:type="dxa"/>
            <w:tcBorders>
              <w:top w:val="nil"/>
              <w:left w:val="nil"/>
              <w:bottom w:val="nil"/>
              <w:right w:val="nil"/>
            </w:tcBorders>
            <w:shd w:val="clear" w:color="auto" w:fill="auto"/>
            <w:noWrap/>
            <w:vAlign w:val="bottom"/>
            <w:hideMark/>
          </w:tcPr>
          <w:p w14:paraId="18432C1F"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-3.5(43.9)</w:t>
            </w:r>
          </w:p>
        </w:tc>
        <w:tc>
          <w:tcPr>
            <w:tcW w:w="1738" w:type="dxa"/>
            <w:tcBorders>
              <w:top w:val="nil"/>
              <w:left w:val="nil"/>
              <w:bottom w:val="nil"/>
              <w:right w:val="nil"/>
            </w:tcBorders>
            <w:shd w:val="clear" w:color="auto" w:fill="auto"/>
            <w:noWrap/>
            <w:vAlign w:val="bottom"/>
            <w:hideMark/>
          </w:tcPr>
          <w:p w14:paraId="64006585"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-4.4(16.8)</w:t>
            </w:r>
          </w:p>
        </w:tc>
        <w:tc>
          <w:tcPr>
            <w:tcW w:w="1792" w:type="dxa"/>
            <w:tcBorders>
              <w:top w:val="nil"/>
              <w:left w:val="nil"/>
              <w:bottom w:val="nil"/>
              <w:right w:val="nil"/>
            </w:tcBorders>
            <w:shd w:val="clear" w:color="auto" w:fill="auto"/>
            <w:noWrap/>
            <w:vAlign w:val="bottom"/>
            <w:hideMark/>
          </w:tcPr>
          <w:p w14:paraId="7E438B5C"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-4.9(24.7)</w:t>
            </w:r>
          </w:p>
        </w:tc>
        <w:tc>
          <w:tcPr>
            <w:tcW w:w="1738" w:type="dxa"/>
            <w:tcBorders>
              <w:top w:val="nil"/>
              <w:left w:val="nil"/>
              <w:bottom w:val="nil"/>
              <w:right w:val="nil"/>
            </w:tcBorders>
            <w:shd w:val="clear" w:color="auto" w:fill="auto"/>
            <w:noWrap/>
            <w:vAlign w:val="bottom"/>
            <w:hideMark/>
          </w:tcPr>
          <w:p w14:paraId="004645C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-4.6(18.5)</w:t>
            </w:r>
          </w:p>
        </w:tc>
      </w:tr>
      <w:tr w:rsidR="00326E18" w:rsidRPr="00277D3E" w14:paraId="4D653BF1" w14:textId="77777777" w:rsidTr="007F1F1A">
        <w:trPr>
          <w:trHeight w:val="300"/>
        </w:trPr>
        <w:tc>
          <w:tcPr>
            <w:tcW w:w="2175" w:type="dxa"/>
            <w:tcBorders>
              <w:top w:val="nil"/>
              <w:left w:val="nil"/>
              <w:bottom w:val="nil"/>
              <w:right w:val="nil"/>
            </w:tcBorders>
            <w:shd w:val="clear" w:color="auto" w:fill="auto"/>
            <w:noWrap/>
            <w:vAlign w:val="bottom"/>
            <w:hideMark/>
          </w:tcPr>
          <w:p w14:paraId="6190DA86"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Volatility (%)</w:t>
            </w:r>
          </w:p>
        </w:tc>
        <w:tc>
          <w:tcPr>
            <w:tcW w:w="1663" w:type="dxa"/>
            <w:tcBorders>
              <w:top w:val="nil"/>
              <w:left w:val="nil"/>
              <w:bottom w:val="nil"/>
              <w:right w:val="nil"/>
            </w:tcBorders>
            <w:shd w:val="clear" w:color="auto" w:fill="auto"/>
            <w:noWrap/>
            <w:vAlign w:val="bottom"/>
            <w:hideMark/>
          </w:tcPr>
          <w:p w14:paraId="0D1C374D"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11.0(8.2)</w:t>
            </w:r>
          </w:p>
        </w:tc>
        <w:tc>
          <w:tcPr>
            <w:tcW w:w="1815" w:type="dxa"/>
            <w:tcBorders>
              <w:top w:val="nil"/>
              <w:left w:val="nil"/>
              <w:bottom w:val="nil"/>
              <w:right w:val="nil"/>
            </w:tcBorders>
            <w:shd w:val="clear" w:color="auto" w:fill="auto"/>
            <w:noWrap/>
            <w:vAlign w:val="bottom"/>
            <w:hideMark/>
          </w:tcPr>
          <w:p w14:paraId="0E8238AD"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11.4(10.8)</w:t>
            </w:r>
          </w:p>
        </w:tc>
        <w:tc>
          <w:tcPr>
            <w:tcW w:w="1792" w:type="dxa"/>
            <w:tcBorders>
              <w:top w:val="nil"/>
              <w:left w:val="nil"/>
              <w:bottom w:val="nil"/>
              <w:right w:val="nil"/>
            </w:tcBorders>
            <w:shd w:val="clear" w:color="auto" w:fill="auto"/>
            <w:noWrap/>
            <w:vAlign w:val="bottom"/>
            <w:hideMark/>
          </w:tcPr>
          <w:p w14:paraId="34C5051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11.6(11.2)</w:t>
            </w:r>
          </w:p>
        </w:tc>
        <w:tc>
          <w:tcPr>
            <w:tcW w:w="1738" w:type="dxa"/>
            <w:tcBorders>
              <w:top w:val="nil"/>
              <w:left w:val="nil"/>
              <w:bottom w:val="nil"/>
              <w:right w:val="nil"/>
            </w:tcBorders>
            <w:shd w:val="clear" w:color="auto" w:fill="auto"/>
            <w:noWrap/>
            <w:vAlign w:val="bottom"/>
            <w:hideMark/>
          </w:tcPr>
          <w:p w14:paraId="056003D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14.0(18.6)***</w:t>
            </w:r>
          </w:p>
        </w:tc>
        <w:tc>
          <w:tcPr>
            <w:tcW w:w="1738" w:type="dxa"/>
            <w:tcBorders>
              <w:top w:val="nil"/>
              <w:left w:val="nil"/>
              <w:bottom w:val="nil"/>
              <w:right w:val="nil"/>
            </w:tcBorders>
            <w:shd w:val="clear" w:color="auto" w:fill="auto"/>
            <w:noWrap/>
            <w:vAlign w:val="bottom"/>
            <w:hideMark/>
          </w:tcPr>
          <w:p w14:paraId="4F801E7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11.8(18.7)</w:t>
            </w:r>
          </w:p>
        </w:tc>
        <w:tc>
          <w:tcPr>
            <w:tcW w:w="1792" w:type="dxa"/>
            <w:tcBorders>
              <w:top w:val="nil"/>
              <w:left w:val="nil"/>
              <w:bottom w:val="nil"/>
              <w:right w:val="nil"/>
            </w:tcBorders>
            <w:shd w:val="clear" w:color="auto" w:fill="auto"/>
            <w:noWrap/>
            <w:vAlign w:val="bottom"/>
            <w:hideMark/>
          </w:tcPr>
          <w:p w14:paraId="011D2FB2"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11.8(12.7)</w:t>
            </w:r>
          </w:p>
        </w:tc>
        <w:tc>
          <w:tcPr>
            <w:tcW w:w="1738" w:type="dxa"/>
            <w:tcBorders>
              <w:top w:val="nil"/>
              <w:left w:val="nil"/>
              <w:bottom w:val="nil"/>
              <w:right w:val="nil"/>
            </w:tcBorders>
            <w:shd w:val="clear" w:color="auto" w:fill="auto"/>
            <w:noWrap/>
            <w:vAlign w:val="bottom"/>
            <w:hideMark/>
          </w:tcPr>
          <w:p w14:paraId="57BB743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12.1(11.9)</w:t>
            </w:r>
          </w:p>
        </w:tc>
      </w:tr>
      <w:tr w:rsidR="00326E18" w:rsidRPr="00277D3E" w14:paraId="1484E5C2" w14:textId="77777777" w:rsidTr="007F1F1A">
        <w:trPr>
          <w:trHeight w:val="300"/>
        </w:trPr>
        <w:tc>
          <w:tcPr>
            <w:tcW w:w="2175" w:type="dxa"/>
            <w:tcBorders>
              <w:top w:val="nil"/>
              <w:left w:val="nil"/>
              <w:bottom w:val="nil"/>
              <w:right w:val="nil"/>
            </w:tcBorders>
            <w:shd w:val="clear" w:color="auto" w:fill="auto"/>
            <w:noWrap/>
            <w:vAlign w:val="bottom"/>
            <w:hideMark/>
          </w:tcPr>
          <w:p w14:paraId="3FB95E13"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Total Return</w:t>
            </w:r>
          </w:p>
        </w:tc>
        <w:tc>
          <w:tcPr>
            <w:tcW w:w="1663" w:type="dxa"/>
            <w:tcBorders>
              <w:top w:val="nil"/>
              <w:left w:val="nil"/>
              <w:bottom w:val="nil"/>
              <w:right w:val="nil"/>
            </w:tcBorders>
            <w:shd w:val="clear" w:color="auto" w:fill="auto"/>
            <w:noWrap/>
            <w:vAlign w:val="bottom"/>
            <w:hideMark/>
          </w:tcPr>
          <w:p w14:paraId="455ACA5B"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-253.4(1444.8)</w:t>
            </w:r>
          </w:p>
        </w:tc>
        <w:tc>
          <w:tcPr>
            <w:tcW w:w="1815" w:type="dxa"/>
            <w:tcBorders>
              <w:top w:val="nil"/>
              <w:left w:val="nil"/>
              <w:bottom w:val="nil"/>
              <w:right w:val="nil"/>
            </w:tcBorders>
            <w:shd w:val="clear" w:color="auto" w:fill="auto"/>
            <w:noWrap/>
            <w:vAlign w:val="bottom"/>
            <w:hideMark/>
          </w:tcPr>
          <w:p w14:paraId="4711DB87"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-242.3(1055.4)</w:t>
            </w:r>
          </w:p>
        </w:tc>
        <w:tc>
          <w:tcPr>
            <w:tcW w:w="1792" w:type="dxa"/>
            <w:tcBorders>
              <w:top w:val="nil"/>
              <w:left w:val="nil"/>
              <w:bottom w:val="nil"/>
              <w:right w:val="nil"/>
            </w:tcBorders>
            <w:shd w:val="clear" w:color="auto" w:fill="auto"/>
            <w:noWrap/>
            <w:vAlign w:val="bottom"/>
            <w:hideMark/>
          </w:tcPr>
          <w:p w14:paraId="131F950D"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-157.9(2044.1)*</w:t>
            </w:r>
          </w:p>
        </w:tc>
        <w:tc>
          <w:tcPr>
            <w:tcW w:w="1738" w:type="dxa"/>
            <w:tcBorders>
              <w:top w:val="nil"/>
              <w:left w:val="nil"/>
              <w:bottom w:val="nil"/>
              <w:right w:val="nil"/>
            </w:tcBorders>
            <w:shd w:val="clear" w:color="auto" w:fill="auto"/>
            <w:noWrap/>
            <w:vAlign w:val="bottom"/>
            <w:hideMark/>
          </w:tcPr>
          <w:p w14:paraId="3DA5C06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-182.6(2725.1)*</w:t>
            </w:r>
          </w:p>
        </w:tc>
        <w:tc>
          <w:tcPr>
            <w:tcW w:w="1738" w:type="dxa"/>
            <w:tcBorders>
              <w:top w:val="nil"/>
              <w:left w:val="nil"/>
              <w:bottom w:val="nil"/>
              <w:right w:val="nil"/>
            </w:tcBorders>
            <w:shd w:val="clear" w:color="auto" w:fill="auto"/>
            <w:noWrap/>
            <w:vAlign w:val="bottom"/>
            <w:hideMark/>
          </w:tcPr>
          <w:p w14:paraId="1AD22CF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-194.6(2597.2)*</w:t>
            </w:r>
          </w:p>
        </w:tc>
        <w:tc>
          <w:tcPr>
            <w:tcW w:w="1792" w:type="dxa"/>
            <w:tcBorders>
              <w:top w:val="nil"/>
              <w:left w:val="nil"/>
              <w:bottom w:val="nil"/>
              <w:right w:val="nil"/>
            </w:tcBorders>
            <w:shd w:val="clear" w:color="auto" w:fill="auto"/>
            <w:noWrap/>
            <w:vAlign w:val="bottom"/>
            <w:hideMark/>
          </w:tcPr>
          <w:p w14:paraId="0C13F6DF"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-634.2(4324.6)*</w:t>
            </w:r>
          </w:p>
        </w:tc>
        <w:tc>
          <w:tcPr>
            <w:tcW w:w="1738" w:type="dxa"/>
            <w:tcBorders>
              <w:top w:val="nil"/>
              <w:left w:val="nil"/>
              <w:bottom w:val="nil"/>
              <w:right w:val="nil"/>
            </w:tcBorders>
            <w:shd w:val="clear" w:color="auto" w:fill="auto"/>
            <w:noWrap/>
            <w:vAlign w:val="bottom"/>
            <w:hideMark/>
          </w:tcPr>
          <w:p w14:paraId="74F2752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-527.3(5045.3)*</w:t>
            </w:r>
          </w:p>
        </w:tc>
      </w:tr>
      <w:tr w:rsidR="00326E18" w:rsidRPr="00277D3E" w14:paraId="43D2EE81" w14:textId="77777777" w:rsidTr="007F1F1A">
        <w:trPr>
          <w:trHeight w:val="300"/>
        </w:trPr>
        <w:tc>
          <w:tcPr>
            <w:tcW w:w="2175" w:type="dxa"/>
            <w:tcBorders>
              <w:top w:val="nil"/>
              <w:left w:val="nil"/>
              <w:bottom w:val="nil"/>
              <w:right w:val="nil"/>
            </w:tcBorders>
            <w:shd w:val="clear" w:color="auto" w:fill="auto"/>
            <w:noWrap/>
            <w:vAlign w:val="bottom"/>
            <w:hideMark/>
          </w:tcPr>
          <w:p w14:paraId="496F0ABC"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Total Margin</w:t>
            </w:r>
          </w:p>
        </w:tc>
        <w:tc>
          <w:tcPr>
            <w:tcW w:w="1663" w:type="dxa"/>
            <w:tcBorders>
              <w:top w:val="nil"/>
              <w:left w:val="nil"/>
              <w:bottom w:val="nil"/>
              <w:right w:val="nil"/>
            </w:tcBorders>
            <w:shd w:val="clear" w:color="auto" w:fill="auto"/>
            <w:noWrap/>
            <w:vAlign w:val="bottom"/>
            <w:hideMark/>
          </w:tcPr>
          <w:p w14:paraId="43FB9E2C"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7,454(25419)***</w:t>
            </w:r>
          </w:p>
        </w:tc>
        <w:tc>
          <w:tcPr>
            <w:tcW w:w="1815" w:type="dxa"/>
            <w:tcBorders>
              <w:top w:val="nil"/>
              <w:left w:val="nil"/>
              <w:bottom w:val="nil"/>
              <w:right w:val="nil"/>
            </w:tcBorders>
            <w:shd w:val="clear" w:color="auto" w:fill="auto"/>
            <w:noWrap/>
            <w:vAlign w:val="bottom"/>
            <w:hideMark/>
          </w:tcPr>
          <w:p w14:paraId="26EFC997" w14:textId="379DF859"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11,577(65</w:t>
            </w:r>
            <w:r w:rsidR="00277D3E">
              <w:rPr>
                <w:rFonts w:asciiTheme="majorHAnsi" w:hAnsiTheme="majorHAnsi"/>
                <w:color w:val="000000"/>
                <w:sz w:val="20"/>
                <w:szCs w:val="20"/>
              </w:rPr>
              <w:t>,</w:t>
            </w:r>
            <w:r w:rsidRPr="00FC6DF5">
              <w:rPr>
                <w:rFonts w:asciiTheme="majorHAnsi" w:hAnsiTheme="majorHAnsi"/>
                <w:color w:val="000000"/>
                <w:sz w:val="20"/>
                <w:szCs w:val="20"/>
              </w:rPr>
              <w:t>180)***</w:t>
            </w:r>
          </w:p>
        </w:tc>
        <w:tc>
          <w:tcPr>
            <w:tcW w:w="1792" w:type="dxa"/>
            <w:tcBorders>
              <w:top w:val="nil"/>
              <w:left w:val="nil"/>
              <w:bottom w:val="nil"/>
              <w:right w:val="nil"/>
            </w:tcBorders>
            <w:shd w:val="clear" w:color="auto" w:fill="auto"/>
            <w:noWrap/>
            <w:vAlign w:val="bottom"/>
            <w:hideMark/>
          </w:tcPr>
          <w:p w14:paraId="581563E5" w14:textId="424D4373"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32,468(175</w:t>
            </w:r>
            <w:r w:rsidR="00277D3E">
              <w:rPr>
                <w:rFonts w:asciiTheme="majorHAnsi" w:hAnsiTheme="majorHAnsi"/>
                <w:color w:val="000000"/>
                <w:sz w:val="20"/>
                <w:szCs w:val="20"/>
              </w:rPr>
              <w:t>,</w:t>
            </w:r>
            <w:r w:rsidRPr="00FC6DF5">
              <w:rPr>
                <w:rFonts w:asciiTheme="majorHAnsi" w:hAnsiTheme="majorHAnsi"/>
                <w:color w:val="000000"/>
                <w:sz w:val="20"/>
                <w:szCs w:val="20"/>
              </w:rPr>
              <w:t>756)*</w:t>
            </w:r>
          </w:p>
        </w:tc>
        <w:tc>
          <w:tcPr>
            <w:tcW w:w="1738" w:type="dxa"/>
            <w:tcBorders>
              <w:top w:val="nil"/>
              <w:left w:val="nil"/>
              <w:bottom w:val="nil"/>
              <w:right w:val="nil"/>
            </w:tcBorders>
            <w:shd w:val="clear" w:color="auto" w:fill="auto"/>
            <w:noWrap/>
            <w:vAlign w:val="bottom"/>
            <w:hideMark/>
          </w:tcPr>
          <w:p w14:paraId="47A63151" w14:textId="292179CE"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41,802(231</w:t>
            </w:r>
            <w:r w:rsidR="00277D3E">
              <w:rPr>
                <w:rFonts w:asciiTheme="majorHAnsi" w:hAnsiTheme="majorHAnsi"/>
                <w:color w:val="000000"/>
                <w:sz w:val="20"/>
                <w:szCs w:val="20"/>
              </w:rPr>
              <w:t>,</w:t>
            </w:r>
            <w:r w:rsidRPr="00FC6DF5">
              <w:rPr>
                <w:rFonts w:asciiTheme="majorHAnsi" w:hAnsiTheme="majorHAnsi"/>
                <w:color w:val="000000"/>
                <w:sz w:val="20"/>
                <w:szCs w:val="20"/>
              </w:rPr>
              <w:t>936)</w:t>
            </w:r>
          </w:p>
        </w:tc>
        <w:tc>
          <w:tcPr>
            <w:tcW w:w="1738" w:type="dxa"/>
            <w:tcBorders>
              <w:top w:val="nil"/>
              <w:left w:val="nil"/>
              <w:bottom w:val="nil"/>
              <w:right w:val="nil"/>
            </w:tcBorders>
            <w:shd w:val="clear" w:color="auto" w:fill="auto"/>
            <w:noWrap/>
            <w:vAlign w:val="bottom"/>
            <w:hideMark/>
          </w:tcPr>
          <w:p w14:paraId="4DBEC432" w14:textId="044AA450"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43,130(254</w:t>
            </w:r>
            <w:r w:rsidR="00277D3E">
              <w:rPr>
                <w:rFonts w:asciiTheme="majorHAnsi" w:hAnsiTheme="majorHAnsi"/>
                <w:color w:val="000000"/>
                <w:sz w:val="20"/>
                <w:szCs w:val="20"/>
              </w:rPr>
              <w:t>,</w:t>
            </w:r>
            <w:r w:rsidRPr="00FC6DF5">
              <w:rPr>
                <w:rFonts w:asciiTheme="majorHAnsi" w:hAnsiTheme="majorHAnsi"/>
                <w:color w:val="000000"/>
                <w:sz w:val="20"/>
                <w:szCs w:val="20"/>
              </w:rPr>
              <w:t>941)</w:t>
            </w:r>
          </w:p>
        </w:tc>
        <w:tc>
          <w:tcPr>
            <w:tcW w:w="1792" w:type="dxa"/>
            <w:tcBorders>
              <w:top w:val="nil"/>
              <w:left w:val="nil"/>
              <w:bottom w:val="nil"/>
              <w:right w:val="nil"/>
            </w:tcBorders>
            <w:shd w:val="clear" w:color="auto" w:fill="auto"/>
            <w:noWrap/>
            <w:vAlign w:val="bottom"/>
            <w:hideMark/>
          </w:tcPr>
          <w:p w14:paraId="2A798EDA" w14:textId="3E8E47B0"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86,224(445</w:t>
            </w:r>
            <w:r w:rsidR="00277D3E">
              <w:rPr>
                <w:rFonts w:asciiTheme="majorHAnsi" w:hAnsiTheme="majorHAnsi"/>
                <w:color w:val="000000"/>
                <w:sz w:val="20"/>
                <w:szCs w:val="20"/>
              </w:rPr>
              <w:t>,</w:t>
            </w:r>
            <w:r w:rsidRPr="00FC6DF5">
              <w:rPr>
                <w:rFonts w:asciiTheme="majorHAnsi" w:hAnsiTheme="majorHAnsi"/>
                <w:color w:val="000000"/>
                <w:sz w:val="20"/>
                <w:szCs w:val="20"/>
              </w:rPr>
              <w:t>522)*</w:t>
            </w:r>
          </w:p>
        </w:tc>
        <w:tc>
          <w:tcPr>
            <w:tcW w:w="1738" w:type="dxa"/>
            <w:tcBorders>
              <w:top w:val="nil"/>
              <w:left w:val="nil"/>
              <w:bottom w:val="nil"/>
              <w:right w:val="nil"/>
            </w:tcBorders>
            <w:shd w:val="clear" w:color="auto" w:fill="auto"/>
            <w:noWrap/>
            <w:vAlign w:val="bottom"/>
            <w:hideMark/>
          </w:tcPr>
          <w:p w14:paraId="146A0F20" w14:textId="7360EE5F"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71,601(890</w:t>
            </w:r>
            <w:r w:rsidR="00277D3E">
              <w:rPr>
                <w:rFonts w:asciiTheme="majorHAnsi" w:hAnsiTheme="majorHAnsi"/>
                <w:color w:val="000000"/>
                <w:sz w:val="20"/>
                <w:szCs w:val="20"/>
              </w:rPr>
              <w:t>,</w:t>
            </w:r>
            <w:r w:rsidRPr="00FC6DF5">
              <w:rPr>
                <w:rFonts w:asciiTheme="majorHAnsi" w:hAnsiTheme="majorHAnsi"/>
                <w:color w:val="000000"/>
                <w:sz w:val="20"/>
                <w:szCs w:val="20"/>
              </w:rPr>
              <w:t>137)</w:t>
            </w:r>
          </w:p>
        </w:tc>
      </w:tr>
      <w:tr w:rsidR="00326E18" w:rsidRPr="00277D3E" w14:paraId="1745A48E" w14:textId="77777777" w:rsidTr="007F1F1A">
        <w:trPr>
          <w:trHeight w:val="300"/>
        </w:trPr>
        <w:tc>
          <w:tcPr>
            <w:tcW w:w="2175" w:type="dxa"/>
            <w:tcBorders>
              <w:top w:val="nil"/>
              <w:left w:val="nil"/>
              <w:bottom w:val="nil"/>
              <w:right w:val="nil"/>
            </w:tcBorders>
            <w:shd w:val="clear" w:color="auto" w:fill="auto"/>
            <w:noWrap/>
            <w:vAlign w:val="bottom"/>
            <w:hideMark/>
          </w:tcPr>
          <w:p w14:paraId="0E14A754"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ROI</w:t>
            </w:r>
          </w:p>
        </w:tc>
        <w:tc>
          <w:tcPr>
            <w:tcW w:w="1663" w:type="dxa"/>
            <w:tcBorders>
              <w:top w:val="nil"/>
              <w:left w:val="nil"/>
              <w:bottom w:val="nil"/>
              <w:right w:val="nil"/>
            </w:tcBorders>
            <w:shd w:val="clear" w:color="auto" w:fill="auto"/>
            <w:noWrap/>
            <w:vAlign w:val="bottom"/>
            <w:hideMark/>
          </w:tcPr>
          <w:p w14:paraId="4963FA89"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-0.053(0.181)</w:t>
            </w:r>
          </w:p>
        </w:tc>
        <w:tc>
          <w:tcPr>
            <w:tcW w:w="1815" w:type="dxa"/>
            <w:tcBorders>
              <w:top w:val="nil"/>
              <w:left w:val="nil"/>
              <w:bottom w:val="nil"/>
              <w:right w:val="nil"/>
            </w:tcBorders>
            <w:shd w:val="clear" w:color="auto" w:fill="auto"/>
            <w:noWrap/>
            <w:vAlign w:val="bottom"/>
            <w:hideMark/>
          </w:tcPr>
          <w:p w14:paraId="1B8F3C6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-0.055(0.278)</w:t>
            </w:r>
          </w:p>
        </w:tc>
        <w:tc>
          <w:tcPr>
            <w:tcW w:w="1792" w:type="dxa"/>
            <w:tcBorders>
              <w:top w:val="nil"/>
              <w:left w:val="nil"/>
              <w:bottom w:val="nil"/>
              <w:right w:val="nil"/>
            </w:tcBorders>
            <w:shd w:val="clear" w:color="auto" w:fill="auto"/>
            <w:noWrap/>
            <w:vAlign w:val="bottom"/>
            <w:hideMark/>
          </w:tcPr>
          <w:p w14:paraId="610C0A36"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-0.036(0.163)</w:t>
            </w:r>
          </w:p>
        </w:tc>
        <w:tc>
          <w:tcPr>
            <w:tcW w:w="1738" w:type="dxa"/>
            <w:tcBorders>
              <w:top w:val="nil"/>
              <w:left w:val="nil"/>
              <w:bottom w:val="nil"/>
              <w:right w:val="nil"/>
            </w:tcBorders>
            <w:shd w:val="clear" w:color="auto" w:fill="auto"/>
            <w:noWrap/>
            <w:vAlign w:val="bottom"/>
            <w:hideMark/>
          </w:tcPr>
          <w:p w14:paraId="25F0A39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-0.023(0.420)</w:t>
            </w:r>
          </w:p>
        </w:tc>
        <w:tc>
          <w:tcPr>
            <w:tcW w:w="1738" w:type="dxa"/>
            <w:tcBorders>
              <w:top w:val="nil"/>
              <w:left w:val="nil"/>
              <w:bottom w:val="nil"/>
              <w:right w:val="nil"/>
            </w:tcBorders>
            <w:shd w:val="clear" w:color="auto" w:fill="auto"/>
            <w:noWrap/>
            <w:vAlign w:val="bottom"/>
            <w:hideMark/>
          </w:tcPr>
          <w:p w14:paraId="1BBFC56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-0.036(0.152)</w:t>
            </w:r>
          </w:p>
        </w:tc>
        <w:tc>
          <w:tcPr>
            <w:tcW w:w="1792" w:type="dxa"/>
            <w:tcBorders>
              <w:top w:val="nil"/>
              <w:left w:val="nil"/>
              <w:bottom w:val="nil"/>
              <w:right w:val="nil"/>
            </w:tcBorders>
            <w:shd w:val="clear" w:color="auto" w:fill="auto"/>
            <w:noWrap/>
            <w:vAlign w:val="bottom"/>
            <w:hideMark/>
          </w:tcPr>
          <w:p w14:paraId="2703A33B"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-0.033(0.272)</w:t>
            </w:r>
          </w:p>
        </w:tc>
        <w:tc>
          <w:tcPr>
            <w:tcW w:w="1738" w:type="dxa"/>
            <w:tcBorders>
              <w:top w:val="nil"/>
              <w:left w:val="nil"/>
              <w:bottom w:val="nil"/>
              <w:right w:val="nil"/>
            </w:tcBorders>
            <w:shd w:val="clear" w:color="auto" w:fill="auto"/>
            <w:noWrap/>
            <w:vAlign w:val="bottom"/>
            <w:hideMark/>
          </w:tcPr>
          <w:p w14:paraId="5199E07B"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-0.029(0.168)</w:t>
            </w:r>
          </w:p>
        </w:tc>
      </w:tr>
      <w:tr w:rsidR="00326E18" w:rsidRPr="00277D3E" w14:paraId="72F1D90E" w14:textId="77777777" w:rsidTr="007F1F1A">
        <w:trPr>
          <w:trHeight w:val="300"/>
        </w:trPr>
        <w:tc>
          <w:tcPr>
            <w:tcW w:w="2175" w:type="dxa"/>
            <w:tcBorders>
              <w:top w:val="nil"/>
              <w:left w:val="nil"/>
              <w:bottom w:val="nil"/>
              <w:right w:val="nil"/>
            </w:tcBorders>
            <w:shd w:val="clear" w:color="auto" w:fill="auto"/>
            <w:noWrap/>
            <w:vAlign w:val="bottom"/>
            <w:hideMark/>
          </w:tcPr>
          <w:p w14:paraId="65C69534"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Profit ROI</w:t>
            </w:r>
          </w:p>
        </w:tc>
        <w:tc>
          <w:tcPr>
            <w:tcW w:w="1663" w:type="dxa"/>
            <w:tcBorders>
              <w:top w:val="nil"/>
              <w:left w:val="nil"/>
              <w:bottom w:val="nil"/>
              <w:right w:val="nil"/>
            </w:tcBorders>
            <w:shd w:val="clear" w:color="auto" w:fill="auto"/>
            <w:noWrap/>
            <w:vAlign w:val="bottom"/>
            <w:hideMark/>
          </w:tcPr>
          <w:p w14:paraId="0E56DFE2"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0.070(0.123)</w:t>
            </w:r>
          </w:p>
        </w:tc>
        <w:tc>
          <w:tcPr>
            <w:tcW w:w="1815" w:type="dxa"/>
            <w:tcBorders>
              <w:top w:val="nil"/>
              <w:left w:val="nil"/>
              <w:bottom w:val="nil"/>
              <w:right w:val="nil"/>
            </w:tcBorders>
            <w:shd w:val="clear" w:color="auto" w:fill="auto"/>
            <w:noWrap/>
            <w:vAlign w:val="bottom"/>
            <w:hideMark/>
          </w:tcPr>
          <w:p w14:paraId="35D79B79"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0.054(0.113)</w:t>
            </w:r>
          </w:p>
        </w:tc>
        <w:tc>
          <w:tcPr>
            <w:tcW w:w="1792" w:type="dxa"/>
            <w:tcBorders>
              <w:top w:val="nil"/>
              <w:left w:val="nil"/>
              <w:bottom w:val="nil"/>
              <w:right w:val="nil"/>
            </w:tcBorders>
            <w:shd w:val="clear" w:color="auto" w:fill="auto"/>
            <w:noWrap/>
            <w:vAlign w:val="bottom"/>
            <w:hideMark/>
          </w:tcPr>
          <w:p w14:paraId="2B74378B"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0.062(0.124)</w:t>
            </w:r>
          </w:p>
        </w:tc>
        <w:tc>
          <w:tcPr>
            <w:tcW w:w="1738" w:type="dxa"/>
            <w:tcBorders>
              <w:top w:val="nil"/>
              <w:left w:val="nil"/>
              <w:bottom w:val="nil"/>
              <w:right w:val="nil"/>
            </w:tcBorders>
            <w:shd w:val="clear" w:color="auto" w:fill="auto"/>
            <w:noWrap/>
            <w:vAlign w:val="bottom"/>
            <w:hideMark/>
          </w:tcPr>
          <w:p w14:paraId="24838705"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0.058(0.161)</w:t>
            </w:r>
          </w:p>
        </w:tc>
        <w:tc>
          <w:tcPr>
            <w:tcW w:w="1738" w:type="dxa"/>
            <w:tcBorders>
              <w:top w:val="nil"/>
              <w:left w:val="nil"/>
              <w:bottom w:val="nil"/>
              <w:right w:val="nil"/>
            </w:tcBorders>
            <w:shd w:val="clear" w:color="auto" w:fill="auto"/>
            <w:noWrap/>
            <w:vAlign w:val="bottom"/>
            <w:hideMark/>
          </w:tcPr>
          <w:p w14:paraId="64DF9525"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0.047(0.102)***</w:t>
            </w:r>
          </w:p>
        </w:tc>
        <w:tc>
          <w:tcPr>
            <w:tcW w:w="1792" w:type="dxa"/>
            <w:tcBorders>
              <w:top w:val="nil"/>
              <w:left w:val="nil"/>
              <w:bottom w:val="nil"/>
              <w:right w:val="nil"/>
            </w:tcBorders>
            <w:shd w:val="clear" w:color="auto" w:fill="auto"/>
            <w:noWrap/>
            <w:vAlign w:val="bottom"/>
            <w:hideMark/>
          </w:tcPr>
          <w:p w14:paraId="70698D79"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0.050(0.137)</w:t>
            </w:r>
          </w:p>
        </w:tc>
        <w:tc>
          <w:tcPr>
            <w:tcW w:w="1738" w:type="dxa"/>
            <w:tcBorders>
              <w:top w:val="nil"/>
              <w:left w:val="nil"/>
              <w:bottom w:val="nil"/>
              <w:right w:val="nil"/>
            </w:tcBorders>
            <w:shd w:val="clear" w:color="auto" w:fill="auto"/>
            <w:noWrap/>
            <w:vAlign w:val="bottom"/>
            <w:hideMark/>
          </w:tcPr>
          <w:p w14:paraId="1C653D6A"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0.060(0.136)</w:t>
            </w:r>
          </w:p>
        </w:tc>
      </w:tr>
      <w:tr w:rsidR="00326E18" w:rsidRPr="00277D3E" w14:paraId="3A4B8503" w14:textId="77777777" w:rsidTr="007F1F1A">
        <w:trPr>
          <w:trHeight w:val="300"/>
        </w:trPr>
        <w:tc>
          <w:tcPr>
            <w:tcW w:w="2175" w:type="dxa"/>
            <w:tcBorders>
              <w:top w:val="nil"/>
              <w:left w:val="nil"/>
              <w:bottom w:val="nil"/>
              <w:right w:val="nil"/>
            </w:tcBorders>
            <w:shd w:val="clear" w:color="auto" w:fill="auto"/>
            <w:noWrap/>
            <w:vAlign w:val="bottom"/>
            <w:hideMark/>
          </w:tcPr>
          <w:p w14:paraId="4320EE37"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Loss ROI</w:t>
            </w:r>
          </w:p>
        </w:tc>
        <w:tc>
          <w:tcPr>
            <w:tcW w:w="1663" w:type="dxa"/>
            <w:tcBorders>
              <w:top w:val="nil"/>
              <w:left w:val="nil"/>
              <w:bottom w:val="nil"/>
              <w:right w:val="nil"/>
            </w:tcBorders>
            <w:shd w:val="clear" w:color="auto" w:fill="auto"/>
            <w:noWrap/>
            <w:vAlign w:val="bottom"/>
            <w:hideMark/>
          </w:tcPr>
          <w:p w14:paraId="615F7ED5"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-0.177(0.199)</w:t>
            </w:r>
          </w:p>
        </w:tc>
        <w:tc>
          <w:tcPr>
            <w:tcW w:w="1815" w:type="dxa"/>
            <w:tcBorders>
              <w:top w:val="nil"/>
              <w:left w:val="nil"/>
              <w:bottom w:val="nil"/>
              <w:right w:val="nil"/>
            </w:tcBorders>
            <w:shd w:val="clear" w:color="auto" w:fill="auto"/>
            <w:noWrap/>
            <w:vAlign w:val="bottom"/>
            <w:hideMark/>
          </w:tcPr>
          <w:p w14:paraId="27919CD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-0.173(0.201)</w:t>
            </w:r>
          </w:p>
        </w:tc>
        <w:tc>
          <w:tcPr>
            <w:tcW w:w="1792" w:type="dxa"/>
            <w:tcBorders>
              <w:top w:val="nil"/>
              <w:left w:val="nil"/>
              <w:bottom w:val="nil"/>
              <w:right w:val="nil"/>
            </w:tcBorders>
            <w:shd w:val="clear" w:color="auto" w:fill="auto"/>
            <w:noWrap/>
            <w:vAlign w:val="bottom"/>
            <w:hideMark/>
          </w:tcPr>
          <w:p w14:paraId="183A36A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-0.155(0.175)</w:t>
            </w:r>
          </w:p>
        </w:tc>
        <w:tc>
          <w:tcPr>
            <w:tcW w:w="1738" w:type="dxa"/>
            <w:tcBorders>
              <w:top w:val="nil"/>
              <w:left w:val="nil"/>
              <w:bottom w:val="nil"/>
              <w:right w:val="nil"/>
            </w:tcBorders>
            <w:shd w:val="clear" w:color="auto" w:fill="auto"/>
            <w:noWrap/>
            <w:vAlign w:val="bottom"/>
            <w:hideMark/>
          </w:tcPr>
          <w:p w14:paraId="0C4E6827"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-0.148(0.172)</w:t>
            </w:r>
          </w:p>
        </w:tc>
        <w:tc>
          <w:tcPr>
            <w:tcW w:w="1738" w:type="dxa"/>
            <w:tcBorders>
              <w:top w:val="nil"/>
              <w:left w:val="nil"/>
              <w:bottom w:val="nil"/>
              <w:right w:val="nil"/>
            </w:tcBorders>
            <w:shd w:val="clear" w:color="auto" w:fill="auto"/>
            <w:noWrap/>
            <w:vAlign w:val="bottom"/>
            <w:hideMark/>
          </w:tcPr>
          <w:p w14:paraId="36FE535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-0.142(0.167)*</w:t>
            </w:r>
          </w:p>
        </w:tc>
        <w:tc>
          <w:tcPr>
            <w:tcW w:w="1792" w:type="dxa"/>
            <w:tcBorders>
              <w:top w:val="nil"/>
              <w:left w:val="nil"/>
              <w:bottom w:val="nil"/>
              <w:right w:val="nil"/>
            </w:tcBorders>
            <w:shd w:val="clear" w:color="auto" w:fill="auto"/>
            <w:noWrap/>
            <w:vAlign w:val="bottom"/>
            <w:hideMark/>
          </w:tcPr>
          <w:p w14:paraId="55D0332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-0.146(0.181)</w:t>
            </w:r>
          </w:p>
        </w:tc>
        <w:tc>
          <w:tcPr>
            <w:tcW w:w="1738" w:type="dxa"/>
            <w:tcBorders>
              <w:top w:val="nil"/>
              <w:left w:val="nil"/>
              <w:bottom w:val="nil"/>
              <w:right w:val="nil"/>
            </w:tcBorders>
            <w:shd w:val="clear" w:color="auto" w:fill="auto"/>
            <w:noWrap/>
            <w:vAlign w:val="bottom"/>
            <w:hideMark/>
          </w:tcPr>
          <w:p w14:paraId="2F4662DD"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-0.151(0.167)</w:t>
            </w:r>
          </w:p>
        </w:tc>
      </w:tr>
      <w:tr w:rsidR="00326E18" w:rsidRPr="00277D3E" w14:paraId="795CB79D" w14:textId="77777777" w:rsidTr="007F1F1A">
        <w:trPr>
          <w:trHeight w:val="300"/>
        </w:trPr>
        <w:tc>
          <w:tcPr>
            <w:tcW w:w="2175" w:type="dxa"/>
            <w:tcBorders>
              <w:top w:val="nil"/>
              <w:left w:val="nil"/>
              <w:bottom w:val="nil"/>
              <w:right w:val="nil"/>
            </w:tcBorders>
            <w:shd w:val="clear" w:color="auto" w:fill="auto"/>
            <w:noWrap/>
            <w:vAlign w:val="bottom"/>
            <w:hideMark/>
          </w:tcPr>
          <w:p w14:paraId="7E3A9DED" w14:textId="3C9005C8" w:rsidR="00326E18" w:rsidRPr="00FC6DF5" w:rsidRDefault="000F6886" w:rsidP="00326E18">
            <w:pPr>
              <w:spacing w:after="0" w:line="240" w:lineRule="auto"/>
              <w:rPr>
                <w:rFonts w:asciiTheme="majorHAnsi" w:eastAsia="Times New Roman" w:hAnsiTheme="majorHAnsi" w:cs="Times New Roman"/>
                <w:color w:val="000000"/>
                <w:sz w:val="20"/>
                <w:szCs w:val="20"/>
                <w:lang w:eastAsia="en-GB"/>
              </w:rPr>
            </w:pPr>
            <w:r>
              <w:rPr>
                <w:rFonts w:asciiTheme="majorHAnsi" w:eastAsia="Times New Roman" w:hAnsiTheme="majorHAnsi" w:cs="Times New Roman"/>
                <w:color w:val="000000"/>
                <w:sz w:val="20"/>
                <w:szCs w:val="20"/>
                <w:lang w:eastAsia="en-GB"/>
              </w:rPr>
              <w:t>Generally Profitable</w:t>
            </w:r>
          </w:p>
        </w:tc>
        <w:tc>
          <w:tcPr>
            <w:tcW w:w="1663" w:type="dxa"/>
            <w:tcBorders>
              <w:top w:val="nil"/>
              <w:left w:val="nil"/>
              <w:bottom w:val="nil"/>
              <w:right w:val="nil"/>
            </w:tcBorders>
            <w:shd w:val="clear" w:color="auto" w:fill="auto"/>
            <w:noWrap/>
            <w:vAlign w:val="bottom"/>
            <w:hideMark/>
          </w:tcPr>
          <w:p w14:paraId="29C98522"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0.287(0.454)</w:t>
            </w:r>
          </w:p>
        </w:tc>
        <w:tc>
          <w:tcPr>
            <w:tcW w:w="1815" w:type="dxa"/>
            <w:tcBorders>
              <w:top w:val="nil"/>
              <w:left w:val="nil"/>
              <w:bottom w:val="nil"/>
              <w:right w:val="nil"/>
            </w:tcBorders>
            <w:shd w:val="clear" w:color="auto" w:fill="auto"/>
            <w:noWrap/>
            <w:vAlign w:val="bottom"/>
            <w:hideMark/>
          </w:tcPr>
          <w:p w14:paraId="330542E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0.240(0.428)</w:t>
            </w:r>
          </w:p>
        </w:tc>
        <w:tc>
          <w:tcPr>
            <w:tcW w:w="1792" w:type="dxa"/>
            <w:tcBorders>
              <w:top w:val="nil"/>
              <w:left w:val="nil"/>
              <w:bottom w:val="nil"/>
              <w:right w:val="nil"/>
            </w:tcBorders>
            <w:shd w:val="clear" w:color="auto" w:fill="auto"/>
            <w:noWrap/>
            <w:vAlign w:val="bottom"/>
            <w:hideMark/>
          </w:tcPr>
          <w:p w14:paraId="6BE400FD"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0.265(0.441)</w:t>
            </w:r>
          </w:p>
        </w:tc>
        <w:tc>
          <w:tcPr>
            <w:tcW w:w="1738" w:type="dxa"/>
            <w:tcBorders>
              <w:top w:val="nil"/>
              <w:left w:val="nil"/>
              <w:bottom w:val="nil"/>
              <w:right w:val="nil"/>
            </w:tcBorders>
            <w:shd w:val="clear" w:color="auto" w:fill="auto"/>
            <w:noWrap/>
            <w:vAlign w:val="bottom"/>
            <w:hideMark/>
          </w:tcPr>
          <w:p w14:paraId="2506D3C9"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0.282(0.450)</w:t>
            </w:r>
          </w:p>
        </w:tc>
        <w:tc>
          <w:tcPr>
            <w:tcW w:w="1738" w:type="dxa"/>
            <w:tcBorders>
              <w:top w:val="nil"/>
              <w:left w:val="nil"/>
              <w:bottom w:val="nil"/>
              <w:right w:val="nil"/>
            </w:tcBorders>
            <w:shd w:val="clear" w:color="auto" w:fill="auto"/>
            <w:noWrap/>
            <w:vAlign w:val="bottom"/>
            <w:hideMark/>
          </w:tcPr>
          <w:p w14:paraId="11F792D3"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0.278(0.448)</w:t>
            </w:r>
          </w:p>
        </w:tc>
        <w:tc>
          <w:tcPr>
            <w:tcW w:w="1792" w:type="dxa"/>
            <w:tcBorders>
              <w:top w:val="nil"/>
              <w:left w:val="nil"/>
              <w:bottom w:val="nil"/>
              <w:right w:val="nil"/>
            </w:tcBorders>
            <w:shd w:val="clear" w:color="auto" w:fill="auto"/>
            <w:noWrap/>
            <w:vAlign w:val="bottom"/>
            <w:hideMark/>
          </w:tcPr>
          <w:p w14:paraId="61C8631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0.255(0.436)</w:t>
            </w:r>
          </w:p>
        </w:tc>
        <w:tc>
          <w:tcPr>
            <w:tcW w:w="1738" w:type="dxa"/>
            <w:tcBorders>
              <w:top w:val="nil"/>
              <w:left w:val="nil"/>
              <w:bottom w:val="nil"/>
              <w:right w:val="nil"/>
            </w:tcBorders>
            <w:shd w:val="clear" w:color="auto" w:fill="auto"/>
            <w:noWrap/>
            <w:vAlign w:val="bottom"/>
            <w:hideMark/>
          </w:tcPr>
          <w:p w14:paraId="5F8E83A2"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0.258(0.438)</w:t>
            </w:r>
          </w:p>
        </w:tc>
      </w:tr>
      <w:tr w:rsidR="00326E18" w:rsidRPr="00277D3E" w14:paraId="3218BEB4" w14:textId="77777777" w:rsidTr="007F1F1A">
        <w:trPr>
          <w:trHeight w:val="300"/>
        </w:trPr>
        <w:tc>
          <w:tcPr>
            <w:tcW w:w="2175" w:type="dxa"/>
            <w:tcBorders>
              <w:top w:val="nil"/>
              <w:left w:val="nil"/>
              <w:bottom w:val="nil"/>
              <w:right w:val="nil"/>
            </w:tcBorders>
            <w:shd w:val="clear" w:color="auto" w:fill="auto"/>
            <w:noWrap/>
            <w:vAlign w:val="bottom"/>
            <w:hideMark/>
          </w:tcPr>
          <w:p w14:paraId="74FCF319" w14:textId="7C3AAD9B" w:rsidR="00326E18" w:rsidRPr="00FC6DF5" w:rsidRDefault="000F6886" w:rsidP="00326E18">
            <w:pPr>
              <w:spacing w:after="0" w:line="240" w:lineRule="auto"/>
              <w:rPr>
                <w:rFonts w:asciiTheme="majorHAnsi" w:eastAsia="Times New Roman" w:hAnsiTheme="majorHAnsi" w:cs="Times New Roman"/>
                <w:color w:val="000000"/>
                <w:sz w:val="20"/>
                <w:szCs w:val="20"/>
                <w:lang w:eastAsia="en-GB"/>
              </w:rPr>
            </w:pPr>
            <w:r>
              <w:rPr>
                <w:rFonts w:asciiTheme="majorHAnsi" w:eastAsia="Times New Roman" w:hAnsiTheme="majorHAnsi" w:cs="Times New Roman"/>
                <w:color w:val="000000"/>
                <w:sz w:val="20"/>
                <w:szCs w:val="20"/>
                <w:lang w:eastAsia="en-GB"/>
              </w:rPr>
              <w:t>Net Loss</w:t>
            </w:r>
          </w:p>
        </w:tc>
        <w:tc>
          <w:tcPr>
            <w:tcW w:w="1663" w:type="dxa"/>
            <w:tcBorders>
              <w:top w:val="nil"/>
              <w:left w:val="nil"/>
              <w:bottom w:val="nil"/>
              <w:right w:val="nil"/>
            </w:tcBorders>
            <w:shd w:val="clear" w:color="auto" w:fill="auto"/>
            <w:noWrap/>
            <w:vAlign w:val="bottom"/>
            <w:hideMark/>
          </w:tcPr>
          <w:p w14:paraId="27070A0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0.359(0.428)</w:t>
            </w:r>
          </w:p>
        </w:tc>
        <w:tc>
          <w:tcPr>
            <w:tcW w:w="1815" w:type="dxa"/>
            <w:tcBorders>
              <w:top w:val="nil"/>
              <w:left w:val="nil"/>
              <w:bottom w:val="nil"/>
              <w:right w:val="nil"/>
            </w:tcBorders>
            <w:shd w:val="clear" w:color="auto" w:fill="auto"/>
            <w:noWrap/>
            <w:vAlign w:val="bottom"/>
            <w:hideMark/>
          </w:tcPr>
          <w:p w14:paraId="5418A9CD"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0.286(0.419)</w:t>
            </w:r>
          </w:p>
        </w:tc>
        <w:tc>
          <w:tcPr>
            <w:tcW w:w="1792" w:type="dxa"/>
            <w:tcBorders>
              <w:top w:val="nil"/>
              <w:left w:val="nil"/>
              <w:bottom w:val="nil"/>
              <w:right w:val="nil"/>
            </w:tcBorders>
            <w:shd w:val="clear" w:color="auto" w:fill="auto"/>
            <w:noWrap/>
            <w:vAlign w:val="bottom"/>
            <w:hideMark/>
          </w:tcPr>
          <w:p w14:paraId="5136EF9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0.310(0.416)</w:t>
            </w:r>
          </w:p>
        </w:tc>
        <w:tc>
          <w:tcPr>
            <w:tcW w:w="1738" w:type="dxa"/>
            <w:tcBorders>
              <w:top w:val="nil"/>
              <w:left w:val="nil"/>
              <w:bottom w:val="nil"/>
              <w:right w:val="nil"/>
            </w:tcBorders>
            <w:shd w:val="clear" w:color="auto" w:fill="auto"/>
            <w:noWrap/>
            <w:vAlign w:val="bottom"/>
            <w:hideMark/>
          </w:tcPr>
          <w:p w14:paraId="4392770E"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0.322(0.434)</w:t>
            </w:r>
          </w:p>
        </w:tc>
        <w:tc>
          <w:tcPr>
            <w:tcW w:w="1738" w:type="dxa"/>
            <w:tcBorders>
              <w:top w:val="nil"/>
              <w:left w:val="nil"/>
              <w:bottom w:val="nil"/>
              <w:right w:val="nil"/>
            </w:tcBorders>
            <w:shd w:val="clear" w:color="auto" w:fill="auto"/>
            <w:noWrap/>
            <w:vAlign w:val="bottom"/>
            <w:hideMark/>
          </w:tcPr>
          <w:p w14:paraId="64EE2FF2"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0.315(0.433)</w:t>
            </w:r>
          </w:p>
        </w:tc>
        <w:tc>
          <w:tcPr>
            <w:tcW w:w="1792" w:type="dxa"/>
            <w:tcBorders>
              <w:top w:val="nil"/>
              <w:left w:val="nil"/>
              <w:bottom w:val="nil"/>
              <w:right w:val="nil"/>
            </w:tcBorders>
            <w:shd w:val="clear" w:color="auto" w:fill="auto"/>
            <w:noWrap/>
            <w:vAlign w:val="bottom"/>
            <w:hideMark/>
          </w:tcPr>
          <w:p w14:paraId="20B24B4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0.282(0.421)</w:t>
            </w:r>
          </w:p>
        </w:tc>
        <w:tc>
          <w:tcPr>
            <w:tcW w:w="1738" w:type="dxa"/>
            <w:tcBorders>
              <w:top w:val="nil"/>
              <w:left w:val="nil"/>
              <w:bottom w:val="nil"/>
              <w:right w:val="nil"/>
            </w:tcBorders>
            <w:shd w:val="clear" w:color="auto" w:fill="auto"/>
            <w:noWrap/>
            <w:vAlign w:val="bottom"/>
            <w:hideMark/>
          </w:tcPr>
          <w:p w14:paraId="72FEC00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0.283(0.413)*</w:t>
            </w:r>
          </w:p>
        </w:tc>
      </w:tr>
      <w:tr w:rsidR="00326E18" w:rsidRPr="00277D3E" w14:paraId="067C34C3" w14:textId="77777777" w:rsidTr="007F1F1A">
        <w:trPr>
          <w:trHeight w:val="300"/>
        </w:trPr>
        <w:tc>
          <w:tcPr>
            <w:tcW w:w="2175" w:type="dxa"/>
            <w:tcBorders>
              <w:top w:val="nil"/>
              <w:left w:val="nil"/>
              <w:bottom w:val="nil"/>
              <w:right w:val="nil"/>
            </w:tcBorders>
            <w:shd w:val="clear" w:color="auto" w:fill="auto"/>
            <w:noWrap/>
            <w:vAlign w:val="bottom"/>
            <w:hideMark/>
          </w:tcPr>
          <w:p w14:paraId="7A58DF38" w14:textId="72231F59" w:rsidR="00326E18" w:rsidRPr="00FC6DF5" w:rsidRDefault="000F6886" w:rsidP="00326E18">
            <w:pPr>
              <w:spacing w:after="0" w:line="240" w:lineRule="auto"/>
              <w:rPr>
                <w:rFonts w:asciiTheme="majorHAnsi" w:eastAsia="Times New Roman" w:hAnsiTheme="majorHAnsi" w:cs="Times New Roman"/>
                <w:color w:val="000000"/>
                <w:sz w:val="20"/>
                <w:szCs w:val="20"/>
                <w:lang w:eastAsia="en-GB"/>
              </w:rPr>
            </w:pPr>
            <w:r>
              <w:rPr>
                <w:rFonts w:asciiTheme="majorHAnsi" w:eastAsia="Times New Roman" w:hAnsiTheme="majorHAnsi" w:cs="Times New Roman"/>
                <w:color w:val="000000"/>
                <w:sz w:val="20"/>
                <w:szCs w:val="20"/>
                <w:lang w:eastAsia="en-GB"/>
              </w:rPr>
              <w:t>Net Profit</w:t>
            </w:r>
          </w:p>
        </w:tc>
        <w:tc>
          <w:tcPr>
            <w:tcW w:w="1663" w:type="dxa"/>
            <w:tcBorders>
              <w:top w:val="nil"/>
              <w:left w:val="nil"/>
              <w:bottom w:val="nil"/>
              <w:right w:val="nil"/>
            </w:tcBorders>
            <w:shd w:val="clear" w:color="auto" w:fill="auto"/>
            <w:noWrap/>
            <w:vAlign w:val="bottom"/>
            <w:hideMark/>
          </w:tcPr>
          <w:p w14:paraId="3E7873C3"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0.641(0.428)</w:t>
            </w:r>
          </w:p>
        </w:tc>
        <w:tc>
          <w:tcPr>
            <w:tcW w:w="1815" w:type="dxa"/>
            <w:tcBorders>
              <w:top w:val="nil"/>
              <w:left w:val="nil"/>
              <w:bottom w:val="nil"/>
              <w:right w:val="nil"/>
            </w:tcBorders>
            <w:shd w:val="clear" w:color="auto" w:fill="auto"/>
            <w:noWrap/>
            <w:vAlign w:val="bottom"/>
            <w:hideMark/>
          </w:tcPr>
          <w:p w14:paraId="2DFDC29A"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0.714(0.419)</w:t>
            </w:r>
          </w:p>
        </w:tc>
        <w:tc>
          <w:tcPr>
            <w:tcW w:w="1792" w:type="dxa"/>
            <w:tcBorders>
              <w:top w:val="nil"/>
              <w:left w:val="nil"/>
              <w:bottom w:val="nil"/>
              <w:right w:val="nil"/>
            </w:tcBorders>
            <w:shd w:val="clear" w:color="auto" w:fill="auto"/>
            <w:noWrap/>
            <w:vAlign w:val="bottom"/>
            <w:hideMark/>
          </w:tcPr>
          <w:p w14:paraId="7B1F61B6"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0.690(0.416)</w:t>
            </w:r>
          </w:p>
        </w:tc>
        <w:tc>
          <w:tcPr>
            <w:tcW w:w="1738" w:type="dxa"/>
            <w:tcBorders>
              <w:top w:val="nil"/>
              <w:left w:val="nil"/>
              <w:bottom w:val="nil"/>
              <w:right w:val="nil"/>
            </w:tcBorders>
            <w:shd w:val="clear" w:color="auto" w:fill="auto"/>
            <w:noWrap/>
            <w:vAlign w:val="bottom"/>
            <w:hideMark/>
          </w:tcPr>
          <w:p w14:paraId="7DF4862A"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0.678(0.434)</w:t>
            </w:r>
          </w:p>
        </w:tc>
        <w:tc>
          <w:tcPr>
            <w:tcW w:w="1738" w:type="dxa"/>
            <w:tcBorders>
              <w:top w:val="nil"/>
              <w:left w:val="nil"/>
              <w:bottom w:val="nil"/>
              <w:right w:val="nil"/>
            </w:tcBorders>
            <w:shd w:val="clear" w:color="auto" w:fill="auto"/>
            <w:noWrap/>
            <w:vAlign w:val="bottom"/>
            <w:hideMark/>
          </w:tcPr>
          <w:p w14:paraId="28CBEDA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0.685(0.433)</w:t>
            </w:r>
          </w:p>
        </w:tc>
        <w:tc>
          <w:tcPr>
            <w:tcW w:w="1792" w:type="dxa"/>
            <w:tcBorders>
              <w:top w:val="nil"/>
              <w:left w:val="nil"/>
              <w:bottom w:val="nil"/>
              <w:right w:val="nil"/>
            </w:tcBorders>
            <w:shd w:val="clear" w:color="auto" w:fill="auto"/>
            <w:noWrap/>
            <w:vAlign w:val="bottom"/>
            <w:hideMark/>
          </w:tcPr>
          <w:p w14:paraId="3267CA0C"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0.718(0.421)</w:t>
            </w:r>
          </w:p>
        </w:tc>
        <w:tc>
          <w:tcPr>
            <w:tcW w:w="1738" w:type="dxa"/>
            <w:tcBorders>
              <w:top w:val="nil"/>
              <w:left w:val="nil"/>
              <w:bottom w:val="nil"/>
              <w:right w:val="nil"/>
            </w:tcBorders>
            <w:shd w:val="clear" w:color="auto" w:fill="auto"/>
            <w:noWrap/>
            <w:vAlign w:val="bottom"/>
            <w:hideMark/>
          </w:tcPr>
          <w:p w14:paraId="52BF0DAB"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0.717(0.413)*</w:t>
            </w:r>
          </w:p>
        </w:tc>
      </w:tr>
      <w:tr w:rsidR="00326E18" w:rsidRPr="00277D3E" w14:paraId="17917C80" w14:textId="77777777" w:rsidTr="007F1F1A">
        <w:trPr>
          <w:trHeight w:val="300"/>
        </w:trPr>
        <w:tc>
          <w:tcPr>
            <w:tcW w:w="2175" w:type="dxa"/>
            <w:tcBorders>
              <w:top w:val="nil"/>
              <w:left w:val="nil"/>
              <w:bottom w:val="nil"/>
              <w:right w:val="nil"/>
            </w:tcBorders>
            <w:shd w:val="clear" w:color="auto" w:fill="auto"/>
            <w:noWrap/>
            <w:vAlign w:val="bottom"/>
            <w:hideMark/>
          </w:tcPr>
          <w:p w14:paraId="6600D5EF"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Status Change</w:t>
            </w:r>
          </w:p>
        </w:tc>
        <w:tc>
          <w:tcPr>
            <w:tcW w:w="1663" w:type="dxa"/>
            <w:tcBorders>
              <w:top w:val="nil"/>
              <w:left w:val="nil"/>
              <w:bottom w:val="nil"/>
              <w:right w:val="nil"/>
            </w:tcBorders>
            <w:shd w:val="clear" w:color="auto" w:fill="auto"/>
            <w:noWrap/>
            <w:vAlign w:val="bottom"/>
            <w:hideMark/>
          </w:tcPr>
          <w:p w14:paraId="491C1B66"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0.490(0.410)*</w:t>
            </w:r>
          </w:p>
        </w:tc>
        <w:tc>
          <w:tcPr>
            <w:tcW w:w="1815" w:type="dxa"/>
            <w:tcBorders>
              <w:top w:val="nil"/>
              <w:left w:val="nil"/>
              <w:bottom w:val="nil"/>
              <w:right w:val="nil"/>
            </w:tcBorders>
            <w:shd w:val="clear" w:color="auto" w:fill="auto"/>
            <w:noWrap/>
            <w:vAlign w:val="bottom"/>
            <w:hideMark/>
          </w:tcPr>
          <w:p w14:paraId="5653EF45"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0.497(0.430)**</w:t>
            </w:r>
          </w:p>
        </w:tc>
        <w:tc>
          <w:tcPr>
            <w:tcW w:w="1792" w:type="dxa"/>
            <w:tcBorders>
              <w:top w:val="nil"/>
              <w:left w:val="nil"/>
              <w:bottom w:val="nil"/>
              <w:right w:val="nil"/>
            </w:tcBorders>
            <w:shd w:val="clear" w:color="auto" w:fill="auto"/>
            <w:noWrap/>
            <w:vAlign w:val="bottom"/>
            <w:hideMark/>
          </w:tcPr>
          <w:p w14:paraId="6D0F1463"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0.479(0.405)***</w:t>
            </w:r>
          </w:p>
        </w:tc>
        <w:tc>
          <w:tcPr>
            <w:tcW w:w="1738" w:type="dxa"/>
            <w:tcBorders>
              <w:top w:val="nil"/>
              <w:left w:val="nil"/>
              <w:bottom w:val="nil"/>
              <w:right w:val="nil"/>
            </w:tcBorders>
            <w:shd w:val="clear" w:color="auto" w:fill="auto"/>
            <w:noWrap/>
            <w:vAlign w:val="bottom"/>
            <w:hideMark/>
          </w:tcPr>
          <w:p w14:paraId="768E108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0.422(0.412)</w:t>
            </w:r>
          </w:p>
        </w:tc>
        <w:tc>
          <w:tcPr>
            <w:tcW w:w="1738" w:type="dxa"/>
            <w:tcBorders>
              <w:top w:val="nil"/>
              <w:left w:val="nil"/>
              <w:bottom w:val="nil"/>
              <w:right w:val="nil"/>
            </w:tcBorders>
            <w:shd w:val="clear" w:color="auto" w:fill="auto"/>
            <w:noWrap/>
            <w:vAlign w:val="bottom"/>
            <w:hideMark/>
          </w:tcPr>
          <w:p w14:paraId="431BE62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0.420(0.414)</w:t>
            </w:r>
          </w:p>
        </w:tc>
        <w:tc>
          <w:tcPr>
            <w:tcW w:w="1792" w:type="dxa"/>
            <w:tcBorders>
              <w:top w:val="nil"/>
              <w:left w:val="nil"/>
              <w:bottom w:val="nil"/>
              <w:right w:val="nil"/>
            </w:tcBorders>
            <w:shd w:val="clear" w:color="auto" w:fill="auto"/>
            <w:noWrap/>
            <w:vAlign w:val="bottom"/>
            <w:hideMark/>
          </w:tcPr>
          <w:p w14:paraId="20583B8F"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0.338(0.405)***</w:t>
            </w:r>
          </w:p>
        </w:tc>
        <w:tc>
          <w:tcPr>
            <w:tcW w:w="1738" w:type="dxa"/>
            <w:tcBorders>
              <w:top w:val="nil"/>
              <w:left w:val="nil"/>
              <w:bottom w:val="nil"/>
              <w:right w:val="nil"/>
            </w:tcBorders>
            <w:shd w:val="clear" w:color="auto" w:fill="auto"/>
            <w:noWrap/>
            <w:vAlign w:val="bottom"/>
            <w:hideMark/>
          </w:tcPr>
          <w:p w14:paraId="73F19FEF"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0.389(0.409)**</w:t>
            </w:r>
          </w:p>
        </w:tc>
      </w:tr>
      <w:tr w:rsidR="00326E18" w:rsidRPr="00277D3E" w14:paraId="65FBA779" w14:textId="77777777" w:rsidTr="007F1F1A">
        <w:trPr>
          <w:trHeight w:val="300"/>
        </w:trPr>
        <w:tc>
          <w:tcPr>
            <w:tcW w:w="2175" w:type="dxa"/>
            <w:tcBorders>
              <w:top w:val="nil"/>
              <w:left w:val="nil"/>
              <w:bottom w:val="nil"/>
              <w:right w:val="nil"/>
            </w:tcBorders>
            <w:shd w:val="clear" w:color="auto" w:fill="auto"/>
            <w:noWrap/>
            <w:vAlign w:val="bottom"/>
            <w:hideMark/>
          </w:tcPr>
          <w:p w14:paraId="12383332"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Stake</w:t>
            </w:r>
          </w:p>
        </w:tc>
        <w:tc>
          <w:tcPr>
            <w:tcW w:w="1663" w:type="dxa"/>
            <w:tcBorders>
              <w:top w:val="nil"/>
              <w:left w:val="nil"/>
              <w:bottom w:val="nil"/>
              <w:right w:val="nil"/>
            </w:tcBorders>
            <w:shd w:val="clear" w:color="auto" w:fill="auto"/>
            <w:noWrap/>
            <w:vAlign w:val="bottom"/>
            <w:hideMark/>
          </w:tcPr>
          <w:p w14:paraId="1110BBF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4.33(12.99)</w:t>
            </w:r>
          </w:p>
        </w:tc>
        <w:tc>
          <w:tcPr>
            <w:tcW w:w="1815" w:type="dxa"/>
            <w:tcBorders>
              <w:top w:val="nil"/>
              <w:left w:val="nil"/>
              <w:bottom w:val="nil"/>
              <w:right w:val="nil"/>
            </w:tcBorders>
            <w:shd w:val="clear" w:color="auto" w:fill="auto"/>
            <w:noWrap/>
            <w:vAlign w:val="bottom"/>
            <w:hideMark/>
          </w:tcPr>
          <w:p w14:paraId="4A06B78F"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3.88(13.21)</w:t>
            </w:r>
          </w:p>
        </w:tc>
        <w:tc>
          <w:tcPr>
            <w:tcW w:w="1792" w:type="dxa"/>
            <w:tcBorders>
              <w:top w:val="nil"/>
              <w:left w:val="nil"/>
              <w:bottom w:val="nil"/>
              <w:right w:val="nil"/>
            </w:tcBorders>
            <w:shd w:val="clear" w:color="auto" w:fill="auto"/>
            <w:noWrap/>
            <w:vAlign w:val="bottom"/>
            <w:hideMark/>
          </w:tcPr>
          <w:p w14:paraId="7EBCCCD3"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3.96(9.60)**</w:t>
            </w:r>
          </w:p>
        </w:tc>
        <w:tc>
          <w:tcPr>
            <w:tcW w:w="1738" w:type="dxa"/>
            <w:tcBorders>
              <w:top w:val="nil"/>
              <w:left w:val="nil"/>
              <w:bottom w:val="nil"/>
              <w:right w:val="nil"/>
            </w:tcBorders>
            <w:shd w:val="clear" w:color="auto" w:fill="auto"/>
            <w:noWrap/>
            <w:vAlign w:val="bottom"/>
            <w:hideMark/>
          </w:tcPr>
          <w:p w14:paraId="2C0ABFBA"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3.09(9.06)</w:t>
            </w:r>
          </w:p>
        </w:tc>
        <w:tc>
          <w:tcPr>
            <w:tcW w:w="1738" w:type="dxa"/>
            <w:tcBorders>
              <w:top w:val="nil"/>
              <w:left w:val="nil"/>
              <w:bottom w:val="nil"/>
              <w:right w:val="nil"/>
            </w:tcBorders>
            <w:shd w:val="clear" w:color="auto" w:fill="auto"/>
            <w:noWrap/>
            <w:vAlign w:val="bottom"/>
            <w:hideMark/>
          </w:tcPr>
          <w:p w14:paraId="336A0CD3"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2.88(8.33)</w:t>
            </w:r>
          </w:p>
        </w:tc>
        <w:tc>
          <w:tcPr>
            <w:tcW w:w="1792" w:type="dxa"/>
            <w:tcBorders>
              <w:top w:val="nil"/>
              <w:left w:val="nil"/>
              <w:bottom w:val="nil"/>
              <w:right w:val="nil"/>
            </w:tcBorders>
            <w:shd w:val="clear" w:color="auto" w:fill="auto"/>
            <w:noWrap/>
            <w:vAlign w:val="bottom"/>
            <w:hideMark/>
          </w:tcPr>
          <w:p w14:paraId="067AD4B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3.05(8.24)</w:t>
            </w:r>
          </w:p>
        </w:tc>
        <w:tc>
          <w:tcPr>
            <w:tcW w:w="1738" w:type="dxa"/>
            <w:tcBorders>
              <w:top w:val="nil"/>
              <w:left w:val="nil"/>
              <w:bottom w:val="nil"/>
              <w:right w:val="nil"/>
            </w:tcBorders>
            <w:shd w:val="clear" w:color="auto" w:fill="auto"/>
            <w:noWrap/>
            <w:vAlign w:val="bottom"/>
            <w:hideMark/>
          </w:tcPr>
          <w:p w14:paraId="313F570F"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2.72(6.34)**</w:t>
            </w:r>
          </w:p>
        </w:tc>
      </w:tr>
      <w:tr w:rsidR="00326E18" w:rsidRPr="00277D3E" w14:paraId="7106DAA9" w14:textId="77777777" w:rsidTr="007F1F1A">
        <w:trPr>
          <w:trHeight w:val="300"/>
        </w:trPr>
        <w:tc>
          <w:tcPr>
            <w:tcW w:w="2175" w:type="dxa"/>
            <w:tcBorders>
              <w:top w:val="nil"/>
              <w:left w:val="nil"/>
              <w:bottom w:val="nil"/>
              <w:right w:val="nil"/>
            </w:tcBorders>
            <w:shd w:val="clear" w:color="auto" w:fill="auto"/>
            <w:noWrap/>
            <w:vAlign w:val="bottom"/>
            <w:hideMark/>
          </w:tcPr>
          <w:p w14:paraId="0254C2AC"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Trades</w:t>
            </w:r>
          </w:p>
        </w:tc>
        <w:tc>
          <w:tcPr>
            <w:tcW w:w="1663" w:type="dxa"/>
            <w:tcBorders>
              <w:top w:val="nil"/>
              <w:left w:val="nil"/>
              <w:bottom w:val="nil"/>
              <w:right w:val="nil"/>
            </w:tcBorders>
            <w:shd w:val="clear" w:color="auto" w:fill="auto"/>
            <w:noWrap/>
            <w:vAlign w:val="bottom"/>
            <w:hideMark/>
          </w:tcPr>
          <w:p w14:paraId="08BD01AD"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4.2(4.8)***</w:t>
            </w:r>
          </w:p>
        </w:tc>
        <w:tc>
          <w:tcPr>
            <w:tcW w:w="1815" w:type="dxa"/>
            <w:tcBorders>
              <w:top w:val="nil"/>
              <w:left w:val="nil"/>
              <w:bottom w:val="nil"/>
              <w:right w:val="nil"/>
            </w:tcBorders>
            <w:shd w:val="clear" w:color="auto" w:fill="auto"/>
            <w:noWrap/>
            <w:vAlign w:val="bottom"/>
            <w:hideMark/>
          </w:tcPr>
          <w:p w14:paraId="55F5FE6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6.2(11.3)***</w:t>
            </w:r>
          </w:p>
        </w:tc>
        <w:tc>
          <w:tcPr>
            <w:tcW w:w="1792" w:type="dxa"/>
            <w:tcBorders>
              <w:top w:val="nil"/>
              <w:left w:val="nil"/>
              <w:bottom w:val="nil"/>
              <w:right w:val="nil"/>
            </w:tcBorders>
            <w:shd w:val="clear" w:color="auto" w:fill="auto"/>
            <w:noWrap/>
            <w:vAlign w:val="bottom"/>
            <w:hideMark/>
          </w:tcPr>
          <w:p w14:paraId="592C8002"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15.4(35.0)</w:t>
            </w:r>
          </w:p>
        </w:tc>
        <w:tc>
          <w:tcPr>
            <w:tcW w:w="1738" w:type="dxa"/>
            <w:tcBorders>
              <w:top w:val="nil"/>
              <w:left w:val="nil"/>
              <w:bottom w:val="nil"/>
              <w:right w:val="nil"/>
            </w:tcBorders>
            <w:shd w:val="clear" w:color="auto" w:fill="auto"/>
            <w:noWrap/>
            <w:vAlign w:val="bottom"/>
            <w:hideMark/>
          </w:tcPr>
          <w:p w14:paraId="1B37A0CC"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16.7(31.5)***</w:t>
            </w:r>
          </w:p>
        </w:tc>
        <w:tc>
          <w:tcPr>
            <w:tcW w:w="1738" w:type="dxa"/>
            <w:tcBorders>
              <w:top w:val="nil"/>
              <w:left w:val="nil"/>
              <w:bottom w:val="nil"/>
              <w:right w:val="nil"/>
            </w:tcBorders>
            <w:shd w:val="clear" w:color="auto" w:fill="auto"/>
            <w:noWrap/>
            <w:vAlign w:val="bottom"/>
            <w:hideMark/>
          </w:tcPr>
          <w:p w14:paraId="4020844E"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14.9(28.1)</w:t>
            </w:r>
          </w:p>
        </w:tc>
        <w:tc>
          <w:tcPr>
            <w:tcW w:w="1792" w:type="dxa"/>
            <w:tcBorders>
              <w:top w:val="nil"/>
              <w:left w:val="nil"/>
              <w:bottom w:val="nil"/>
              <w:right w:val="nil"/>
            </w:tcBorders>
            <w:shd w:val="clear" w:color="auto" w:fill="auto"/>
            <w:noWrap/>
            <w:vAlign w:val="bottom"/>
            <w:hideMark/>
          </w:tcPr>
          <w:p w14:paraId="3A80882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14.5(31.0)</w:t>
            </w:r>
          </w:p>
        </w:tc>
        <w:tc>
          <w:tcPr>
            <w:tcW w:w="1738" w:type="dxa"/>
            <w:tcBorders>
              <w:top w:val="nil"/>
              <w:left w:val="nil"/>
              <w:bottom w:val="nil"/>
              <w:right w:val="nil"/>
            </w:tcBorders>
            <w:shd w:val="clear" w:color="auto" w:fill="auto"/>
            <w:noWrap/>
            <w:vAlign w:val="bottom"/>
            <w:hideMark/>
          </w:tcPr>
          <w:p w14:paraId="6FF3A4D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11.8(22.0)***</w:t>
            </w:r>
          </w:p>
        </w:tc>
      </w:tr>
      <w:tr w:rsidR="00326E18" w:rsidRPr="00277D3E" w14:paraId="59B78EA5" w14:textId="77777777" w:rsidTr="007F1F1A">
        <w:trPr>
          <w:trHeight w:val="300"/>
        </w:trPr>
        <w:tc>
          <w:tcPr>
            <w:tcW w:w="2175" w:type="dxa"/>
            <w:tcBorders>
              <w:top w:val="nil"/>
              <w:left w:val="nil"/>
              <w:bottom w:val="nil"/>
              <w:right w:val="nil"/>
            </w:tcBorders>
            <w:shd w:val="clear" w:color="auto" w:fill="auto"/>
            <w:noWrap/>
            <w:vAlign w:val="bottom"/>
            <w:hideMark/>
          </w:tcPr>
          <w:p w14:paraId="2EFF8599" w14:textId="44D4A498"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Hold Time (</w:t>
            </w:r>
            <w:r w:rsidR="00530B7B">
              <w:rPr>
                <w:rFonts w:asciiTheme="majorHAnsi" w:eastAsia="Times New Roman" w:hAnsiTheme="majorHAnsi" w:cs="Times New Roman"/>
                <w:color w:val="000000"/>
                <w:sz w:val="20"/>
                <w:szCs w:val="20"/>
                <w:lang w:eastAsia="en-GB"/>
              </w:rPr>
              <w:t>minutes</w:t>
            </w:r>
            <w:r w:rsidRPr="00FC6DF5">
              <w:rPr>
                <w:rFonts w:asciiTheme="majorHAnsi" w:eastAsia="Times New Roman" w:hAnsiTheme="majorHAnsi" w:cs="Times New Roman"/>
                <w:color w:val="000000"/>
                <w:sz w:val="20"/>
                <w:szCs w:val="20"/>
                <w:lang w:eastAsia="en-GB"/>
              </w:rPr>
              <w:t>)</w:t>
            </w:r>
          </w:p>
        </w:tc>
        <w:tc>
          <w:tcPr>
            <w:tcW w:w="1663" w:type="dxa"/>
            <w:tcBorders>
              <w:top w:val="nil"/>
              <w:left w:val="nil"/>
              <w:bottom w:val="nil"/>
              <w:right w:val="nil"/>
            </w:tcBorders>
            <w:shd w:val="clear" w:color="auto" w:fill="auto"/>
            <w:noWrap/>
            <w:vAlign w:val="bottom"/>
            <w:hideMark/>
          </w:tcPr>
          <w:p w14:paraId="1BB51055"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2725(5800)</w:t>
            </w:r>
          </w:p>
        </w:tc>
        <w:tc>
          <w:tcPr>
            <w:tcW w:w="1815" w:type="dxa"/>
            <w:tcBorders>
              <w:top w:val="nil"/>
              <w:left w:val="nil"/>
              <w:bottom w:val="nil"/>
              <w:right w:val="nil"/>
            </w:tcBorders>
            <w:shd w:val="clear" w:color="auto" w:fill="auto"/>
            <w:noWrap/>
            <w:vAlign w:val="bottom"/>
            <w:hideMark/>
          </w:tcPr>
          <w:p w14:paraId="0C4046E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2792(9610)</w:t>
            </w:r>
          </w:p>
        </w:tc>
        <w:tc>
          <w:tcPr>
            <w:tcW w:w="1792" w:type="dxa"/>
            <w:tcBorders>
              <w:top w:val="nil"/>
              <w:left w:val="nil"/>
              <w:bottom w:val="nil"/>
              <w:right w:val="nil"/>
            </w:tcBorders>
            <w:shd w:val="clear" w:color="auto" w:fill="auto"/>
            <w:noWrap/>
            <w:vAlign w:val="bottom"/>
            <w:hideMark/>
          </w:tcPr>
          <w:p w14:paraId="18EBC97B"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1379(3973)***</w:t>
            </w:r>
          </w:p>
        </w:tc>
        <w:tc>
          <w:tcPr>
            <w:tcW w:w="1738" w:type="dxa"/>
            <w:tcBorders>
              <w:top w:val="nil"/>
              <w:left w:val="nil"/>
              <w:bottom w:val="nil"/>
              <w:right w:val="nil"/>
            </w:tcBorders>
            <w:shd w:val="clear" w:color="auto" w:fill="auto"/>
            <w:noWrap/>
            <w:vAlign w:val="bottom"/>
            <w:hideMark/>
          </w:tcPr>
          <w:p w14:paraId="289D3FD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1396(6065)***</w:t>
            </w:r>
          </w:p>
        </w:tc>
        <w:tc>
          <w:tcPr>
            <w:tcW w:w="1738" w:type="dxa"/>
            <w:tcBorders>
              <w:top w:val="nil"/>
              <w:left w:val="nil"/>
              <w:bottom w:val="nil"/>
              <w:right w:val="nil"/>
            </w:tcBorders>
            <w:shd w:val="clear" w:color="auto" w:fill="auto"/>
            <w:noWrap/>
            <w:vAlign w:val="bottom"/>
            <w:hideMark/>
          </w:tcPr>
          <w:p w14:paraId="33A5D705"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1935(7041)***</w:t>
            </w:r>
          </w:p>
        </w:tc>
        <w:tc>
          <w:tcPr>
            <w:tcW w:w="1792" w:type="dxa"/>
            <w:tcBorders>
              <w:top w:val="nil"/>
              <w:left w:val="nil"/>
              <w:bottom w:val="nil"/>
              <w:right w:val="nil"/>
            </w:tcBorders>
            <w:shd w:val="clear" w:color="auto" w:fill="auto"/>
            <w:noWrap/>
            <w:vAlign w:val="bottom"/>
            <w:hideMark/>
          </w:tcPr>
          <w:p w14:paraId="7C36A717"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4637(19440)**</w:t>
            </w:r>
          </w:p>
        </w:tc>
        <w:tc>
          <w:tcPr>
            <w:tcW w:w="1738" w:type="dxa"/>
            <w:tcBorders>
              <w:top w:val="nil"/>
              <w:left w:val="nil"/>
              <w:bottom w:val="nil"/>
              <w:right w:val="nil"/>
            </w:tcBorders>
            <w:shd w:val="clear" w:color="auto" w:fill="auto"/>
            <w:noWrap/>
            <w:vAlign w:val="bottom"/>
            <w:hideMark/>
          </w:tcPr>
          <w:p w14:paraId="57B51A1C"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4972(20933)***</w:t>
            </w:r>
          </w:p>
        </w:tc>
      </w:tr>
      <w:tr w:rsidR="00326E18" w:rsidRPr="00277D3E" w14:paraId="69989939" w14:textId="77777777" w:rsidTr="00FB0FC1">
        <w:trPr>
          <w:trHeight w:val="300"/>
        </w:trPr>
        <w:tc>
          <w:tcPr>
            <w:tcW w:w="2175" w:type="dxa"/>
            <w:tcBorders>
              <w:top w:val="nil"/>
              <w:left w:val="nil"/>
              <w:right w:val="nil"/>
            </w:tcBorders>
            <w:shd w:val="clear" w:color="auto" w:fill="auto"/>
            <w:noWrap/>
            <w:vAlign w:val="bottom"/>
            <w:hideMark/>
          </w:tcPr>
          <w:p w14:paraId="71E82E0C"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Market Return (%)</w:t>
            </w:r>
          </w:p>
        </w:tc>
        <w:tc>
          <w:tcPr>
            <w:tcW w:w="1663" w:type="dxa"/>
            <w:tcBorders>
              <w:top w:val="nil"/>
              <w:left w:val="nil"/>
              <w:right w:val="nil"/>
            </w:tcBorders>
            <w:shd w:val="clear" w:color="auto" w:fill="auto"/>
            <w:noWrap/>
            <w:vAlign w:val="bottom"/>
            <w:hideMark/>
          </w:tcPr>
          <w:p w14:paraId="733B87F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0.045(0.095)***</w:t>
            </w:r>
          </w:p>
        </w:tc>
        <w:tc>
          <w:tcPr>
            <w:tcW w:w="1815" w:type="dxa"/>
            <w:tcBorders>
              <w:top w:val="nil"/>
              <w:left w:val="nil"/>
              <w:right w:val="nil"/>
            </w:tcBorders>
            <w:shd w:val="clear" w:color="auto" w:fill="auto"/>
            <w:noWrap/>
            <w:vAlign w:val="bottom"/>
            <w:hideMark/>
          </w:tcPr>
          <w:p w14:paraId="4DDB96BF"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0.031(0.102)***</w:t>
            </w:r>
          </w:p>
        </w:tc>
        <w:tc>
          <w:tcPr>
            <w:tcW w:w="1792" w:type="dxa"/>
            <w:tcBorders>
              <w:top w:val="nil"/>
              <w:left w:val="nil"/>
              <w:right w:val="nil"/>
            </w:tcBorders>
            <w:shd w:val="clear" w:color="auto" w:fill="auto"/>
            <w:noWrap/>
            <w:vAlign w:val="bottom"/>
            <w:hideMark/>
          </w:tcPr>
          <w:p w14:paraId="7C330802"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0.009(0.097)***</w:t>
            </w:r>
          </w:p>
        </w:tc>
        <w:tc>
          <w:tcPr>
            <w:tcW w:w="1738" w:type="dxa"/>
            <w:tcBorders>
              <w:top w:val="nil"/>
              <w:left w:val="nil"/>
              <w:right w:val="nil"/>
            </w:tcBorders>
            <w:shd w:val="clear" w:color="auto" w:fill="auto"/>
            <w:noWrap/>
            <w:vAlign w:val="bottom"/>
            <w:hideMark/>
          </w:tcPr>
          <w:p w14:paraId="4CC720C6"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-0.198(0.253)***</w:t>
            </w:r>
          </w:p>
        </w:tc>
        <w:tc>
          <w:tcPr>
            <w:tcW w:w="1738" w:type="dxa"/>
            <w:tcBorders>
              <w:top w:val="nil"/>
              <w:left w:val="nil"/>
              <w:right w:val="nil"/>
            </w:tcBorders>
            <w:shd w:val="clear" w:color="auto" w:fill="auto"/>
            <w:noWrap/>
            <w:vAlign w:val="bottom"/>
            <w:hideMark/>
          </w:tcPr>
          <w:p w14:paraId="0E412313"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0.046(0.224)***</w:t>
            </w:r>
          </w:p>
        </w:tc>
        <w:tc>
          <w:tcPr>
            <w:tcW w:w="1792" w:type="dxa"/>
            <w:tcBorders>
              <w:top w:val="nil"/>
              <w:left w:val="nil"/>
              <w:right w:val="nil"/>
            </w:tcBorders>
            <w:shd w:val="clear" w:color="auto" w:fill="auto"/>
            <w:noWrap/>
            <w:vAlign w:val="bottom"/>
            <w:hideMark/>
          </w:tcPr>
          <w:p w14:paraId="73EB4CE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0.006(0.157)***</w:t>
            </w:r>
          </w:p>
        </w:tc>
        <w:tc>
          <w:tcPr>
            <w:tcW w:w="1738" w:type="dxa"/>
            <w:tcBorders>
              <w:top w:val="nil"/>
              <w:left w:val="nil"/>
              <w:right w:val="nil"/>
            </w:tcBorders>
            <w:shd w:val="clear" w:color="auto" w:fill="auto"/>
            <w:noWrap/>
            <w:vAlign w:val="bottom"/>
            <w:hideMark/>
          </w:tcPr>
          <w:p w14:paraId="24F1C17D"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-0.021(0.140)*</w:t>
            </w:r>
          </w:p>
        </w:tc>
      </w:tr>
      <w:tr w:rsidR="00326E18" w:rsidRPr="00277D3E" w14:paraId="377E9724" w14:textId="77777777" w:rsidTr="00FB0FC1">
        <w:trPr>
          <w:trHeight w:val="300"/>
        </w:trPr>
        <w:tc>
          <w:tcPr>
            <w:tcW w:w="2175" w:type="dxa"/>
            <w:tcBorders>
              <w:top w:val="nil"/>
              <w:left w:val="nil"/>
              <w:right w:val="nil"/>
            </w:tcBorders>
            <w:shd w:val="clear" w:color="auto" w:fill="auto"/>
            <w:noWrap/>
            <w:vAlign w:val="bottom"/>
            <w:hideMark/>
          </w:tcPr>
          <w:p w14:paraId="1E3AFE1E" w14:textId="77777777" w:rsidR="00326E18" w:rsidRPr="00FC6DF5" w:rsidRDefault="00326E18" w:rsidP="00326E18">
            <w:pPr>
              <w:spacing w:after="0" w:line="240" w:lineRule="auto"/>
              <w:rPr>
                <w:rFonts w:asciiTheme="majorHAnsi" w:eastAsia="Times New Roman" w:hAnsiTheme="majorHAnsi" w:cs="Times New Roman"/>
                <w:color w:val="000000"/>
                <w:sz w:val="20"/>
                <w:szCs w:val="20"/>
                <w:lang w:eastAsia="en-GB"/>
              </w:rPr>
            </w:pPr>
            <w:r w:rsidRPr="00FC6DF5">
              <w:rPr>
                <w:rFonts w:asciiTheme="majorHAnsi" w:eastAsia="Times New Roman" w:hAnsiTheme="majorHAnsi" w:cs="Times New Roman"/>
                <w:color w:val="000000"/>
                <w:sz w:val="20"/>
                <w:szCs w:val="20"/>
                <w:lang w:eastAsia="en-GB"/>
              </w:rPr>
              <w:t>Market Volatility (%)</w:t>
            </w:r>
          </w:p>
        </w:tc>
        <w:tc>
          <w:tcPr>
            <w:tcW w:w="1663" w:type="dxa"/>
            <w:tcBorders>
              <w:top w:val="nil"/>
              <w:left w:val="nil"/>
              <w:right w:val="nil"/>
            </w:tcBorders>
            <w:shd w:val="clear" w:color="auto" w:fill="auto"/>
            <w:noWrap/>
            <w:vAlign w:val="bottom"/>
            <w:hideMark/>
          </w:tcPr>
          <w:p w14:paraId="583399A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0.486(0.113)***</w:t>
            </w:r>
          </w:p>
        </w:tc>
        <w:tc>
          <w:tcPr>
            <w:tcW w:w="1815" w:type="dxa"/>
            <w:tcBorders>
              <w:top w:val="nil"/>
              <w:left w:val="nil"/>
              <w:right w:val="nil"/>
            </w:tcBorders>
            <w:shd w:val="clear" w:color="auto" w:fill="auto"/>
            <w:noWrap/>
            <w:vAlign w:val="bottom"/>
            <w:hideMark/>
          </w:tcPr>
          <w:p w14:paraId="4E9A1320"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0.576(0.186)***</w:t>
            </w:r>
          </w:p>
        </w:tc>
        <w:tc>
          <w:tcPr>
            <w:tcW w:w="1792" w:type="dxa"/>
            <w:tcBorders>
              <w:top w:val="nil"/>
              <w:left w:val="nil"/>
              <w:right w:val="nil"/>
            </w:tcBorders>
            <w:shd w:val="clear" w:color="auto" w:fill="auto"/>
            <w:noWrap/>
            <w:vAlign w:val="bottom"/>
            <w:hideMark/>
          </w:tcPr>
          <w:p w14:paraId="07DC97B5"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0.900(0.211)***</w:t>
            </w:r>
          </w:p>
        </w:tc>
        <w:tc>
          <w:tcPr>
            <w:tcW w:w="1738" w:type="dxa"/>
            <w:tcBorders>
              <w:top w:val="nil"/>
              <w:left w:val="nil"/>
              <w:right w:val="nil"/>
            </w:tcBorders>
            <w:shd w:val="clear" w:color="auto" w:fill="auto"/>
            <w:noWrap/>
            <w:vAlign w:val="bottom"/>
            <w:hideMark/>
          </w:tcPr>
          <w:p w14:paraId="34B4AF81"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1.789(0.928)***</w:t>
            </w:r>
          </w:p>
        </w:tc>
        <w:tc>
          <w:tcPr>
            <w:tcW w:w="1738" w:type="dxa"/>
            <w:tcBorders>
              <w:top w:val="nil"/>
              <w:left w:val="nil"/>
              <w:right w:val="nil"/>
            </w:tcBorders>
            <w:shd w:val="clear" w:color="auto" w:fill="auto"/>
            <w:noWrap/>
            <w:vAlign w:val="bottom"/>
            <w:hideMark/>
          </w:tcPr>
          <w:p w14:paraId="12BDBCE9"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1.219(0.396)***</w:t>
            </w:r>
          </w:p>
        </w:tc>
        <w:tc>
          <w:tcPr>
            <w:tcW w:w="1792" w:type="dxa"/>
            <w:tcBorders>
              <w:top w:val="nil"/>
              <w:left w:val="nil"/>
              <w:right w:val="nil"/>
            </w:tcBorders>
            <w:shd w:val="clear" w:color="auto" w:fill="auto"/>
            <w:noWrap/>
            <w:vAlign w:val="bottom"/>
            <w:hideMark/>
          </w:tcPr>
          <w:p w14:paraId="1404F058"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0.831(0.251)***</w:t>
            </w:r>
          </w:p>
        </w:tc>
        <w:tc>
          <w:tcPr>
            <w:tcW w:w="1738" w:type="dxa"/>
            <w:tcBorders>
              <w:top w:val="nil"/>
              <w:left w:val="nil"/>
              <w:right w:val="nil"/>
            </w:tcBorders>
            <w:shd w:val="clear" w:color="auto" w:fill="auto"/>
            <w:noWrap/>
            <w:vAlign w:val="bottom"/>
            <w:hideMark/>
          </w:tcPr>
          <w:p w14:paraId="1C850E34" w14:textId="77777777" w:rsidR="00326E18" w:rsidRPr="00FC6DF5" w:rsidRDefault="00326E18" w:rsidP="00326E18">
            <w:pPr>
              <w:spacing w:after="0" w:line="240" w:lineRule="auto"/>
              <w:jc w:val="center"/>
              <w:rPr>
                <w:rFonts w:asciiTheme="majorHAnsi" w:eastAsia="Times New Roman" w:hAnsiTheme="majorHAnsi" w:cs="Times New Roman"/>
                <w:color w:val="000000"/>
                <w:sz w:val="20"/>
                <w:szCs w:val="20"/>
                <w:lang w:eastAsia="en-GB"/>
              </w:rPr>
            </w:pPr>
            <w:r w:rsidRPr="00FC6DF5">
              <w:rPr>
                <w:rFonts w:asciiTheme="majorHAnsi" w:hAnsiTheme="majorHAnsi"/>
                <w:color w:val="000000"/>
                <w:sz w:val="20"/>
                <w:szCs w:val="20"/>
              </w:rPr>
              <w:t>0.857(0.383)***</w:t>
            </w:r>
          </w:p>
        </w:tc>
      </w:tr>
      <w:tr w:rsidR="00FB0FC1" w:rsidRPr="00277D3E" w14:paraId="2817CBF2" w14:textId="77777777" w:rsidTr="00FB0FC1">
        <w:trPr>
          <w:trHeight w:val="300"/>
        </w:trPr>
        <w:tc>
          <w:tcPr>
            <w:tcW w:w="2175" w:type="dxa"/>
            <w:tcBorders>
              <w:left w:val="nil"/>
              <w:bottom w:val="single" w:sz="4" w:space="0" w:color="auto"/>
              <w:right w:val="nil"/>
            </w:tcBorders>
            <w:shd w:val="clear" w:color="auto" w:fill="auto"/>
            <w:noWrap/>
            <w:vAlign w:val="bottom"/>
          </w:tcPr>
          <w:p w14:paraId="3264484E" w14:textId="150FF0B9" w:rsidR="00FB0FC1" w:rsidRPr="00FC6DF5" w:rsidRDefault="00FB0FC1" w:rsidP="00326E18">
            <w:pPr>
              <w:spacing w:after="0" w:line="240" w:lineRule="auto"/>
              <w:rPr>
                <w:rFonts w:asciiTheme="majorHAnsi" w:eastAsia="Times New Roman" w:hAnsiTheme="majorHAnsi" w:cs="Times New Roman"/>
                <w:color w:val="000000"/>
                <w:sz w:val="20"/>
                <w:szCs w:val="20"/>
                <w:lang w:eastAsia="en-GB"/>
              </w:rPr>
            </w:pPr>
            <w:r>
              <w:rPr>
                <w:rFonts w:asciiTheme="majorHAnsi" w:eastAsia="Times New Roman" w:hAnsiTheme="majorHAnsi" w:cs="Times New Roman"/>
                <w:color w:val="000000"/>
                <w:sz w:val="20"/>
                <w:szCs w:val="20"/>
                <w:lang w:eastAsia="en-GB"/>
              </w:rPr>
              <w:t>No. of trade</w:t>
            </w:r>
            <w:r w:rsidR="00117EC7">
              <w:rPr>
                <w:rFonts w:asciiTheme="majorHAnsi" w:eastAsia="Times New Roman" w:hAnsiTheme="majorHAnsi" w:cs="Times New Roman"/>
                <w:color w:val="000000"/>
                <w:sz w:val="20"/>
                <w:szCs w:val="20"/>
                <w:lang w:eastAsia="en-GB"/>
              </w:rPr>
              <w:t>r months</w:t>
            </w:r>
            <w:r>
              <w:rPr>
                <w:rFonts w:asciiTheme="majorHAnsi" w:eastAsia="Times New Roman" w:hAnsiTheme="majorHAnsi" w:cs="Times New Roman"/>
                <w:color w:val="000000"/>
                <w:sz w:val="20"/>
                <w:szCs w:val="20"/>
                <w:lang w:eastAsia="en-GB"/>
              </w:rPr>
              <w:t xml:space="preserve"> </w:t>
            </w:r>
          </w:p>
        </w:tc>
        <w:tc>
          <w:tcPr>
            <w:tcW w:w="1663" w:type="dxa"/>
            <w:tcBorders>
              <w:left w:val="nil"/>
              <w:bottom w:val="single" w:sz="4" w:space="0" w:color="auto"/>
              <w:right w:val="nil"/>
            </w:tcBorders>
            <w:shd w:val="clear" w:color="auto" w:fill="auto"/>
            <w:noWrap/>
            <w:vAlign w:val="bottom"/>
          </w:tcPr>
          <w:p w14:paraId="4C36B266" w14:textId="1C4B6DB8" w:rsidR="00FB0FC1" w:rsidRPr="00FC6DF5" w:rsidRDefault="00FB0FC1" w:rsidP="00326E18">
            <w:pPr>
              <w:spacing w:after="0" w:line="240" w:lineRule="auto"/>
              <w:jc w:val="center"/>
              <w:rPr>
                <w:rFonts w:asciiTheme="majorHAnsi" w:hAnsiTheme="majorHAnsi"/>
                <w:color w:val="000000"/>
                <w:sz w:val="20"/>
                <w:szCs w:val="20"/>
              </w:rPr>
            </w:pPr>
            <w:r>
              <w:rPr>
                <w:rFonts w:asciiTheme="majorHAnsi" w:hAnsiTheme="majorHAnsi"/>
                <w:color w:val="000000"/>
                <w:sz w:val="20"/>
                <w:szCs w:val="20"/>
              </w:rPr>
              <w:t>387</w:t>
            </w:r>
          </w:p>
        </w:tc>
        <w:tc>
          <w:tcPr>
            <w:tcW w:w="1815" w:type="dxa"/>
            <w:tcBorders>
              <w:left w:val="nil"/>
              <w:bottom w:val="single" w:sz="4" w:space="0" w:color="auto"/>
              <w:right w:val="nil"/>
            </w:tcBorders>
            <w:shd w:val="clear" w:color="auto" w:fill="auto"/>
            <w:noWrap/>
            <w:vAlign w:val="bottom"/>
          </w:tcPr>
          <w:p w14:paraId="6966D9A1" w14:textId="332F9CC4" w:rsidR="00FB0FC1" w:rsidRPr="00FC6DF5" w:rsidRDefault="00FB0FC1" w:rsidP="00326E18">
            <w:pPr>
              <w:spacing w:after="0" w:line="240" w:lineRule="auto"/>
              <w:jc w:val="center"/>
              <w:rPr>
                <w:rFonts w:asciiTheme="majorHAnsi" w:hAnsiTheme="majorHAnsi"/>
                <w:color w:val="000000"/>
                <w:sz w:val="20"/>
                <w:szCs w:val="20"/>
              </w:rPr>
            </w:pPr>
            <w:r>
              <w:rPr>
                <w:rFonts w:asciiTheme="majorHAnsi" w:hAnsiTheme="majorHAnsi"/>
                <w:color w:val="000000"/>
                <w:sz w:val="20"/>
                <w:szCs w:val="20"/>
              </w:rPr>
              <w:t>548</w:t>
            </w:r>
          </w:p>
        </w:tc>
        <w:tc>
          <w:tcPr>
            <w:tcW w:w="1792" w:type="dxa"/>
            <w:tcBorders>
              <w:left w:val="nil"/>
              <w:bottom w:val="single" w:sz="4" w:space="0" w:color="auto"/>
              <w:right w:val="nil"/>
            </w:tcBorders>
            <w:shd w:val="clear" w:color="auto" w:fill="auto"/>
            <w:noWrap/>
            <w:vAlign w:val="bottom"/>
          </w:tcPr>
          <w:p w14:paraId="29B7E8E1" w14:textId="7249901D" w:rsidR="00FB0FC1" w:rsidRPr="00FC6DF5" w:rsidRDefault="00FB0FC1" w:rsidP="00326E18">
            <w:pPr>
              <w:spacing w:after="0" w:line="240" w:lineRule="auto"/>
              <w:jc w:val="center"/>
              <w:rPr>
                <w:rFonts w:asciiTheme="majorHAnsi" w:hAnsiTheme="majorHAnsi"/>
                <w:color w:val="000000"/>
                <w:sz w:val="20"/>
                <w:szCs w:val="20"/>
              </w:rPr>
            </w:pPr>
            <w:r>
              <w:rPr>
                <w:rFonts w:asciiTheme="majorHAnsi" w:hAnsiTheme="majorHAnsi"/>
                <w:color w:val="000000"/>
                <w:sz w:val="20"/>
                <w:szCs w:val="20"/>
              </w:rPr>
              <w:t>2016</w:t>
            </w:r>
          </w:p>
        </w:tc>
        <w:tc>
          <w:tcPr>
            <w:tcW w:w="1738" w:type="dxa"/>
            <w:tcBorders>
              <w:left w:val="nil"/>
              <w:bottom w:val="single" w:sz="4" w:space="0" w:color="auto"/>
              <w:right w:val="nil"/>
            </w:tcBorders>
            <w:shd w:val="clear" w:color="auto" w:fill="auto"/>
            <w:noWrap/>
            <w:vAlign w:val="bottom"/>
          </w:tcPr>
          <w:p w14:paraId="0F6DCF17" w14:textId="46ABDD1F" w:rsidR="00FB0FC1" w:rsidRPr="00FC6DF5" w:rsidRDefault="00FB0FC1" w:rsidP="00326E18">
            <w:pPr>
              <w:spacing w:after="0" w:line="240" w:lineRule="auto"/>
              <w:jc w:val="center"/>
              <w:rPr>
                <w:rFonts w:asciiTheme="majorHAnsi" w:hAnsiTheme="majorHAnsi"/>
                <w:color w:val="000000"/>
                <w:sz w:val="20"/>
                <w:szCs w:val="20"/>
              </w:rPr>
            </w:pPr>
            <w:r>
              <w:rPr>
                <w:rFonts w:asciiTheme="majorHAnsi" w:hAnsiTheme="majorHAnsi"/>
                <w:color w:val="000000"/>
                <w:sz w:val="20"/>
                <w:szCs w:val="20"/>
              </w:rPr>
              <w:t>3314</w:t>
            </w:r>
          </w:p>
        </w:tc>
        <w:tc>
          <w:tcPr>
            <w:tcW w:w="1738" w:type="dxa"/>
            <w:tcBorders>
              <w:left w:val="nil"/>
              <w:bottom w:val="single" w:sz="4" w:space="0" w:color="auto"/>
              <w:right w:val="nil"/>
            </w:tcBorders>
            <w:shd w:val="clear" w:color="auto" w:fill="auto"/>
            <w:noWrap/>
            <w:vAlign w:val="bottom"/>
          </w:tcPr>
          <w:p w14:paraId="02AE668C" w14:textId="11F4B8B4" w:rsidR="00FB0FC1" w:rsidRPr="00FC6DF5" w:rsidRDefault="00FB0FC1" w:rsidP="00326E18">
            <w:pPr>
              <w:spacing w:after="0" w:line="240" w:lineRule="auto"/>
              <w:jc w:val="center"/>
              <w:rPr>
                <w:rFonts w:asciiTheme="majorHAnsi" w:hAnsiTheme="majorHAnsi"/>
                <w:color w:val="000000"/>
                <w:sz w:val="20"/>
                <w:szCs w:val="20"/>
              </w:rPr>
            </w:pPr>
            <w:r>
              <w:rPr>
                <w:rFonts w:asciiTheme="majorHAnsi" w:hAnsiTheme="majorHAnsi"/>
                <w:color w:val="000000"/>
                <w:sz w:val="20"/>
                <w:szCs w:val="20"/>
              </w:rPr>
              <w:t>3884</w:t>
            </w:r>
          </w:p>
        </w:tc>
        <w:tc>
          <w:tcPr>
            <w:tcW w:w="1792" w:type="dxa"/>
            <w:tcBorders>
              <w:left w:val="nil"/>
              <w:bottom w:val="single" w:sz="4" w:space="0" w:color="auto"/>
              <w:right w:val="nil"/>
            </w:tcBorders>
            <w:shd w:val="clear" w:color="auto" w:fill="auto"/>
            <w:noWrap/>
            <w:vAlign w:val="bottom"/>
          </w:tcPr>
          <w:p w14:paraId="77A0BD62" w14:textId="3C410095" w:rsidR="00FB0FC1" w:rsidRPr="00FC6DF5" w:rsidRDefault="00FB0FC1" w:rsidP="00326E18">
            <w:pPr>
              <w:spacing w:after="0" w:line="240" w:lineRule="auto"/>
              <w:jc w:val="center"/>
              <w:rPr>
                <w:rFonts w:asciiTheme="majorHAnsi" w:hAnsiTheme="majorHAnsi"/>
                <w:color w:val="000000"/>
                <w:sz w:val="20"/>
                <w:szCs w:val="20"/>
              </w:rPr>
            </w:pPr>
            <w:r>
              <w:rPr>
                <w:rFonts w:asciiTheme="majorHAnsi" w:hAnsiTheme="majorHAnsi"/>
                <w:color w:val="000000"/>
                <w:sz w:val="20"/>
                <w:szCs w:val="20"/>
              </w:rPr>
              <w:t>2633</w:t>
            </w:r>
          </w:p>
        </w:tc>
        <w:tc>
          <w:tcPr>
            <w:tcW w:w="1738" w:type="dxa"/>
            <w:tcBorders>
              <w:left w:val="nil"/>
              <w:bottom w:val="single" w:sz="4" w:space="0" w:color="auto"/>
              <w:right w:val="nil"/>
            </w:tcBorders>
            <w:shd w:val="clear" w:color="auto" w:fill="auto"/>
            <w:noWrap/>
            <w:vAlign w:val="bottom"/>
          </w:tcPr>
          <w:p w14:paraId="6C8E3F1A" w14:textId="1B7D97BB" w:rsidR="00FB0FC1" w:rsidRPr="00FC6DF5" w:rsidRDefault="00FB0FC1" w:rsidP="00326E18">
            <w:pPr>
              <w:spacing w:after="0" w:line="240" w:lineRule="auto"/>
              <w:jc w:val="center"/>
              <w:rPr>
                <w:rFonts w:asciiTheme="majorHAnsi" w:hAnsiTheme="majorHAnsi"/>
                <w:color w:val="000000"/>
                <w:sz w:val="20"/>
                <w:szCs w:val="20"/>
              </w:rPr>
            </w:pPr>
            <w:r>
              <w:rPr>
                <w:rFonts w:asciiTheme="majorHAnsi" w:hAnsiTheme="majorHAnsi"/>
                <w:color w:val="000000"/>
                <w:sz w:val="20"/>
                <w:szCs w:val="20"/>
              </w:rPr>
              <w:t>5677</w:t>
            </w:r>
          </w:p>
        </w:tc>
      </w:tr>
      <w:tr w:rsidR="007F1F1A" w:rsidRPr="00277D3E" w14:paraId="106439FE" w14:textId="77777777" w:rsidTr="007F1F1A">
        <w:trPr>
          <w:trHeight w:val="300"/>
        </w:trPr>
        <w:tc>
          <w:tcPr>
            <w:tcW w:w="14451" w:type="dxa"/>
            <w:gridSpan w:val="8"/>
            <w:tcBorders>
              <w:top w:val="single" w:sz="4" w:space="0" w:color="auto"/>
              <w:left w:val="nil"/>
              <w:right w:val="nil"/>
            </w:tcBorders>
            <w:shd w:val="clear" w:color="auto" w:fill="auto"/>
            <w:noWrap/>
            <w:vAlign w:val="bottom"/>
          </w:tcPr>
          <w:p w14:paraId="515DA3DD" w14:textId="13F01CA2" w:rsidR="007F1F1A" w:rsidRPr="001410E6" w:rsidRDefault="007F1F1A" w:rsidP="001410E6">
            <w:pPr>
              <w:spacing w:after="0" w:line="240" w:lineRule="auto"/>
              <w:rPr>
                <w:rFonts w:asciiTheme="majorHAnsi" w:hAnsiTheme="majorHAnsi"/>
                <w:color w:val="000000"/>
                <w:sz w:val="16"/>
                <w:szCs w:val="16"/>
              </w:rPr>
            </w:pPr>
            <w:r w:rsidRPr="001410E6">
              <w:rPr>
                <w:rFonts w:asciiTheme="majorHAnsi" w:hAnsiTheme="majorHAnsi"/>
                <w:b/>
                <w:color w:val="000000"/>
                <w:sz w:val="18"/>
                <w:szCs w:val="16"/>
              </w:rPr>
              <w:t>Exit Rate</w:t>
            </w:r>
            <w:r w:rsidR="009671BB">
              <w:rPr>
                <w:rFonts w:asciiTheme="majorHAnsi" w:hAnsiTheme="majorHAnsi"/>
                <w:b/>
                <w:color w:val="000000"/>
                <w:sz w:val="18"/>
                <w:szCs w:val="16"/>
              </w:rPr>
              <w:t xml:space="preserve"> (%)</w:t>
            </w:r>
            <w:r w:rsidRPr="001410E6">
              <w:rPr>
                <w:rFonts w:asciiTheme="majorHAnsi" w:hAnsiTheme="majorHAnsi"/>
                <w:color w:val="000000"/>
                <w:sz w:val="18"/>
                <w:szCs w:val="16"/>
              </w:rPr>
              <w:t xml:space="preserve"> is </w:t>
            </w:r>
            <w:r w:rsidRPr="001410E6">
              <w:rPr>
                <w:rFonts w:asciiTheme="majorHAnsi" w:hAnsiTheme="majorHAnsi"/>
                <w:color w:val="000000" w:themeColor="text1"/>
                <w:sz w:val="18"/>
                <w:szCs w:val="16"/>
                <w:lang w:val="en-US" w:eastAsia="zh-CN"/>
              </w:rPr>
              <w:t xml:space="preserve">percentage of individuals whose last trade was recoded in a given </w:t>
            </w:r>
            <w:r w:rsidR="008D2E29">
              <w:rPr>
                <w:rFonts w:asciiTheme="majorHAnsi" w:hAnsiTheme="majorHAnsi"/>
                <w:color w:val="000000" w:themeColor="text1"/>
                <w:sz w:val="18"/>
                <w:szCs w:val="16"/>
                <w:lang w:val="en-US" w:eastAsia="zh-CN"/>
              </w:rPr>
              <w:t>month</w:t>
            </w:r>
            <w:r w:rsidRPr="001410E6">
              <w:rPr>
                <w:rFonts w:asciiTheme="majorHAnsi" w:hAnsiTheme="majorHAnsi"/>
                <w:color w:val="000000" w:themeColor="text1"/>
                <w:sz w:val="18"/>
                <w:szCs w:val="16"/>
                <w:lang w:val="en-US" w:eastAsia="zh-CN"/>
              </w:rPr>
              <w:t xml:space="preserve">. </w:t>
            </w:r>
            <w:r w:rsidRPr="001410E6">
              <w:rPr>
                <w:rFonts w:asciiTheme="majorHAnsi" w:hAnsiTheme="majorHAnsi"/>
                <w:b/>
                <w:color w:val="000000" w:themeColor="text1"/>
                <w:sz w:val="18"/>
                <w:szCs w:val="16"/>
                <w:lang w:val="en-US" w:eastAsia="zh-CN"/>
              </w:rPr>
              <w:t>Return( %)</w:t>
            </w:r>
            <w:r w:rsidRPr="001410E6">
              <w:rPr>
                <w:rFonts w:asciiTheme="majorHAnsi" w:hAnsiTheme="majorHAnsi"/>
                <w:color w:val="000000" w:themeColor="text1"/>
                <w:sz w:val="18"/>
                <w:szCs w:val="16"/>
                <w:lang w:val="en-US" w:eastAsia="zh-CN"/>
              </w:rPr>
              <w:t xml:space="preserve"> is the percentage return</w:t>
            </w:r>
            <w:r w:rsidR="00530B7B">
              <w:rPr>
                <w:rFonts w:asciiTheme="majorHAnsi" w:hAnsiTheme="majorHAnsi"/>
                <w:color w:val="000000" w:themeColor="text1"/>
                <w:sz w:val="18"/>
                <w:szCs w:val="16"/>
                <w:lang w:val="en-US" w:eastAsia="zh-CN"/>
              </w:rPr>
              <w:t xml:space="preserve"> on capital at risk</w:t>
            </w:r>
            <w:r w:rsidRPr="001410E6">
              <w:rPr>
                <w:rFonts w:asciiTheme="majorHAnsi" w:hAnsiTheme="majorHAnsi"/>
                <w:color w:val="000000" w:themeColor="text1"/>
                <w:sz w:val="18"/>
                <w:szCs w:val="16"/>
                <w:lang w:val="en-US" w:eastAsia="zh-CN"/>
              </w:rPr>
              <w:t xml:space="preserve"> </w:t>
            </w:r>
            <w:r w:rsidR="001202E5">
              <w:rPr>
                <w:rFonts w:asciiTheme="majorHAnsi" w:hAnsiTheme="majorHAnsi"/>
                <w:color w:val="000000" w:themeColor="text1"/>
                <w:sz w:val="18"/>
                <w:szCs w:val="16"/>
                <w:lang w:val="en-US" w:eastAsia="zh-CN"/>
              </w:rPr>
              <w:t xml:space="preserve">achieved by </w:t>
            </w:r>
            <w:r w:rsidR="003F5EC4">
              <w:rPr>
                <w:rFonts w:asciiTheme="majorHAnsi" w:hAnsiTheme="majorHAnsi"/>
                <w:color w:val="000000" w:themeColor="text1"/>
                <w:sz w:val="18"/>
                <w:szCs w:val="16"/>
                <w:lang w:val="en-US" w:eastAsia="zh-CN"/>
              </w:rPr>
              <w:t xml:space="preserve">an </w:t>
            </w:r>
            <w:r w:rsidR="001202E5">
              <w:rPr>
                <w:rFonts w:asciiTheme="majorHAnsi" w:hAnsiTheme="majorHAnsi"/>
                <w:color w:val="000000" w:themeColor="text1"/>
                <w:sz w:val="18"/>
                <w:szCs w:val="16"/>
                <w:lang w:val="en-US" w:eastAsia="zh-CN"/>
              </w:rPr>
              <w:t>individual trader during</w:t>
            </w:r>
            <w:r w:rsidRPr="001410E6">
              <w:rPr>
                <w:rFonts w:asciiTheme="majorHAnsi" w:hAnsiTheme="majorHAnsi"/>
                <w:color w:val="000000" w:themeColor="text1"/>
                <w:sz w:val="18"/>
                <w:szCs w:val="16"/>
                <w:lang w:val="en-US" w:eastAsia="zh-CN"/>
              </w:rPr>
              <w:t xml:space="preserve"> the </w:t>
            </w:r>
            <w:r w:rsidR="009671BB">
              <w:rPr>
                <w:rFonts w:asciiTheme="majorHAnsi" w:hAnsiTheme="majorHAnsi"/>
                <w:color w:val="000000" w:themeColor="text1"/>
                <w:sz w:val="18"/>
                <w:szCs w:val="16"/>
                <w:lang w:val="en-US" w:eastAsia="zh-CN"/>
              </w:rPr>
              <w:t xml:space="preserve"> month</w:t>
            </w:r>
            <w:r w:rsidRPr="001410E6">
              <w:rPr>
                <w:rFonts w:asciiTheme="majorHAnsi" w:hAnsiTheme="majorHAnsi"/>
                <w:color w:val="000000" w:themeColor="text1"/>
                <w:sz w:val="18"/>
                <w:szCs w:val="16"/>
                <w:lang w:val="en-US" w:eastAsia="zh-CN"/>
              </w:rPr>
              <w:t xml:space="preserve">. </w:t>
            </w:r>
            <w:r w:rsidRPr="001410E6">
              <w:rPr>
                <w:rFonts w:asciiTheme="majorHAnsi" w:hAnsiTheme="majorHAnsi"/>
                <w:b/>
                <w:color w:val="000000" w:themeColor="text1"/>
                <w:sz w:val="18"/>
                <w:szCs w:val="16"/>
                <w:lang w:val="en-US" w:eastAsia="zh-CN"/>
              </w:rPr>
              <w:t>Volatility (%)</w:t>
            </w:r>
            <w:r w:rsidRPr="001410E6">
              <w:rPr>
                <w:rFonts w:asciiTheme="majorHAnsi" w:hAnsiTheme="majorHAnsi"/>
                <w:color w:val="000000" w:themeColor="text1"/>
                <w:sz w:val="18"/>
                <w:szCs w:val="16"/>
                <w:lang w:val="en-US" w:eastAsia="zh-CN"/>
              </w:rPr>
              <w:t xml:space="preserve"> is the standard deviation of</w:t>
            </w:r>
            <w:r w:rsidR="00530B7B">
              <w:rPr>
                <w:rFonts w:asciiTheme="majorHAnsi" w:hAnsiTheme="majorHAnsi"/>
                <w:color w:val="000000" w:themeColor="text1"/>
                <w:sz w:val="18"/>
                <w:szCs w:val="16"/>
                <w:lang w:val="en-US" w:eastAsia="zh-CN"/>
              </w:rPr>
              <w:t xml:space="preserve"> </w:t>
            </w:r>
            <w:r w:rsidR="00462C9F">
              <w:rPr>
                <w:rFonts w:asciiTheme="majorHAnsi" w:hAnsiTheme="majorHAnsi"/>
                <w:color w:val="000000" w:themeColor="text1"/>
                <w:sz w:val="18"/>
                <w:szCs w:val="16"/>
                <w:lang w:val="en-US" w:eastAsia="zh-CN"/>
              </w:rPr>
              <w:t xml:space="preserve">the </w:t>
            </w:r>
            <w:r w:rsidR="00462C9F" w:rsidRPr="001410E6">
              <w:rPr>
                <w:rFonts w:asciiTheme="majorHAnsi" w:hAnsiTheme="majorHAnsi"/>
                <w:color w:val="000000" w:themeColor="text1"/>
                <w:sz w:val="18"/>
                <w:szCs w:val="16"/>
                <w:lang w:val="en-US" w:eastAsia="zh-CN"/>
              </w:rPr>
              <w:t>return</w:t>
            </w:r>
            <w:r w:rsidR="00462C9F">
              <w:rPr>
                <w:rFonts w:asciiTheme="majorHAnsi" w:hAnsiTheme="majorHAnsi"/>
                <w:color w:val="000000" w:themeColor="text1"/>
                <w:sz w:val="18"/>
                <w:szCs w:val="16"/>
                <w:lang w:val="en-US" w:eastAsia="zh-CN"/>
              </w:rPr>
              <w:t xml:space="preserve"> on capital at risk</w:t>
            </w:r>
            <w:r w:rsidR="00462C9F" w:rsidRPr="001410E6">
              <w:rPr>
                <w:rFonts w:asciiTheme="majorHAnsi" w:hAnsiTheme="majorHAnsi"/>
                <w:color w:val="000000" w:themeColor="text1"/>
                <w:sz w:val="18"/>
                <w:szCs w:val="16"/>
                <w:lang w:val="en-US" w:eastAsia="zh-CN"/>
              </w:rPr>
              <w:t xml:space="preserve"> </w:t>
            </w:r>
            <w:r w:rsidR="00462C9F">
              <w:rPr>
                <w:rFonts w:asciiTheme="majorHAnsi" w:hAnsiTheme="majorHAnsi"/>
                <w:color w:val="000000" w:themeColor="text1"/>
                <w:sz w:val="18"/>
                <w:szCs w:val="16"/>
                <w:lang w:val="en-US" w:eastAsia="zh-CN"/>
              </w:rPr>
              <w:t xml:space="preserve">achieved by </w:t>
            </w:r>
            <w:r w:rsidR="003F5EC4">
              <w:rPr>
                <w:rFonts w:asciiTheme="majorHAnsi" w:hAnsiTheme="majorHAnsi"/>
                <w:color w:val="000000" w:themeColor="text1"/>
                <w:sz w:val="18"/>
                <w:szCs w:val="16"/>
                <w:lang w:val="en-US" w:eastAsia="zh-CN"/>
              </w:rPr>
              <w:t xml:space="preserve">an </w:t>
            </w:r>
            <w:r w:rsidR="00462C9F">
              <w:rPr>
                <w:rFonts w:asciiTheme="majorHAnsi" w:hAnsiTheme="majorHAnsi"/>
                <w:color w:val="000000" w:themeColor="text1"/>
                <w:sz w:val="18"/>
                <w:szCs w:val="16"/>
                <w:lang w:val="en-US" w:eastAsia="zh-CN"/>
              </w:rPr>
              <w:t xml:space="preserve">individual trader </w:t>
            </w:r>
            <w:r w:rsidRPr="001410E6">
              <w:rPr>
                <w:rFonts w:asciiTheme="majorHAnsi" w:hAnsiTheme="majorHAnsi"/>
                <w:color w:val="000000" w:themeColor="text1"/>
                <w:sz w:val="18"/>
                <w:szCs w:val="16"/>
                <w:lang w:val="en-US" w:eastAsia="zh-CN"/>
              </w:rPr>
              <w:t xml:space="preserve">during </w:t>
            </w:r>
            <w:r w:rsidR="009671BB">
              <w:rPr>
                <w:rFonts w:asciiTheme="majorHAnsi" w:hAnsiTheme="majorHAnsi"/>
                <w:color w:val="000000" w:themeColor="text1"/>
                <w:sz w:val="18"/>
                <w:szCs w:val="16"/>
                <w:lang w:val="en-US" w:eastAsia="zh-CN"/>
              </w:rPr>
              <w:t>a month</w:t>
            </w:r>
            <w:r>
              <w:rPr>
                <w:rFonts w:asciiTheme="majorHAnsi" w:hAnsiTheme="majorHAnsi"/>
                <w:color w:val="000000" w:themeColor="text1"/>
                <w:sz w:val="18"/>
                <w:szCs w:val="16"/>
                <w:lang w:val="en-US" w:eastAsia="zh-CN"/>
              </w:rPr>
              <w:t xml:space="preserve">. </w:t>
            </w:r>
            <w:r>
              <w:rPr>
                <w:rFonts w:asciiTheme="majorHAnsi" w:hAnsiTheme="majorHAnsi"/>
                <w:b/>
                <w:color w:val="000000" w:themeColor="text1"/>
                <w:sz w:val="18"/>
                <w:szCs w:val="16"/>
                <w:lang w:val="en-US" w:eastAsia="zh-CN"/>
              </w:rPr>
              <w:t xml:space="preserve">Total Return </w:t>
            </w:r>
            <w:r>
              <w:rPr>
                <w:rFonts w:asciiTheme="majorHAnsi" w:hAnsiTheme="majorHAnsi"/>
                <w:color w:val="000000" w:themeColor="text1"/>
                <w:sz w:val="18"/>
                <w:szCs w:val="16"/>
                <w:lang w:val="en-US" w:eastAsia="zh-CN"/>
              </w:rPr>
              <w:t xml:space="preserve">is </w:t>
            </w:r>
            <w:r w:rsidR="00206904">
              <w:rPr>
                <w:rFonts w:asciiTheme="majorHAnsi" w:hAnsiTheme="majorHAnsi"/>
                <w:color w:val="000000" w:themeColor="text1"/>
                <w:sz w:val="18"/>
                <w:szCs w:val="16"/>
                <w:lang w:val="en-US" w:eastAsia="zh-CN"/>
              </w:rPr>
              <w:t>the total return</w:t>
            </w:r>
            <w:r w:rsidR="00462C9F">
              <w:rPr>
                <w:rFonts w:asciiTheme="majorHAnsi" w:hAnsiTheme="majorHAnsi"/>
                <w:color w:val="000000" w:themeColor="text1"/>
                <w:sz w:val="18"/>
                <w:szCs w:val="16"/>
                <w:lang w:val="en-US" w:eastAsia="zh-CN"/>
              </w:rPr>
              <w:t>s</w:t>
            </w:r>
            <w:r w:rsidR="00206904">
              <w:rPr>
                <w:rFonts w:asciiTheme="majorHAnsi" w:hAnsiTheme="majorHAnsi"/>
                <w:color w:val="000000" w:themeColor="text1"/>
                <w:sz w:val="18"/>
                <w:szCs w:val="16"/>
                <w:lang w:val="en-US" w:eastAsia="zh-CN"/>
              </w:rPr>
              <w:t xml:space="preserve"> in GBP earned by </w:t>
            </w:r>
            <w:r w:rsidR="003F5EC4">
              <w:rPr>
                <w:rFonts w:asciiTheme="majorHAnsi" w:hAnsiTheme="majorHAnsi"/>
                <w:color w:val="000000" w:themeColor="text1"/>
                <w:sz w:val="18"/>
                <w:szCs w:val="16"/>
                <w:lang w:val="en-US" w:eastAsia="zh-CN"/>
              </w:rPr>
              <w:t xml:space="preserve">an </w:t>
            </w:r>
            <w:r w:rsidR="00206904">
              <w:rPr>
                <w:rFonts w:asciiTheme="majorHAnsi" w:hAnsiTheme="majorHAnsi"/>
                <w:color w:val="000000" w:themeColor="text1"/>
                <w:sz w:val="18"/>
                <w:szCs w:val="16"/>
                <w:lang w:val="en-US" w:eastAsia="zh-CN"/>
              </w:rPr>
              <w:t xml:space="preserve">individual </w:t>
            </w:r>
            <w:r w:rsidR="00462C9F">
              <w:rPr>
                <w:rFonts w:asciiTheme="majorHAnsi" w:hAnsiTheme="majorHAnsi"/>
                <w:color w:val="000000" w:themeColor="text1"/>
                <w:sz w:val="18"/>
                <w:szCs w:val="16"/>
                <w:lang w:val="en-US" w:eastAsia="zh-CN"/>
              </w:rPr>
              <w:t xml:space="preserve">trader </w:t>
            </w:r>
            <w:r w:rsidR="00206904">
              <w:rPr>
                <w:rFonts w:asciiTheme="majorHAnsi" w:hAnsiTheme="majorHAnsi"/>
                <w:color w:val="000000" w:themeColor="text1"/>
                <w:sz w:val="18"/>
                <w:szCs w:val="16"/>
                <w:lang w:val="en-US" w:eastAsia="zh-CN"/>
              </w:rPr>
              <w:t xml:space="preserve">during </w:t>
            </w:r>
            <w:r w:rsidR="009671BB">
              <w:rPr>
                <w:rFonts w:asciiTheme="majorHAnsi" w:hAnsiTheme="majorHAnsi"/>
                <w:color w:val="000000" w:themeColor="text1"/>
                <w:sz w:val="18"/>
                <w:szCs w:val="16"/>
                <w:lang w:val="en-US" w:eastAsia="zh-CN"/>
              </w:rPr>
              <w:t>a month</w:t>
            </w:r>
            <w:r w:rsidR="00206904">
              <w:rPr>
                <w:rFonts w:asciiTheme="majorHAnsi" w:hAnsiTheme="majorHAnsi"/>
                <w:color w:val="000000" w:themeColor="text1"/>
                <w:sz w:val="18"/>
                <w:szCs w:val="16"/>
                <w:lang w:val="en-US" w:eastAsia="zh-CN"/>
              </w:rPr>
              <w:t xml:space="preserve">. </w:t>
            </w:r>
            <w:r w:rsidR="00206904">
              <w:rPr>
                <w:rFonts w:asciiTheme="majorHAnsi" w:hAnsiTheme="majorHAnsi"/>
                <w:b/>
                <w:color w:val="000000" w:themeColor="text1"/>
                <w:sz w:val="18"/>
                <w:szCs w:val="16"/>
                <w:lang w:val="en-US" w:eastAsia="zh-CN"/>
              </w:rPr>
              <w:t>Total Margin</w:t>
            </w:r>
            <w:r w:rsidR="00206904">
              <w:rPr>
                <w:rFonts w:asciiTheme="majorHAnsi" w:hAnsiTheme="majorHAnsi"/>
                <w:color w:val="000000" w:themeColor="text1"/>
                <w:sz w:val="18"/>
                <w:szCs w:val="16"/>
                <w:lang w:val="en-US" w:eastAsia="zh-CN"/>
              </w:rPr>
              <w:t xml:space="preserve"> is the amount of margin in GBP required in </w:t>
            </w:r>
            <w:r w:rsidR="009671BB">
              <w:rPr>
                <w:rFonts w:asciiTheme="majorHAnsi" w:hAnsiTheme="majorHAnsi"/>
                <w:color w:val="000000" w:themeColor="text1"/>
                <w:sz w:val="18"/>
                <w:szCs w:val="16"/>
                <w:lang w:val="en-US" w:eastAsia="zh-CN"/>
              </w:rPr>
              <w:t>a month</w:t>
            </w:r>
            <w:r w:rsidR="00206904">
              <w:rPr>
                <w:rFonts w:asciiTheme="majorHAnsi" w:hAnsiTheme="majorHAnsi"/>
                <w:color w:val="000000" w:themeColor="text1"/>
                <w:sz w:val="18"/>
                <w:szCs w:val="16"/>
                <w:lang w:val="en-US" w:eastAsia="zh-CN"/>
              </w:rPr>
              <w:t xml:space="preserve">. </w:t>
            </w:r>
            <w:r w:rsidR="00206904">
              <w:rPr>
                <w:rFonts w:asciiTheme="majorHAnsi" w:hAnsiTheme="majorHAnsi"/>
                <w:b/>
                <w:color w:val="000000" w:themeColor="text1"/>
                <w:sz w:val="18"/>
                <w:szCs w:val="16"/>
                <w:lang w:val="en-US" w:eastAsia="zh-CN"/>
              </w:rPr>
              <w:t>ROI</w:t>
            </w:r>
            <w:r w:rsidR="00206904">
              <w:rPr>
                <w:rFonts w:asciiTheme="majorHAnsi" w:hAnsiTheme="majorHAnsi"/>
                <w:color w:val="000000" w:themeColor="text1"/>
                <w:sz w:val="18"/>
                <w:szCs w:val="16"/>
                <w:lang w:val="en-US" w:eastAsia="zh-CN"/>
              </w:rPr>
              <w:t xml:space="preserve"> is the return on margin earned </w:t>
            </w:r>
            <w:r w:rsidR="00462C9F">
              <w:rPr>
                <w:rFonts w:asciiTheme="majorHAnsi" w:hAnsiTheme="majorHAnsi"/>
                <w:color w:val="000000" w:themeColor="text1"/>
                <w:sz w:val="18"/>
                <w:szCs w:val="16"/>
                <w:lang w:val="en-US" w:eastAsia="zh-CN"/>
              </w:rPr>
              <w:t xml:space="preserve">by </w:t>
            </w:r>
            <w:r w:rsidR="003F5EC4">
              <w:rPr>
                <w:rFonts w:asciiTheme="majorHAnsi" w:hAnsiTheme="majorHAnsi"/>
                <w:color w:val="000000" w:themeColor="text1"/>
                <w:sz w:val="18"/>
                <w:szCs w:val="16"/>
                <w:lang w:val="en-US" w:eastAsia="zh-CN"/>
              </w:rPr>
              <w:t xml:space="preserve">an </w:t>
            </w:r>
            <w:r w:rsidR="00462C9F">
              <w:rPr>
                <w:rFonts w:asciiTheme="majorHAnsi" w:hAnsiTheme="majorHAnsi"/>
                <w:color w:val="000000" w:themeColor="text1"/>
                <w:sz w:val="18"/>
                <w:szCs w:val="16"/>
                <w:lang w:val="en-US" w:eastAsia="zh-CN"/>
              </w:rPr>
              <w:t xml:space="preserve">individual trader </w:t>
            </w:r>
            <w:r w:rsidR="00206904">
              <w:rPr>
                <w:rFonts w:asciiTheme="majorHAnsi" w:hAnsiTheme="majorHAnsi"/>
                <w:color w:val="000000" w:themeColor="text1"/>
                <w:sz w:val="18"/>
                <w:szCs w:val="16"/>
                <w:lang w:val="en-US" w:eastAsia="zh-CN"/>
              </w:rPr>
              <w:t xml:space="preserve">during </w:t>
            </w:r>
            <w:r w:rsidR="009671BB">
              <w:rPr>
                <w:rFonts w:asciiTheme="majorHAnsi" w:hAnsiTheme="majorHAnsi"/>
                <w:color w:val="000000" w:themeColor="text1"/>
                <w:sz w:val="18"/>
                <w:szCs w:val="16"/>
                <w:lang w:val="en-US" w:eastAsia="zh-CN"/>
              </w:rPr>
              <w:t>a month</w:t>
            </w:r>
            <w:r w:rsidR="00206904">
              <w:rPr>
                <w:rFonts w:asciiTheme="majorHAnsi" w:hAnsiTheme="majorHAnsi"/>
                <w:color w:val="000000" w:themeColor="text1"/>
                <w:sz w:val="18"/>
                <w:szCs w:val="16"/>
                <w:lang w:val="en-US" w:eastAsia="zh-CN"/>
              </w:rPr>
              <w:t xml:space="preserve">. </w:t>
            </w:r>
            <w:r w:rsidR="00206904">
              <w:rPr>
                <w:rFonts w:asciiTheme="majorHAnsi" w:hAnsiTheme="majorHAnsi"/>
                <w:b/>
                <w:color w:val="000000" w:themeColor="text1"/>
                <w:sz w:val="18"/>
                <w:szCs w:val="16"/>
                <w:lang w:val="en-US" w:eastAsia="zh-CN"/>
              </w:rPr>
              <w:t xml:space="preserve">Profit ROI </w:t>
            </w:r>
            <w:r w:rsidR="00206904">
              <w:rPr>
                <w:rFonts w:asciiTheme="majorHAnsi" w:hAnsiTheme="majorHAnsi"/>
                <w:color w:val="000000" w:themeColor="text1"/>
                <w:sz w:val="18"/>
                <w:szCs w:val="16"/>
                <w:lang w:val="en-US" w:eastAsia="zh-CN"/>
              </w:rPr>
              <w:t xml:space="preserve">and </w:t>
            </w:r>
            <w:r w:rsidR="00206904">
              <w:rPr>
                <w:rFonts w:asciiTheme="majorHAnsi" w:hAnsiTheme="majorHAnsi"/>
                <w:b/>
                <w:color w:val="000000" w:themeColor="text1"/>
                <w:sz w:val="18"/>
                <w:szCs w:val="16"/>
                <w:lang w:val="en-US" w:eastAsia="zh-CN"/>
              </w:rPr>
              <w:t xml:space="preserve">Loss ROI </w:t>
            </w:r>
            <w:r w:rsidR="00206904">
              <w:rPr>
                <w:rFonts w:asciiTheme="majorHAnsi" w:hAnsiTheme="majorHAnsi"/>
                <w:color w:val="000000" w:themeColor="text1"/>
                <w:sz w:val="18"/>
                <w:szCs w:val="16"/>
                <w:lang w:val="en-US" w:eastAsia="zh-CN"/>
              </w:rPr>
              <w:t xml:space="preserve">are, respectively, the positive and negative returns on margin </w:t>
            </w:r>
            <w:r w:rsidR="00462C9F">
              <w:rPr>
                <w:rFonts w:asciiTheme="majorHAnsi" w:hAnsiTheme="majorHAnsi"/>
                <w:color w:val="000000" w:themeColor="text1"/>
                <w:sz w:val="18"/>
                <w:szCs w:val="16"/>
                <w:lang w:val="en-US" w:eastAsia="zh-CN"/>
              </w:rPr>
              <w:t>achieved by</w:t>
            </w:r>
            <w:r w:rsidR="009C5F80">
              <w:rPr>
                <w:rFonts w:asciiTheme="majorHAnsi" w:hAnsiTheme="majorHAnsi"/>
                <w:color w:val="000000" w:themeColor="text1"/>
                <w:sz w:val="18"/>
                <w:szCs w:val="16"/>
                <w:lang w:val="en-US" w:eastAsia="zh-CN"/>
              </w:rPr>
              <w:t xml:space="preserve"> an</w:t>
            </w:r>
            <w:r w:rsidR="00462C9F">
              <w:rPr>
                <w:rFonts w:asciiTheme="majorHAnsi" w:hAnsiTheme="majorHAnsi"/>
                <w:color w:val="000000" w:themeColor="text1"/>
                <w:sz w:val="18"/>
                <w:szCs w:val="16"/>
                <w:lang w:val="en-US" w:eastAsia="zh-CN"/>
              </w:rPr>
              <w:t xml:space="preserve"> individual trader </w:t>
            </w:r>
            <w:r w:rsidR="009671BB">
              <w:rPr>
                <w:rFonts w:asciiTheme="majorHAnsi" w:hAnsiTheme="majorHAnsi"/>
                <w:color w:val="000000" w:themeColor="text1"/>
                <w:sz w:val="18"/>
                <w:szCs w:val="16"/>
                <w:lang w:val="en-US" w:eastAsia="zh-CN"/>
              </w:rPr>
              <w:t>over a month</w:t>
            </w:r>
            <w:r w:rsidR="00206904">
              <w:rPr>
                <w:rFonts w:asciiTheme="majorHAnsi" w:hAnsiTheme="majorHAnsi"/>
                <w:color w:val="000000" w:themeColor="text1"/>
                <w:sz w:val="18"/>
                <w:szCs w:val="16"/>
                <w:lang w:val="en-US" w:eastAsia="zh-CN"/>
              </w:rPr>
              <w:t xml:space="preserve">. </w:t>
            </w:r>
            <w:r w:rsidR="00206904">
              <w:rPr>
                <w:rFonts w:asciiTheme="majorHAnsi" w:hAnsiTheme="majorHAnsi"/>
                <w:b/>
                <w:color w:val="000000" w:themeColor="text1"/>
                <w:sz w:val="18"/>
                <w:szCs w:val="16"/>
                <w:lang w:val="en-US" w:eastAsia="zh-CN"/>
              </w:rPr>
              <w:t xml:space="preserve">Generally Profitable </w:t>
            </w:r>
            <w:r w:rsidR="00E00713">
              <w:rPr>
                <w:rFonts w:asciiTheme="majorHAnsi" w:hAnsiTheme="majorHAnsi"/>
                <w:color w:val="000000" w:themeColor="text1"/>
                <w:sz w:val="18"/>
                <w:szCs w:val="16"/>
                <w:lang w:val="en-US" w:eastAsia="zh-CN"/>
              </w:rPr>
              <w:t>is a binary variable assigned one</w:t>
            </w:r>
            <w:r w:rsidR="009671BB">
              <w:rPr>
                <w:rFonts w:asciiTheme="majorHAnsi" w:hAnsiTheme="majorHAnsi"/>
                <w:color w:val="000000" w:themeColor="text1"/>
                <w:sz w:val="18"/>
                <w:szCs w:val="16"/>
                <w:lang w:val="en-US" w:eastAsia="zh-CN"/>
              </w:rPr>
              <w:t xml:space="preserve"> if</w:t>
            </w:r>
            <w:r w:rsidR="00E00713">
              <w:rPr>
                <w:rFonts w:asciiTheme="majorHAnsi" w:hAnsiTheme="majorHAnsi"/>
                <w:color w:val="000000" w:themeColor="text1"/>
                <w:sz w:val="18"/>
                <w:szCs w:val="16"/>
                <w:lang w:val="en-US" w:eastAsia="zh-CN"/>
              </w:rPr>
              <w:t xml:space="preserve"> the trader</w:t>
            </w:r>
            <w:r w:rsidR="00206904">
              <w:rPr>
                <w:rFonts w:asciiTheme="majorHAnsi" w:hAnsiTheme="majorHAnsi"/>
                <w:color w:val="000000" w:themeColor="text1"/>
                <w:sz w:val="18"/>
                <w:szCs w:val="16"/>
                <w:lang w:val="en-US" w:eastAsia="zh-CN"/>
              </w:rPr>
              <w:t xml:space="preserve">, up until that </w:t>
            </w:r>
            <w:r w:rsidR="00E00713">
              <w:rPr>
                <w:rFonts w:asciiTheme="majorHAnsi" w:hAnsiTheme="majorHAnsi"/>
                <w:color w:val="000000" w:themeColor="text1"/>
                <w:sz w:val="18"/>
                <w:szCs w:val="16"/>
                <w:lang w:val="en-US" w:eastAsia="zh-CN"/>
              </w:rPr>
              <w:t>month</w:t>
            </w:r>
            <w:r w:rsidR="00206904">
              <w:rPr>
                <w:rFonts w:asciiTheme="majorHAnsi" w:hAnsiTheme="majorHAnsi"/>
                <w:color w:val="000000" w:themeColor="text1"/>
                <w:sz w:val="18"/>
                <w:szCs w:val="16"/>
                <w:lang w:val="en-US" w:eastAsia="zh-CN"/>
              </w:rPr>
              <w:t>, had experienced more than 50% of months in profit</w:t>
            </w:r>
            <w:r w:rsidR="00E00713">
              <w:rPr>
                <w:rFonts w:asciiTheme="majorHAnsi" w:hAnsiTheme="majorHAnsi"/>
                <w:color w:val="000000" w:themeColor="text1"/>
                <w:sz w:val="18"/>
                <w:szCs w:val="16"/>
                <w:lang w:val="en-US" w:eastAsia="zh-CN"/>
              </w:rPr>
              <w:t>, and zero otherwise</w:t>
            </w:r>
            <w:r w:rsidR="00206904">
              <w:rPr>
                <w:rFonts w:asciiTheme="majorHAnsi" w:hAnsiTheme="majorHAnsi"/>
                <w:color w:val="000000" w:themeColor="text1"/>
                <w:sz w:val="18"/>
                <w:szCs w:val="16"/>
                <w:lang w:val="en-US" w:eastAsia="zh-CN"/>
              </w:rPr>
              <w:t xml:space="preserve">. </w:t>
            </w:r>
            <w:r w:rsidR="00206904">
              <w:rPr>
                <w:rFonts w:asciiTheme="majorHAnsi" w:hAnsiTheme="majorHAnsi"/>
                <w:b/>
                <w:color w:val="000000" w:themeColor="text1"/>
                <w:sz w:val="18"/>
                <w:szCs w:val="16"/>
                <w:lang w:val="en-US" w:eastAsia="zh-CN"/>
              </w:rPr>
              <w:t>Net Profit</w:t>
            </w:r>
            <w:r w:rsidR="00530B7B">
              <w:rPr>
                <w:rFonts w:asciiTheme="majorHAnsi" w:hAnsiTheme="majorHAnsi"/>
                <w:b/>
                <w:color w:val="000000" w:themeColor="text1"/>
                <w:sz w:val="18"/>
                <w:szCs w:val="16"/>
                <w:lang w:val="en-US" w:eastAsia="zh-CN"/>
              </w:rPr>
              <w:t xml:space="preserve"> </w:t>
            </w:r>
            <w:r w:rsidR="00530B7B">
              <w:rPr>
                <w:rFonts w:asciiTheme="majorHAnsi" w:hAnsiTheme="majorHAnsi"/>
                <w:color w:val="000000" w:themeColor="text1"/>
                <w:sz w:val="18"/>
                <w:szCs w:val="16"/>
                <w:lang w:val="en-US" w:eastAsia="zh-CN"/>
              </w:rPr>
              <w:t xml:space="preserve">and </w:t>
            </w:r>
            <w:r w:rsidR="00530B7B">
              <w:rPr>
                <w:rFonts w:asciiTheme="majorHAnsi" w:hAnsiTheme="majorHAnsi"/>
                <w:b/>
                <w:color w:val="000000" w:themeColor="text1"/>
                <w:sz w:val="18"/>
                <w:szCs w:val="16"/>
                <w:lang w:val="en-US" w:eastAsia="zh-CN"/>
              </w:rPr>
              <w:t>Net Loss</w:t>
            </w:r>
            <w:r w:rsidR="00206904">
              <w:rPr>
                <w:rFonts w:asciiTheme="majorHAnsi" w:hAnsiTheme="majorHAnsi"/>
                <w:color w:val="000000" w:themeColor="text1"/>
                <w:sz w:val="18"/>
                <w:szCs w:val="16"/>
                <w:lang w:val="en-US" w:eastAsia="zh-CN"/>
              </w:rPr>
              <w:t xml:space="preserve"> </w:t>
            </w:r>
            <w:r w:rsidR="00E00713">
              <w:rPr>
                <w:rFonts w:asciiTheme="majorHAnsi" w:hAnsiTheme="majorHAnsi"/>
                <w:color w:val="000000" w:themeColor="text1"/>
                <w:sz w:val="18"/>
                <w:szCs w:val="16"/>
                <w:lang w:val="en-US" w:eastAsia="zh-CN"/>
              </w:rPr>
              <w:t>are binary variables assigned</w:t>
            </w:r>
            <w:r w:rsidR="00206904">
              <w:rPr>
                <w:rFonts w:asciiTheme="majorHAnsi" w:hAnsiTheme="majorHAnsi"/>
                <w:color w:val="000000" w:themeColor="text1"/>
                <w:sz w:val="18"/>
                <w:szCs w:val="16"/>
                <w:lang w:val="en-US" w:eastAsia="zh-CN"/>
              </w:rPr>
              <w:t xml:space="preserve"> </w:t>
            </w:r>
            <w:r w:rsidR="00E00713">
              <w:rPr>
                <w:rFonts w:asciiTheme="majorHAnsi" w:hAnsiTheme="majorHAnsi"/>
                <w:color w:val="000000" w:themeColor="text1"/>
                <w:sz w:val="18"/>
                <w:szCs w:val="16"/>
                <w:lang w:val="en-US" w:eastAsia="zh-CN"/>
              </w:rPr>
              <w:t xml:space="preserve">one if the </w:t>
            </w:r>
            <w:r w:rsidR="00462C9F">
              <w:rPr>
                <w:rFonts w:asciiTheme="majorHAnsi" w:hAnsiTheme="majorHAnsi"/>
                <w:color w:val="000000" w:themeColor="text1"/>
                <w:sz w:val="18"/>
                <w:szCs w:val="16"/>
                <w:lang w:val="en-US" w:eastAsia="zh-CN"/>
              </w:rPr>
              <w:t>trader</w:t>
            </w:r>
            <w:r w:rsidR="00530B7B">
              <w:rPr>
                <w:rFonts w:asciiTheme="majorHAnsi" w:hAnsiTheme="majorHAnsi"/>
                <w:color w:val="000000" w:themeColor="text1"/>
                <w:sz w:val="18"/>
                <w:szCs w:val="16"/>
                <w:lang w:val="en-US" w:eastAsia="zh-CN"/>
              </w:rPr>
              <w:t xml:space="preserve"> finished the </w:t>
            </w:r>
            <w:r w:rsidR="00E00713">
              <w:rPr>
                <w:rFonts w:asciiTheme="majorHAnsi" w:hAnsiTheme="majorHAnsi"/>
                <w:color w:val="000000" w:themeColor="text1"/>
                <w:sz w:val="18"/>
                <w:szCs w:val="16"/>
                <w:lang w:val="en-US" w:eastAsia="zh-CN"/>
              </w:rPr>
              <w:t xml:space="preserve">month </w:t>
            </w:r>
            <w:r w:rsidR="00530B7B">
              <w:rPr>
                <w:rFonts w:asciiTheme="majorHAnsi" w:hAnsiTheme="majorHAnsi"/>
                <w:color w:val="000000" w:themeColor="text1"/>
                <w:sz w:val="18"/>
                <w:szCs w:val="16"/>
                <w:lang w:val="en-US" w:eastAsia="zh-CN"/>
              </w:rPr>
              <w:t>in net profit and in net loss</w:t>
            </w:r>
            <w:r w:rsidR="009F7F4B">
              <w:rPr>
                <w:rFonts w:asciiTheme="majorHAnsi" w:hAnsiTheme="majorHAnsi"/>
                <w:color w:val="000000" w:themeColor="text1"/>
                <w:sz w:val="18"/>
                <w:szCs w:val="16"/>
                <w:lang w:val="en-US" w:eastAsia="zh-CN"/>
              </w:rPr>
              <w:t xml:space="preserve">, respectively, </w:t>
            </w:r>
            <w:r w:rsidR="00530B7B">
              <w:rPr>
                <w:rFonts w:asciiTheme="majorHAnsi" w:hAnsiTheme="majorHAnsi"/>
                <w:color w:val="000000" w:themeColor="text1"/>
                <w:sz w:val="18"/>
                <w:szCs w:val="16"/>
                <w:lang w:val="en-US" w:eastAsia="zh-CN"/>
              </w:rPr>
              <w:t>since beginning trading</w:t>
            </w:r>
            <w:r w:rsidR="00E00713">
              <w:rPr>
                <w:rFonts w:asciiTheme="majorHAnsi" w:hAnsiTheme="majorHAnsi"/>
                <w:color w:val="000000" w:themeColor="text1"/>
                <w:sz w:val="18"/>
                <w:szCs w:val="16"/>
                <w:lang w:val="en-US" w:eastAsia="zh-CN"/>
              </w:rPr>
              <w:t>, and assigned zero otherwise</w:t>
            </w:r>
            <w:r w:rsidR="00530B7B">
              <w:rPr>
                <w:rFonts w:asciiTheme="majorHAnsi" w:hAnsiTheme="majorHAnsi"/>
                <w:color w:val="000000" w:themeColor="text1"/>
                <w:sz w:val="18"/>
                <w:szCs w:val="16"/>
                <w:lang w:val="en-US" w:eastAsia="zh-CN"/>
              </w:rPr>
              <w:t xml:space="preserve">. </w:t>
            </w:r>
            <w:r w:rsidR="00530B7B">
              <w:rPr>
                <w:rFonts w:asciiTheme="majorHAnsi" w:hAnsiTheme="majorHAnsi"/>
                <w:b/>
                <w:color w:val="000000" w:themeColor="text1"/>
                <w:sz w:val="18"/>
                <w:szCs w:val="16"/>
                <w:lang w:val="en-US" w:eastAsia="zh-CN"/>
              </w:rPr>
              <w:t>Status Change</w:t>
            </w:r>
            <w:r w:rsidR="00530B7B">
              <w:rPr>
                <w:rFonts w:asciiTheme="majorHAnsi" w:hAnsiTheme="majorHAnsi"/>
                <w:color w:val="000000" w:themeColor="text1"/>
                <w:sz w:val="18"/>
                <w:szCs w:val="16"/>
                <w:lang w:val="en-US" w:eastAsia="zh-CN"/>
              </w:rPr>
              <w:t xml:space="preserve"> </w:t>
            </w:r>
            <w:r w:rsidR="00E00713">
              <w:rPr>
                <w:rFonts w:asciiTheme="majorHAnsi" w:hAnsiTheme="majorHAnsi"/>
                <w:color w:val="000000" w:themeColor="text1"/>
                <w:sz w:val="18"/>
                <w:szCs w:val="16"/>
                <w:lang w:val="en-US" w:eastAsia="zh-CN"/>
              </w:rPr>
              <w:t xml:space="preserve">is a binary variable assigned a value of one </w:t>
            </w:r>
            <w:r w:rsidR="009C5F80">
              <w:rPr>
                <w:rFonts w:asciiTheme="majorHAnsi" w:hAnsiTheme="majorHAnsi"/>
                <w:color w:val="000000" w:themeColor="text1"/>
                <w:sz w:val="18"/>
                <w:szCs w:val="16"/>
                <w:lang w:val="en-US" w:eastAsia="zh-CN"/>
              </w:rPr>
              <w:t>i</w:t>
            </w:r>
            <w:r w:rsidR="00E00713">
              <w:rPr>
                <w:rFonts w:asciiTheme="majorHAnsi" w:hAnsiTheme="majorHAnsi"/>
                <w:color w:val="000000" w:themeColor="text1"/>
                <w:sz w:val="18"/>
                <w:szCs w:val="16"/>
                <w:lang w:val="en-US" w:eastAsia="zh-CN"/>
              </w:rPr>
              <w:t>f the trader had</w:t>
            </w:r>
            <w:r w:rsidR="00530B7B">
              <w:rPr>
                <w:rFonts w:asciiTheme="majorHAnsi" w:hAnsiTheme="majorHAnsi"/>
                <w:color w:val="000000" w:themeColor="text1"/>
                <w:sz w:val="18"/>
                <w:szCs w:val="16"/>
                <w:lang w:val="en-US" w:eastAsia="zh-CN"/>
              </w:rPr>
              <w:t xml:space="preserve"> changed profit status (e.g. from </w:t>
            </w:r>
            <w:r w:rsidR="009C5F80">
              <w:rPr>
                <w:rFonts w:asciiTheme="majorHAnsi" w:hAnsiTheme="majorHAnsi"/>
                <w:color w:val="000000" w:themeColor="text1"/>
                <w:sz w:val="18"/>
                <w:szCs w:val="16"/>
                <w:lang w:val="en-US" w:eastAsia="zh-CN"/>
              </w:rPr>
              <w:t xml:space="preserve">net profit </w:t>
            </w:r>
            <w:r w:rsidR="00530B7B">
              <w:rPr>
                <w:rFonts w:asciiTheme="majorHAnsi" w:hAnsiTheme="majorHAnsi"/>
                <w:color w:val="000000" w:themeColor="text1"/>
                <w:sz w:val="18"/>
                <w:szCs w:val="16"/>
                <w:lang w:val="en-US" w:eastAsia="zh-CN"/>
              </w:rPr>
              <w:t xml:space="preserve">in the previous month to </w:t>
            </w:r>
            <w:r w:rsidR="009C5F80">
              <w:rPr>
                <w:rFonts w:asciiTheme="majorHAnsi" w:hAnsiTheme="majorHAnsi"/>
                <w:color w:val="000000" w:themeColor="text1"/>
                <w:sz w:val="18"/>
                <w:szCs w:val="16"/>
                <w:lang w:val="en-US" w:eastAsia="zh-CN"/>
              </w:rPr>
              <w:t xml:space="preserve">net loss </w:t>
            </w:r>
            <w:r w:rsidR="00530B7B">
              <w:rPr>
                <w:rFonts w:asciiTheme="majorHAnsi" w:hAnsiTheme="majorHAnsi"/>
                <w:color w:val="000000" w:themeColor="text1"/>
                <w:sz w:val="18"/>
                <w:szCs w:val="16"/>
                <w:lang w:val="en-US" w:eastAsia="zh-CN"/>
              </w:rPr>
              <w:t>in the current month)</w:t>
            </w:r>
            <w:r w:rsidR="00E00713">
              <w:rPr>
                <w:rFonts w:asciiTheme="majorHAnsi" w:hAnsiTheme="majorHAnsi"/>
                <w:color w:val="000000" w:themeColor="text1"/>
                <w:sz w:val="18"/>
                <w:szCs w:val="16"/>
                <w:lang w:val="en-US" w:eastAsia="zh-CN"/>
              </w:rPr>
              <w:t>, and zero otherwise</w:t>
            </w:r>
            <w:r w:rsidR="00530B7B">
              <w:rPr>
                <w:rFonts w:asciiTheme="majorHAnsi" w:hAnsiTheme="majorHAnsi"/>
                <w:color w:val="000000" w:themeColor="text1"/>
                <w:sz w:val="18"/>
                <w:szCs w:val="16"/>
                <w:lang w:val="en-US" w:eastAsia="zh-CN"/>
              </w:rPr>
              <w:t xml:space="preserve">. </w:t>
            </w:r>
            <w:r w:rsidR="00530B7B">
              <w:rPr>
                <w:rFonts w:asciiTheme="majorHAnsi" w:hAnsiTheme="majorHAnsi"/>
                <w:b/>
                <w:color w:val="000000" w:themeColor="text1"/>
                <w:sz w:val="18"/>
                <w:szCs w:val="16"/>
                <w:lang w:val="en-US" w:eastAsia="zh-CN"/>
              </w:rPr>
              <w:t xml:space="preserve">Stake </w:t>
            </w:r>
            <w:r w:rsidR="00530B7B">
              <w:rPr>
                <w:rFonts w:asciiTheme="majorHAnsi" w:hAnsiTheme="majorHAnsi"/>
                <w:color w:val="000000" w:themeColor="text1"/>
                <w:sz w:val="18"/>
                <w:szCs w:val="16"/>
                <w:lang w:val="en-US" w:eastAsia="zh-CN"/>
              </w:rPr>
              <w:t>is the average stake</w:t>
            </w:r>
            <w:r w:rsidR="009F7F4B">
              <w:rPr>
                <w:rFonts w:asciiTheme="majorHAnsi" w:hAnsiTheme="majorHAnsi"/>
                <w:color w:val="000000" w:themeColor="text1"/>
                <w:sz w:val="18"/>
                <w:szCs w:val="16"/>
                <w:lang w:val="en-US" w:eastAsia="zh-CN"/>
              </w:rPr>
              <w:t xml:space="preserve"> (GBP)</w:t>
            </w:r>
            <w:r w:rsidR="00530B7B">
              <w:rPr>
                <w:rFonts w:asciiTheme="majorHAnsi" w:hAnsiTheme="majorHAnsi"/>
                <w:color w:val="000000" w:themeColor="text1"/>
                <w:sz w:val="18"/>
                <w:szCs w:val="16"/>
                <w:lang w:val="en-US" w:eastAsia="zh-CN"/>
              </w:rPr>
              <w:t xml:space="preserve"> </w:t>
            </w:r>
            <w:r w:rsidR="00E73AE9">
              <w:rPr>
                <w:rFonts w:asciiTheme="majorHAnsi" w:hAnsiTheme="majorHAnsi"/>
                <w:color w:val="000000" w:themeColor="text1"/>
                <w:sz w:val="18"/>
                <w:szCs w:val="16"/>
                <w:lang w:val="en-US" w:eastAsia="zh-CN"/>
              </w:rPr>
              <w:t>per trade</w:t>
            </w:r>
            <w:r w:rsidR="009F7F4B">
              <w:rPr>
                <w:rFonts w:asciiTheme="majorHAnsi" w:hAnsiTheme="majorHAnsi"/>
                <w:color w:val="000000" w:themeColor="text1"/>
                <w:sz w:val="18"/>
                <w:szCs w:val="16"/>
                <w:lang w:val="en-US" w:eastAsia="zh-CN"/>
              </w:rPr>
              <w:t xml:space="preserve"> </w:t>
            </w:r>
            <w:r w:rsidR="006F5E27">
              <w:rPr>
                <w:rFonts w:asciiTheme="majorHAnsi" w:hAnsiTheme="majorHAnsi"/>
                <w:color w:val="000000" w:themeColor="text1"/>
                <w:sz w:val="18"/>
                <w:szCs w:val="16"/>
                <w:lang w:val="en-US" w:eastAsia="zh-CN"/>
              </w:rPr>
              <w:t>of</w:t>
            </w:r>
            <w:r w:rsidR="009F7F4B">
              <w:rPr>
                <w:rFonts w:asciiTheme="majorHAnsi" w:hAnsiTheme="majorHAnsi"/>
                <w:color w:val="000000" w:themeColor="text1"/>
                <w:sz w:val="18"/>
                <w:szCs w:val="16"/>
                <w:lang w:val="en-US" w:eastAsia="zh-CN"/>
              </w:rPr>
              <w:t xml:space="preserve"> </w:t>
            </w:r>
            <w:r w:rsidR="009C5F80">
              <w:rPr>
                <w:rFonts w:asciiTheme="majorHAnsi" w:hAnsiTheme="majorHAnsi"/>
                <w:color w:val="000000" w:themeColor="text1"/>
                <w:sz w:val="18"/>
                <w:szCs w:val="16"/>
                <w:lang w:val="en-US" w:eastAsia="zh-CN"/>
              </w:rPr>
              <w:t xml:space="preserve">an </w:t>
            </w:r>
            <w:r w:rsidR="009F7F4B">
              <w:rPr>
                <w:rFonts w:asciiTheme="majorHAnsi" w:hAnsiTheme="majorHAnsi"/>
                <w:color w:val="000000" w:themeColor="text1"/>
                <w:sz w:val="18"/>
                <w:szCs w:val="16"/>
                <w:lang w:val="en-US" w:eastAsia="zh-CN"/>
              </w:rPr>
              <w:t>individual trader</w:t>
            </w:r>
            <w:r w:rsidR="00530B7B">
              <w:rPr>
                <w:rFonts w:asciiTheme="majorHAnsi" w:hAnsiTheme="majorHAnsi"/>
                <w:color w:val="000000" w:themeColor="text1"/>
                <w:sz w:val="18"/>
                <w:szCs w:val="16"/>
                <w:lang w:val="en-US" w:eastAsia="zh-CN"/>
              </w:rPr>
              <w:t xml:space="preserve"> </w:t>
            </w:r>
            <w:r w:rsidR="00E00713">
              <w:rPr>
                <w:rFonts w:asciiTheme="majorHAnsi" w:hAnsiTheme="majorHAnsi"/>
                <w:color w:val="000000" w:themeColor="text1"/>
                <w:sz w:val="18"/>
                <w:szCs w:val="16"/>
                <w:lang w:val="en-US" w:eastAsia="zh-CN"/>
              </w:rPr>
              <w:t>over a month</w:t>
            </w:r>
            <w:r w:rsidR="00530B7B">
              <w:rPr>
                <w:rFonts w:asciiTheme="majorHAnsi" w:hAnsiTheme="majorHAnsi"/>
                <w:color w:val="000000" w:themeColor="text1"/>
                <w:sz w:val="18"/>
                <w:szCs w:val="16"/>
                <w:lang w:val="en-US" w:eastAsia="zh-CN"/>
              </w:rPr>
              <w:t xml:space="preserve">. </w:t>
            </w:r>
            <w:r w:rsidR="00530B7B">
              <w:rPr>
                <w:rFonts w:asciiTheme="majorHAnsi" w:hAnsiTheme="majorHAnsi"/>
                <w:b/>
                <w:color w:val="000000" w:themeColor="text1"/>
                <w:sz w:val="18"/>
                <w:szCs w:val="16"/>
                <w:lang w:val="en-US" w:eastAsia="zh-CN"/>
              </w:rPr>
              <w:t>Trades</w:t>
            </w:r>
            <w:r w:rsidR="00530B7B">
              <w:rPr>
                <w:rFonts w:asciiTheme="majorHAnsi" w:hAnsiTheme="majorHAnsi"/>
                <w:color w:val="000000" w:themeColor="text1"/>
                <w:sz w:val="18"/>
                <w:szCs w:val="16"/>
                <w:lang w:val="en-US" w:eastAsia="zh-CN"/>
              </w:rPr>
              <w:t xml:space="preserve"> is the total number of trades </w:t>
            </w:r>
            <w:r w:rsidR="009F7F4B">
              <w:rPr>
                <w:rFonts w:asciiTheme="majorHAnsi" w:hAnsiTheme="majorHAnsi"/>
                <w:color w:val="000000" w:themeColor="text1"/>
                <w:sz w:val="18"/>
                <w:szCs w:val="16"/>
                <w:lang w:val="en-US" w:eastAsia="zh-CN"/>
              </w:rPr>
              <w:t xml:space="preserve">placed by </w:t>
            </w:r>
            <w:r w:rsidR="001A70A2">
              <w:rPr>
                <w:rFonts w:asciiTheme="majorHAnsi" w:hAnsiTheme="majorHAnsi"/>
                <w:color w:val="000000" w:themeColor="text1"/>
                <w:sz w:val="18"/>
                <w:szCs w:val="16"/>
                <w:lang w:val="en-US" w:eastAsia="zh-CN"/>
              </w:rPr>
              <w:t>an</w:t>
            </w:r>
            <w:r w:rsidR="009F7F4B">
              <w:rPr>
                <w:rFonts w:asciiTheme="majorHAnsi" w:hAnsiTheme="majorHAnsi"/>
                <w:color w:val="000000" w:themeColor="text1"/>
                <w:sz w:val="18"/>
                <w:szCs w:val="16"/>
                <w:lang w:val="en-US" w:eastAsia="zh-CN"/>
              </w:rPr>
              <w:t xml:space="preserve"> individual trader </w:t>
            </w:r>
            <w:r w:rsidR="00530B7B">
              <w:rPr>
                <w:rFonts w:asciiTheme="majorHAnsi" w:hAnsiTheme="majorHAnsi"/>
                <w:color w:val="000000" w:themeColor="text1"/>
                <w:sz w:val="18"/>
                <w:szCs w:val="16"/>
                <w:lang w:val="en-US" w:eastAsia="zh-CN"/>
              </w:rPr>
              <w:t xml:space="preserve">for that </w:t>
            </w:r>
            <w:r w:rsidR="00E00713">
              <w:rPr>
                <w:rFonts w:asciiTheme="majorHAnsi" w:hAnsiTheme="majorHAnsi"/>
                <w:color w:val="000000" w:themeColor="text1"/>
                <w:sz w:val="18"/>
                <w:szCs w:val="16"/>
                <w:lang w:val="en-US" w:eastAsia="zh-CN"/>
              </w:rPr>
              <w:t>month</w:t>
            </w:r>
            <w:r w:rsidR="00530B7B">
              <w:rPr>
                <w:rFonts w:asciiTheme="majorHAnsi" w:hAnsiTheme="majorHAnsi"/>
                <w:color w:val="000000" w:themeColor="text1"/>
                <w:sz w:val="18"/>
                <w:szCs w:val="16"/>
                <w:lang w:val="en-US" w:eastAsia="zh-CN"/>
              </w:rPr>
              <w:t xml:space="preserve">. </w:t>
            </w:r>
            <w:r w:rsidR="00530B7B">
              <w:rPr>
                <w:rFonts w:asciiTheme="majorHAnsi" w:hAnsiTheme="majorHAnsi"/>
                <w:b/>
                <w:color w:val="000000" w:themeColor="text1"/>
                <w:sz w:val="18"/>
                <w:szCs w:val="16"/>
                <w:lang w:val="en-US" w:eastAsia="zh-CN"/>
              </w:rPr>
              <w:t xml:space="preserve">Hold Time </w:t>
            </w:r>
            <w:r w:rsidR="00530B7B">
              <w:rPr>
                <w:rFonts w:asciiTheme="majorHAnsi" w:hAnsiTheme="majorHAnsi"/>
                <w:color w:val="000000" w:themeColor="text1"/>
                <w:sz w:val="18"/>
                <w:szCs w:val="16"/>
                <w:lang w:val="en-US" w:eastAsia="zh-CN"/>
              </w:rPr>
              <w:t>is the mean holding time of trades</w:t>
            </w:r>
            <w:r w:rsidR="006F5E27">
              <w:rPr>
                <w:rFonts w:asciiTheme="majorHAnsi" w:hAnsiTheme="majorHAnsi"/>
                <w:color w:val="000000" w:themeColor="text1"/>
                <w:sz w:val="18"/>
                <w:szCs w:val="16"/>
                <w:lang w:val="en-US" w:eastAsia="zh-CN"/>
              </w:rPr>
              <w:t xml:space="preserve"> of </w:t>
            </w:r>
            <w:r w:rsidR="00E00713">
              <w:rPr>
                <w:rFonts w:asciiTheme="majorHAnsi" w:hAnsiTheme="majorHAnsi"/>
                <w:color w:val="000000" w:themeColor="text1"/>
                <w:sz w:val="18"/>
                <w:szCs w:val="16"/>
                <w:lang w:val="en-US" w:eastAsia="zh-CN"/>
              </w:rPr>
              <w:t>the trader in the month</w:t>
            </w:r>
            <w:r w:rsidR="00530B7B">
              <w:rPr>
                <w:rFonts w:asciiTheme="majorHAnsi" w:hAnsiTheme="majorHAnsi"/>
                <w:color w:val="000000" w:themeColor="text1"/>
                <w:sz w:val="18"/>
                <w:szCs w:val="16"/>
                <w:lang w:val="en-US" w:eastAsia="zh-CN"/>
              </w:rPr>
              <w:t xml:space="preserve">. </w:t>
            </w:r>
            <w:r w:rsidR="00530B7B">
              <w:rPr>
                <w:rFonts w:asciiTheme="majorHAnsi" w:hAnsiTheme="majorHAnsi"/>
                <w:b/>
                <w:color w:val="000000" w:themeColor="text1"/>
                <w:sz w:val="18"/>
                <w:szCs w:val="16"/>
                <w:lang w:val="en-US" w:eastAsia="zh-CN"/>
              </w:rPr>
              <w:t xml:space="preserve">Market Return (%) </w:t>
            </w:r>
            <w:r w:rsidR="00530B7B">
              <w:rPr>
                <w:rFonts w:asciiTheme="majorHAnsi" w:hAnsiTheme="majorHAnsi"/>
                <w:color w:val="000000" w:themeColor="text1"/>
                <w:sz w:val="18"/>
                <w:szCs w:val="16"/>
                <w:lang w:val="en-US" w:eastAsia="zh-CN"/>
              </w:rPr>
              <w:t xml:space="preserve">is the </w:t>
            </w:r>
            <w:r w:rsidR="00E00713">
              <w:rPr>
                <w:rFonts w:asciiTheme="majorHAnsi" w:hAnsiTheme="majorHAnsi"/>
                <w:color w:val="000000" w:themeColor="text1"/>
                <w:sz w:val="18"/>
                <w:szCs w:val="16"/>
                <w:lang w:val="en-US" w:eastAsia="zh-CN"/>
              </w:rPr>
              <w:t xml:space="preserve">daily </w:t>
            </w:r>
            <w:r w:rsidR="00C8062E">
              <w:rPr>
                <w:rFonts w:asciiTheme="majorHAnsi" w:hAnsiTheme="majorHAnsi"/>
                <w:color w:val="000000" w:themeColor="text1"/>
                <w:sz w:val="18"/>
                <w:szCs w:val="16"/>
                <w:lang w:val="en-US" w:eastAsia="zh-CN"/>
              </w:rPr>
              <w:t xml:space="preserve">percentage return of the </w:t>
            </w:r>
            <w:r w:rsidR="00530B7B">
              <w:rPr>
                <w:rFonts w:asciiTheme="majorHAnsi" w:hAnsiTheme="majorHAnsi"/>
                <w:color w:val="000000" w:themeColor="text1"/>
                <w:sz w:val="18"/>
                <w:szCs w:val="16"/>
                <w:lang w:val="en-US" w:eastAsia="zh-CN"/>
              </w:rPr>
              <w:t>market</w:t>
            </w:r>
            <w:r w:rsidR="00E00713">
              <w:rPr>
                <w:rFonts w:asciiTheme="majorHAnsi" w:hAnsiTheme="majorHAnsi"/>
                <w:color w:val="000000" w:themeColor="text1"/>
                <w:sz w:val="18"/>
                <w:szCs w:val="16"/>
                <w:lang w:val="en-US" w:eastAsia="zh-CN"/>
              </w:rPr>
              <w:t xml:space="preserve"> over the month </w:t>
            </w:r>
            <w:r w:rsidR="00C8062E">
              <w:rPr>
                <w:rFonts w:asciiTheme="majorHAnsi" w:hAnsiTheme="majorHAnsi"/>
                <w:color w:val="000000" w:themeColor="text1"/>
                <w:sz w:val="18"/>
                <w:szCs w:val="16"/>
                <w:lang w:val="en-US" w:eastAsia="zh-CN"/>
              </w:rPr>
              <w:t xml:space="preserve">and </w:t>
            </w:r>
            <w:r w:rsidR="00C8062E">
              <w:rPr>
                <w:rFonts w:asciiTheme="majorHAnsi" w:hAnsiTheme="majorHAnsi"/>
                <w:b/>
                <w:color w:val="000000" w:themeColor="text1"/>
                <w:sz w:val="18"/>
                <w:szCs w:val="16"/>
                <w:lang w:val="en-US" w:eastAsia="zh-CN"/>
              </w:rPr>
              <w:t xml:space="preserve">Market Volatility (%) </w:t>
            </w:r>
            <w:r w:rsidR="00C8062E">
              <w:rPr>
                <w:rFonts w:asciiTheme="majorHAnsi" w:hAnsiTheme="majorHAnsi"/>
                <w:color w:val="000000" w:themeColor="text1"/>
                <w:sz w:val="18"/>
                <w:szCs w:val="16"/>
                <w:lang w:val="en-US" w:eastAsia="zh-CN"/>
              </w:rPr>
              <w:t>is the standard deviation of the</w:t>
            </w:r>
            <w:r w:rsidR="00E00713">
              <w:rPr>
                <w:rFonts w:asciiTheme="majorHAnsi" w:hAnsiTheme="majorHAnsi"/>
                <w:color w:val="000000" w:themeColor="text1"/>
                <w:sz w:val="18"/>
                <w:szCs w:val="16"/>
                <w:lang w:val="en-US" w:eastAsia="zh-CN"/>
              </w:rPr>
              <w:t xml:space="preserve"> daily</w:t>
            </w:r>
            <w:r w:rsidR="00C8062E">
              <w:rPr>
                <w:rFonts w:asciiTheme="majorHAnsi" w:hAnsiTheme="majorHAnsi"/>
                <w:color w:val="000000" w:themeColor="text1"/>
                <w:sz w:val="18"/>
                <w:szCs w:val="16"/>
                <w:lang w:val="en-US" w:eastAsia="zh-CN"/>
              </w:rPr>
              <w:t xml:space="preserve"> market returns during the </w:t>
            </w:r>
            <w:r w:rsidR="00E00713">
              <w:rPr>
                <w:rFonts w:asciiTheme="majorHAnsi" w:hAnsiTheme="majorHAnsi"/>
                <w:color w:val="000000" w:themeColor="text1"/>
                <w:sz w:val="18"/>
                <w:szCs w:val="16"/>
                <w:lang w:val="en-US" w:eastAsia="zh-CN"/>
              </w:rPr>
              <w:t>month</w:t>
            </w:r>
            <w:r w:rsidR="00C8062E">
              <w:rPr>
                <w:rFonts w:asciiTheme="majorHAnsi" w:hAnsiTheme="majorHAnsi"/>
                <w:color w:val="000000" w:themeColor="text1"/>
                <w:sz w:val="18"/>
                <w:szCs w:val="16"/>
                <w:lang w:val="en-US" w:eastAsia="zh-CN"/>
              </w:rPr>
              <w:t>.</w:t>
            </w:r>
          </w:p>
        </w:tc>
      </w:tr>
    </w:tbl>
    <w:p w14:paraId="540FBEA2" w14:textId="77777777" w:rsidR="00326E18" w:rsidRDefault="00326E18" w:rsidP="00D3702F">
      <w:pPr>
        <w:spacing w:after="0" w:line="240" w:lineRule="auto"/>
        <w:rPr>
          <w:rFonts w:asciiTheme="majorHAnsi" w:hAnsiTheme="majorHAnsi"/>
          <w:lang w:val="en-US"/>
        </w:rPr>
        <w:sectPr w:rsidR="00326E18" w:rsidSect="00326E18">
          <w:pgSz w:w="16838" w:h="11906" w:orient="landscape"/>
          <w:pgMar w:top="1440" w:right="1440" w:bottom="1440" w:left="1440" w:header="708" w:footer="708" w:gutter="0"/>
          <w:cols w:space="708"/>
          <w:docGrid w:linePitch="360"/>
        </w:sectPr>
      </w:pPr>
    </w:p>
    <w:p w14:paraId="7B1128EF" w14:textId="27D7199C" w:rsidR="00326E18" w:rsidRDefault="00326E18" w:rsidP="00326E18">
      <w:pPr>
        <w:spacing w:after="0" w:line="240" w:lineRule="auto"/>
        <w:rPr>
          <w:rFonts w:asciiTheme="majorHAnsi" w:eastAsia="Times New Roman" w:hAnsiTheme="majorHAnsi" w:cs="Times New Roman"/>
          <w:color w:val="000000"/>
          <w:lang w:val="en-US" w:eastAsia="en-GB"/>
        </w:rPr>
      </w:pPr>
      <w:r>
        <w:rPr>
          <w:rFonts w:asciiTheme="majorHAnsi" w:hAnsiTheme="majorHAnsi"/>
          <w:b/>
          <w:lang w:val="en-US"/>
        </w:rPr>
        <w:t xml:space="preserve">Table </w:t>
      </w:r>
      <w:r w:rsidR="002823B7">
        <w:rPr>
          <w:rFonts w:asciiTheme="majorHAnsi" w:hAnsiTheme="majorHAnsi"/>
          <w:b/>
          <w:lang w:val="en-US"/>
        </w:rPr>
        <w:t>III</w:t>
      </w:r>
      <w:r>
        <w:rPr>
          <w:rFonts w:asciiTheme="majorHAnsi" w:hAnsiTheme="majorHAnsi"/>
          <w:b/>
          <w:lang w:val="en-US"/>
        </w:rPr>
        <w:t xml:space="preserve">. </w:t>
      </w:r>
      <w:r w:rsidRPr="00815BF5">
        <w:rPr>
          <w:rFonts w:asciiTheme="majorHAnsi" w:hAnsiTheme="majorHAnsi"/>
          <w:lang w:val="en-US"/>
        </w:rPr>
        <w:t>Estimated coefficients for the Cox Proportional Hazards Model</w:t>
      </w:r>
      <w:r>
        <w:rPr>
          <w:rFonts w:asciiTheme="majorHAnsi" w:hAnsiTheme="majorHAnsi"/>
          <w:lang w:val="en-US"/>
        </w:rPr>
        <w:t xml:space="preserve"> </w:t>
      </w:r>
      <w:r w:rsidRPr="009D56E1">
        <w:rPr>
          <w:rFonts w:asciiTheme="majorHAnsi" w:eastAsia="Times New Roman" w:hAnsiTheme="majorHAnsi" w:cs="Times New Roman"/>
          <w:color w:val="000000"/>
          <w:lang w:val="en-US" w:eastAsia="en-GB"/>
        </w:rPr>
        <w:t xml:space="preserve">for assessing the likelihood </w:t>
      </w:r>
      <w:r>
        <w:rPr>
          <w:rFonts w:asciiTheme="majorHAnsi" w:eastAsia="Times New Roman" w:hAnsiTheme="majorHAnsi" w:cs="Times New Roman"/>
          <w:color w:val="000000"/>
          <w:lang w:val="en-US" w:eastAsia="en-GB"/>
        </w:rPr>
        <w:t>that a</w:t>
      </w:r>
      <w:r w:rsidR="006812B2">
        <w:rPr>
          <w:rFonts w:asciiTheme="majorHAnsi" w:eastAsia="Times New Roman" w:hAnsiTheme="majorHAnsi" w:cs="Times New Roman"/>
          <w:color w:val="000000"/>
          <w:lang w:val="en-US" w:eastAsia="en-GB"/>
        </w:rPr>
        <w:t>n individual</w:t>
      </w:r>
      <w:r>
        <w:rPr>
          <w:rFonts w:asciiTheme="majorHAnsi" w:eastAsia="Times New Roman" w:hAnsiTheme="majorHAnsi" w:cs="Times New Roman"/>
          <w:color w:val="000000"/>
          <w:lang w:val="en-US" w:eastAsia="en-GB"/>
        </w:rPr>
        <w:t xml:space="preserve"> will </w:t>
      </w:r>
      <w:r w:rsidRPr="009D56E1">
        <w:rPr>
          <w:rFonts w:asciiTheme="majorHAnsi" w:eastAsia="Times New Roman" w:hAnsiTheme="majorHAnsi" w:cs="Times New Roman"/>
          <w:color w:val="000000"/>
          <w:lang w:val="en-US" w:eastAsia="en-GB"/>
        </w:rPr>
        <w:t>c</w:t>
      </w:r>
      <w:r>
        <w:rPr>
          <w:rFonts w:asciiTheme="majorHAnsi" w:eastAsia="Times New Roman" w:hAnsiTheme="majorHAnsi" w:cs="Times New Roman"/>
          <w:color w:val="000000"/>
          <w:lang w:val="en-US" w:eastAsia="en-GB"/>
        </w:rPr>
        <w:t>ease trad</w:t>
      </w:r>
      <w:r w:rsidR="001A70A2">
        <w:rPr>
          <w:rFonts w:asciiTheme="majorHAnsi" w:eastAsia="Times New Roman" w:hAnsiTheme="majorHAnsi" w:cs="Times New Roman"/>
          <w:color w:val="000000"/>
          <w:lang w:val="en-US" w:eastAsia="en-GB"/>
        </w:rPr>
        <w:t>ing</w:t>
      </w:r>
      <w:r w:rsidR="00705BF1">
        <w:rPr>
          <w:rFonts w:asciiTheme="majorHAnsi" w:eastAsia="Times New Roman" w:hAnsiTheme="majorHAnsi" w:cs="Times New Roman"/>
          <w:color w:val="000000"/>
          <w:lang w:val="en-US" w:eastAsia="en-GB"/>
        </w:rPr>
        <w:t xml:space="preserve"> in a given month</w:t>
      </w:r>
      <w:r>
        <w:rPr>
          <w:rFonts w:asciiTheme="majorHAnsi" w:eastAsia="Times New Roman" w:hAnsiTheme="majorHAnsi" w:cs="Times New Roman"/>
          <w:color w:val="000000"/>
          <w:lang w:val="en-US" w:eastAsia="en-GB"/>
        </w:rPr>
        <w:t>.</w:t>
      </w:r>
    </w:p>
    <w:p w14:paraId="16117742" w14:textId="77777777" w:rsidR="00277D3E" w:rsidRDefault="00277D3E" w:rsidP="00326E18">
      <w:pPr>
        <w:spacing w:after="0" w:line="240" w:lineRule="auto"/>
        <w:rPr>
          <w:rFonts w:asciiTheme="majorHAnsi" w:hAnsiTheme="majorHAnsi"/>
          <w:b/>
          <w:lang w:val="en-US"/>
        </w:rPr>
      </w:pPr>
    </w:p>
    <w:tbl>
      <w:tblPr>
        <w:tblW w:w="8849" w:type="dxa"/>
        <w:tblInd w:w="93" w:type="dxa"/>
        <w:tblLook w:val="04A0" w:firstRow="1" w:lastRow="0" w:firstColumn="1" w:lastColumn="0" w:noHBand="0" w:noVBand="1"/>
      </w:tblPr>
      <w:tblGrid>
        <w:gridCol w:w="3765"/>
        <w:gridCol w:w="965"/>
        <w:gridCol w:w="993"/>
        <w:gridCol w:w="886"/>
        <w:gridCol w:w="929"/>
        <w:gridCol w:w="826"/>
        <w:gridCol w:w="485"/>
      </w:tblGrid>
      <w:tr w:rsidR="00326E18" w:rsidRPr="00543461" w14:paraId="09E55FAE" w14:textId="77777777" w:rsidTr="00C8062E">
        <w:trPr>
          <w:trHeight w:val="474"/>
        </w:trPr>
        <w:tc>
          <w:tcPr>
            <w:tcW w:w="3765" w:type="dxa"/>
            <w:tcBorders>
              <w:top w:val="single" w:sz="4" w:space="0" w:color="auto"/>
              <w:left w:val="nil"/>
              <w:bottom w:val="single" w:sz="4" w:space="0" w:color="auto"/>
              <w:right w:val="nil"/>
            </w:tcBorders>
            <w:shd w:val="clear" w:color="auto" w:fill="auto"/>
            <w:noWrap/>
            <w:vAlign w:val="center"/>
            <w:hideMark/>
          </w:tcPr>
          <w:p w14:paraId="5C5C6217" w14:textId="77777777" w:rsidR="00326E18" w:rsidRPr="00060C2F" w:rsidRDefault="00326E18" w:rsidP="00060C2F">
            <w:pPr>
              <w:spacing w:after="0" w:line="240" w:lineRule="auto"/>
              <w:rPr>
                <w:rFonts w:asciiTheme="majorHAnsi" w:eastAsia="Times New Roman" w:hAnsiTheme="majorHAnsi" w:cs="Consolas"/>
                <w:color w:val="000000"/>
                <w:sz w:val="18"/>
                <w:szCs w:val="20"/>
                <w:lang w:eastAsia="en-GB"/>
              </w:rPr>
            </w:pPr>
          </w:p>
        </w:tc>
        <w:tc>
          <w:tcPr>
            <w:tcW w:w="965" w:type="dxa"/>
            <w:tcBorders>
              <w:top w:val="single" w:sz="4" w:space="0" w:color="auto"/>
              <w:left w:val="nil"/>
              <w:bottom w:val="single" w:sz="4" w:space="0" w:color="auto"/>
              <w:right w:val="nil"/>
            </w:tcBorders>
            <w:shd w:val="clear" w:color="auto" w:fill="auto"/>
            <w:noWrap/>
            <w:vAlign w:val="center"/>
            <w:hideMark/>
          </w:tcPr>
          <w:p w14:paraId="5F2C0391" w14:textId="71C41B93" w:rsidR="00326E18" w:rsidRPr="00060C2F" w:rsidRDefault="00AE01B6" w:rsidP="00060C2F">
            <w:pPr>
              <w:spacing w:after="0" w:line="240" w:lineRule="auto"/>
              <w:jc w:val="center"/>
              <w:rPr>
                <w:rFonts w:asciiTheme="majorHAnsi" w:eastAsia="Times New Roman" w:hAnsiTheme="majorHAnsi" w:cs="Times New Roman"/>
                <w:color w:val="000000"/>
                <w:sz w:val="18"/>
                <w:szCs w:val="20"/>
                <w:lang w:eastAsia="en-GB"/>
              </w:rPr>
            </w:pPr>
            <w:r w:rsidRPr="00060C2F">
              <w:rPr>
                <w:rFonts w:asciiTheme="majorHAnsi" w:eastAsia="Times New Roman" w:hAnsiTheme="majorHAnsi" w:cs="Times New Roman"/>
                <w:color w:val="000000"/>
                <w:sz w:val="18"/>
                <w:szCs w:val="20"/>
                <w:lang w:eastAsia="en-GB"/>
              </w:rPr>
              <w:t>Coef</w:t>
            </w:r>
          </w:p>
        </w:tc>
        <w:tc>
          <w:tcPr>
            <w:tcW w:w="993" w:type="dxa"/>
            <w:tcBorders>
              <w:top w:val="single" w:sz="4" w:space="0" w:color="auto"/>
              <w:left w:val="nil"/>
              <w:bottom w:val="single" w:sz="4" w:space="0" w:color="auto"/>
              <w:right w:val="nil"/>
            </w:tcBorders>
            <w:shd w:val="clear" w:color="auto" w:fill="auto"/>
            <w:noWrap/>
            <w:vAlign w:val="center"/>
            <w:hideMark/>
          </w:tcPr>
          <w:p w14:paraId="3691AB24" w14:textId="0B62C6B9" w:rsidR="00326E18" w:rsidRPr="00060C2F" w:rsidRDefault="00AE01B6" w:rsidP="00060C2F">
            <w:pPr>
              <w:spacing w:after="0" w:line="240" w:lineRule="auto"/>
              <w:jc w:val="center"/>
              <w:rPr>
                <w:rFonts w:asciiTheme="majorHAnsi" w:eastAsia="Times New Roman" w:hAnsiTheme="majorHAnsi" w:cs="Times New Roman"/>
                <w:color w:val="000000"/>
                <w:sz w:val="18"/>
                <w:szCs w:val="20"/>
                <w:lang w:eastAsia="en-GB"/>
              </w:rPr>
            </w:pPr>
            <w:r w:rsidRPr="00060C2F">
              <w:rPr>
                <w:rFonts w:asciiTheme="majorHAnsi" w:eastAsia="Times New Roman" w:hAnsiTheme="majorHAnsi" w:cs="Times New Roman"/>
                <w:color w:val="000000"/>
                <w:sz w:val="18"/>
                <w:szCs w:val="20"/>
                <w:lang w:eastAsia="en-GB"/>
              </w:rPr>
              <w:t>Exp</w:t>
            </w:r>
            <w:r w:rsidR="00326E18" w:rsidRPr="00060C2F">
              <w:rPr>
                <w:rFonts w:asciiTheme="majorHAnsi" w:eastAsia="Times New Roman" w:hAnsiTheme="majorHAnsi" w:cs="Times New Roman"/>
                <w:color w:val="000000"/>
                <w:sz w:val="18"/>
                <w:szCs w:val="20"/>
                <w:lang w:eastAsia="en-GB"/>
              </w:rPr>
              <w:t>(coef)</w:t>
            </w:r>
          </w:p>
        </w:tc>
        <w:tc>
          <w:tcPr>
            <w:tcW w:w="886" w:type="dxa"/>
            <w:tcBorders>
              <w:top w:val="single" w:sz="4" w:space="0" w:color="auto"/>
              <w:left w:val="nil"/>
              <w:bottom w:val="single" w:sz="4" w:space="0" w:color="auto"/>
              <w:right w:val="nil"/>
            </w:tcBorders>
            <w:shd w:val="clear" w:color="auto" w:fill="auto"/>
            <w:noWrap/>
            <w:vAlign w:val="center"/>
            <w:hideMark/>
          </w:tcPr>
          <w:p w14:paraId="0D5F5946" w14:textId="676E6578" w:rsidR="00326E18" w:rsidRPr="00060C2F" w:rsidRDefault="00AE01B6" w:rsidP="00060C2F">
            <w:pPr>
              <w:spacing w:after="0" w:line="240" w:lineRule="auto"/>
              <w:jc w:val="center"/>
              <w:rPr>
                <w:rFonts w:asciiTheme="majorHAnsi" w:eastAsia="Times New Roman" w:hAnsiTheme="majorHAnsi" w:cs="Times New Roman"/>
                <w:color w:val="000000"/>
                <w:sz w:val="18"/>
                <w:szCs w:val="20"/>
                <w:lang w:eastAsia="en-GB"/>
              </w:rPr>
            </w:pPr>
            <w:r w:rsidRPr="00060C2F">
              <w:rPr>
                <w:rFonts w:asciiTheme="majorHAnsi" w:eastAsia="Times New Roman" w:hAnsiTheme="majorHAnsi" w:cs="Times New Roman"/>
                <w:color w:val="000000"/>
                <w:sz w:val="18"/>
                <w:szCs w:val="20"/>
                <w:lang w:eastAsia="en-GB"/>
              </w:rPr>
              <w:t>SE</w:t>
            </w:r>
            <w:r w:rsidR="00326E18" w:rsidRPr="00060C2F">
              <w:rPr>
                <w:rFonts w:asciiTheme="majorHAnsi" w:eastAsia="Times New Roman" w:hAnsiTheme="majorHAnsi" w:cs="Times New Roman"/>
                <w:color w:val="000000"/>
                <w:sz w:val="18"/>
                <w:szCs w:val="20"/>
                <w:lang w:eastAsia="en-GB"/>
              </w:rPr>
              <w:t>(coef)</w:t>
            </w:r>
          </w:p>
        </w:tc>
        <w:tc>
          <w:tcPr>
            <w:tcW w:w="929" w:type="dxa"/>
            <w:tcBorders>
              <w:top w:val="single" w:sz="4" w:space="0" w:color="auto"/>
              <w:left w:val="nil"/>
              <w:bottom w:val="single" w:sz="4" w:space="0" w:color="auto"/>
              <w:right w:val="nil"/>
            </w:tcBorders>
            <w:shd w:val="clear" w:color="auto" w:fill="auto"/>
            <w:noWrap/>
            <w:vAlign w:val="center"/>
            <w:hideMark/>
          </w:tcPr>
          <w:p w14:paraId="1DF09A10" w14:textId="77777777" w:rsidR="00326E18" w:rsidRPr="00060C2F" w:rsidRDefault="00326E18" w:rsidP="00060C2F">
            <w:pPr>
              <w:spacing w:after="0" w:line="240" w:lineRule="auto"/>
              <w:jc w:val="center"/>
              <w:rPr>
                <w:rFonts w:asciiTheme="majorHAnsi" w:eastAsia="Times New Roman" w:hAnsiTheme="majorHAnsi" w:cs="Times New Roman"/>
                <w:color w:val="000000"/>
                <w:sz w:val="18"/>
                <w:szCs w:val="20"/>
                <w:lang w:eastAsia="en-GB"/>
              </w:rPr>
            </w:pPr>
            <w:r w:rsidRPr="00060C2F">
              <w:rPr>
                <w:rFonts w:asciiTheme="majorHAnsi" w:eastAsia="Times New Roman" w:hAnsiTheme="majorHAnsi" w:cs="Times New Roman"/>
                <w:color w:val="000000"/>
                <w:sz w:val="18"/>
                <w:szCs w:val="20"/>
                <w:lang w:eastAsia="en-GB"/>
              </w:rPr>
              <w:t>z</w:t>
            </w:r>
          </w:p>
        </w:tc>
        <w:tc>
          <w:tcPr>
            <w:tcW w:w="826" w:type="dxa"/>
            <w:tcBorders>
              <w:top w:val="single" w:sz="4" w:space="0" w:color="auto"/>
              <w:left w:val="nil"/>
              <w:bottom w:val="single" w:sz="4" w:space="0" w:color="auto"/>
              <w:right w:val="nil"/>
            </w:tcBorders>
            <w:shd w:val="clear" w:color="auto" w:fill="auto"/>
            <w:noWrap/>
            <w:vAlign w:val="center"/>
            <w:hideMark/>
          </w:tcPr>
          <w:p w14:paraId="3253242A" w14:textId="77777777" w:rsidR="00326E18" w:rsidRPr="00060C2F" w:rsidRDefault="00326E18" w:rsidP="00060C2F">
            <w:pPr>
              <w:spacing w:after="0" w:line="240" w:lineRule="auto"/>
              <w:jc w:val="center"/>
              <w:rPr>
                <w:rFonts w:asciiTheme="majorHAnsi" w:eastAsia="Times New Roman" w:hAnsiTheme="majorHAnsi" w:cs="Times New Roman"/>
                <w:color w:val="000000"/>
                <w:sz w:val="18"/>
                <w:szCs w:val="20"/>
                <w:lang w:eastAsia="en-GB"/>
              </w:rPr>
            </w:pPr>
            <w:r w:rsidRPr="00060C2F">
              <w:rPr>
                <w:rFonts w:asciiTheme="majorHAnsi" w:eastAsia="Times New Roman" w:hAnsiTheme="majorHAnsi" w:cs="Times New Roman"/>
                <w:color w:val="000000"/>
                <w:sz w:val="18"/>
                <w:szCs w:val="20"/>
                <w:lang w:eastAsia="en-GB"/>
              </w:rPr>
              <w:t>Pr(&gt;|z|)</w:t>
            </w:r>
          </w:p>
        </w:tc>
        <w:tc>
          <w:tcPr>
            <w:tcW w:w="485" w:type="dxa"/>
            <w:tcBorders>
              <w:top w:val="single" w:sz="4" w:space="0" w:color="auto"/>
              <w:left w:val="nil"/>
              <w:bottom w:val="single" w:sz="4" w:space="0" w:color="auto"/>
              <w:right w:val="nil"/>
            </w:tcBorders>
            <w:shd w:val="clear" w:color="auto" w:fill="auto"/>
            <w:noWrap/>
            <w:vAlign w:val="center"/>
            <w:hideMark/>
          </w:tcPr>
          <w:p w14:paraId="3A9F3C9E" w14:textId="77777777" w:rsidR="00326E18" w:rsidRPr="00060C2F" w:rsidRDefault="00326E18" w:rsidP="00060C2F">
            <w:pPr>
              <w:spacing w:after="0" w:line="240" w:lineRule="auto"/>
              <w:jc w:val="center"/>
              <w:rPr>
                <w:rFonts w:asciiTheme="majorHAnsi" w:eastAsia="Times New Roman" w:hAnsiTheme="majorHAnsi" w:cs="Times New Roman"/>
                <w:color w:val="000000"/>
                <w:sz w:val="18"/>
                <w:szCs w:val="20"/>
                <w:lang w:eastAsia="en-GB"/>
              </w:rPr>
            </w:pPr>
          </w:p>
        </w:tc>
      </w:tr>
      <w:tr w:rsidR="00BB4EF2" w:rsidRPr="00277D3E" w14:paraId="44F47819" w14:textId="77777777" w:rsidTr="00C8062E">
        <w:trPr>
          <w:trHeight w:val="299"/>
        </w:trPr>
        <w:tc>
          <w:tcPr>
            <w:tcW w:w="3765" w:type="dxa"/>
            <w:tcBorders>
              <w:top w:val="single" w:sz="4" w:space="0" w:color="auto"/>
              <w:left w:val="nil"/>
              <w:bottom w:val="nil"/>
              <w:right w:val="nil"/>
            </w:tcBorders>
            <w:shd w:val="clear" w:color="auto" w:fill="auto"/>
            <w:noWrap/>
            <w:vAlign w:val="center"/>
            <w:hideMark/>
          </w:tcPr>
          <w:p w14:paraId="3F94475D"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Return</w:t>
            </w:r>
          </w:p>
        </w:tc>
        <w:tc>
          <w:tcPr>
            <w:tcW w:w="965" w:type="dxa"/>
            <w:tcBorders>
              <w:top w:val="single" w:sz="4" w:space="0" w:color="auto"/>
              <w:left w:val="nil"/>
              <w:bottom w:val="nil"/>
              <w:right w:val="nil"/>
            </w:tcBorders>
            <w:shd w:val="clear" w:color="auto" w:fill="auto"/>
            <w:noWrap/>
            <w:vAlign w:val="center"/>
            <w:hideMark/>
          </w:tcPr>
          <w:p w14:paraId="36829A9F" w14:textId="0768F914"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-0.106</w:t>
            </w:r>
          </w:p>
        </w:tc>
        <w:tc>
          <w:tcPr>
            <w:tcW w:w="993" w:type="dxa"/>
            <w:tcBorders>
              <w:top w:val="single" w:sz="4" w:space="0" w:color="auto"/>
              <w:left w:val="nil"/>
              <w:bottom w:val="nil"/>
              <w:right w:val="nil"/>
            </w:tcBorders>
            <w:shd w:val="clear" w:color="auto" w:fill="auto"/>
            <w:noWrap/>
            <w:vAlign w:val="center"/>
            <w:hideMark/>
          </w:tcPr>
          <w:p w14:paraId="4B728573" w14:textId="61281DC6"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0.899</w:t>
            </w:r>
          </w:p>
        </w:tc>
        <w:tc>
          <w:tcPr>
            <w:tcW w:w="886" w:type="dxa"/>
            <w:tcBorders>
              <w:top w:val="single" w:sz="4" w:space="0" w:color="auto"/>
              <w:left w:val="nil"/>
              <w:bottom w:val="nil"/>
              <w:right w:val="nil"/>
            </w:tcBorders>
            <w:shd w:val="clear" w:color="auto" w:fill="auto"/>
            <w:noWrap/>
            <w:vAlign w:val="center"/>
            <w:hideMark/>
          </w:tcPr>
          <w:p w14:paraId="037675C2" w14:textId="5B0B26E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0.077</w:t>
            </w:r>
          </w:p>
        </w:tc>
        <w:tc>
          <w:tcPr>
            <w:tcW w:w="929" w:type="dxa"/>
            <w:tcBorders>
              <w:top w:val="single" w:sz="4" w:space="0" w:color="auto"/>
              <w:left w:val="nil"/>
              <w:bottom w:val="nil"/>
              <w:right w:val="nil"/>
            </w:tcBorders>
            <w:shd w:val="clear" w:color="auto" w:fill="auto"/>
            <w:noWrap/>
            <w:vAlign w:val="center"/>
            <w:hideMark/>
          </w:tcPr>
          <w:p w14:paraId="729032F2" w14:textId="55E00398"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-1.369</w:t>
            </w:r>
          </w:p>
        </w:tc>
        <w:tc>
          <w:tcPr>
            <w:tcW w:w="826" w:type="dxa"/>
            <w:tcBorders>
              <w:top w:val="single" w:sz="4" w:space="0" w:color="auto"/>
              <w:left w:val="nil"/>
              <w:bottom w:val="nil"/>
              <w:right w:val="nil"/>
            </w:tcBorders>
            <w:shd w:val="clear" w:color="auto" w:fill="auto"/>
            <w:noWrap/>
            <w:vAlign w:val="center"/>
            <w:hideMark/>
          </w:tcPr>
          <w:p w14:paraId="20FF52D8" w14:textId="0DF6C759"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0.171</w:t>
            </w:r>
          </w:p>
        </w:tc>
        <w:tc>
          <w:tcPr>
            <w:tcW w:w="485" w:type="dxa"/>
            <w:tcBorders>
              <w:top w:val="single" w:sz="4" w:space="0" w:color="auto"/>
              <w:left w:val="nil"/>
              <w:bottom w:val="nil"/>
              <w:right w:val="nil"/>
            </w:tcBorders>
            <w:shd w:val="clear" w:color="auto" w:fill="auto"/>
            <w:noWrap/>
            <w:hideMark/>
          </w:tcPr>
          <w:p w14:paraId="7E19F5B7" w14:textId="77777777" w:rsidR="00BB4EF2" w:rsidRPr="00060C2F" w:rsidRDefault="00BB4EF2" w:rsidP="00060C2F">
            <w:pPr>
              <w:spacing w:after="0" w:line="240" w:lineRule="auto"/>
              <w:rPr>
                <w:rFonts w:asciiTheme="majorHAnsi" w:hAnsiTheme="majorHAnsi"/>
                <w:sz w:val="18"/>
                <w:szCs w:val="20"/>
              </w:rPr>
            </w:pPr>
          </w:p>
        </w:tc>
      </w:tr>
      <w:tr w:rsidR="00BB4EF2" w:rsidRPr="00277D3E" w14:paraId="3C830D0A" w14:textId="77777777" w:rsidTr="00C8062E">
        <w:trPr>
          <w:trHeight w:val="299"/>
        </w:trPr>
        <w:tc>
          <w:tcPr>
            <w:tcW w:w="3765" w:type="dxa"/>
            <w:tcBorders>
              <w:top w:val="nil"/>
              <w:left w:val="nil"/>
              <w:bottom w:val="nil"/>
              <w:right w:val="nil"/>
            </w:tcBorders>
            <w:shd w:val="clear" w:color="auto" w:fill="auto"/>
            <w:noWrap/>
            <w:vAlign w:val="center"/>
            <w:hideMark/>
          </w:tcPr>
          <w:p w14:paraId="71B0326B"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Volatility</w:t>
            </w:r>
          </w:p>
        </w:tc>
        <w:tc>
          <w:tcPr>
            <w:tcW w:w="965" w:type="dxa"/>
            <w:tcBorders>
              <w:top w:val="nil"/>
              <w:left w:val="nil"/>
              <w:bottom w:val="nil"/>
              <w:right w:val="nil"/>
            </w:tcBorders>
            <w:shd w:val="clear" w:color="auto" w:fill="auto"/>
            <w:noWrap/>
            <w:vAlign w:val="center"/>
            <w:hideMark/>
          </w:tcPr>
          <w:p w14:paraId="0F8B1CD3" w14:textId="4F4A4EBD"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-0.329</w:t>
            </w:r>
          </w:p>
        </w:tc>
        <w:tc>
          <w:tcPr>
            <w:tcW w:w="993" w:type="dxa"/>
            <w:tcBorders>
              <w:top w:val="nil"/>
              <w:left w:val="nil"/>
              <w:bottom w:val="nil"/>
              <w:right w:val="nil"/>
            </w:tcBorders>
            <w:shd w:val="clear" w:color="auto" w:fill="auto"/>
            <w:noWrap/>
            <w:vAlign w:val="center"/>
            <w:hideMark/>
          </w:tcPr>
          <w:p w14:paraId="66DD7822" w14:textId="70BB8558"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0.720</w:t>
            </w:r>
          </w:p>
        </w:tc>
        <w:tc>
          <w:tcPr>
            <w:tcW w:w="886" w:type="dxa"/>
            <w:tcBorders>
              <w:top w:val="nil"/>
              <w:left w:val="nil"/>
              <w:bottom w:val="nil"/>
              <w:right w:val="nil"/>
            </w:tcBorders>
            <w:shd w:val="clear" w:color="auto" w:fill="auto"/>
            <w:noWrap/>
            <w:vAlign w:val="center"/>
            <w:hideMark/>
          </w:tcPr>
          <w:p w14:paraId="59569401" w14:textId="64F77541"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0.116</w:t>
            </w:r>
          </w:p>
        </w:tc>
        <w:tc>
          <w:tcPr>
            <w:tcW w:w="929" w:type="dxa"/>
            <w:tcBorders>
              <w:top w:val="nil"/>
              <w:left w:val="nil"/>
              <w:bottom w:val="nil"/>
              <w:right w:val="nil"/>
            </w:tcBorders>
            <w:shd w:val="clear" w:color="auto" w:fill="auto"/>
            <w:noWrap/>
            <w:vAlign w:val="center"/>
            <w:hideMark/>
          </w:tcPr>
          <w:p w14:paraId="6978DA87" w14:textId="045A3B39"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-2.838</w:t>
            </w:r>
          </w:p>
        </w:tc>
        <w:tc>
          <w:tcPr>
            <w:tcW w:w="826" w:type="dxa"/>
            <w:tcBorders>
              <w:top w:val="nil"/>
              <w:left w:val="nil"/>
              <w:bottom w:val="nil"/>
              <w:right w:val="nil"/>
            </w:tcBorders>
            <w:shd w:val="clear" w:color="auto" w:fill="auto"/>
            <w:noWrap/>
            <w:vAlign w:val="center"/>
            <w:hideMark/>
          </w:tcPr>
          <w:p w14:paraId="5C646A06" w14:textId="149EAFCF"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0.005</w:t>
            </w:r>
          </w:p>
        </w:tc>
        <w:tc>
          <w:tcPr>
            <w:tcW w:w="485" w:type="dxa"/>
            <w:tcBorders>
              <w:top w:val="nil"/>
              <w:left w:val="nil"/>
              <w:bottom w:val="nil"/>
              <w:right w:val="nil"/>
            </w:tcBorders>
            <w:shd w:val="clear" w:color="auto" w:fill="auto"/>
            <w:noWrap/>
            <w:hideMark/>
          </w:tcPr>
          <w:p w14:paraId="1344411F" w14:textId="26CB5139"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664EF369" w14:textId="77777777" w:rsidTr="00C8062E">
        <w:trPr>
          <w:trHeight w:val="299"/>
        </w:trPr>
        <w:tc>
          <w:tcPr>
            <w:tcW w:w="3765" w:type="dxa"/>
            <w:tcBorders>
              <w:top w:val="nil"/>
              <w:left w:val="nil"/>
              <w:bottom w:val="nil"/>
              <w:right w:val="nil"/>
            </w:tcBorders>
            <w:shd w:val="clear" w:color="auto" w:fill="auto"/>
            <w:noWrap/>
            <w:vAlign w:val="center"/>
            <w:hideMark/>
          </w:tcPr>
          <w:p w14:paraId="0A981D1E" w14:textId="4A9C54D2"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GenerallyProfitable</w:t>
            </w:r>
          </w:p>
        </w:tc>
        <w:tc>
          <w:tcPr>
            <w:tcW w:w="965" w:type="dxa"/>
            <w:tcBorders>
              <w:top w:val="nil"/>
              <w:left w:val="nil"/>
              <w:bottom w:val="nil"/>
              <w:right w:val="nil"/>
            </w:tcBorders>
            <w:shd w:val="clear" w:color="auto" w:fill="auto"/>
            <w:noWrap/>
            <w:vAlign w:val="center"/>
            <w:hideMark/>
          </w:tcPr>
          <w:p w14:paraId="08A1AB45" w14:textId="60F7B3F3"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2.722</w:t>
            </w:r>
          </w:p>
        </w:tc>
        <w:tc>
          <w:tcPr>
            <w:tcW w:w="993" w:type="dxa"/>
            <w:tcBorders>
              <w:top w:val="nil"/>
              <w:left w:val="nil"/>
              <w:bottom w:val="nil"/>
              <w:right w:val="nil"/>
            </w:tcBorders>
            <w:shd w:val="clear" w:color="auto" w:fill="auto"/>
            <w:noWrap/>
            <w:vAlign w:val="center"/>
            <w:hideMark/>
          </w:tcPr>
          <w:p w14:paraId="3D341F5A" w14:textId="19BF4C9E"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15.208</w:t>
            </w:r>
          </w:p>
        </w:tc>
        <w:tc>
          <w:tcPr>
            <w:tcW w:w="886" w:type="dxa"/>
            <w:tcBorders>
              <w:top w:val="nil"/>
              <w:left w:val="nil"/>
              <w:bottom w:val="nil"/>
              <w:right w:val="nil"/>
            </w:tcBorders>
            <w:shd w:val="clear" w:color="auto" w:fill="auto"/>
            <w:noWrap/>
            <w:vAlign w:val="center"/>
            <w:hideMark/>
          </w:tcPr>
          <w:p w14:paraId="13A39CC2" w14:textId="5AEB0CFC"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0.232</w:t>
            </w:r>
          </w:p>
        </w:tc>
        <w:tc>
          <w:tcPr>
            <w:tcW w:w="929" w:type="dxa"/>
            <w:tcBorders>
              <w:top w:val="nil"/>
              <w:left w:val="nil"/>
              <w:bottom w:val="nil"/>
              <w:right w:val="nil"/>
            </w:tcBorders>
            <w:shd w:val="clear" w:color="auto" w:fill="auto"/>
            <w:noWrap/>
            <w:vAlign w:val="center"/>
            <w:hideMark/>
          </w:tcPr>
          <w:p w14:paraId="06C188E2" w14:textId="065DF33F"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11.738</w:t>
            </w:r>
          </w:p>
        </w:tc>
        <w:tc>
          <w:tcPr>
            <w:tcW w:w="826" w:type="dxa"/>
            <w:tcBorders>
              <w:top w:val="nil"/>
              <w:left w:val="nil"/>
              <w:bottom w:val="nil"/>
              <w:right w:val="nil"/>
            </w:tcBorders>
            <w:shd w:val="clear" w:color="auto" w:fill="auto"/>
            <w:noWrap/>
            <w:vAlign w:val="center"/>
            <w:hideMark/>
          </w:tcPr>
          <w:p w14:paraId="49AD07BD" w14:textId="5D49673D"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&lt; 2e-16</w:t>
            </w:r>
          </w:p>
        </w:tc>
        <w:tc>
          <w:tcPr>
            <w:tcW w:w="485" w:type="dxa"/>
            <w:tcBorders>
              <w:top w:val="nil"/>
              <w:left w:val="nil"/>
              <w:bottom w:val="nil"/>
              <w:right w:val="nil"/>
            </w:tcBorders>
            <w:shd w:val="clear" w:color="auto" w:fill="auto"/>
            <w:noWrap/>
            <w:hideMark/>
          </w:tcPr>
          <w:p w14:paraId="0E0EBC00" w14:textId="640A8791"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3245DAB4" w14:textId="77777777" w:rsidTr="00C8062E">
        <w:trPr>
          <w:trHeight w:val="299"/>
        </w:trPr>
        <w:tc>
          <w:tcPr>
            <w:tcW w:w="3765" w:type="dxa"/>
            <w:tcBorders>
              <w:top w:val="nil"/>
              <w:left w:val="nil"/>
              <w:bottom w:val="nil"/>
              <w:right w:val="nil"/>
            </w:tcBorders>
            <w:shd w:val="clear" w:color="auto" w:fill="auto"/>
            <w:noWrap/>
            <w:vAlign w:val="center"/>
            <w:hideMark/>
          </w:tcPr>
          <w:p w14:paraId="7DDCF1CF" w14:textId="1DFF12DF" w:rsidR="00BB4EF2" w:rsidRPr="00060C2F" w:rsidRDefault="00BE439E"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Net</w:t>
            </w:r>
            <w:r w:rsidR="00BB4EF2" w:rsidRPr="00060C2F">
              <w:rPr>
                <w:rFonts w:asciiTheme="majorHAnsi" w:eastAsia="Times New Roman" w:hAnsiTheme="majorHAnsi" w:cs="Consolas"/>
                <w:color w:val="000000"/>
                <w:sz w:val="18"/>
                <w:szCs w:val="20"/>
                <w:lang w:eastAsia="en-GB"/>
              </w:rPr>
              <w:t>Loss</w:t>
            </w:r>
          </w:p>
        </w:tc>
        <w:tc>
          <w:tcPr>
            <w:tcW w:w="965" w:type="dxa"/>
            <w:tcBorders>
              <w:top w:val="nil"/>
              <w:left w:val="nil"/>
              <w:bottom w:val="nil"/>
              <w:right w:val="nil"/>
            </w:tcBorders>
            <w:shd w:val="clear" w:color="auto" w:fill="auto"/>
            <w:noWrap/>
            <w:vAlign w:val="center"/>
            <w:hideMark/>
          </w:tcPr>
          <w:p w14:paraId="20359D45" w14:textId="02FFC1E9"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2.280</w:t>
            </w:r>
          </w:p>
        </w:tc>
        <w:tc>
          <w:tcPr>
            <w:tcW w:w="993" w:type="dxa"/>
            <w:tcBorders>
              <w:top w:val="nil"/>
              <w:left w:val="nil"/>
              <w:bottom w:val="nil"/>
              <w:right w:val="nil"/>
            </w:tcBorders>
            <w:shd w:val="clear" w:color="auto" w:fill="auto"/>
            <w:noWrap/>
            <w:vAlign w:val="center"/>
            <w:hideMark/>
          </w:tcPr>
          <w:p w14:paraId="43DF1856" w14:textId="28BEC144"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9.775</w:t>
            </w:r>
          </w:p>
        </w:tc>
        <w:tc>
          <w:tcPr>
            <w:tcW w:w="886" w:type="dxa"/>
            <w:tcBorders>
              <w:top w:val="nil"/>
              <w:left w:val="nil"/>
              <w:bottom w:val="nil"/>
              <w:right w:val="nil"/>
            </w:tcBorders>
            <w:shd w:val="clear" w:color="auto" w:fill="auto"/>
            <w:noWrap/>
            <w:vAlign w:val="center"/>
            <w:hideMark/>
          </w:tcPr>
          <w:p w14:paraId="60B584E4" w14:textId="39091B5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0.236</w:t>
            </w:r>
          </w:p>
        </w:tc>
        <w:tc>
          <w:tcPr>
            <w:tcW w:w="929" w:type="dxa"/>
            <w:tcBorders>
              <w:top w:val="nil"/>
              <w:left w:val="nil"/>
              <w:bottom w:val="nil"/>
              <w:right w:val="nil"/>
            </w:tcBorders>
            <w:shd w:val="clear" w:color="auto" w:fill="auto"/>
            <w:noWrap/>
            <w:vAlign w:val="center"/>
            <w:hideMark/>
          </w:tcPr>
          <w:p w14:paraId="2EB7FD04" w14:textId="2D6A5D41"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9.664</w:t>
            </w:r>
          </w:p>
        </w:tc>
        <w:tc>
          <w:tcPr>
            <w:tcW w:w="826" w:type="dxa"/>
            <w:tcBorders>
              <w:top w:val="nil"/>
              <w:left w:val="nil"/>
              <w:bottom w:val="nil"/>
              <w:right w:val="nil"/>
            </w:tcBorders>
            <w:shd w:val="clear" w:color="auto" w:fill="auto"/>
            <w:noWrap/>
            <w:vAlign w:val="center"/>
            <w:hideMark/>
          </w:tcPr>
          <w:p w14:paraId="6372424A" w14:textId="64884421"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&lt; 2e-16</w:t>
            </w:r>
          </w:p>
        </w:tc>
        <w:tc>
          <w:tcPr>
            <w:tcW w:w="485" w:type="dxa"/>
            <w:tcBorders>
              <w:top w:val="nil"/>
              <w:left w:val="nil"/>
              <w:bottom w:val="nil"/>
              <w:right w:val="nil"/>
            </w:tcBorders>
            <w:shd w:val="clear" w:color="auto" w:fill="auto"/>
            <w:noWrap/>
            <w:hideMark/>
          </w:tcPr>
          <w:p w14:paraId="316607CC" w14:textId="5AAA84B2"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7B14B177" w14:textId="77777777" w:rsidTr="00C8062E">
        <w:trPr>
          <w:trHeight w:val="299"/>
        </w:trPr>
        <w:tc>
          <w:tcPr>
            <w:tcW w:w="3765" w:type="dxa"/>
            <w:tcBorders>
              <w:top w:val="nil"/>
              <w:left w:val="nil"/>
              <w:bottom w:val="nil"/>
              <w:right w:val="nil"/>
            </w:tcBorders>
            <w:shd w:val="clear" w:color="auto" w:fill="auto"/>
            <w:noWrap/>
            <w:vAlign w:val="center"/>
            <w:hideMark/>
          </w:tcPr>
          <w:p w14:paraId="3CE3EAB5"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StatusChange</w:t>
            </w:r>
          </w:p>
        </w:tc>
        <w:tc>
          <w:tcPr>
            <w:tcW w:w="965" w:type="dxa"/>
            <w:tcBorders>
              <w:top w:val="nil"/>
              <w:left w:val="nil"/>
              <w:bottom w:val="nil"/>
              <w:right w:val="nil"/>
            </w:tcBorders>
            <w:shd w:val="clear" w:color="auto" w:fill="auto"/>
            <w:noWrap/>
            <w:vAlign w:val="center"/>
            <w:hideMark/>
          </w:tcPr>
          <w:p w14:paraId="0EAFE7E4" w14:textId="5AB19148"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2.419</w:t>
            </w:r>
          </w:p>
        </w:tc>
        <w:tc>
          <w:tcPr>
            <w:tcW w:w="993" w:type="dxa"/>
            <w:tcBorders>
              <w:top w:val="nil"/>
              <w:left w:val="nil"/>
              <w:bottom w:val="nil"/>
              <w:right w:val="nil"/>
            </w:tcBorders>
            <w:shd w:val="clear" w:color="auto" w:fill="auto"/>
            <w:noWrap/>
            <w:vAlign w:val="center"/>
            <w:hideMark/>
          </w:tcPr>
          <w:p w14:paraId="0D5FC9E8" w14:textId="691F5138"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11.237</w:t>
            </w:r>
          </w:p>
        </w:tc>
        <w:tc>
          <w:tcPr>
            <w:tcW w:w="886" w:type="dxa"/>
            <w:tcBorders>
              <w:top w:val="nil"/>
              <w:left w:val="nil"/>
              <w:bottom w:val="nil"/>
              <w:right w:val="nil"/>
            </w:tcBorders>
            <w:shd w:val="clear" w:color="auto" w:fill="auto"/>
            <w:noWrap/>
            <w:vAlign w:val="center"/>
            <w:hideMark/>
          </w:tcPr>
          <w:p w14:paraId="2ED185F9" w14:textId="717BB7EB"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0.264</w:t>
            </w:r>
          </w:p>
        </w:tc>
        <w:tc>
          <w:tcPr>
            <w:tcW w:w="929" w:type="dxa"/>
            <w:tcBorders>
              <w:top w:val="nil"/>
              <w:left w:val="nil"/>
              <w:bottom w:val="nil"/>
              <w:right w:val="nil"/>
            </w:tcBorders>
            <w:shd w:val="clear" w:color="auto" w:fill="auto"/>
            <w:noWrap/>
            <w:vAlign w:val="center"/>
            <w:hideMark/>
          </w:tcPr>
          <w:p w14:paraId="370D803E" w14:textId="324BA5C3"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9.149</w:t>
            </w:r>
          </w:p>
        </w:tc>
        <w:tc>
          <w:tcPr>
            <w:tcW w:w="826" w:type="dxa"/>
            <w:tcBorders>
              <w:top w:val="nil"/>
              <w:left w:val="nil"/>
              <w:bottom w:val="nil"/>
              <w:right w:val="nil"/>
            </w:tcBorders>
            <w:shd w:val="clear" w:color="auto" w:fill="auto"/>
            <w:noWrap/>
            <w:vAlign w:val="center"/>
            <w:hideMark/>
          </w:tcPr>
          <w:p w14:paraId="1BFD9BC0" w14:textId="1B22F931"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&lt; 2e-16</w:t>
            </w:r>
          </w:p>
        </w:tc>
        <w:tc>
          <w:tcPr>
            <w:tcW w:w="485" w:type="dxa"/>
            <w:tcBorders>
              <w:top w:val="nil"/>
              <w:left w:val="nil"/>
              <w:bottom w:val="nil"/>
              <w:right w:val="nil"/>
            </w:tcBorders>
            <w:shd w:val="clear" w:color="auto" w:fill="auto"/>
            <w:noWrap/>
            <w:hideMark/>
          </w:tcPr>
          <w:p w14:paraId="6B4CC454" w14:textId="27BE8DFD"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2F4CC904" w14:textId="77777777" w:rsidTr="00C8062E">
        <w:trPr>
          <w:trHeight w:val="299"/>
        </w:trPr>
        <w:tc>
          <w:tcPr>
            <w:tcW w:w="3765" w:type="dxa"/>
            <w:tcBorders>
              <w:top w:val="nil"/>
              <w:left w:val="nil"/>
              <w:bottom w:val="nil"/>
              <w:right w:val="nil"/>
            </w:tcBorders>
            <w:shd w:val="clear" w:color="auto" w:fill="auto"/>
            <w:noWrap/>
            <w:vAlign w:val="center"/>
            <w:hideMark/>
          </w:tcPr>
          <w:p w14:paraId="63E9123F"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-sqrt(-LossROI)</w:t>
            </w:r>
          </w:p>
        </w:tc>
        <w:tc>
          <w:tcPr>
            <w:tcW w:w="965" w:type="dxa"/>
            <w:tcBorders>
              <w:top w:val="nil"/>
              <w:left w:val="nil"/>
              <w:bottom w:val="nil"/>
              <w:right w:val="nil"/>
            </w:tcBorders>
            <w:shd w:val="clear" w:color="auto" w:fill="auto"/>
            <w:noWrap/>
            <w:vAlign w:val="center"/>
            <w:hideMark/>
          </w:tcPr>
          <w:p w14:paraId="7F6DEA00" w14:textId="5459FDCC"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-0.746</w:t>
            </w:r>
          </w:p>
        </w:tc>
        <w:tc>
          <w:tcPr>
            <w:tcW w:w="993" w:type="dxa"/>
            <w:tcBorders>
              <w:top w:val="nil"/>
              <w:left w:val="nil"/>
              <w:bottom w:val="nil"/>
              <w:right w:val="nil"/>
            </w:tcBorders>
            <w:shd w:val="clear" w:color="auto" w:fill="auto"/>
            <w:noWrap/>
            <w:vAlign w:val="center"/>
            <w:hideMark/>
          </w:tcPr>
          <w:p w14:paraId="36B71084" w14:textId="1B6A619D"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0.474</w:t>
            </w:r>
          </w:p>
        </w:tc>
        <w:tc>
          <w:tcPr>
            <w:tcW w:w="886" w:type="dxa"/>
            <w:tcBorders>
              <w:top w:val="nil"/>
              <w:left w:val="nil"/>
              <w:bottom w:val="nil"/>
              <w:right w:val="nil"/>
            </w:tcBorders>
            <w:shd w:val="clear" w:color="auto" w:fill="auto"/>
            <w:noWrap/>
            <w:vAlign w:val="center"/>
            <w:hideMark/>
          </w:tcPr>
          <w:p w14:paraId="28015E03" w14:textId="5B2F8A17"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0.137</w:t>
            </w:r>
          </w:p>
        </w:tc>
        <w:tc>
          <w:tcPr>
            <w:tcW w:w="929" w:type="dxa"/>
            <w:tcBorders>
              <w:top w:val="nil"/>
              <w:left w:val="nil"/>
              <w:bottom w:val="nil"/>
              <w:right w:val="nil"/>
            </w:tcBorders>
            <w:shd w:val="clear" w:color="auto" w:fill="auto"/>
            <w:noWrap/>
            <w:vAlign w:val="center"/>
            <w:hideMark/>
          </w:tcPr>
          <w:p w14:paraId="57806C8F" w14:textId="49D18E30"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-5.446</w:t>
            </w:r>
          </w:p>
        </w:tc>
        <w:tc>
          <w:tcPr>
            <w:tcW w:w="826" w:type="dxa"/>
            <w:tcBorders>
              <w:top w:val="nil"/>
              <w:left w:val="nil"/>
              <w:bottom w:val="nil"/>
              <w:right w:val="nil"/>
            </w:tcBorders>
            <w:shd w:val="clear" w:color="auto" w:fill="auto"/>
            <w:noWrap/>
            <w:vAlign w:val="center"/>
            <w:hideMark/>
          </w:tcPr>
          <w:p w14:paraId="74D1911F" w14:textId="0748AE9E"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0.000</w:t>
            </w:r>
          </w:p>
        </w:tc>
        <w:tc>
          <w:tcPr>
            <w:tcW w:w="485" w:type="dxa"/>
            <w:tcBorders>
              <w:top w:val="nil"/>
              <w:left w:val="nil"/>
              <w:bottom w:val="nil"/>
              <w:right w:val="nil"/>
            </w:tcBorders>
            <w:shd w:val="clear" w:color="auto" w:fill="auto"/>
            <w:noWrap/>
            <w:hideMark/>
          </w:tcPr>
          <w:p w14:paraId="26B95709" w14:textId="0A5F9B73"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0E4EF9C9" w14:textId="77777777" w:rsidTr="00C8062E">
        <w:trPr>
          <w:trHeight w:val="299"/>
        </w:trPr>
        <w:tc>
          <w:tcPr>
            <w:tcW w:w="3765" w:type="dxa"/>
            <w:tcBorders>
              <w:top w:val="nil"/>
              <w:left w:val="nil"/>
              <w:bottom w:val="nil"/>
              <w:right w:val="nil"/>
            </w:tcBorders>
            <w:shd w:val="clear" w:color="auto" w:fill="auto"/>
            <w:noWrap/>
            <w:vAlign w:val="center"/>
            <w:hideMark/>
          </w:tcPr>
          <w:p w14:paraId="2FC862A4"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sqrt(ProfitROI)</w:t>
            </w:r>
          </w:p>
        </w:tc>
        <w:tc>
          <w:tcPr>
            <w:tcW w:w="965" w:type="dxa"/>
            <w:tcBorders>
              <w:top w:val="nil"/>
              <w:left w:val="nil"/>
              <w:bottom w:val="nil"/>
              <w:right w:val="nil"/>
            </w:tcBorders>
            <w:shd w:val="clear" w:color="auto" w:fill="auto"/>
            <w:noWrap/>
            <w:vAlign w:val="center"/>
            <w:hideMark/>
          </w:tcPr>
          <w:p w14:paraId="357CEC4B" w14:textId="10DB3929"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-0.183</w:t>
            </w:r>
          </w:p>
        </w:tc>
        <w:tc>
          <w:tcPr>
            <w:tcW w:w="993" w:type="dxa"/>
            <w:tcBorders>
              <w:top w:val="nil"/>
              <w:left w:val="nil"/>
              <w:bottom w:val="nil"/>
              <w:right w:val="nil"/>
            </w:tcBorders>
            <w:shd w:val="clear" w:color="auto" w:fill="auto"/>
            <w:noWrap/>
            <w:vAlign w:val="center"/>
            <w:hideMark/>
          </w:tcPr>
          <w:p w14:paraId="1481D45D" w14:textId="452C9E14"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0.833</w:t>
            </w:r>
          </w:p>
        </w:tc>
        <w:tc>
          <w:tcPr>
            <w:tcW w:w="886" w:type="dxa"/>
            <w:tcBorders>
              <w:top w:val="nil"/>
              <w:left w:val="nil"/>
              <w:bottom w:val="nil"/>
              <w:right w:val="nil"/>
            </w:tcBorders>
            <w:shd w:val="clear" w:color="auto" w:fill="auto"/>
            <w:noWrap/>
            <w:vAlign w:val="center"/>
            <w:hideMark/>
          </w:tcPr>
          <w:p w14:paraId="53BCA277" w14:textId="5BB94A58"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0.217</w:t>
            </w:r>
          </w:p>
        </w:tc>
        <w:tc>
          <w:tcPr>
            <w:tcW w:w="929" w:type="dxa"/>
            <w:tcBorders>
              <w:top w:val="nil"/>
              <w:left w:val="nil"/>
              <w:bottom w:val="nil"/>
              <w:right w:val="nil"/>
            </w:tcBorders>
            <w:shd w:val="clear" w:color="auto" w:fill="auto"/>
            <w:noWrap/>
            <w:vAlign w:val="center"/>
            <w:hideMark/>
          </w:tcPr>
          <w:p w14:paraId="06B18F4B" w14:textId="6E65ED14"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-0.845</w:t>
            </w:r>
          </w:p>
        </w:tc>
        <w:tc>
          <w:tcPr>
            <w:tcW w:w="826" w:type="dxa"/>
            <w:tcBorders>
              <w:top w:val="nil"/>
              <w:left w:val="nil"/>
              <w:bottom w:val="nil"/>
              <w:right w:val="nil"/>
            </w:tcBorders>
            <w:shd w:val="clear" w:color="auto" w:fill="auto"/>
            <w:noWrap/>
            <w:vAlign w:val="center"/>
            <w:hideMark/>
          </w:tcPr>
          <w:p w14:paraId="64D2DE7A" w14:textId="574513AC"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0.398</w:t>
            </w:r>
          </w:p>
        </w:tc>
        <w:tc>
          <w:tcPr>
            <w:tcW w:w="485" w:type="dxa"/>
            <w:tcBorders>
              <w:top w:val="nil"/>
              <w:left w:val="nil"/>
              <w:bottom w:val="nil"/>
              <w:right w:val="nil"/>
            </w:tcBorders>
            <w:shd w:val="clear" w:color="auto" w:fill="auto"/>
            <w:noWrap/>
            <w:hideMark/>
          </w:tcPr>
          <w:p w14:paraId="08ADCAEF" w14:textId="77777777" w:rsidR="00BB4EF2" w:rsidRPr="00060C2F" w:rsidRDefault="00BB4EF2" w:rsidP="00060C2F">
            <w:pPr>
              <w:spacing w:after="0" w:line="240" w:lineRule="auto"/>
              <w:rPr>
                <w:rFonts w:asciiTheme="majorHAnsi" w:hAnsiTheme="majorHAnsi"/>
                <w:sz w:val="18"/>
                <w:szCs w:val="20"/>
              </w:rPr>
            </w:pPr>
          </w:p>
        </w:tc>
      </w:tr>
      <w:tr w:rsidR="00BB4EF2" w:rsidRPr="00277D3E" w14:paraId="533A8819" w14:textId="77777777" w:rsidTr="00C8062E">
        <w:trPr>
          <w:trHeight w:val="299"/>
        </w:trPr>
        <w:tc>
          <w:tcPr>
            <w:tcW w:w="3765" w:type="dxa"/>
            <w:tcBorders>
              <w:top w:val="nil"/>
              <w:left w:val="nil"/>
              <w:bottom w:val="nil"/>
              <w:right w:val="nil"/>
            </w:tcBorders>
            <w:shd w:val="clear" w:color="auto" w:fill="auto"/>
            <w:noWrap/>
            <w:vAlign w:val="center"/>
            <w:hideMark/>
          </w:tcPr>
          <w:p w14:paraId="096B1E84"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log(Stake)</w:t>
            </w:r>
          </w:p>
        </w:tc>
        <w:tc>
          <w:tcPr>
            <w:tcW w:w="965" w:type="dxa"/>
            <w:tcBorders>
              <w:top w:val="nil"/>
              <w:left w:val="nil"/>
              <w:bottom w:val="nil"/>
              <w:right w:val="nil"/>
            </w:tcBorders>
            <w:shd w:val="clear" w:color="auto" w:fill="auto"/>
            <w:noWrap/>
            <w:vAlign w:val="center"/>
            <w:hideMark/>
          </w:tcPr>
          <w:p w14:paraId="6D7E6F10" w14:textId="10108D9F"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-0.111</w:t>
            </w:r>
          </w:p>
        </w:tc>
        <w:tc>
          <w:tcPr>
            <w:tcW w:w="993" w:type="dxa"/>
            <w:tcBorders>
              <w:top w:val="nil"/>
              <w:left w:val="nil"/>
              <w:bottom w:val="nil"/>
              <w:right w:val="nil"/>
            </w:tcBorders>
            <w:shd w:val="clear" w:color="auto" w:fill="auto"/>
            <w:noWrap/>
            <w:vAlign w:val="center"/>
            <w:hideMark/>
          </w:tcPr>
          <w:p w14:paraId="2677B319" w14:textId="6615C1F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0.895</w:t>
            </w:r>
          </w:p>
        </w:tc>
        <w:tc>
          <w:tcPr>
            <w:tcW w:w="886" w:type="dxa"/>
            <w:tcBorders>
              <w:top w:val="nil"/>
              <w:left w:val="nil"/>
              <w:bottom w:val="nil"/>
              <w:right w:val="nil"/>
            </w:tcBorders>
            <w:shd w:val="clear" w:color="auto" w:fill="auto"/>
            <w:noWrap/>
            <w:vAlign w:val="center"/>
            <w:hideMark/>
          </w:tcPr>
          <w:p w14:paraId="591E8A57" w14:textId="6BBED2DB"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0.020</w:t>
            </w:r>
          </w:p>
        </w:tc>
        <w:tc>
          <w:tcPr>
            <w:tcW w:w="929" w:type="dxa"/>
            <w:tcBorders>
              <w:top w:val="nil"/>
              <w:left w:val="nil"/>
              <w:bottom w:val="nil"/>
              <w:right w:val="nil"/>
            </w:tcBorders>
            <w:shd w:val="clear" w:color="auto" w:fill="auto"/>
            <w:noWrap/>
            <w:vAlign w:val="center"/>
            <w:hideMark/>
          </w:tcPr>
          <w:p w14:paraId="03AE17A8" w14:textId="12AC0942"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-5.451</w:t>
            </w:r>
          </w:p>
        </w:tc>
        <w:tc>
          <w:tcPr>
            <w:tcW w:w="826" w:type="dxa"/>
            <w:tcBorders>
              <w:top w:val="nil"/>
              <w:left w:val="nil"/>
              <w:bottom w:val="nil"/>
              <w:right w:val="nil"/>
            </w:tcBorders>
            <w:shd w:val="clear" w:color="auto" w:fill="auto"/>
            <w:noWrap/>
            <w:vAlign w:val="center"/>
            <w:hideMark/>
          </w:tcPr>
          <w:p w14:paraId="48CE38A9" w14:textId="6CEBD974"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0.000</w:t>
            </w:r>
          </w:p>
        </w:tc>
        <w:tc>
          <w:tcPr>
            <w:tcW w:w="485" w:type="dxa"/>
            <w:tcBorders>
              <w:top w:val="nil"/>
              <w:left w:val="nil"/>
              <w:bottom w:val="nil"/>
              <w:right w:val="nil"/>
            </w:tcBorders>
            <w:shd w:val="clear" w:color="auto" w:fill="auto"/>
            <w:noWrap/>
            <w:hideMark/>
          </w:tcPr>
          <w:p w14:paraId="2A6080D0" w14:textId="2F0224FD"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70933320" w14:textId="77777777" w:rsidTr="00C8062E">
        <w:trPr>
          <w:trHeight w:val="299"/>
        </w:trPr>
        <w:tc>
          <w:tcPr>
            <w:tcW w:w="3765" w:type="dxa"/>
            <w:tcBorders>
              <w:top w:val="nil"/>
              <w:left w:val="nil"/>
              <w:bottom w:val="nil"/>
              <w:right w:val="nil"/>
            </w:tcBorders>
            <w:shd w:val="clear" w:color="auto" w:fill="auto"/>
            <w:noWrap/>
            <w:vAlign w:val="center"/>
            <w:hideMark/>
          </w:tcPr>
          <w:p w14:paraId="07840D70"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log(Trades)</w:t>
            </w:r>
          </w:p>
        </w:tc>
        <w:tc>
          <w:tcPr>
            <w:tcW w:w="965" w:type="dxa"/>
            <w:tcBorders>
              <w:top w:val="nil"/>
              <w:left w:val="nil"/>
              <w:bottom w:val="nil"/>
              <w:right w:val="nil"/>
            </w:tcBorders>
            <w:shd w:val="clear" w:color="auto" w:fill="auto"/>
            <w:noWrap/>
            <w:vAlign w:val="center"/>
            <w:hideMark/>
          </w:tcPr>
          <w:p w14:paraId="700439CE" w14:textId="0051BC54"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-0.155</w:t>
            </w:r>
          </w:p>
        </w:tc>
        <w:tc>
          <w:tcPr>
            <w:tcW w:w="993" w:type="dxa"/>
            <w:tcBorders>
              <w:top w:val="nil"/>
              <w:left w:val="nil"/>
              <w:bottom w:val="nil"/>
              <w:right w:val="nil"/>
            </w:tcBorders>
            <w:shd w:val="clear" w:color="auto" w:fill="auto"/>
            <w:noWrap/>
            <w:vAlign w:val="center"/>
            <w:hideMark/>
          </w:tcPr>
          <w:p w14:paraId="6D2A95E9" w14:textId="5AB2A1C1"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0.856</w:t>
            </w:r>
          </w:p>
        </w:tc>
        <w:tc>
          <w:tcPr>
            <w:tcW w:w="886" w:type="dxa"/>
            <w:tcBorders>
              <w:top w:val="nil"/>
              <w:left w:val="nil"/>
              <w:bottom w:val="nil"/>
              <w:right w:val="nil"/>
            </w:tcBorders>
            <w:shd w:val="clear" w:color="auto" w:fill="auto"/>
            <w:noWrap/>
            <w:vAlign w:val="center"/>
            <w:hideMark/>
          </w:tcPr>
          <w:p w14:paraId="15C5F213" w14:textId="11F44EA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0.017</w:t>
            </w:r>
          </w:p>
        </w:tc>
        <w:tc>
          <w:tcPr>
            <w:tcW w:w="929" w:type="dxa"/>
            <w:tcBorders>
              <w:top w:val="nil"/>
              <w:left w:val="nil"/>
              <w:bottom w:val="nil"/>
              <w:right w:val="nil"/>
            </w:tcBorders>
            <w:shd w:val="clear" w:color="auto" w:fill="auto"/>
            <w:noWrap/>
            <w:vAlign w:val="center"/>
            <w:hideMark/>
          </w:tcPr>
          <w:p w14:paraId="65E48211" w14:textId="6479D686"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-9.143</w:t>
            </w:r>
          </w:p>
        </w:tc>
        <w:tc>
          <w:tcPr>
            <w:tcW w:w="826" w:type="dxa"/>
            <w:tcBorders>
              <w:top w:val="nil"/>
              <w:left w:val="nil"/>
              <w:bottom w:val="nil"/>
              <w:right w:val="nil"/>
            </w:tcBorders>
            <w:shd w:val="clear" w:color="auto" w:fill="auto"/>
            <w:noWrap/>
            <w:vAlign w:val="center"/>
            <w:hideMark/>
          </w:tcPr>
          <w:p w14:paraId="0A5EA4BD" w14:textId="3127B091"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&lt; 2e-16</w:t>
            </w:r>
          </w:p>
        </w:tc>
        <w:tc>
          <w:tcPr>
            <w:tcW w:w="485" w:type="dxa"/>
            <w:tcBorders>
              <w:top w:val="nil"/>
              <w:left w:val="nil"/>
              <w:bottom w:val="nil"/>
              <w:right w:val="nil"/>
            </w:tcBorders>
            <w:shd w:val="clear" w:color="auto" w:fill="auto"/>
            <w:noWrap/>
            <w:hideMark/>
          </w:tcPr>
          <w:p w14:paraId="6BE2A2FA" w14:textId="5AAD7501" w:rsidR="00BB4EF2" w:rsidRPr="00060C2F" w:rsidRDefault="00BB4EF2" w:rsidP="00060C2F">
            <w:pPr>
              <w:spacing w:after="0" w:line="240" w:lineRule="auto"/>
              <w:rPr>
                <w:rFonts w:asciiTheme="majorHAnsi" w:hAnsiTheme="majorHAnsi"/>
                <w:sz w:val="18"/>
                <w:szCs w:val="20"/>
              </w:rPr>
            </w:pPr>
            <w:r w:rsidRPr="00060C2F">
              <w:rPr>
                <w:sz w:val="18"/>
              </w:rPr>
              <w:t>***</w:t>
            </w:r>
          </w:p>
        </w:tc>
      </w:tr>
      <w:tr w:rsidR="00BB4EF2" w:rsidRPr="00277D3E" w14:paraId="6E6E602A" w14:textId="77777777" w:rsidTr="00C8062E">
        <w:trPr>
          <w:trHeight w:val="299"/>
        </w:trPr>
        <w:tc>
          <w:tcPr>
            <w:tcW w:w="3765" w:type="dxa"/>
            <w:tcBorders>
              <w:top w:val="nil"/>
              <w:left w:val="nil"/>
              <w:bottom w:val="nil"/>
              <w:right w:val="nil"/>
            </w:tcBorders>
            <w:shd w:val="clear" w:color="auto" w:fill="auto"/>
            <w:noWrap/>
            <w:vAlign w:val="center"/>
            <w:hideMark/>
          </w:tcPr>
          <w:p w14:paraId="5A1D3874" w14:textId="332A053F"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log(HoldTime + 1)</w:t>
            </w:r>
          </w:p>
        </w:tc>
        <w:tc>
          <w:tcPr>
            <w:tcW w:w="965" w:type="dxa"/>
            <w:tcBorders>
              <w:top w:val="nil"/>
              <w:left w:val="nil"/>
              <w:bottom w:val="nil"/>
              <w:right w:val="nil"/>
            </w:tcBorders>
            <w:shd w:val="clear" w:color="auto" w:fill="auto"/>
            <w:noWrap/>
            <w:vAlign w:val="center"/>
            <w:hideMark/>
          </w:tcPr>
          <w:p w14:paraId="2E0B8E49" w14:textId="4B6E886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-0.158</w:t>
            </w:r>
          </w:p>
        </w:tc>
        <w:tc>
          <w:tcPr>
            <w:tcW w:w="993" w:type="dxa"/>
            <w:tcBorders>
              <w:top w:val="nil"/>
              <w:left w:val="nil"/>
              <w:bottom w:val="nil"/>
              <w:right w:val="nil"/>
            </w:tcBorders>
            <w:shd w:val="clear" w:color="auto" w:fill="auto"/>
            <w:noWrap/>
            <w:vAlign w:val="center"/>
            <w:hideMark/>
          </w:tcPr>
          <w:p w14:paraId="0C5E5FB0" w14:textId="6A736D2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0.854</w:t>
            </w:r>
          </w:p>
        </w:tc>
        <w:tc>
          <w:tcPr>
            <w:tcW w:w="886" w:type="dxa"/>
            <w:tcBorders>
              <w:top w:val="nil"/>
              <w:left w:val="nil"/>
              <w:bottom w:val="nil"/>
              <w:right w:val="nil"/>
            </w:tcBorders>
            <w:shd w:val="clear" w:color="auto" w:fill="auto"/>
            <w:noWrap/>
            <w:vAlign w:val="center"/>
            <w:hideMark/>
          </w:tcPr>
          <w:p w14:paraId="1B899C43" w14:textId="692F1834"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0.010</w:t>
            </w:r>
          </w:p>
        </w:tc>
        <w:tc>
          <w:tcPr>
            <w:tcW w:w="929" w:type="dxa"/>
            <w:tcBorders>
              <w:top w:val="nil"/>
              <w:left w:val="nil"/>
              <w:bottom w:val="nil"/>
              <w:right w:val="nil"/>
            </w:tcBorders>
            <w:shd w:val="clear" w:color="auto" w:fill="auto"/>
            <w:noWrap/>
            <w:vAlign w:val="center"/>
            <w:hideMark/>
          </w:tcPr>
          <w:p w14:paraId="093C6819" w14:textId="4EC0751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-15.793</w:t>
            </w:r>
          </w:p>
        </w:tc>
        <w:tc>
          <w:tcPr>
            <w:tcW w:w="826" w:type="dxa"/>
            <w:tcBorders>
              <w:top w:val="nil"/>
              <w:left w:val="nil"/>
              <w:bottom w:val="nil"/>
              <w:right w:val="nil"/>
            </w:tcBorders>
            <w:shd w:val="clear" w:color="auto" w:fill="auto"/>
            <w:noWrap/>
            <w:vAlign w:val="center"/>
            <w:hideMark/>
          </w:tcPr>
          <w:p w14:paraId="6D722B92" w14:textId="48587993"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&lt; 2e-16</w:t>
            </w:r>
          </w:p>
        </w:tc>
        <w:tc>
          <w:tcPr>
            <w:tcW w:w="485" w:type="dxa"/>
            <w:tcBorders>
              <w:top w:val="nil"/>
              <w:left w:val="nil"/>
              <w:bottom w:val="nil"/>
              <w:right w:val="nil"/>
            </w:tcBorders>
            <w:shd w:val="clear" w:color="auto" w:fill="auto"/>
            <w:noWrap/>
            <w:hideMark/>
          </w:tcPr>
          <w:p w14:paraId="4FFE6B7C" w14:textId="053CD92B"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32C0CF2B" w14:textId="77777777" w:rsidTr="00C8062E">
        <w:trPr>
          <w:trHeight w:val="299"/>
        </w:trPr>
        <w:tc>
          <w:tcPr>
            <w:tcW w:w="3765" w:type="dxa"/>
            <w:tcBorders>
              <w:top w:val="nil"/>
              <w:left w:val="nil"/>
              <w:bottom w:val="nil"/>
              <w:right w:val="nil"/>
            </w:tcBorders>
            <w:shd w:val="clear" w:color="auto" w:fill="auto"/>
            <w:noWrap/>
            <w:vAlign w:val="center"/>
            <w:hideMark/>
          </w:tcPr>
          <w:p w14:paraId="1B6C2F95"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s(MarketReturn)</w:t>
            </w:r>
          </w:p>
        </w:tc>
        <w:tc>
          <w:tcPr>
            <w:tcW w:w="965" w:type="dxa"/>
            <w:tcBorders>
              <w:top w:val="nil"/>
              <w:left w:val="nil"/>
              <w:bottom w:val="nil"/>
              <w:right w:val="nil"/>
            </w:tcBorders>
            <w:shd w:val="clear" w:color="auto" w:fill="auto"/>
            <w:noWrap/>
            <w:vAlign w:val="center"/>
            <w:hideMark/>
          </w:tcPr>
          <w:p w14:paraId="206A3894" w14:textId="0A63F528"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0.043</w:t>
            </w:r>
          </w:p>
        </w:tc>
        <w:tc>
          <w:tcPr>
            <w:tcW w:w="993" w:type="dxa"/>
            <w:tcBorders>
              <w:top w:val="nil"/>
              <w:left w:val="nil"/>
              <w:bottom w:val="nil"/>
              <w:right w:val="nil"/>
            </w:tcBorders>
            <w:shd w:val="clear" w:color="auto" w:fill="auto"/>
            <w:noWrap/>
            <w:vAlign w:val="center"/>
            <w:hideMark/>
          </w:tcPr>
          <w:p w14:paraId="26094A41" w14:textId="37C0AB4A"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1.044</w:t>
            </w:r>
          </w:p>
        </w:tc>
        <w:tc>
          <w:tcPr>
            <w:tcW w:w="886" w:type="dxa"/>
            <w:tcBorders>
              <w:top w:val="nil"/>
              <w:left w:val="nil"/>
              <w:bottom w:val="nil"/>
              <w:right w:val="nil"/>
            </w:tcBorders>
            <w:shd w:val="clear" w:color="auto" w:fill="auto"/>
            <w:noWrap/>
            <w:vAlign w:val="center"/>
            <w:hideMark/>
          </w:tcPr>
          <w:p w14:paraId="4D7253D6" w14:textId="757812B7"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0.017</w:t>
            </w:r>
          </w:p>
        </w:tc>
        <w:tc>
          <w:tcPr>
            <w:tcW w:w="929" w:type="dxa"/>
            <w:tcBorders>
              <w:top w:val="nil"/>
              <w:left w:val="nil"/>
              <w:bottom w:val="nil"/>
              <w:right w:val="nil"/>
            </w:tcBorders>
            <w:shd w:val="clear" w:color="auto" w:fill="auto"/>
            <w:noWrap/>
            <w:vAlign w:val="center"/>
            <w:hideMark/>
          </w:tcPr>
          <w:p w14:paraId="360729BC" w14:textId="1A72F8B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2.507</w:t>
            </w:r>
          </w:p>
        </w:tc>
        <w:tc>
          <w:tcPr>
            <w:tcW w:w="826" w:type="dxa"/>
            <w:tcBorders>
              <w:top w:val="nil"/>
              <w:left w:val="nil"/>
              <w:bottom w:val="nil"/>
              <w:right w:val="nil"/>
            </w:tcBorders>
            <w:shd w:val="clear" w:color="auto" w:fill="auto"/>
            <w:noWrap/>
            <w:vAlign w:val="center"/>
            <w:hideMark/>
          </w:tcPr>
          <w:p w14:paraId="4BD8E7D7" w14:textId="47BC05C1"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0.012</w:t>
            </w:r>
          </w:p>
        </w:tc>
        <w:tc>
          <w:tcPr>
            <w:tcW w:w="485" w:type="dxa"/>
            <w:tcBorders>
              <w:top w:val="nil"/>
              <w:left w:val="nil"/>
              <w:bottom w:val="nil"/>
              <w:right w:val="nil"/>
            </w:tcBorders>
            <w:shd w:val="clear" w:color="auto" w:fill="auto"/>
            <w:noWrap/>
            <w:hideMark/>
          </w:tcPr>
          <w:p w14:paraId="5B42F513" w14:textId="13359A54"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520457A9" w14:textId="77777777" w:rsidTr="00C8062E">
        <w:trPr>
          <w:trHeight w:val="299"/>
        </w:trPr>
        <w:tc>
          <w:tcPr>
            <w:tcW w:w="3765" w:type="dxa"/>
            <w:tcBorders>
              <w:top w:val="nil"/>
              <w:left w:val="nil"/>
              <w:bottom w:val="nil"/>
              <w:right w:val="nil"/>
            </w:tcBorders>
            <w:shd w:val="clear" w:color="auto" w:fill="auto"/>
            <w:noWrap/>
            <w:vAlign w:val="center"/>
            <w:hideMark/>
          </w:tcPr>
          <w:p w14:paraId="29D8625D"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s(MarketVolatility)</w:t>
            </w:r>
          </w:p>
        </w:tc>
        <w:tc>
          <w:tcPr>
            <w:tcW w:w="965" w:type="dxa"/>
            <w:tcBorders>
              <w:top w:val="nil"/>
              <w:left w:val="nil"/>
              <w:bottom w:val="nil"/>
              <w:right w:val="nil"/>
            </w:tcBorders>
            <w:shd w:val="clear" w:color="auto" w:fill="auto"/>
            <w:noWrap/>
            <w:vAlign w:val="center"/>
            <w:hideMark/>
          </w:tcPr>
          <w:p w14:paraId="6D425709" w14:textId="0A6E3A7F"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0.410</w:t>
            </w:r>
          </w:p>
        </w:tc>
        <w:tc>
          <w:tcPr>
            <w:tcW w:w="993" w:type="dxa"/>
            <w:tcBorders>
              <w:top w:val="nil"/>
              <w:left w:val="nil"/>
              <w:bottom w:val="nil"/>
              <w:right w:val="nil"/>
            </w:tcBorders>
            <w:shd w:val="clear" w:color="auto" w:fill="auto"/>
            <w:noWrap/>
            <w:vAlign w:val="center"/>
            <w:hideMark/>
          </w:tcPr>
          <w:p w14:paraId="2511D887" w14:textId="41C6D388"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1.506</w:t>
            </w:r>
          </w:p>
        </w:tc>
        <w:tc>
          <w:tcPr>
            <w:tcW w:w="886" w:type="dxa"/>
            <w:tcBorders>
              <w:top w:val="nil"/>
              <w:left w:val="nil"/>
              <w:bottom w:val="nil"/>
              <w:right w:val="nil"/>
            </w:tcBorders>
            <w:shd w:val="clear" w:color="auto" w:fill="auto"/>
            <w:noWrap/>
            <w:vAlign w:val="center"/>
            <w:hideMark/>
          </w:tcPr>
          <w:p w14:paraId="38AC6805" w14:textId="03ADE77F"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0.034</w:t>
            </w:r>
          </w:p>
        </w:tc>
        <w:tc>
          <w:tcPr>
            <w:tcW w:w="929" w:type="dxa"/>
            <w:tcBorders>
              <w:top w:val="nil"/>
              <w:left w:val="nil"/>
              <w:bottom w:val="nil"/>
              <w:right w:val="nil"/>
            </w:tcBorders>
            <w:shd w:val="clear" w:color="auto" w:fill="auto"/>
            <w:noWrap/>
            <w:vAlign w:val="center"/>
            <w:hideMark/>
          </w:tcPr>
          <w:p w14:paraId="491F4B67" w14:textId="41969382"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12.005</w:t>
            </w:r>
          </w:p>
        </w:tc>
        <w:tc>
          <w:tcPr>
            <w:tcW w:w="826" w:type="dxa"/>
            <w:tcBorders>
              <w:top w:val="nil"/>
              <w:left w:val="nil"/>
              <w:bottom w:val="nil"/>
              <w:right w:val="nil"/>
            </w:tcBorders>
            <w:shd w:val="clear" w:color="auto" w:fill="auto"/>
            <w:noWrap/>
            <w:vAlign w:val="center"/>
            <w:hideMark/>
          </w:tcPr>
          <w:p w14:paraId="509C821D" w14:textId="48A5A7AF"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&lt; 2e-16</w:t>
            </w:r>
          </w:p>
        </w:tc>
        <w:tc>
          <w:tcPr>
            <w:tcW w:w="485" w:type="dxa"/>
            <w:tcBorders>
              <w:top w:val="nil"/>
              <w:left w:val="nil"/>
              <w:bottom w:val="nil"/>
              <w:right w:val="nil"/>
            </w:tcBorders>
            <w:shd w:val="clear" w:color="auto" w:fill="auto"/>
            <w:noWrap/>
            <w:hideMark/>
          </w:tcPr>
          <w:p w14:paraId="1F386841" w14:textId="161ECD07"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08EE3147" w14:textId="77777777" w:rsidTr="00C8062E">
        <w:trPr>
          <w:trHeight w:val="299"/>
        </w:trPr>
        <w:tc>
          <w:tcPr>
            <w:tcW w:w="3765" w:type="dxa"/>
            <w:tcBorders>
              <w:top w:val="nil"/>
              <w:left w:val="nil"/>
              <w:bottom w:val="nil"/>
              <w:right w:val="nil"/>
            </w:tcBorders>
            <w:shd w:val="clear" w:color="auto" w:fill="auto"/>
            <w:noWrap/>
            <w:vAlign w:val="center"/>
            <w:hideMark/>
          </w:tcPr>
          <w:p w14:paraId="0BA3C444"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Period2006</w:t>
            </w:r>
          </w:p>
        </w:tc>
        <w:tc>
          <w:tcPr>
            <w:tcW w:w="965" w:type="dxa"/>
            <w:tcBorders>
              <w:top w:val="nil"/>
              <w:left w:val="nil"/>
              <w:bottom w:val="nil"/>
              <w:right w:val="nil"/>
            </w:tcBorders>
            <w:shd w:val="clear" w:color="auto" w:fill="auto"/>
            <w:noWrap/>
            <w:vAlign w:val="center"/>
            <w:hideMark/>
          </w:tcPr>
          <w:p w14:paraId="24AD1E53" w14:textId="36AC40F6"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-0.090</w:t>
            </w:r>
          </w:p>
        </w:tc>
        <w:tc>
          <w:tcPr>
            <w:tcW w:w="993" w:type="dxa"/>
            <w:tcBorders>
              <w:top w:val="nil"/>
              <w:left w:val="nil"/>
              <w:bottom w:val="nil"/>
              <w:right w:val="nil"/>
            </w:tcBorders>
            <w:shd w:val="clear" w:color="auto" w:fill="auto"/>
            <w:noWrap/>
            <w:vAlign w:val="center"/>
            <w:hideMark/>
          </w:tcPr>
          <w:p w14:paraId="207123C8" w14:textId="0944F8C9"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0.913</w:t>
            </w:r>
          </w:p>
        </w:tc>
        <w:tc>
          <w:tcPr>
            <w:tcW w:w="886" w:type="dxa"/>
            <w:tcBorders>
              <w:top w:val="nil"/>
              <w:left w:val="nil"/>
              <w:bottom w:val="nil"/>
              <w:right w:val="nil"/>
            </w:tcBorders>
            <w:shd w:val="clear" w:color="auto" w:fill="auto"/>
            <w:noWrap/>
            <w:vAlign w:val="center"/>
            <w:hideMark/>
          </w:tcPr>
          <w:p w14:paraId="2F766A07" w14:textId="3608DB36"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0.134</w:t>
            </w:r>
          </w:p>
        </w:tc>
        <w:tc>
          <w:tcPr>
            <w:tcW w:w="929" w:type="dxa"/>
            <w:tcBorders>
              <w:top w:val="nil"/>
              <w:left w:val="nil"/>
              <w:bottom w:val="nil"/>
              <w:right w:val="nil"/>
            </w:tcBorders>
            <w:shd w:val="clear" w:color="auto" w:fill="auto"/>
            <w:noWrap/>
            <w:vAlign w:val="center"/>
            <w:hideMark/>
          </w:tcPr>
          <w:p w14:paraId="6CCE551F" w14:textId="0CCE7632"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-0.678</w:t>
            </w:r>
          </w:p>
        </w:tc>
        <w:tc>
          <w:tcPr>
            <w:tcW w:w="826" w:type="dxa"/>
            <w:tcBorders>
              <w:top w:val="nil"/>
              <w:left w:val="nil"/>
              <w:bottom w:val="nil"/>
              <w:right w:val="nil"/>
            </w:tcBorders>
            <w:shd w:val="clear" w:color="auto" w:fill="auto"/>
            <w:noWrap/>
            <w:vAlign w:val="center"/>
            <w:hideMark/>
          </w:tcPr>
          <w:p w14:paraId="42A48A83" w14:textId="67990BE4"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0.498</w:t>
            </w:r>
          </w:p>
        </w:tc>
        <w:tc>
          <w:tcPr>
            <w:tcW w:w="485" w:type="dxa"/>
            <w:tcBorders>
              <w:top w:val="nil"/>
              <w:left w:val="nil"/>
              <w:bottom w:val="nil"/>
              <w:right w:val="nil"/>
            </w:tcBorders>
            <w:shd w:val="clear" w:color="auto" w:fill="auto"/>
            <w:noWrap/>
            <w:hideMark/>
          </w:tcPr>
          <w:p w14:paraId="3D628DFE" w14:textId="77777777" w:rsidR="00BB4EF2" w:rsidRPr="00060C2F" w:rsidRDefault="00BB4EF2" w:rsidP="00060C2F">
            <w:pPr>
              <w:spacing w:after="0" w:line="240" w:lineRule="auto"/>
              <w:rPr>
                <w:rFonts w:asciiTheme="majorHAnsi" w:hAnsiTheme="majorHAnsi"/>
                <w:sz w:val="18"/>
                <w:szCs w:val="20"/>
              </w:rPr>
            </w:pPr>
          </w:p>
        </w:tc>
      </w:tr>
      <w:tr w:rsidR="00BB4EF2" w:rsidRPr="00277D3E" w14:paraId="2E19F974" w14:textId="77777777" w:rsidTr="00C8062E">
        <w:trPr>
          <w:trHeight w:val="299"/>
        </w:trPr>
        <w:tc>
          <w:tcPr>
            <w:tcW w:w="3765" w:type="dxa"/>
            <w:tcBorders>
              <w:top w:val="nil"/>
              <w:left w:val="nil"/>
              <w:bottom w:val="nil"/>
              <w:right w:val="nil"/>
            </w:tcBorders>
            <w:shd w:val="clear" w:color="auto" w:fill="auto"/>
            <w:noWrap/>
            <w:vAlign w:val="center"/>
            <w:hideMark/>
          </w:tcPr>
          <w:p w14:paraId="34E528C4"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Period2007</w:t>
            </w:r>
          </w:p>
        </w:tc>
        <w:tc>
          <w:tcPr>
            <w:tcW w:w="965" w:type="dxa"/>
            <w:tcBorders>
              <w:top w:val="nil"/>
              <w:left w:val="nil"/>
              <w:bottom w:val="nil"/>
              <w:right w:val="nil"/>
            </w:tcBorders>
            <w:shd w:val="clear" w:color="auto" w:fill="auto"/>
            <w:noWrap/>
            <w:vAlign w:val="center"/>
            <w:hideMark/>
          </w:tcPr>
          <w:p w14:paraId="5659B4FA" w14:textId="756A1EB7"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-0.110</w:t>
            </w:r>
          </w:p>
        </w:tc>
        <w:tc>
          <w:tcPr>
            <w:tcW w:w="993" w:type="dxa"/>
            <w:tcBorders>
              <w:top w:val="nil"/>
              <w:left w:val="nil"/>
              <w:bottom w:val="nil"/>
              <w:right w:val="nil"/>
            </w:tcBorders>
            <w:shd w:val="clear" w:color="auto" w:fill="auto"/>
            <w:noWrap/>
            <w:vAlign w:val="center"/>
            <w:hideMark/>
          </w:tcPr>
          <w:p w14:paraId="4A80C97D" w14:textId="03293A1C"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0.896</w:t>
            </w:r>
          </w:p>
        </w:tc>
        <w:tc>
          <w:tcPr>
            <w:tcW w:w="886" w:type="dxa"/>
            <w:tcBorders>
              <w:top w:val="nil"/>
              <w:left w:val="nil"/>
              <w:bottom w:val="nil"/>
              <w:right w:val="nil"/>
            </w:tcBorders>
            <w:shd w:val="clear" w:color="auto" w:fill="auto"/>
            <w:noWrap/>
            <w:vAlign w:val="center"/>
            <w:hideMark/>
          </w:tcPr>
          <w:p w14:paraId="49BEA51D" w14:textId="5FA6FFBD"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0.113</w:t>
            </w:r>
          </w:p>
        </w:tc>
        <w:tc>
          <w:tcPr>
            <w:tcW w:w="929" w:type="dxa"/>
            <w:tcBorders>
              <w:top w:val="nil"/>
              <w:left w:val="nil"/>
              <w:bottom w:val="nil"/>
              <w:right w:val="nil"/>
            </w:tcBorders>
            <w:shd w:val="clear" w:color="auto" w:fill="auto"/>
            <w:noWrap/>
            <w:vAlign w:val="center"/>
            <w:hideMark/>
          </w:tcPr>
          <w:p w14:paraId="31D1282C" w14:textId="24ADDF03"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-0.977</w:t>
            </w:r>
          </w:p>
        </w:tc>
        <w:tc>
          <w:tcPr>
            <w:tcW w:w="826" w:type="dxa"/>
            <w:tcBorders>
              <w:top w:val="nil"/>
              <w:left w:val="nil"/>
              <w:bottom w:val="nil"/>
              <w:right w:val="nil"/>
            </w:tcBorders>
            <w:shd w:val="clear" w:color="auto" w:fill="auto"/>
            <w:noWrap/>
            <w:vAlign w:val="center"/>
            <w:hideMark/>
          </w:tcPr>
          <w:p w14:paraId="3FFEE345" w14:textId="3D514F68"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0.328</w:t>
            </w:r>
          </w:p>
        </w:tc>
        <w:tc>
          <w:tcPr>
            <w:tcW w:w="485" w:type="dxa"/>
            <w:tcBorders>
              <w:top w:val="nil"/>
              <w:left w:val="nil"/>
              <w:bottom w:val="nil"/>
              <w:right w:val="nil"/>
            </w:tcBorders>
            <w:shd w:val="clear" w:color="auto" w:fill="auto"/>
            <w:noWrap/>
            <w:hideMark/>
          </w:tcPr>
          <w:p w14:paraId="3061AC41" w14:textId="77777777" w:rsidR="00BB4EF2" w:rsidRPr="00060C2F" w:rsidRDefault="00BB4EF2" w:rsidP="00060C2F">
            <w:pPr>
              <w:spacing w:after="0" w:line="240" w:lineRule="auto"/>
              <w:rPr>
                <w:rFonts w:asciiTheme="majorHAnsi" w:hAnsiTheme="majorHAnsi"/>
                <w:sz w:val="18"/>
                <w:szCs w:val="20"/>
              </w:rPr>
            </w:pPr>
          </w:p>
        </w:tc>
      </w:tr>
      <w:tr w:rsidR="00BB4EF2" w:rsidRPr="00277D3E" w14:paraId="36436488" w14:textId="77777777" w:rsidTr="00C8062E">
        <w:trPr>
          <w:trHeight w:val="299"/>
        </w:trPr>
        <w:tc>
          <w:tcPr>
            <w:tcW w:w="3765" w:type="dxa"/>
            <w:tcBorders>
              <w:top w:val="nil"/>
              <w:left w:val="nil"/>
              <w:bottom w:val="nil"/>
              <w:right w:val="nil"/>
            </w:tcBorders>
            <w:shd w:val="clear" w:color="auto" w:fill="auto"/>
            <w:noWrap/>
            <w:vAlign w:val="center"/>
            <w:hideMark/>
          </w:tcPr>
          <w:p w14:paraId="3583A7B1"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Period2008</w:t>
            </w:r>
          </w:p>
        </w:tc>
        <w:tc>
          <w:tcPr>
            <w:tcW w:w="965" w:type="dxa"/>
            <w:tcBorders>
              <w:top w:val="nil"/>
              <w:left w:val="nil"/>
              <w:bottom w:val="nil"/>
              <w:right w:val="nil"/>
            </w:tcBorders>
            <w:shd w:val="clear" w:color="auto" w:fill="auto"/>
            <w:noWrap/>
            <w:vAlign w:val="center"/>
            <w:hideMark/>
          </w:tcPr>
          <w:p w14:paraId="16C4EEE5" w14:textId="73601009"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-0.218</w:t>
            </w:r>
          </w:p>
        </w:tc>
        <w:tc>
          <w:tcPr>
            <w:tcW w:w="993" w:type="dxa"/>
            <w:tcBorders>
              <w:top w:val="nil"/>
              <w:left w:val="nil"/>
              <w:bottom w:val="nil"/>
              <w:right w:val="nil"/>
            </w:tcBorders>
            <w:shd w:val="clear" w:color="auto" w:fill="auto"/>
            <w:noWrap/>
            <w:vAlign w:val="center"/>
            <w:hideMark/>
          </w:tcPr>
          <w:p w14:paraId="1C0D8682" w14:textId="47541F82"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0.804</w:t>
            </w:r>
          </w:p>
        </w:tc>
        <w:tc>
          <w:tcPr>
            <w:tcW w:w="886" w:type="dxa"/>
            <w:tcBorders>
              <w:top w:val="nil"/>
              <w:left w:val="nil"/>
              <w:bottom w:val="nil"/>
              <w:right w:val="nil"/>
            </w:tcBorders>
            <w:shd w:val="clear" w:color="auto" w:fill="auto"/>
            <w:noWrap/>
            <w:vAlign w:val="center"/>
            <w:hideMark/>
          </w:tcPr>
          <w:p w14:paraId="4DEDEF5C" w14:textId="014989D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0.115</w:t>
            </w:r>
          </w:p>
        </w:tc>
        <w:tc>
          <w:tcPr>
            <w:tcW w:w="929" w:type="dxa"/>
            <w:tcBorders>
              <w:top w:val="nil"/>
              <w:left w:val="nil"/>
              <w:bottom w:val="nil"/>
              <w:right w:val="nil"/>
            </w:tcBorders>
            <w:shd w:val="clear" w:color="auto" w:fill="auto"/>
            <w:noWrap/>
            <w:vAlign w:val="center"/>
            <w:hideMark/>
          </w:tcPr>
          <w:p w14:paraId="3C0476DC" w14:textId="7D396E6B"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-1.898</w:t>
            </w:r>
          </w:p>
        </w:tc>
        <w:tc>
          <w:tcPr>
            <w:tcW w:w="826" w:type="dxa"/>
            <w:tcBorders>
              <w:top w:val="nil"/>
              <w:left w:val="nil"/>
              <w:bottom w:val="nil"/>
              <w:right w:val="nil"/>
            </w:tcBorders>
            <w:shd w:val="clear" w:color="auto" w:fill="auto"/>
            <w:noWrap/>
            <w:vAlign w:val="center"/>
            <w:hideMark/>
          </w:tcPr>
          <w:p w14:paraId="1250B8FB" w14:textId="1F4DE800"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0.058</w:t>
            </w:r>
          </w:p>
        </w:tc>
        <w:tc>
          <w:tcPr>
            <w:tcW w:w="485" w:type="dxa"/>
            <w:tcBorders>
              <w:top w:val="nil"/>
              <w:left w:val="nil"/>
              <w:bottom w:val="nil"/>
              <w:right w:val="nil"/>
            </w:tcBorders>
            <w:shd w:val="clear" w:color="auto" w:fill="auto"/>
            <w:noWrap/>
            <w:hideMark/>
          </w:tcPr>
          <w:p w14:paraId="3DD52D9B" w14:textId="0ACA00E0" w:rsidR="00BB4EF2" w:rsidRPr="00060C2F" w:rsidRDefault="00BB4EF2" w:rsidP="00060C2F">
            <w:pPr>
              <w:spacing w:after="0" w:line="240" w:lineRule="auto"/>
              <w:rPr>
                <w:rFonts w:asciiTheme="majorHAnsi" w:hAnsiTheme="majorHAnsi"/>
                <w:sz w:val="18"/>
                <w:szCs w:val="20"/>
              </w:rPr>
            </w:pPr>
            <w:r w:rsidRPr="00060C2F">
              <w:rPr>
                <w:sz w:val="18"/>
              </w:rPr>
              <w:t>.</w:t>
            </w:r>
          </w:p>
        </w:tc>
      </w:tr>
      <w:tr w:rsidR="00BB4EF2" w:rsidRPr="00277D3E" w14:paraId="0D0AFE64" w14:textId="77777777" w:rsidTr="00C8062E">
        <w:trPr>
          <w:trHeight w:val="299"/>
        </w:trPr>
        <w:tc>
          <w:tcPr>
            <w:tcW w:w="3765" w:type="dxa"/>
            <w:tcBorders>
              <w:top w:val="nil"/>
              <w:left w:val="nil"/>
              <w:bottom w:val="nil"/>
              <w:right w:val="nil"/>
            </w:tcBorders>
            <w:shd w:val="clear" w:color="auto" w:fill="auto"/>
            <w:noWrap/>
            <w:vAlign w:val="center"/>
            <w:hideMark/>
          </w:tcPr>
          <w:p w14:paraId="52748B59"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Period2009</w:t>
            </w:r>
          </w:p>
        </w:tc>
        <w:tc>
          <w:tcPr>
            <w:tcW w:w="965" w:type="dxa"/>
            <w:tcBorders>
              <w:top w:val="nil"/>
              <w:left w:val="nil"/>
              <w:bottom w:val="nil"/>
              <w:right w:val="nil"/>
            </w:tcBorders>
            <w:shd w:val="clear" w:color="auto" w:fill="auto"/>
            <w:noWrap/>
            <w:vAlign w:val="center"/>
            <w:hideMark/>
          </w:tcPr>
          <w:p w14:paraId="5C12BC48" w14:textId="02903FAF"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0.138</w:t>
            </w:r>
          </w:p>
        </w:tc>
        <w:tc>
          <w:tcPr>
            <w:tcW w:w="993" w:type="dxa"/>
            <w:tcBorders>
              <w:top w:val="nil"/>
              <w:left w:val="nil"/>
              <w:bottom w:val="nil"/>
              <w:right w:val="nil"/>
            </w:tcBorders>
            <w:shd w:val="clear" w:color="auto" w:fill="auto"/>
            <w:noWrap/>
            <w:vAlign w:val="center"/>
            <w:hideMark/>
          </w:tcPr>
          <w:p w14:paraId="55CE0606" w14:textId="72E7D9CA"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1.148</w:t>
            </w:r>
          </w:p>
        </w:tc>
        <w:tc>
          <w:tcPr>
            <w:tcW w:w="886" w:type="dxa"/>
            <w:tcBorders>
              <w:top w:val="nil"/>
              <w:left w:val="nil"/>
              <w:bottom w:val="nil"/>
              <w:right w:val="nil"/>
            </w:tcBorders>
            <w:shd w:val="clear" w:color="auto" w:fill="auto"/>
            <w:noWrap/>
            <w:vAlign w:val="center"/>
            <w:hideMark/>
          </w:tcPr>
          <w:p w14:paraId="5BC9F549" w14:textId="439B0396"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0.109</w:t>
            </w:r>
          </w:p>
        </w:tc>
        <w:tc>
          <w:tcPr>
            <w:tcW w:w="929" w:type="dxa"/>
            <w:tcBorders>
              <w:top w:val="nil"/>
              <w:left w:val="nil"/>
              <w:bottom w:val="nil"/>
              <w:right w:val="nil"/>
            </w:tcBorders>
            <w:shd w:val="clear" w:color="auto" w:fill="auto"/>
            <w:noWrap/>
            <w:vAlign w:val="center"/>
            <w:hideMark/>
          </w:tcPr>
          <w:p w14:paraId="6DD3DAF1" w14:textId="2CE55CCC"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1.267</w:t>
            </w:r>
          </w:p>
        </w:tc>
        <w:tc>
          <w:tcPr>
            <w:tcW w:w="826" w:type="dxa"/>
            <w:tcBorders>
              <w:top w:val="nil"/>
              <w:left w:val="nil"/>
              <w:bottom w:val="nil"/>
              <w:right w:val="nil"/>
            </w:tcBorders>
            <w:shd w:val="clear" w:color="auto" w:fill="auto"/>
            <w:noWrap/>
            <w:vAlign w:val="center"/>
            <w:hideMark/>
          </w:tcPr>
          <w:p w14:paraId="73833F31" w14:textId="7625C6A3"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0.205</w:t>
            </w:r>
          </w:p>
        </w:tc>
        <w:tc>
          <w:tcPr>
            <w:tcW w:w="485" w:type="dxa"/>
            <w:tcBorders>
              <w:top w:val="nil"/>
              <w:left w:val="nil"/>
              <w:bottom w:val="nil"/>
              <w:right w:val="nil"/>
            </w:tcBorders>
            <w:shd w:val="clear" w:color="auto" w:fill="auto"/>
            <w:noWrap/>
            <w:hideMark/>
          </w:tcPr>
          <w:p w14:paraId="0D1C2D85" w14:textId="77777777" w:rsidR="00BB4EF2" w:rsidRPr="00060C2F" w:rsidRDefault="00BB4EF2" w:rsidP="00060C2F">
            <w:pPr>
              <w:spacing w:after="0" w:line="240" w:lineRule="auto"/>
              <w:rPr>
                <w:rFonts w:asciiTheme="majorHAnsi" w:hAnsiTheme="majorHAnsi"/>
                <w:sz w:val="18"/>
                <w:szCs w:val="20"/>
              </w:rPr>
            </w:pPr>
          </w:p>
        </w:tc>
      </w:tr>
      <w:tr w:rsidR="00BB4EF2" w:rsidRPr="00277D3E" w14:paraId="4A040A1A" w14:textId="77777777" w:rsidTr="00C8062E">
        <w:trPr>
          <w:trHeight w:val="299"/>
        </w:trPr>
        <w:tc>
          <w:tcPr>
            <w:tcW w:w="3765" w:type="dxa"/>
            <w:tcBorders>
              <w:top w:val="nil"/>
              <w:left w:val="nil"/>
              <w:bottom w:val="nil"/>
              <w:right w:val="nil"/>
            </w:tcBorders>
            <w:shd w:val="clear" w:color="auto" w:fill="auto"/>
            <w:noWrap/>
            <w:vAlign w:val="center"/>
            <w:hideMark/>
          </w:tcPr>
          <w:p w14:paraId="79CE0935"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Period2010</w:t>
            </w:r>
          </w:p>
        </w:tc>
        <w:tc>
          <w:tcPr>
            <w:tcW w:w="965" w:type="dxa"/>
            <w:tcBorders>
              <w:top w:val="nil"/>
              <w:left w:val="nil"/>
              <w:bottom w:val="nil"/>
              <w:right w:val="nil"/>
            </w:tcBorders>
            <w:shd w:val="clear" w:color="auto" w:fill="auto"/>
            <w:noWrap/>
            <w:vAlign w:val="center"/>
            <w:hideMark/>
          </w:tcPr>
          <w:p w14:paraId="70443002" w14:textId="224254D3"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0.051</w:t>
            </w:r>
          </w:p>
        </w:tc>
        <w:tc>
          <w:tcPr>
            <w:tcW w:w="993" w:type="dxa"/>
            <w:tcBorders>
              <w:top w:val="nil"/>
              <w:left w:val="nil"/>
              <w:bottom w:val="nil"/>
              <w:right w:val="nil"/>
            </w:tcBorders>
            <w:shd w:val="clear" w:color="auto" w:fill="auto"/>
            <w:noWrap/>
            <w:vAlign w:val="center"/>
            <w:hideMark/>
          </w:tcPr>
          <w:p w14:paraId="02F2C360" w14:textId="65BCF4FF"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1.052</w:t>
            </w:r>
          </w:p>
        </w:tc>
        <w:tc>
          <w:tcPr>
            <w:tcW w:w="886" w:type="dxa"/>
            <w:tcBorders>
              <w:top w:val="nil"/>
              <w:left w:val="nil"/>
              <w:bottom w:val="nil"/>
              <w:right w:val="nil"/>
            </w:tcBorders>
            <w:shd w:val="clear" w:color="auto" w:fill="auto"/>
            <w:noWrap/>
            <w:vAlign w:val="center"/>
            <w:hideMark/>
          </w:tcPr>
          <w:p w14:paraId="363DFD16" w14:textId="1D0FCC61"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0.112</w:t>
            </w:r>
          </w:p>
        </w:tc>
        <w:tc>
          <w:tcPr>
            <w:tcW w:w="929" w:type="dxa"/>
            <w:tcBorders>
              <w:top w:val="nil"/>
              <w:left w:val="nil"/>
              <w:bottom w:val="nil"/>
              <w:right w:val="nil"/>
            </w:tcBorders>
            <w:shd w:val="clear" w:color="auto" w:fill="auto"/>
            <w:noWrap/>
            <w:vAlign w:val="center"/>
            <w:hideMark/>
          </w:tcPr>
          <w:p w14:paraId="03230C37" w14:textId="022074BE"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0.450</w:t>
            </w:r>
          </w:p>
        </w:tc>
        <w:tc>
          <w:tcPr>
            <w:tcW w:w="826" w:type="dxa"/>
            <w:tcBorders>
              <w:top w:val="nil"/>
              <w:left w:val="nil"/>
              <w:bottom w:val="nil"/>
              <w:right w:val="nil"/>
            </w:tcBorders>
            <w:shd w:val="clear" w:color="auto" w:fill="auto"/>
            <w:noWrap/>
            <w:vAlign w:val="center"/>
            <w:hideMark/>
          </w:tcPr>
          <w:p w14:paraId="72984E94" w14:textId="322B45C9"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0.652</w:t>
            </w:r>
          </w:p>
        </w:tc>
        <w:tc>
          <w:tcPr>
            <w:tcW w:w="485" w:type="dxa"/>
            <w:tcBorders>
              <w:top w:val="nil"/>
              <w:left w:val="nil"/>
              <w:bottom w:val="nil"/>
              <w:right w:val="nil"/>
            </w:tcBorders>
            <w:shd w:val="clear" w:color="auto" w:fill="auto"/>
            <w:noWrap/>
            <w:hideMark/>
          </w:tcPr>
          <w:p w14:paraId="580B713D" w14:textId="77777777" w:rsidR="00BB4EF2" w:rsidRPr="00060C2F" w:rsidRDefault="00BB4EF2" w:rsidP="00060C2F">
            <w:pPr>
              <w:spacing w:after="0" w:line="240" w:lineRule="auto"/>
              <w:rPr>
                <w:rFonts w:asciiTheme="majorHAnsi" w:hAnsiTheme="majorHAnsi"/>
                <w:sz w:val="18"/>
                <w:szCs w:val="20"/>
              </w:rPr>
            </w:pPr>
          </w:p>
        </w:tc>
      </w:tr>
      <w:tr w:rsidR="00BB4EF2" w:rsidRPr="00277D3E" w14:paraId="1285C9B9" w14:textId="77777777" w:rsidTr="00C8062E">
        <w:trPr>
          <w:trHeight w:val="299"/>
        </w:trPr>
        <w:tc>
          <w:tcPr>
            <w:tcW w:w="3765" w:type="dxa"/>
            <w:tcBorders>
              <w:top w:val="nil"/>
              <w:left w:val="nil"/>
              <w:bottom w:val="nil"/>
              <w:right w:val="nil"/>
            </w:tcBorders>
            <w:shd w:val="clear" w:color="auto" w:fill="auto"/>
            <w:noWrap/>
            <w:vAlign w:val="center"/>
            <w:hideMark/>
          </w:tcPr>
          <w:p w14:paraId="1804523A" w14:textId="77777777"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Period2011+</w:t>
            </w:r>
          </w:p>
        </w:tc>
        <w:tc>
          <w:tcPr>
            <w:tcW w:w="965" w:type="dxa"/>
            <w:tcBorders>
              <w:top w:val="nil"/>
              <w:left w:val="nil"/>
              <w:bottom w:val="nil"/>
              <w:right w:val="nil"/>
            </w:tcBorders>
            <w:shd w:val="clear" w:color="auto" w:fill="auto"/>
            <w:noWrap/>
            <w:vAlign w:val="center"/>
            <w:hideMark/>
          </w:tcPr>
          <w:p w14:paraId="78D3392F" w14:textId="412102AB"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-0.561</w:t>
            </w:r>
          </w:p>
        </w:tc>
        <w:tc>
          <w:tcPr>
            <w:tcW w:w="993" w:type="dxa"/>
            <w:tcBorders>
              <w:top w:val="nil"/>
              <w:left w:val="nil"/>
              <w:bottom w:val="nil"/>
              <w:right w:val="nil"/>
            </w:tcBorders>
            <w:shd w:val="clear" w:color="auto" w:fill="auto"/>
            <w:noWrap/>
            <w:vAlign w:val="center"/>
            <w:hideMark/>
          </w:tcPr>
          <w:p w14:paraId="5A45B02A" w14:textId="2A703203"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0.571</w:t>
            </w:r>
          </w:p>
        </w:tc>
        <w:tc>
          <w:tcPr>
            <w:tcW w:w="886" w:type="dxa"/>
            <w:tcBorders>
              <w:top w:val="nil"/>
              <w:left w:val="nil"/>
              <w:bottom w:val="nil"/>
              <w:right w:val="nil"/>
            </w:tcBorders>
            <w:shd w:val="clear" w:color="auto" w:fill="auto"/>
            <w:noWrap/>
            <w:vAlign w:val="center"/>
            <w:hideMark/>
          </w:tcPr>
          <w:p w14:paraId="3E843145" w14:textId="2D3B7967"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0.111</w:t>
            </w:r>
          </w:p>
        </w:tc>
        <w:tc>
          <w:tcPr>
            <w:tcW w:w="929" w:type="dxa"/>
            <w:tcBorders>
              <w:top w:val="nil"/>
              <w:left w:val="nil"/>
              <w:bottom w:val="nil"/>
              <w:right w:val="nil"/>
            </w:tcBorders>
            <w:shd w:val="clear" w:color="auto" w:fill="auto"/>
            <w:noWrap/>
            <w:vAlign w:val="center"/>
            <w:hideMark/>
          </w:tcPr>
          <w:p w14:paraId="70630120" w14:textId="5DAD35DD"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-5.061</w:t>
            </w:r>
          </w:p>
        </w:tc>
        <w:tc>
          <w:tcPr>
            <w:tcW w:w="826" w:type="dxa"/>
            <w:tcBorders>
              <w:top w:val="nil"/>
              <w:left w:val="nil"/>
              <w:bottom w:val="nil"/>
              <w:right w:val="nil"/>
            </w:tcBorders>
            <w:shd w:val="clear" w:color="auto" w:fill="auto"/>
            <w:noWrap/>
            <w:vAlign w:val="center"/>
            <w:hideMark/>
          </w:tcPr>
          <w:p w14:paraId="212F1965" w14:textId="58F84A22"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0.000</w:t>
            </w:r>
          </w:p>
        </w:tc>
        <w:tc>
          <w:tcPr>
            <w:tcW w:w="485" w:type="dxa"/>
            <w:tcBorders>
              <w:top w:val="nil"/>
              <w:left w:val="nil"/>
              <w:bottom w:val="nil"/>
              <w:right w:val="nil"/>
            </w:tcBorders>
            <w:shd w:val="clear" w:color="auto" w:fill="auto"/>
            <w:noWrap/>
            <w:hideMark/>
          </w:tcPr>
          <w:p w14:paraId="26EDF968" w14:textId="4840D4F1"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1F267301" w14:textId="77777777" w:rsidTr="00C8062E">
        <w:trPr>
          <w:trHeight w:val="299"/>
        </w:trPr>
        <w:tc>
          <w:tcPr>
            <w:tcW w:w="3765" w:type="dxa"/>
            <w:tcBorders>
              <w:top w:val="nil"/>
              <w:left w:val="nil"/>
              <w:bottom w:val="nil"/>
              <w:right w:val="nil"/>
            </w:tcBorders>
            <w:shd w:val="clear" w:color="auto" w:fill="auto"/>
            <w:noWrap/>
            <w:vAlign w:val="center"/>
            <w:hideMark/>
          </w:tcPr>
          <w:p w14:paraId="319887DD" w14:textId="5D83B0CE"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 xml:space="preserve">GenerallyProfitable × </w:t>
            </w:r>
            <w:r w:rsidR="000F6886" w:rsidRPr="00060C2F">
              <w:rPr>
                <w:rFonts w:asciiTheme="majorHAnsi" w:eastAsia="Times New Roman" w:hAnsiTheme="majorHAnsi" w:cs="Consolas"/>
                <w:color w:val="000000"/>
                <w:sz w:val="18"/>
                <w:szCs w:val="20"/>
                <w:lang w:eastAsia="en-GB"/>
              </w:rPr>
              <w:t>NetLoss</w:t>
            </w:r>
          </w:p>
        </w:tc>
        <w:tc>
          <w:tcPr>
            <w:tcW w:w="965" w:type="dxa"/>
            <w:tcBorders>
              <w:top w:val="nil"/>
              <w:left w:val="nil"/>
              <w:bottom w:val="nil"/>
              <w:right w:val="nil"/>
            </w:tcBorders>
            <w:shd w:val="clear" w:color="auto" w:fill="auto"/>
            <w:noWrap/>
            <w:vAlign w:val="center"/>
            <w:hideMark/>
          </w:tcPr>
          <w:p w14:paraId="43A0F1F7" w14:textId="7A35EC2D" w:rsidR="00BB4EF2" w:rsidRPr="00060C2F" w:rsidRDefault="00BB4EF2" w:rsidP="00060C2F">
            <w:pPr>
              <w:spacing w:after="0" w:line="240" w:lineRule="auto"/>
              <w:jc w:val="right"/>
              <w:rPr>
                <w:rFonts w:asciiTheme="majorHAnsi" w:hAnsiTheme="majorHAnsi"/>
                <w:sz w:val="18"/>
              </w:rPr>
            </w:pPr>
            <w:r w:rsidRPr="00060C2F">
              <w:rPr>
                <w:rFonts w:asciiTheme="majorHAnsi" w:hAnsiTheme="majorHAnsi"/>
                <w:sz w:val="18"/>
              </w:rPr>
              <w:t>-3.204</w:t>
            </w:r>
          </w:p>
        </w:tc>
        <w:tc>
          <w:tcPr>
            <w:tcW w:w="993" w:type="dxa"/>
            <w:tcBorders>
              <w:top w:val="nil"/>
              <w:left w:val="nil"/>
              <w:bottom w:val="nil"/>
              <w:right w:val="nil"/>
            </w:tcBorders>
            <w:shd w:val="clear" w:color="auto" w:fill="auto"/>
            <w:noWrap/>
            <w:vAlign w:val="center"/>
            <w:hideMark/>
          </w:tcPr>
          <w:p w14:paraId="106F71EA" w14:textId="01B27742"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0.041</w:t>
            </w:r>
          </w:p>
        </w:tc>
        <w:tc>
          <w:tcPr>
            <w:tcW w:w="886" w:type="dxa"/>
            <w:tcBorders>
              <w:top w:val="nil"/>
              <w:left w:val="nil"/>
              <w:bottom w:val="nil"/>
              <w:right w:val="nil"/>
            </w:tcBorders>
            <w:shd w:val="clear" w:color="auto" w:fill="auto"/>
            <w:noWrap/>
            <w:vAlign w:val="center"/>
            <w:hideMark/>
          </w:tcPr>
          <w:p w14:paraId="1E71E80A" w14:textId="3695CAA9"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0.301</w:t>
            </w:r>
          </w:p>
        </w:tc>
        <w:tc>
          <w:tcPr>
            <w:tcW w:w="929" w:type="dxa"/>
            <w:tcBorders>
              <w:top w:val="nil"/>
              <w:left w:val="nil"/>
              <w:bottom w:val="nil"/>
              <w:right w:val="nil"/>
            </w:tcBorders>
            <w:shd w:val="clear" w:color="auto" w:fill="auto"/>
            <w:noWrap/>
            <w:vAlign w:val="center"/>
            <w:hideMark/>
          </w:tcPr>
          <w:p w14:paraId="12DF8CCB" w14:textId="2B8C8B44"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-10.650</w:t>
            </w:r>
          </w:p>
        </w:tc>
        <w:tc>
          <w:tcPr>
            <w:tcW w:w="826" w:type="dxa"/>
            <w:tcBorders>
              <w:top w:val="nil"/>
              <w:left w:val="nil"/>
              <w:bottom w:val="nil"/>
              <w:right w:val="nil"/>
            </w:tcBorders>
            <w:shd w:val="clear" w:color="auto" w:fill="auto"/>
            <w:noWrap/>
            <w:vAlign w:val="center"/>
            <w:hideMark/>
          </w:tcPr>
          <w:p w14:paraId="25291453" w14:textId="49C78053"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&lt; 2e-16</w:t>
            </w:r>
          </w:p>
        </w:tc>
        <w:tc>
          <w:tcPr>
            <w:tcW w:w="485" w:type="dxa"/>
            <w:tcBorders>
              <w:top w:val="nil"/>
              <w:left w:val="nil"/>
              <w:bottom w:val="nil"/>
              <w:right w:val="nil"/>
            </w:tcBorders>
            <w:shd w:val="clear" w:color="auto" w:fill="auto"/>
            <w:noWrap/>
            <w:hideMark/>
          </w:tcPr>
          <w:p w14:paraId="33FD800E" w14:textId="0592DB14"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3C93D7B8" w14:textId="77777777" w:rsidTr="00C8062E">
        <w:trPr>
          <w:trHeight w:val="299"/>
        </w:trPr>
        <w:tc>
          <w:tcPr>
            <w:tcW w:w="3765" w:type="dxa"/>
            <w:tcBorders>
              <w:top w:val="nil"/>
              <w:left w:val="nil"/>
              <w:bottom w:val="nil"/>
              <w:right w:val="nil"/>
            </w:tcBorders>
            <w:shd w:val="clear" w:color="auto" w:fill="auto"/>
            <w:noWrap/>
            <w:vAlign w:val="center"/>
            <w:hideMark/>
          </w:tcPr>
          <w:p w14:paraId="21169FA4" w14:textId="6904116A"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GenerallyProfitable × StatusChange</w:t>
            </w:r>
          </w:p>
        </w:tc>
        <w:tc>
          <w:tcPr>
            <w:tcW w:w="965" w:type="dxa"/>
            <w:tcBorders>
              <w:top w:val="nil"/>
              <w:left w:val="nil"/>
              <w:bottom w:val="nil"/>
              <w:right w:val="nil"/>
            </w:tcBorders>
            <w:shd w:val="clear" w:color="auto" w:fill="auto"/>
            <w:noWrap/>
            <w:vAlign w:val="center"/>
            <w:hideMark/>
          </w:tcPr>
          <w:p w14:paraId="7BF72BD8" w14:textId="6DEB497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-4.300</w:t>
            </w:r>
          </w:p>
        </w:tc>
        <w:tc>
          <w:tcPr>
            <w:tcW w:w="993" w:type="dxa"/>
            <w:tcBorders>
              <w:top w:val="nil"/>
              <w:left w:val="nil"/>
              <w:bottom w:val="nil"/>
              <w:right w:val="nil"/>
            </w:tcBorders>
            <w:shd w:val="clear" w:color="auto" w:fill="auto"/>
            <w:noWrap/>
            <w:vAlign w:val="center"/>
            <w:hideMark/>
          </w:tcPr>
          <w:p w14:paraId="5459F26E" w14:textId="766DFA5F"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0.014</w:t>
            </w:r>
          </w:p>
        </w:tc>
        <w:tc>
          <w:tcPr>
            <w:tcW w:w="886" w:type="dxa"/>
            <w:tcBorders>
              <w:top w:val="nil"/>
              <w:left w:val="nil"/>
              <w:bottom w:val="nil"/>
              <w:right w:val="nil"/>
            </w:tcBorders>
            <w:shd w:val="clear" w:color="auto" w:fill="auto"/>
            <w:noWrap/>
            <w:vAlign w:val="center"/>
            <w:hideMark/>
          </w:tcPr>
          <w:p w14:paraId="19B654A2" w14:textId="742B0BDD"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0.442</w:t>
            </w:r>
          </w:p>
        </w:tc>
        <w:tc>
          <w:tcPr>
            <w:tcW w:w="929" w:type="dxa"/>
            <w:tcBorders>
              <w:top w:val="nil"/>
              <w:left w:val="nil"/>
              <w:bottom w:val="nil"/>
              <w:right w:val="nil"/>
            </w:tcBorders>
            <w:shd w:val="clear" w:color="auto" w:fill="auto"/>
            <w:noWrap/>
            <w:vAlign w:val="center"/>
            <w:hideMark/>
          </w:tcPr>
          <w:p w14:paraId="02D98932" w14:textId="32731925"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-9.733</w:t>
            </w:r>
          </w:p>
        </w:tc>
        <w:tc>
          <w:tcPr>
            <w:tcW w:w="826" w:type="dxa"/>
            <w:tcBorders>
              <w:top w:val="nil"/>
              <w:left w:val="nil"/>
              <w:bottom w:val="nil"/>
              <w:right w:val="nil"/>
            </w:tcBorders>
            <w:shd w:val="clear" w:color="auto" w:fill="auto"/>
            <w:noWrap/>
            <w:vAlign w:val="center"/>
            <w:hideMark/>
          </w:tcPr>
          <w:p w14:paraId="6E70FB6F" w14:textId="04985DA9"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&lt; 2e-16</w:t>
            </w:r>
          </w:p>
        </w:tc>
        <w:tc>
          <w:tcPr>
            <w:tcW w:w="485" w:type="dxa"/>
            <w:tcBorders>
              <w:top w:val="nil"/>
              <w:left w:val="nil"/>
              <w:bottom w:val="nil"/>
              <w:right w:val="nil"/>
            </w:tcBorders>
            <w:shd w:val="clear" w:color="auto" w:fill="auto"/>
            <w:noWrap/>
            <w:hideMark/>
          </w:tcPr>
          <w:p w14:paraId="7F6ABAF9" w14:textId="644DDF3B"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78208725" w14:textId="77777777" w:rsidTr="00C8062E">
        <w:trPr>
          <w:trHeight w:val="299"/>
        </w:trPr>
        <w:tc>
          <w:tcPr>
            <w:tcW w:w="3765" w:type="dxa"/>
            <w:tcBorders>
              <w:top w:val="nil"/>
              <w:left w:val="nil"/>
              <w:right w:val="nil"/>
            </w:tcBorders>
            <w:shd w:val="clear" w:color="auto" w:fill="auto"/>
            <w:noWrap/>
            <w:vAlign w:val="center"/>
            <w:hideMark/>
          </w:tcPr>
          <w:p w14:paraId="0EC79207" w14:textId="6C6309E1" w:rsidR="00BB4EF2" w:rsidRPr="00060C2F" w:rsidRDefault="000F6886"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NetLoss</w:t>
            </w:r>
            <w:r w:rsidRPr="00060C2F" w:rsidDel="000F6886">
              <w:rPr>
                <w:rFonts w:asciiTheme="majorHAnsi" w:eastAsia="Times New Roman" w:hAnsiTheme="majorHAnsi" w:cs="Consolas"/>
                <w:color w:val="000000"/>
                <w:sz w:val="18"/>
                <w:szCs w:val="20"/>
                <w:lang w:eastAsia="en-GB"/>
              </w:rPr>
              <w:t xml:space="preserve"> </w:t>
            </w:r>
            <w:r w:rsidR="00BB4EF2" w:rsidRPr="00060C2F">
              <w:rPr>
                <w:rFonts w:asciiTheme="majorHAnsi" w:eastAsia="Times New Roman" w:hAnsiTheme="majorHAnsi" w:cs="Consolas"/>
                <w:color w:val="000000"/>
                <w:sz w:val="18"/>
                <w:szCs w:val="20"/>
                <w:lang w:eastAsia="en-GB"/>
              </w:rPr>
              <w:t>× StatusChange</w:t>
            </w:r>
          </w:p>
        </w:tc>
        <w:tc>
          <w:tcPr>
            <w:tcW w:w="965" w:type="dxa"/>
            <w:tcBorders>
              <w:top w:val="nil"/>
              <w:left w:val="nil"/>
              <w:right w:val="nil"/>
            </w:tcBorders>
            <w:shd w:val="clear" w:color="auto" w:fill="auto"/>
            <w:noWrap/>
            <w:vAlign w:val="center"/>
            <w:hideMark/>
          </w:tcPr>
          <w:p w14:paraId="1939C467" w14:textId="1A79B52D"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-1.883</w:t>
            </w:r>
          </w:p>
        </w:tc>
        <w:tc>
          <w:tcPr>
            <w:tcW w:w="993" w:type="dxa"/>
            <w:tcBorders>
              <w:top w:val="nil"/>
              <w:left w:val="nil"/>
              <w:right w:val="nil"/>
            </w:tcBorders>
            <w:shd w:val="clear" w:color="auto" w:fill="auto"/>
            <w:noWrap/>
            <w:vAlign w:val="center"/>
            <w:hideMark/>
          </w:tcPr>
          <w:p w14:paraId="58305D30" w14:textId="4A28318D"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0.152</w:t>
            </w:r>
          </w:p>
        </w:tc>
        <w:tc>
          <w:tcPr>
            <w:tcW w:w="886" w:type="dxa"/>
            <w:tcBorders>
              <w:top w:val="nil"/>
              <w:left w:val="nil"/>
              <w:right w:val="nil"/>
            </w:tcBorders>
            <w:shd w:val="clear" w:color="auto" w:fill="auto"/>
            <w:noWrap/>
            <w:vAlign w:val="center"/>
            <w:hideMark/>
          </w:tcPr>
          <w:p w14:paraId="5273D600" w14:textId="0301BC87"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0.272</w:t>
            </w:r>
          </w:p>
        </w:tc>
        <w:tc>
          <w:tcPr>
            <w:tcW w:w="929" w:type="dxa"/>
            <w:tcBorders>
              <w:top w:val="nil"/>
              <w:left w:val="nil"/>
              <w:right w:val="nil"/>
            </w:tcBorders>
            <w:shd w:val="clear" w:color="auto" w:fill="auto"/>
            <w:noWrap/>
            <w:vAlign w:val="center"/>
            <w:hideMark/>
          </w:tcPr>
          <w:p w14:paraId="40E5967E" w14:textId="74AA3366"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-6.930</w:t>
            </w:r>
          </w:p>
        </w:tc>
        <w:tc>
          <w:tcPr>
            <w:tcW w:w="826" w:type="dxa"/>
            <w:tcBorders>
              <w:top w:val="nil"/>
              <w:left w:val="nil"/>
              <w:right w:val="nil"/>
            </w:tcBorders>
            <w:shd w:val="clear" w:color="auto" w:fill="auto"/>
            <w:noWrap/>
            <w:vAlign w:val="center"/>
            <w:hideMark/>
          </w:tcPr>
          <w:p w14:paraId="42CB271B" w14:textId="4082BE47"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0.000</w:t>
            </w:r>
          </w:p>
        </w:tc>
        <w:tc>
          <w:tcPr>
            <w:tcW w:w="485" w:type="dxa"/>
            <w:tcBorders>
              <w:top w:val="nil"/>
              <w:left w:val="nil"/>
              <w:right w:val="nil"/>
            </w:tcBorders>
            <w:shd w:val="clear" w:color="auto" w:fill="auto"/>
            <w:noWrap/>
            <w:hideMark/>
          </w:tcPr>
          <w:p w14:paraId="06A80DA8" w14:textId="72CA7BB0"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r w:rsidR="00BB4EF2" w:rsidRPr="00277D3E" w14:paraId="426FD2DE" w14:textId="77777777" w:rsidTr="00C8062E">
        <w:trPr>
          <w:trHeight w:val="299"/>
        </w:trPr>
        <w:tc>
          <w:tcPr>
            <w:tcW w:w="3765" w:type="dxa"/>
            <w:tcBorders>
              <w:top w:val="nil"/>
              <w:left w:val="nil"/>
              <w:bottom w:val="single" w:sz="4" w:space="0" w:color="auto"/>
              <w:right w:val="nil"/>
            </w:tcBorders>
            <w:shd w:val="clear" w:color="auto" w:fill="auto"/>
            <w:noWrap/>
            <w:vAlign w:val="center"/>
            <w:hideMark/>
          </w:tcPr>
          <w:p w14:paraId="12EDA196" w14:textId="464A9F36" w:rsidR="00BB4EF2" w:rsidRPr="00060C2F" w:rsidRDefault="00BB4EF2" w:rsidP="00060C2F">
            <w:pPr>
              <w:spacing w:after="0" w:line="240" w:lineRule="auto"/>
              <w:rPr>
                <w:rFonts w:asciiTheme="majorHAnsi" w:eastAsia="Times New Roman" w:hAnsiTheme="majorHAnsi" w:cs="Consolas"/>
                <w:color w:val="000000"/>
                <w:sz w:val="18"/>
                <w:szCs w:val="20"/>
                <w:lang w:eastAsia="en-GB"/>
              </w:rPr>
            </w:pPr>
            <w:r w:rsidRPr="00060C2F">
              <w:rPr>
                <w:rFonts w:asciiTheme="majorHAnsi" w:eastAsia="Times New Roman" w:hAnsiTheme="majorHAnsi" w:cs="Consolas"/>
                <w:color w:val="000000"/>
                <w:sz w:val="18"/>
                <w:szCs w:val="20"/>
                <w:lang w:eastAsia="en-GB"/>
              </w:rPr>
              <w:t xml:space="preserve">GenerallyProfitable × </w:t>
            </w:r>
            <w:r w:rsidR="000F6886" w:rsidRPr="00060C2F">
              <w:rPr>
                <w:rFonts w:asciiTheme="majorHAnsi" w:eastAsia="Times New Roman" w:hAnsiTheme="majorHAnsi" w:cs="Consolas"/>
                <w:color w:val="000000"/>
                <w:sz w:val="18"/>
                <w:szCs w:val="20"/>
                <w:lang w:eastAsia="en-GB"/>
              </w:rPr>
              <w:t>NetLoss</w:t>
            </w:r>
            <w:r w:rsidR="000F6886" w:rsidRPr="00060C2F" w:rsidDel="000F6886">
              <w:rPr>
                <w:rFonts w:asciiTheme="majorHAnsi" w:eastAsia="Times New Roman" w:hAnsiTheme="majorHAnsi" w:cs="Consolas"/>
                <w:color w:val="000000"/>
                <w:sz w:val="18"/>
                <w:szCs w:val="20"/>
                <w:lang w:eastAsia="en-GB"/>
              </w:rPr>
              <w:t xml:space="preserve"> </w:t>
            </w:r>
            <w:r w:rsidRPr="00060C2F">
              <w:rPr>
                <w:rFonts w:asciiTheme="majorHAnsi" w:eastAsia="Times New Roman" w:hAnsiTheme="majorHAnsi" w:cs="Consolas"/>
                <w:color w:val="000000"/>
                <w:sz w:val="18"/>
                <w:szCs w:val="20"/>
                <w:lang w:eastAsia="en-GB"/>
              </w:rPr>
              <w:t>× StatusChange</w:t>
            </w:r>
          </w:p>
        </w:tc>
        <w:tc>
          <w:tcPr>
            <w:tcW w:w="965" w:type="dxa"/>
            <w:tcBorders>
              <w:top w:val="nil"/>
              <w:left w:val="nil"/>
              <w:bottom w:val="single" w:sz="4" w:space="0" w:color="auto"/>
              <w:right w:val="nil"/>
            </w:tcBorders>
            <w:shd w:val="clear" w:color="auto" w:fill="auto"/>
            <w:noWrap/>
            <w:vAlign w:val="center"/>
            <w:hideMark/>
          </w:tcPr>
          <w:p w14:paraId="415CB6CF" w14:textId="5CF7FD3B"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3.985</w:t>
            </w:r>
          </w:p>
        </w:tc>
        <w:tc>
          <w:tcPr>
            <w:tcW w:w="993" w:type="dxa"/>
            <w:tcBorders>
              <w:top w:val="nil"/>
              <w:left w:val="nil"/>
              <w:bottom w:val="single" w:sz="4" w:space="0" w:color="auto"/>
              <w:right w:val="nil"/>
            </w:tcBorders>
            <w:shd w:val="clear" w:color="auto" w:fill="auto"/>
            <w:noWrap/>
            <w:vAlign w:val="center"/>
            <w:hideMark/>
          </w:tcPr>
          <w:p w14:paraId="1CDDE956" w14:textId="30BAA8A9"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53.769</w:t>
            </w:r>
          </w:p>
        </w:tc>
        <w:tc>
          <w:tcPr>
            <w:tcW w:w="886" w:type="dxa"/>
            <w:tcBorders>
              <w:top w:val="nil"/>
              <w:left w:val="nil"/>
              <w:bottom w:val="single" w:sz="4" w:space="0" w:color="auto"/>
              <w:right w:val="nil"/>
            </w:tcBorders>
            <w:shd w:val="clear" w:color="auto" w:fill="auto"/>
            <w:noWrap/>
            <w:vAlign w:val="center"/>
            <w:hideMark/>
          </w:tcPr>
          <w:p w14:paraId="084D3C52" w14:textId="03E52846"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0.503</w:t>
            </w:r>
          </w:p>
        </w:tc>
        <w:tc>
          <w:tcPr>
            <w:tcW w:w="929" w:type="dxa"/>
            <w:tcBorders>
              <w:top w:val="nil"/>
              <w:left w:val="nil"/>
              <w:bottom w:val="single" w:sz="4" w:space="0" w:color="auto"/>
              <w:right w:val="nil"/>
            </w:tcBorders>
            <w:shd w:val="clear" w:color="auto" w:fill="auto"/>
            <w:noWrap/>
            <w:vAlign w:val="center"/>
            <w:hideMark/>
          </w:tcPr>
          <w:p w14:paraId="160FD27C" w14:textId="0946C6D9" w:rsidR="00BB4EF2" w:rsidRPr="00060C2F" w:rsidRDefault="00BB4EF2" w:rsidP="00060C2F">
            <w:pPr>
              <w:keepNext/>
              <w:keepLines/>
              <w:spacing w:after="0" w:line="240" w:lineRule="auto"/>
              <w:jc w:val="right"/>
              <w:outlineLvl w:val="6"/>
              <w:rPr>
                <w:rFonts w:asciiTheme="majorHAnsi" w:hAnsiTheme="majorHAnsi"/>
                <w:sz w:val="18"/>
              </w:rPr>
            </w:pPr>
            <w:r w:rsidRPr="00060C2F">
              <w:rPr>
                <w:rFonts w:asciiTheme="majorHAnsi" w:hAnsiTheme="majorHAnsi"/>
                <w:sz w:val="18"/>
              </w:rPr>
              <w:t>7.923</w:t>
            </w:r>
          </w:p>
        </w:tc>
        <w:tc>
          <w:tcPr>
            <w:tcW w:w="826" w:type="dxa"/>
            <w:tcBorders>
              <w:top w:val="nil"/>
              <w:left w:val="nil"/>
              <w:bottom w:val="single" w:sz="4" w:space="0" w:color="auto"/>
              <w:right w:val="nil"/>
            </w:tcBorders>
            <w:shd w:val="clear" w:color="auto" w:fill="auto"/>
            <w:noWrap/>
            <w:vAlign w:val="center"/>
            <w:hideMark/>
          </w:tcPr>
          <w:p w14:paraId="780A9777" w14:textId="7B4715E5" w:rsidR="00BB4EF2" w:rsidRPr="00060C2F" w:rsidRDefault="00BB4EF2" w:rsidP="00060C2F">
            <w:pPr>
              <w:keepNext/>
              <w:keepLines/>
              <w:spacing w:after="0" w:line="240" w:lineRule="auto"/>
              <w:jc w:val="right"/>
              <w:outlineLvl w:val="6"/>
              <w:rPr>
                <w:rFonts w:asciiTheme="majorHAnsi" w:hAnsiTheme="majorHAnsi"/>
                <w:sz w:val="18"/>
                <w:szCs w:val="20"/>
              </w:rPr>
            </w:pPr>
            <w:r w:rsidRPr="00060C2F">
              <w:rPr>
                <w:sz w:val="18"/>
              </w:rPr>
              <w:t>0.000</w:t>
            </w:r>
          </w:p>
        </w:tc>
        <w:tc>
          <w:tcPr>
            <w:tcW w:w="485" w:type="dxa"/>
            <w:tcBorders>
              <w:top w:val="nil"/>
              <w:left w:val="nil"/>
              <w:bottom w:val="single" w:sz="4" w:space="0" w:color="auto"/>
              <w:right w:val="nil"/>
            </w:tcBorders>
            <w:shd w:val="clear" w:color="auto" w:fill="auto"/>
            <w:noWrap/>
            <w:hideMark/>
          </w:tcPr>
          <w:p w14:paraId="4961A7D1" w14:textId="711FF2B1" w:rsidR="00BB4EF2" w:rsidRPr="00060C2F" w:rsidRDefault="00BB4EF2" w:rsidP="00060C2F">
            <w:pPr>
              <w:keepNext/>
              <w:keepLines/>
              <w:spacing w:after="0" w:line="240" w:lineRule="auto"/>
              <w:outlineLvl w:val="6"/>
              <w:rPr>
                <w:rFonts w:asciiTheme="majorHAnsi" w:hAnsiTheme="majorHAnsi"/>
                <w:sz w:val="18"/>
                <w:szCs w:val="20"/>
              </w:rPr>
            </w:pPr>
            <w:r w:rsidRPr="00060C2F">
              <w:rPr>
                <w:sz w:val="18"/>
              </w:rPr>
              <w:t>***</w:t>
            </w:r>
          </w:p>
        </w:tc>
      </w:tr>
    </w:tbl>
    <w:p w14:paraId="6BE7E4F6" w14:textId="51127061" w:rsidR="009C5F80" w:rsidRDefault="00C8062E" w:rsidP="00326E18">
      <w:pPr>
        <w:spacing w:after="0" w:line="240" w:lineRule="auto"/>
        <w:rPr>
          <w:rFonts w:asciiTheme="majorHAnsi" w:hAnsiTheme="majorHAnsi"/>
          <w:color w:val="000000" w:themeColor="text1"/>
          <w:sz w:val="18"/>
          <w:szCs w:val="16"/>
          <w:lang w:val="en-US" w:eastAsia="zh-CN"/>
        </w:rPr>
      </w:pPr>
      <w:r w:rsidRPr="008E1F63">
        <w:rPr>
          <w:rFonts w:asciiTheme="majorHAnsi" w:hAnsiTheme="majorHAnsi"/>
          <w:b/>
          <w:color w:val="000000" w:themeColor="text1"/>
          <w:sz w:val="18"/>
          <w:szCs w:val="16"/>
          <w:lang w:val="en-US" w:eastAsia="zh-CN"/>
        </w:rPr>
        <w:t>Return</w:t>
      </w:r>
      <w:r w:rsidRPr="008E1F63">
        <w:rPr>
          <w:rFonts w:asciiTheme="majorHAnsi" w:hAnsiTheme="majorHAnsi"/>
          <w:color w:val="000000" w:themeColor="text1"/>
          <w:sz w:val="18"/>
          <w:szCs w:val="16"/>
          <w:lang w:val="en-US" w:eastAsia="zh-CN"/>
        </w:rPr>
        <w:t xml:space="preserve"> </w:t>
      </w:r>
      <w:r w:rsidR="001777DD" w:rsidRPr="001410E6">
        <w:rPr>
          <w:rFonts w:asciiTheme="majorHAnsi" w:hAnsiTheme="majorHAnsi"/>
          <w:color w:val="000000" w:themeColor="text1"/>
          <w:sz w:val="18"/>
          <w:szCs w:val="16"/>
          <w:lang w:val="en-US" w:eastAsia="zh-CN"/>
        </w:rPr>
        <w:t xml:space="preserve">is the </w:t>
      </w:r>
      <w:bookmarkStart w:id="16" w:name="_Hlk518766340"/>
      <w:r w:rsidR="001777DD" w:rsidRPr="001410E6">
        <w:rPr>
          <w:rFonts w:asciiTheme="majorHAnsi" w:hAnsiTheme="majorHAnsi"/>
          <w:color w:val="000000" w:themeColor="text1"/>
          <w:sz w:val="18"/>
          <w:szCs w:val="16"/>
          <w:lang w:val="en-US" w:eastAsia="zh-CN"/>
        </w:rPr>
        <w:t>percentage return</w:t>
      </w:r>
      <w:r w:rsidR="001777DD">
        <w:rPr>
          <w:rFonts w:asciiTheme="majorHAnsi" w:hAnsiTheme="majorHAnsi"/>
          <w:color w:val="000000" w:themeColor="text1"/>
          <w:sz w:val="18"/>
          <w:szCs w:val="16"/>
          <w:lang w:val="en-US" w:eastAsia="zh-CN"/>
        </w:rPr>
        <w:t xml:space="preserve"> on capital at risk</w:t>
      </w:r>
      <w:r w:rsidR="001777DD" w:rsidRPr="001410E6">
        <w:rPr>
          <w:rFonts w:asciiTheme="majorHAnsi" w:hAnsiTheme="majorHAnsi"/>
          <w:color w:val="000000" w:themeColor="text1"/>
          <w:sz w:val="18"/>
          <w:szCs w:val="16"/>
          <w:lang w:val="en-US" w:eastAsia="zh-CN"/>
        </w:rPr>
        <w:t xml:space="preserve"> </w:t>
      </w:r>
      <w:r w:rsidR="001777DD">
        <w:rPr>
          <w:rFonts w:asciiTheme="majorHAnsi" w:hAnsiTheme="majorHAnsi"/>
          <w:color w:val="000000" w:themeColor="text1"/>
          <w:sz w:val="18"/>
          <w:szCs w:val="16"/>
          <w:lang w:val="en-US" w:eastAsia="zh-CN"/>
        </w:rPr>
        <w:t>achieved by</w:t>
      </w:r>
      <w:r w:rsidR="002A46D9">
        <w:rPr>
          <w:rFonts w:asciiTheme="majorHAnsi" w:hAnsiTheme="majorHAnsi"/>
          <w:color w:val="000000" w:themeColor="text1"/>
          <w:sz w:val="18"/>
          <w:szCs w:val="16"/>
          <w:lang w:val="en-US" w:eastAsia="zh-CN"/>
        </w:rPr>
        <w:t xml:space="preserve"> an</w:t>
      </w:r>
      <w:r w:rsidR="001777DD">
        <w:rPr>
          <w:rFonts w:asciiTheme="majorHAnsi" w:hAnsiTheme="majorHAnsi"/>
          <w:color w:val="000000" w:themeColor="text1"/>
          <w:sz w:val="18"/>
          <w:szCs w:val="16"/>
          <w:lang w:val="en-US" w:eastAsia="zh-CN"/>
        </w:rPr>
        <w:t xml:space="preserve"> individual trader during </w:t>
      </w:r>
      <w:r w:rsidR="004F1591">
        <w:rPr>
          <w:rFonts w:asciiTheme="majorHAnsi" w:hAnsiTheme="majorHAnsi"/>
          <w:color w:val="000000" w:themeColor="text1"/>
          <w:sz w:val="18"/>
          <w:szCs w:val="16"/>
          <w:lang w:val="en-US" w:eastAsia="zh-CN"/>
        </w:rPr>
        <w:t>a month</w:t>
      </w:r>
      <w:r w:rsidRPr="008E1F63">
        <w:rPr>
          <w:rFonts w:asciiTheme="majorHAnsi" w:hAnsiTheme="majorHAnsi"/>
          <w:color w:val="000000" w:themeColor="text1"/>
          <w:sz w:val="18"/>
          <w:szCs w:val="16"/>
          <w:lang w:val="en-US" w:eastAsia="zh-CN"/>
        </w:rPr>
        <w:t xml:space="preserve">. </w:t>
      </w:r>
      <w:bookmarkEnd w:id="16"/>
      <w:r w:rsidRPr="008E1F63">
        <w:rPr>
          <w:rFonts w:asciiTheme="majorHAnsi" w:hAnsiTheme="majorHAnsi"/>
          <w:b/>
          <w:color w:val="000000" w:themeColor="text1"/>
          <w:sz w:val="18"/>
          <w:szCs w:val="16"/>
          <w:lang w:val="en-US" w:eastAsia="zh-CN"/>
        </w:rPr>
        <w:t>Volatility</w:t>
      </w:r>
      <w:r w:rsidRPr="008E1F63">
        <w:rPr>
          <w:rFonts w:asciiTheme="majorHAnsi" w:hAnsiTheme="majorHAnsi"/>
          <w:color w:val="000000" w:themeColor="text1"/>
          <w:sz w:val="18"/>
          <w:szCs w:val="16"/>
          <w:lang w:val="en-US" w:eastAsia="zh-CN"/>
        </w:rPr>
        <w:t xml:space="preserve"> is the standard deviation of</w:t>
      </w:r>
      <w:r w:rsidR="001777DD">
        <w:rPr>
          <w:rFonts w:asciiTheme="majorHAnsi" w:hAnsiTheme="majorHAnsi"/>
          <w:color w:val="000000" w:themeColor="text1"/>
          <w:sz w:val="18"/>
          <w:szCs w:val="16"/>
          <w:lang w:val="en-US" w:eastAsia="zh-CN"/>
        </w:rPr>
        <w:t xml:space="preserve"> the</w:t>
      </w:r>
      <w:r w:rsidR="001777DD" w:rsidRPr="001777DD">
        <w:rPr>
          <w:rFonts w:asciiTheme="majorHAnsi" w:hAnsiTheme="majorHAnsi"/>
          <w:color w:val="000000" w:themeColor="text1"/>
          <w:sz w:val="18"/>
          <w:szCs w:val="16"/>
          <w:lang w:val="en-US" w:eastAsia="zh-CN"/>
        </w:rPr>
        <w:t xml:space="preserve"> </w:t>
      </w:r>
      <w:r w:rsidR="001777DD" w:rsidRPr="001410E6">
        <w:rPr>
          <w:rFonts w:asciiTheme="majorHAnsi" w:hAnsiTheme="majorHAnsi"/>
          <w:color w:val="000000" w:themeColor="text1"/>
          <w:sz w:val="18"/>
          <w:szCs w:val="16"/>
          <w:lang w:val="en-US" w:eastAsia="zh-CN"/>
        </w:rPr>
        <w:t>percentage return</w:t>
      </w:r>
      <w:r w:rsidR="001777DD">
        <w:rPr>
          <w:rFonts w:asciiTheme="majorHAnsi" w:hAnsiTheme="majorHAnsi"/>
          <w:color w:val="000000" w:themeColor="text1"/>
          <w:sz w:val="18"/>
          <w:szCs w:val="16"/>
          <w:lang w:val="en-US" w:eastAsia="zh-CN"/>
        </w:rPr>
        <w:t xml:space="preserve"> on capital at risk</w:t>
      </w:r>
      <w:r w:rsidR="001777DD" w:rsidRPr="001410E6">
        <w:rPr>
          <w:rFonts w:asciiTheme="majorHAnsi" w:hAnsiTheme="majorHAnsi"/>
          <w:color w:val="000000" w:themeColor="text1"/>
          <w:sz w:val="18"/>
          <w:szCs w:val="16"/>
          <w:lang w:val="en-US" w:eastAsia="zh-CN"/>
        </w:rPr>
        <w:t xml:space="preserve"> </w:t>
      </w:r>
      <w:r w:rsidR="001777DD">
        <w:rPr>
          <w:rFonts w:asciiTheme="majorHAnsi" w:hAnsiTheme="majorHAnsi"/>
          <w:color w:val="000000" w:themeColor="text1"/>
          <w:sz w:val="18"/>
          <w:szCs w:val="16"/>
          <w:lang w:val="en-US" w:eastAsia="zh-CN"/>
        </w:rPr>
        <w:t>achieved by</w:t>
      </w:r>
      <w:r w:rsidR="002A46D9">
        <w:rPr>
          <w:rFonts w:asciiTheme="majorHAnsi" w:hAnsiTheme="majorHAnsi"/>
          <w:color w:val="000000" w:themeColor="text1"/>
          <w:sz w:val="18"/>
          <w:szCs w:val="16"/>
          <w:lang w:val="en-US" w:eastAsia="zh-CN"/>
        </w:rPr>
        <w:t xml:space="preserve"> an</w:t>
      </w:r>
      <w:r w:rsidR="001777DD">
        <w:rPr>
          <w:rFonts w:asciiTheme="majorHAnsi" w:hAnsiTheme="majorHAnsi"/>
          <w:color w:val="000000" w:themeColor="text1"/>
          <w:sz w:val="18"/>
          <w:szCs w:val="16"/>
          <w:lang w:val="en-US" w:eastAsia="zh-CN"/>
        </w:rPr>
        <w:t xml:space="preserve"> individual trader during </w:t>
      </w:r>
      <w:r w:rsidR="004F1591">
        <w:rPr>
          <w:rFonts w:asciiTheme="majorHAnsi" w:hAnsiTheme="majorHAnsi"/>
          <w:color w:val="000000" w:themeColor="text1"/>
          <w:sz w:val="18"/>
          <w:szCs w:val="16"/>
          <w:lang w:val="en-US" w:eastAsia="zh-CN"/>
        </w:rPr>
        <w:t>a month</w:t>
      </w:r>
      <w:r>
        <w:rPr>
          <w:rFonts w:asciiTheme="majorHAnsi" w:hAnsiTheme="majorHAnsi"/>
          <w:color w:val="000000" w:themeColor="text1"/>
          <w:sz w:val="18"/>
          <w:szCs w:val="16"/>
          <w:lang w:val="en-US" w:eastAsia="zh-CN"/>
        </w:rPr>
        <w:t xml:space="preserve">. </w:t>
      </w:r>
      <w:r w:rsidR="004F1591">
        <w:rPr>
          <w:rFonts w:asciiTheme="majorHAnsi" w:hAnsiTheme="majorHAnsi"/>
          <w:b/>
          <w:color w:val="000000" w:themeColor="text1"/>
          <w:sz w:val="18"/>
          <w:szCs w:val="16"/>
          <w:lang w:val="en-US" w:eastAsia="zh-CN"/>
        </w:rPr>
        <w:t xml:space="preserve">Generally Profitable </w:t>
      </w:r>
      <w:r w:rsidR="004F1591">
        <w:rPr>
          <w:rFonts w:asciiTheme="majorHAnsi" w:hAnsiTheme="majorHAnsi"/>
          <w:color w:val="000000" w:themeColor="text1"/>
          <w:sz w:val="18"/>
          <w:szCs w:val="16"/>
          <w:lang w:val="en-US" w:eastAsia="zh-CN"/>
        </w:rPr>
        <w:t xml:space="preserve">is a binary variable assigned one if the trader, up until that month, had experienced more than 50% of months in profit, and zero otherwise. </w:t>
      </w:r>
      <w:r w:rsidR="004F1591">
        <w:rPr>
          <w:rFonts w:asciiTheme="majorHAnsi" w:hAnsiTheme="majorHAnsi"/>
          <w:b/>
          <w:color w:val="000000" w:themeColor="text1"/>
          <w:sz w:val="18"/>
          <w:szCs w:val="16"/>
          <w:lang w:val="en-US" w:eastAsia="zh-CN"/>
        </w:rPr>
        <w:t xml:space="preserve">Net Profit </w:t>
      </w:r>
      <w:r w:rsidR="004F1591">
        <w:rPr>
          <w:rFonts w:asciiTheme="majorHAnsi" w:hAnsiTheme="majorHAnsi"/>
          <w:color w:val="000000" w:themeColor="text1"/>
          <w:sz w:val="18"/>
          <w:szCs w:val="16"/>
          <w:lang w:val="en-US" w:eastAsia="zh-CN"/>
        </w:rPr>
        <w:t xml:space="preserve">and </w:t>
      </w:r>
      <w:r w:rsidR="004F1591">
        <w:rPr>
          <w:rFonts w:asciiTheme="majorHAnsi" w:hAnsiTheme="majorHAnsi"/>
          <w:b/>
          <w:color w:val="000000" w:themeColor="text1"/>
          <w:sz w:val="18"/>
          <w:szCs w:val="16"/>
          <w:lang w:val="en-US" w:eastAsia="zh-CN"/>
        </w:rPr>
        <w:t>Net Loss</w:t>
      </w:r>
      <w:r w:rsidR="004F1591">
        <w:rPr>
          <w:rFonts w:asciiTheme="majorHAnsi" w:hAnsiTheme="majorHAnsi"/>
          <w:color w:val="000000" w:themeColor="text1"/>
          <w:sz w:val="18"/>
          <w:szCs w:val="16"/>
          <w:lang w:val="en-US" w:eastAsia="zh-CN"/>
        </w:rPr>
        <w:t xml:space="preserve"> are binary variables assigned one if the trader finished the month in net profit and in net loss, respectively, since beginning trading, and assigned zero otherwise. </w:t>
      </w:r>
      <w:r w:rsidR="004F1591">
        <w:rPr>
          <w:rFonts w:asciiTheme="majorHAnsi" w:hAnsiTheme="majorHAnsi"/>
          <w:b/>
          <w:color w:val="000000" w:themeColor="text1"/>
          <w:sz w:val="18"/>
          <w:szCs w:val="16"/>
          <w:lang w:val="en-US" w:eastAsia="zh-CN"/>
        </w:rPr>
        <w:t>Status Change</w:t>
      </w:r>
      <w:r w:rsidR="004F1591">
        <w:rPr>
          <w:rFonts w:asciiTheme="majorHAnsi" w:hAnsiTheme="majorHAnsi"/>
          <w:color w:val="000000" w:themeColor="text1"/>
          <w:sz w:val="18"/>
          <w:szCs w:val="16"/>
          <w:lang w:val="en-US" w:eastAsia="zh-CN"/>
        </w:rPr>
        <w:t xml:space="preserve"> is a binary variable assigned a value of one </w:t>
      </w:r>
      <w:r w:rsidR="009C5F80">
        <w:rPr>
          <w:rFonts w:asciiTheme="majorHAnsi" w:hAnsiTheme="majorHAnsi"/>
          <w:color w:val="000000" w:themeColor="text1"/>
          <w:sz w:val="18"/>
          <w:szCs w:val="16"/>
          <w:lang w:val="en-US" w:eastAsia="zh-CN"/>
        </w:rPr>
        <w:t>i</w:t>
      </w:r>
      <w:r w:rsidR="004F1591">
        <w:rPr>
          <w:rFonts w:asciiTheme="majorHAnsi" w:hAnsiTheme="majorHAnsi"/>
          <w:color w:val="000000" w:themeColor="text1"/>
          <w:sz w:val="18"/>
          <w:szCs w:val="16"/>
          <w:lang w:val="en-US" w:eastAsia="zh-CN"/>
        </w:rPr>
        <w:t xml:space="preserve">f the trader had changed profit status (e.g. from </w:t>
      </w:r>
      <w:r w:rsidR="009C5F80">
        <w:rPr>
          <w:rFonts w:asciiTheme="majorHAnsi" w:hAnsiTheme="majorHAnsi"/>
          <w:color w:val="000000" w:themeColor="text1"/>
          <w:sz w:val="18"/>
          <w:szCs w:val="16"/>
          <w:lang w:val="en-US" w:eastAsia="zh-CN"/>
        </w:rPr>
        <w:t>n</w:t>
      </w:r>
      <w:r w:rsidR="004F1591">
        <w:rPr>
          <w:rFonts w:asciiTheme="majorHAnsi" w:hAnsiTheme="majorHAnsi"/>
          <w:color w:val="000000" w:themeColor="text1"/>
          <w:sz w:val="18"/>
          <w:szCs w:val="16"/>
          <w:lang w:val="en-US" w:eastAsia="zh-CN"/>
        </w:rPr>
        <w:t xml:space="preserve">et </w:t>
      </w:r>
      <w:r w:rsidR="009C5F80">
        <w:rPr>
          <w:rFonts w:asciiTheme="majorHAnsi" w:hAnsiTheme="majorHAnsi"/>
          <w:color w:val="000000" w:themeColor="text1"/>
          <w:sz w:val="18"/>
          <w:szCs w:val="16"/>
          <w:lang w:val="en-US" w:eastAsia="zh-CN"/>
        </w:rPr>
        <w:t>p</w:t>
      </w:r>
      <w:r w:rsidR="004F1591">
        <w:rPr>
          <w:rFonts w:asciiTheme="majorHAnsi" w:hAnsiTheme="majorHAnsi"/>
          <w:color w:val="000000" w:themeColor="text1"/>
          <w:sz w:val="18"/>
          <w:szCs w:val="16"/>
          <w:lang w:val="en-US" w:eastAsia="zh-CN"/>
        </w:rPr>
        <w:t xml:space="preserve">rofit in the previous month to </w:t>
      </w:r>
      <w:r w:rsidR="009C5F80">
        <w:rPr>
          <w:rFonts w:asciiTheme="majorHAnsi" w:hAnsiTheme="majorHAnsi"/>
          <w:color w:val="000000" w:themeColor="text1"/>
          <w:sz w:val="18"/>
          <w:szCs w:val="16"/>
          <w:lang w:val="en-US" w:eastAsia="zh-CN"/>
        </w:rPr>
        <w:t>n</w:t>
      </w:r>
      <w:r w:rsidR="004F1591">
        <w:rPr>
          <w:rFonts w:asciiTheme="majorHAnsi" w:hAnsiTheme="majorHAnsi"/>
          <w:color w:val="000000" w:themeColor="text1"/>
          <w:sz w:val="18"/>
          <w:szCs w:val="16"/>
          <w:lang w:val="en-US" w:eastAsia="zh-CN"/>
        </w:rPr>
        <w:t xml:space="preserve">et </w:t>
      </w:r>
      <w:r w:rsidR="009C5F80">
        <w:rPr>
          <w:rFonts w:asciiTheme="majorHAnsi" w:hAnsiTheme="majorHAnsi"/>
          <w:color w:val="000000" w:themeColor="text1"/>
          <w:sz w:val="18"/>
          <w:szCs w:val="16"/>
          <w:lang w:val="en-US" w:eastAsia="zh-CN"/>
        </w:rPr>
        <w:t>l</w:t>
      </w:r>
      <w:r w:rsidR="004F1591">
        <w:rPr>
          <w:rFonts w:asciiTheme="majorHAnsi" w:hAnsiTheme="majorHAnsi"/>
          <w:color w:val="000000" w:themeColor="text1"/>
          <w:sz w:val="18"/>
          <w:szCs w:val="16"/>
          <w:lang w:val="en-US" w:eastAsia="zh-CN"/>
        </w:rPr>
        <w:t xml:space="preserve">oss in the current month), and zero otherwise. </w:t>
      </w:r>
      <w:r>
        <w:rPr>
          <w:rFonts w:asciiTheme="majorHAnsi" w:hAnsiTheme="majorHAnsi"/>
          <w:b/>
          <w:color w:val="000000" w:themeColor="text1"/>
          <w:sz w:val="18"/>
          <w:szCs w:val="16"/>
          <w:lang w:val="en-US" w:eastAsia="zh-CN"/>
        </w:rPr>
        <w:t>-</w:t>
      </w:r>
      <w:r w:rsidR="009C5F80">
        <w:rPr>
          <w:rFonts w:asciiTheme="majorHAnsi" w:hAnsiTheme="majorHAnsi"/>
          <w:b/>
          <w:color w:val="000000" w:themeColor="text1"/>
          <w:sz w:val="18"/>
          <w:szCs w:val="16"/>
          <w:lang w:val="en-US" w:eastAsia="zh-CN"/>
        </w:rPr>
        <w:t>Sqrt</w:t>
      </w:r>
      <w:r>
        <w:rPr>
          <w:rFonts w:asciiTheme="majorHAnsi" w:hAnsiTheme="majorHAnsi"/>
          <w:b/>
          <w:color w:val="000000" w:themeColor="text1"/>
          <w:sz w:val="18"/>
          <w:szCs w:val="16"/>
          <w:lang w:val="en-US" w:eastAsia="zh-CN"/>
        </w:rPr>
        <w:t>(-LossROI)</w:t>
      </w:r>
      <w:r>
        <w:rPr>
          <w:rFonts w:asciiTheme="majorHAnsi" w:hAnsiTheme="majorHAnsi"/>
          <w:color w:val="000000" w:themeColor="text1"/>
          <w:sz w:val="18"/>
          <w:szCs w:val="16"/>
          <w:lang w:val="en-US" w:eastAsia="zh-CN"/>
        </w:rPr>
        <w:t xml:space="preserve"> is the negative square root of </w:t>
      </w:r>
      <w:r w:rsidR="002A46D9">
        <w:rPr>
          <w:rFonts w:asciiTheme="majorHAnsi" w:hAnsiTheme="majorHAnsi"/>
          <w:color w:val="000000" w:themeColor="text1"/>
          <w:sz w:val="18"/>
          <w:szCs w:val="16"/>
          <w:lang w:val="en-US" w:eastAsia="zh-CN"/>
        </w:rPr>
        <w:t xml:space="preserve">an </w:t>
      </w:r>
      <w:r>
        <w:rPr>
          <w:rFonts w:asciiTheme="majorHAnsi" w:hAnsiTheme="majorHAnsi"/>
          <w:color w:val="000000" w:themeColor="text1"/>
          <w:sz w:val="18"/>
          <w:szCs w:val="16"/>
          <w:lang w:val="en-US" w:eastAsia="zh-CN"/>
        </w:rPr>
        <w:t>individual</w:t>
      </w:r>
      <w:r w:rsidR="001777DD">
        <w:rPr>
          <w:rFonts w:asciiTheme="majorHAnsi" w:hAnsiTheme="majorHAnsi"/>
          <w:color w:val="000000" w:themeColor="text1"/>
          <w:sz w:val="18"/>
          <w:szCs w:val="16"/>
          <w:lang w:val="en-US" w:eastAsia="zh-CN"/>
        </w:rPr>
        <w:t xml:space="preserve"> trader</w:t>
      </w:r>
      <w:r w:rsidR="002A46D9">
        <w:rPr>
          <w:rFonts w:asciiTheme="majorHAnsi" w:hAnsiTheme="majorHAnsi"/>
          <w:color w:val="000000" w:themeColor="text1"/>
          <w:sz w:val="18"/>
          <w:szCs w:val="16"/>
          <w:lang w:val="en-US" w:eastAsia="zh-CN"/>
        </w:rPr>
        <w:t>’</w:t>
      </w:r>
      <w:r w:rsidR="001777DD">
        <w:rPr>
          <w:rFonts w:asciiTheme="majorHAnsi" w:hAnsiTheme="majorHAnsi"/>
          <w:color w:val="000000" w:themeColor="text1"/>
          <w:sz w:val="18"/>
          <w:szCs w:val="16"/>
          <w:lang w:val="en-US" w:eastAsia="zh-CN"/>
        </w:rPr>
        <w:t>s</w:t>
      </w:r>
      <w:r>
        <w:rPr>
          <w:rFonts w:asciiTheme="majorHAnsi" w:hAnsiTheme="majorHAnsi"/>
          <w:color w:val="000000" w:themeColor="text1"/>
          <w:sz w:val="18"/>
          <w:szCs w:val="16"/>
          <w:lang w:val="en-US" w:eastAsia="zh-CN"/>
        </w:rPr>
        <w:t xml:space="preserve"> negative returns on margin invested</w:t>
      </w:r>
      <w:r w:rsidR="004F1591">
        <w:rPr>
          <w:rFonts w:asciiTheme="majorHAnsi" w:hAnsiTheme="majorHAnsi"/>
          <w:color w:val="000000" w:themeColor="text1"/>
          <w:sz w:val="18"/>
          <w:szCs w:val="16"/>
          <w:lang w:val="en-US" w:eastAsia="zh-CN"/>
        </w:rPr>
        <w:t xml:space="preserve"> in that month</w:t>
      </w:r>
      <w:r>
        <w:rPr>
          <w:rFonts w:asciiTheme="majorHAnsi" w:hAnsiTheme="majorHAnsi"/>
          <w:color w:val="000000" w:themeColor="text1"/>
          <w:sz w:val="18"/>
          <w:szCs w:val="16"/>
          <w:lang w:val="en-US" w:eastAsia="zh-CN"/>
        </w:rPr>
        <w:t xml:space="preserve">. </w:t>
      </w:r>
      <w:r w:rsidR="009C5F80">
        <w:rPr>
          <w:rFonts w:asciiTheme="majorHAnsi" w:hAnsiTheme="majorHAnsi"/>
          <w:b/>
          <w:color w:val="000000" w:themeColor="text1"/>
          <w:sz w:val="18"/>
          <w:szCs w:val="16"/>
          <w:lang w:val="en-US" w:eastAsia="zh-CN"/>
        </w:rPr>
        <w:t>Sqrt</w:t>
      </w:r>
      <w:r>
        <w:rPr>
          <w:rFonts w:asciiTheme="majorHAnsi" w:hAnsiTheme="majorHAnsi"/>
          <w:b/>
          <w:color w:val="000000" w:themeColor="text1"/>
          <w:sz w:val="18"/>
          <w:szCs w:val="16"/>
          <w:lang w:val="en-US" w:eastAsia="zh-CN"/>
        </w:rPr>
        <w:t>(ProfitROI)</w:t>
      </w:r>
      <w:r>
        <w:rPr>
          <w:rFonts w:asciiTheme="majorHAnsi" w:hAnsiTheme="majorHAnsi"/>
          <w:color w:val="000000" w:themeColor="text1"/>
          <w:sz w:val="18"/>
          <w:szCs w:val="16"/>
          <w:lang w:val="en-US" w:eastAsia="zh-CN"/>
        </w:rPr>
        <w:t xml:space="preserve"> is the square root of </w:t>
      </w:r>
      <w:r w:rsidR="002A46D9">
        <w:rPr>
          <w:rFonts w:asciiTheme="majorHAnsi" w:hAnsiTheme="majorHAnsi"/>
          <w:color w:val="000000" w:themeColor="text1"/>
          <w:sz w:val="18"/>
          <w:szCs w:val="16"/>
          <w:lang w:val="en-US" w:eastAsia="zh-CN"/>
        </w:rPr>
        <w:t xml:space="preserve">an </w:t>
      </w:r>
      <w:r>
        <w:rPr>
          <w:rFonts w:asciiTheme="majorHAnsi" w:hAnsiTheme="majorHAnsi"/>
          <w:color w:val="000000" w:themeColor="text1"/>
          <w:sz w:val="18"/>
          <w:szCs w:val="16"/>
          <w:lang w:val="en-US" w:eastAsia="zh-CN"/>
        </w:rPr>
        <w:t>individual</w:t>
      </w:r>
      <w:r w:rsidR="009C5F80">
        <w:rPr>
          <w:rFonts w:asciiTheme="majorHAnsi" w:hAnsiTheme="majorHAnsi"/>
          <w:color w:val="000000" w:themeColor="text1"/>
          <w:sz w:val="18"/>
          <w:szCs w:val="16"/>
          <w:lang w:val="en-US" w:eastAsia="zh-CN"/>
        </w:rPr>
        <w:t xml:space="preserve"> trader</w:t>
      </w:r>
      <w:r>
        <w:rPr>
          <w:rFonts w:asciiTheme="majorHAnsi" w:hAnsiTheme="majorHAnsi"/>
          <w:color w:val="000000" w:themeColor="text1"/>
          <w:sz w:val="18"/>
          <w:szCs w:val="16"/>
          <w:lang w:val="en-US" w:eastAsia="zh-CN"/>
        </w:rPr>
        <w:t>’s positive returns on margin invested</w:t>
      </w:r>
      <w:r w:rsidR="004F1591">
        <w:rPr>
          <w:rFonts w:asciiTheme="majorHAnsi" w:hAnsiTheme="majorHAnsi"/>
          <w:color w:val="000000" w:themeColor="text1"/>
          <w:sz w:val="18"/>
          <w:szCs w:val="16"/>
          <w:lang w:val="en-US" w:eastAsia="zh-CN"/>
        </w:rPr>
        <w:t xml:space="preserve"> in that month</w:t>
      </w:r>
      <w:r>
        <w:rPr>
          <w:rFonts w:asciiTheme="majorHAnsi" w:hAnsiTheme="majorHAnsi"/>
          <w:color w:val="000000" w:themeColor="text1"/>
          <w:sz w:val="18"/>
          <w:szCs w:val="16"/>
          <w:lang w:val="en-US" w:eastAsia="zh-CN"/>
        </w:rPr>
        <w:t>.</w:t>
      </w:r>
      <w:r w:rsidR="00137B2D">
        <w:rPr>
          <w:rFonts w:asciiTheme="majorHAnsi" w:hAnsiTheme="majorHAnsi"/>
          <w:color w:val="000000" w:themeColor="text1"/>
          <w:sz w:val="18"/>
          <w:szCs w:val="16"/>
          <w:lang w:val="en-US" w:eastAsia="zh-CN"/>
        </w:rPr>
        <w:t xml:space="preserve"> </w:t>
      </w:r>
      <w:r w:rsidR="009C5F80">
        <w:rPr>
          <w:rFonts w:asciiTheme="majorHAnsi" w:hAnsiTheme="majorHAnsi"/>
          <w:b/>
          <w:color w:val="000000" w:themeColor="text1"/>
          <w:sz w:val="18"/>
          <w:szCs w:val="16"/>
          <w:lang w:val="en-US" w:eastAsia="zh-CN"/>
        </w:rPr>
        <w:t>Log</w:t>
      </w:r>
      <w:r w:rsidR="00137B2D">
        <w:rPr>
          <w:rFonts w:asciiTheme="majorHAnsi" w:hAnsiTheme="majorHAnsi"/>
          <w:b/>
          <w:color w:val="000000" w:themeColor="text1"/>
          <w:sz w:val="18"/>
          <w:szCs w:val="16"/>
          <w:lang w:val="en-US" w:eastAsia="zh-CN"/>
        </w:rPr>
        <w:t xml:space="preserve">(Stake) </w:t>
      </w:r>
      <w:r w:rsidR="00137B2D">
        <w:rPr>
          <w:rFonts w:asciiTheme="majorHAnsi" w:hAnsiTheme="majorHAnsi"/>
          <w:color w:val="000000" w:themeColor="text1"/>
          <w:sz w:val="18"/>
          <w:szCs w:val="16"/>
          <w:lang w:val="en-US" w:eastAsia="zh-CN"/>
        </w:rPr>
        <w:t xml:space="preserve">is the log of </w:t>
      </w:r>
      <w:r w:rsidR="002A46D9">
        <w:rPr>
          <w:rFonts w:asciiTheme="majorHAnsi" w:hAnsiTheme="majorHAnsi"/>
          <w:color w:val="000000" w:themeColor="text1"/>
          <w:sz w:val="18"/>
          <w:szCs w:val="16"/>
          <w:lang w:val="en-US" w:eastAsia="zh-CN"/>
        </w:rPr>
        <w:t xml:space="preserve">an </w:t>
      </w:r>
      <w:r w:rsidR="00137B2D">
        <w:rPr>
          <w:rFonts w:asciiTheme="majorHAnsi" w:hAnsiTheme="majorHAnsi"/>
          <w:color w:val="000000" w:themeColor="text1"/>
          <w:sz w:val="18"/>
          <w:szCs w:val="16"/>
          <w:lang w:val="en-US" w:eastAsia="zh-CN"/>
        </w:rPr>
        <w:t>individual</w:t>
      </w:r>
      <w:r w:rsidR="009C5F80">
        <w:rPr>
          <w:rFonts w:asciiTheme="majorHAnsi" w:hAnsiTheme="majorHAnsi"/>
          <w:color w:val="000000" w:themeColor="text1"/>
          <w:sz w:val="18"/>
          <w:szCs w:val="16"/>
          <w:lang w:val="en-US" w:eastAsia="zh-CN"/>
        </w:rPr>
        <w:t xml:space="preserve"> trader</w:t>
      </w:r>
      <w:r w:rsidR="00137B2D">
        <w:rPr>
          <w:rFonts w:asciiTheme="majorHAnsi" w:hAnsiTheme="majorHAnsi"/>
          <w:color w:val="000000" w:themeColor="text1"/>
          <w:sz w:val="18"/>
          <w:szCs w:val="16"/>
          <w:lang w:val="en-US" w:eastAsia="zh-CN"/>
        </w:rPr>
        <w:t xml:space="preserve">’s average stake during the </w:t>
      </w:r>
      <w:r w:rsidR="004F1591">
        <w:rPr>
          <w:rFonts w:asciiTheme="majorHAnsi" w:hAnsiTheme="majorHAnsi"/>
          <w:color w:val="000000" w:themeColor="text1"/>
          <w:sz w:val="18"/>
          <w:szCs w:val="16"/>
          <w:lang w:val="en-US" w:eastAsia="zh-CN"/>
        </w:rPr>
        <w:t>month</w:t>
      </w:r>
      <w:r w:rsidR="00137B2D">
        <w:rPr>
          <w:rFonts w:asciiTheme="majorHAnsi" w:hAnsiTheme="majorHAnsi"/>
          <w:color w:val="000000" w:themeColor="text1"/>
          <w:sz w:val="18"/>
          <w:szCs w:val="16"/>
          <w:lang w:val="en-US" w:eastAsia="zh-CN"/>
        </w:rPr>
        <w:t xml:space="preserve">. </w:t>
      </w:r>
      <w:r w:rsidR="009C5F80">
        <w:rPr>
          <w:rFonts w:asciiTheme="majorHAnsi" w:hAnsiTheme="majorHAnsi"/>
          <w:b/>
          <w:color w:val="000000" w:themeColor="text1"/>
          <w:sz w:val="18"/>
          <w:szCs w:val="16"/>
          <w:lang w:val="en-US" w:eastAsia="zh-CN"/>
        </w:rPr>
        <w:t>Log</w:t>
      </w:r>
      <w:r w:rsidR="00137B2D">
        <w:rPr>
          <w:rFonts w:asciiTheme="majorHAnsi" w:hAnsiTheme="majorHAnsi"/>
          <w:b/>
          <w:color w:val="000000" w:themeColor="text1"/>
          <w:sz w:val="18"/>
          <w:szCs w:val="16"/>
          <w:lang w:val="en-US" w:eastAsia="zh-CN"/>
        </w:rPr>
        <w:t xml:space="preserve">(Trades) </w:t>
      </w:r>
      <w:r w:rsidR="00137B2D">
        <w:rPr>
          <w:rFonts w:asciiTheme="majorHAnsi" w:hAnsiTheme="majorHAnsi"/>
          <w:color w:val="000000" w:themeColor="text1"/>
          <w:sz w:val="18"/>
          <w:szCs w:val="16"/>
          <w:lang w:val="en-US" w:eastAsia="zh-CN"/>
        </w:rPr>
        <w:t xml:space="preserve">is the log of </w:t>
      </w:r>
      <w:r w:rsidR="002A46D9">
        <w:rPr>
          <w:rFonts w:asciiTheme="majorHAnsi" w:hAnsiTheme="majorHAnsi"/>
          <w:color w:val="000000" w:themeColor="text1"/>
          <w:sz w:val="18"/>
          <w:szCs w:val="16"/>
          <w:lang w:val="en-US" w:eastAsia="zh-CN"/>
        </w:rPr>
        <w:t>an</w:t>
      </w:r>
      <w:r w:rsidR="00137B2D">
        <w:rPr>
          <w:rFonts w:asciiTheme="majorHAnsi" w:hAnsiTheme="majorHAnsi"/>
          <w:color w:val="000000" w:themeColor="text1"/>
          <w:sz w:val="18"/>
          <w:szCs w:val="16"/>
          <w:lang w:val="en-US" w:eastAsia="zh-CN"/>
        </w:rPr>
        <w:t xml:space="preserve"> individual</w:t>
      </w:r>
      <w:r w:rsidR="009C5F80">
        <w:rPr>
          <w:rFonts w:asciiTheme="majorHAnsi" w:hAnsiTheme="majorHAnsi"/>
          <w:color w:val="000000" w:themeColor="text1"/>
          <w:sz w:val="18"/>
          <w:szCs w:val="16"/>
          <w:lang w:val="en-US" w:eastAsia="zh-CN"/>
        </w:rPr>
        <w:t xml:space="preserve"> trader</w:t>
      </w:r>
      <w:r w:rsidR="00137B2D">
        <w:rPr>
          <w:rFonts w:asciiTheme="majorHAnsi" w:hAnsiTheme="majorHAnsi"/>
          <w:color w:val="000000" w:themeColor="text1"/>
          <w:sz w:val="18"/>
          <w:szCs w:val="16"/>
          <w:lang w:val="en-US" w:eastAsia="zh-CN"/>
        </w:rPr>
        <w:t xml:space="preserve">’s total number of trades in the </w:t>
      </w:r>
      <w:r w:rsidR="004F1591">
        <w:rPr>
          <w:rFonts w:asciiTheme="majorHAnsi" w:hAnsiTheme="majorHAnsi"/>
          <w:color w:val="000000" w:themeColor="text1"/>
          <w:sz w:val="18"/>
          <w:szCs w:val="16"/>
          <w:lang w:val="en-US" w:eastAsia="zh-CN"/>
        </w:rPr>
        <w:t>month</w:t>
      </w:r>
      <w:r w:rsidR="00137B2D">
        <w:rPr>
          <w:rFonts w:asciiTheme="majorHAnsi" w:hAnsiTheme="majorHAnsi"/>
          <w:color w:val="000000" w:themeColor="text1"/>
          <w:sz w:val="18"/>
          <w:szCs w:val="16"/>
          <w:lang w:val="en-US" w:eastAsia="zh-CN"/>
        </w:rPr>
        <w:t xml:space="preserve">. </w:t>
      </w:r>
      <w:r w:rsidR="009C5F80">
        <w:rPr>
          <w:rFonts w:asciiTheme="majorHAnsi" w:hAnsiTheme="majorHAnsi"/>
          <w:b/>
          <w:color w:val="000000" w:themeColor="text1"/>
          <w:sz w:val="18"/>
          <w:szCs w:val="16"/>
          <w:lang w:val="en-US" w:eastAsia="zh-CN"/>
        </w:rPr>
        <w:t>Log</w:t>
      </w:r>
      <w:r w:rsidR="00137B2D">
        <w:rPr>
          <w:rFonts w:asciiTheme="majorHAnsi" w:hAnsiTheme="majorHAnsi"/>
          <w:b/>
          <w:color w:val="000000" w:themeColor="text1"/>
          <w:sz w:val="18"/>
          <w:szCs w:val="16"/>
          <w:lang w:val="en-US" w:eastAsia="zh-CN"/>
        </w:rPr>
        <w:t>(HoldTime + 1)</w:t>
      </w:r>
      <w:r w:rsidR="00137B2D">
        <w:rPr>
          <w:rFonts w:asciiTheme="majorHAnsi" w:hAnsiTheme="majorHAnsi"/>
          <w:color w:val="000000" w:themeColor="text1"/>
          <w:sz w:val="18"/>
          <w:szCs w:val="16"/>
          <w:lang w:val="en-US" w:eastAsia="zh-CN"/>
        </w:rPr>
        <w:t xml:space="preserve"> is the log of </w:t>
      </w:r>
      <w:r w:rsidR="002A46D9">
        <w:rPr>
          <w:rFonts w:asciiTheme="majorHAnsi" w:hAnsiTheme="majorHAnsi"/>
          <w:color w:val="000000" w:themeColor="text1"/>
          <w:sz w:val="18"/>
          <w:szCs w:val="16"/>
          <w:lang w:val="en-US" w:eastAsia="zh-CN"/>
        </w:rPr>
        <w:t xml:space="preserve">an </w:t>
      </w:r>
      <w:r w:rsidR="00137B2D">
        <w:rPr>
          <w:rFonts w:asciiTheme="majorHAnsi" w:hAnsiTheme="majorHAnsi"/>
          <w:color w:val="000000" w:themeColor="text1"/>
          <w:sz w:val="18"/>
          <w:szCs w:val="16"/>
          <w:lang w:val="en-US" w:eastAsia="zh-CN"/>
        </w:rPr>
        <w:t>individual</w:t>
      </w:r>
      <w:r w:rsidR="009C5F80">
        <w:rPr>
          <w:rFonts w:asciiTheme="majorHAnsi" w:hAnsiTheme="majorHAnsi"/>
          <w:color w:val="000000" w:themeColor="text1"/>
          <w:sz w:val="18"/>
          <w:szCs w:val="16"/>
          <w:lang w:val="en-US" w:eastAsia="zh-CN"/>
        </w:rPr>
        <w:t xml:space="preserve"> trader</w:t>
      </w:r>
      <w:r w:rsidR="00137B2D">
        <w:rPr>
          <w:rFonts w:asciiTheme="majorHAnsi" w:hAnsiTheme="majorHAnsi"/>
          <w:color w:val="000000" w:themeColor="text1"/>
          <w:sz w:val="18"/>
          <w:szCs w:val="16"/>
          <w:lang w:val="en-US" w:eastAsia="zh-CN"/>
        </w:rPr>
        <w:t xml:space="preserve">’s average holding period of trades during the </w:t>
      </w:r>
      <w:r w:rsidR="00660C81">
        <w:rPr>
          <w:rFonts w:asciiTheme="majorHAnsi" w:hAnsiTheme="majorHAnsi"/>
          <w:color w:val="000000" w:themeColor="text1"/>
          <w:sz w:val="18"/>
          <w:szCs w:val="16"/>
          <w:lang w:val="en-US" w:eastAsia="zh-CN"/>
        </w:rPr>
        <w:t>mont</w:t>
      </w:r>
      <w:r w:rsidR="004F1591">
        <w:rPr>
          <w:rFonts w:asciiTheme="majorHAnsi" w:hAnsiTheme="majorHAnsi"/>
          <w:color w:val="000000" w:themeColor="text1"/>
          <w:sz w:val="18"/>
          <w:szCs w:val="16"/>
          <w:lang w:val="en-US" w:eastAsia="zh-CN"/>
        </w:rPr>
        <w:t>h</w:t>
      </w:r>
      <w:r w:rsidR="00137B2D">
        <w:rPr>
          <w:rFonts w:asciiTheme="majorHAnsi" w:hAnsiTheme="majorHAnsi"/>
          <w:color w:val="000000" w:themeColor="text1"/>
          <w:sz w:val="18"/>
          <w:szCs w:val="16"/>
          <w:lang w:val="en-US" w:eastAsia="zh-CN"/>
        </w:rPr>
        <w:t xml:space="preserve">. </w:t>
      </w:r>
      <w:r w:rsidR="009C5F80">
        <w:rPr>
          <w:rFonts w:asciiTheme="majorHAnsi" w:hAnsiTheme="majorHAnsi"/>
          <w:b/>
          <w:color w:val="000000" w:themeColor="text1"/>
          <w:sz w:val="18"/>
          <w:szCs w:val="16"/>
          <w:lang w:val="en-US" w:eastAsia="zh-CN"/>
        </w:rPr>
        <w:t>S</w:t>
      </w:r>
      <w:r w:rsidR="00137B2D">
        <w:rPr>
          <w:rFonts w:asciiTheme="majorHAnsi" w:hAnsiTheme="majorHAnsi"/>
          <w:b/>
          <w:color w:val="000000" w:themeColor="text1"/>
          <w:sz w:val="18"/>
          <w:szCs w:val="16"/>
          <w:lang w:val="en-US" w:eastAsia="zh-CN"/>
        </w:rPr>
        <w:t xml:space="preserve">(MarketReturn) </w:t>
      </w:r>
      <w:r w:rsidR="00137B2D">
        <w:rPr>
          <w:rFonts w:asciiTheme="majorHAnsi" w:hAnsiTheme="majorHAnsi"/>
          <w:color w:val="000000" w:themeColor="text1"/>
          <w:sz w:val="18"/>
          <w:szCs w:val="16"/>
          <w:lang w:val="en-US" w:eastAsia="zh-CN"/>
        </w:rPr>
        <w:t xml:space="preserve">and </w:t>
      </w:r>
      <w:r w:rsidR="009C5F80">
        <w:rPr>
          <w:rFonts w:asciiTheme="majorHAnsi" w:hAnsiTheme="majorHAnsi"/>
          <w:b/>
          <w:color w:val="000000" w:themeColor="text1"/>
          <w:sz w:val="18"/>
          <w:szCs w:val="16"/>
          <w:lang w:val="en-US" w:eastAsia="zh-CN"/>
        </w:rPr>
        <w:t>s</w:t>
      </w:r>
      <w:r w:rsidR="00137B2D">
        <w:rPr>
          <w:rFonts w:asciiTheme="majorHAnsi" w:hAnsiTheme="majorHAnsi"/>
          <w:b/>
          <w:color w:val="000000" w:themeColor="text1"/>
          <w:sz w:val="18"/>
          <w:szCs w:val="16"/>
          <w:lang w:val="en-US" w:eastAsia="zh-CN"/>
        </w:rPr>
        <w:t xml:space="preserve">(MarketVolatility) </w:t>
      </w:r>
      <w:r w:rsidR="006828F4">
        <w:rPr>
          <w:rFonts w:asciiTheme="majorHAnsi" w:hAnsiTheme="majorHAnsi"/>
          <w:color w:val="000000" w:themeColor="text1"/>
          <w:sz w:val="18"/>
          <w:szCs w:val="16"/>
          <w:lang w:val="en-US" w:eastAsia="zh-CN"/>
        </w:rPr>
        <w:t>are, respectively, the standardized z score transformation of the average</w:t>
      </w:r>
      <w:r w:rsidR="004F1591">
        <w:rPr>
          <w:rFonts w:asciiTheme="majorHAnsi" w:hAnsiTheme="majorHAnsi"/>
          <w:color w:val="000000" w:themeColor="text1"/>
          <w:sz w:val="18"/>
          <w:szCs w:val="16"/>
          <w:lang w:val="en-US" w:eastAsia="zh-CN"/>
        </w:rPr>
        <w:t xml:space="preserve"> of the</w:t>
      </w:r>
      <w:r w:rsidR="006828F4">
        <w:rPr>
          <w:rFonts w:asciiTheme="majorHAnsi" w:hAnsiTheme="majorHAnsi"/>
          <w:color w:val="000000" w:themeColor="text1"/>
          <w:sz w:val="18"/>
          <w:szCs w:val="16"/>
          <w:lang w:val="en-US" w:eastAsia="zh-CN"/>
        </w:rPr>
        <w:t xml:space="preserve"> </w:t>
      </w:r>
      <w:r w:rsidR="004F1591">
        <w:rPr>
          <w:rFonts w:asciiTheme="majorHAnsi" w:hAnsiTheme="majorHAnsi"/>
          <w:color w:val="000000" w:themeColor="text1"/>
          <w:sz w:val="18"/>
          <w:szCs w:val="16"/>
          <w:lang w:val="en-US" w:eastAsia="zh-CN"/>
        </w:rPr>
        <w:t xml:space="preserve">daily </w:t>
      </w:r>
      <w:r w:rsidR="006828F4">
        <w:rPr>
          <w:rFonts w:asciiTheme="majorHAnsi" w:hAnsiTheme="majorHAnsi"/>
          <w:color w:val="000000" w:themeColor="text1"/>
          <w:sz w:val="18"/>
          <w:szCs w:val="16"/>
          <w:lang w:val="en-US" w:eastAsia="zh-CN"/>
        </w:rPr>
        <w:t>return and standard deviation of</w:t>
      </w:r>
      <w:r w:rsidR="004F1591">
        <w:rPr>
          <w:rFonts w:asciiTheme="majorHAnsi" w:hAnsiTheme="majorHAnsi"/>
          <w:color w:val="000000" w:themeColor="text1"/>
          <w:sz w:val="18"/>
          <w:szCs w:val="16"/>
          <w:lang w:val="en-US" w:eastAsia="zh-CN"/>
        </w:rPr>
        <w:t xml:space="preserve"> daily</w:t>
      </w:r>
      <w:r w:rsidR="006828F4">
        <w:rPr>
          <w:rFonts w:asciiTheme="majorHAnsi" w:hAnsiTheme="majorHAnsi"/>
          <w:color w:val="000000" w:themeColor="text1"/>
          <w:sz w:val="18"/>
          <w:szCs w:val="16"/>
          <w:lang w:val="en-US" w:eastAsia="zh-CN"/>
        </w:rPr>
        <w:t xml:space="preserve"> returns</w:t>
      </w:r>
      <w:r w:rsidR="004F1591">
        <w:rPr>
          <w:rFonts w:asciiTheme="majorHAnsi" w:hAnsiTheme="majorHAnsi"/>
          <w:color w:val="000000" w:themeColor="text1"/>
          <w:sz w:val="18"/>
          <w:szCs w:val="16"/>
          <w:lang w:val="en-US" w:eastAsia="zh-CN"/>
        </w:rPr>
        <w:t xml:space="preserve"> in that month</w:t>
      </w:r>
      <w:r w:rsidR="006828F4">
        <w:rPr>
          <w:rFonts w:asciiTheme="majorHAnsi" w:hAnsiTheme="majorHAnsi"/>
          <w:color w:val="000000" w:themeColor="text1"/>
          <w:sz w:val="18"/>
          <w:szCs w:val="16"/>
          <w:lang w:val="en-US" w:eastAsia="zh-CN"/>
        </w:rPr>
        <w:t xml:space="preserve">. </w:t>
      </w:r>
      <w:r w:rsidR="00137B2D">
        <w:rPr>
          <w:rFonts w:asciiTheme="majorHAnsi" w:hAnsiTheme="majorHAnsi"/>
          <w:b/>
          <w:color w:val="000000" w:themeColor="text1"/>
          <w:sz w:val="18"/>
          <w:szCs w:val="16"/>
          <w:lang w:val="en-US" w:eastAsia="zh-CN"/>
        </w:rPr>
        <w:t xml:space="preserve">Period[year] </w:t>
      </w:r>
      <w:r w:rsidR="00137B2D">
        <w:rPr>
          <w:rFonts w:asciiTheme="majorHAnsi" w:hAnsiTheme="majorHAnsi"/>
          <w:color w:val="000000" w:themeColor="text1"/>
          <w:sz w:val="18"/>
          <w:szCs w:val="16"/>
          <w:lang w:val="en-US" w:eastAsia="zh-CN"/>
        </w:rPr>
        <w:t>are dummy variables indicating the year of the period in question.</w:t>
      </w:r>
      <w:r w:rsidR="006828F4">
        <w:rPr>
          <w:rFonts w:asciiTheme="majorHAnsi" w:hAnsiTheme="majorHAnsi"/>
          <w:color w:val="000000" w:themeColor="text1"/>
          <w:sz w:val="18"/>
          <w:szCs w:val="16"/>
          <w:lang w:val="en-US" w:eastAsia="zh-CN"/>
        </w:rPr>
        <w:t xml:space="preserve"> </w:t>
      </w:r>
    </w:p>
    <w:p w14:paraId="6AFB4537" w14:textId="77777777" w:rsidR="009C5F80" w:rsidRDefault="00326E18" w:rsidP="00326E18">
      <w:pPr>
        <w:spacing w:after="0" w:line="240" w:lineRule="auto"/>
        <w:rPr>
          <w:rFonts w:asciiTheme="majorHAnsi" w:hAnsiTheme="majorHAnsi"/>
          <w:sz w:val="18"/>
          <w:szCs w:val="20"/>
          <w:lang w:val="en-US"/>
        </w:rPr>
      </w:pPr>
      <w:r w:rsidRPr="001410E6">
        <w:rPr>
          <w:rFonts w:asciiTheme="majorHAnsi" w:hAnsiTheme="majorHAnsi"/>
          <w:sz w:val="18"/>
          <w:szCs w:val="20"/>
          <w:lang w:val="en-US"/>
        </w:rPr>
        <w:t xml:space="preserve">Coefficient significance </w:t>
      </w:r>
      <w:r w:rsidR="009C5F80">
        <w:rPr>
          <w:rFonts w:asciiTheme="majorHAnsi" w:hAnsiTheme="majorHAnsi"/>
          <w:sz w:val="18"/>
          <w:szCs w:val="20"/>
          <w:lang w:val="en-US"/>
        </w:rPr>
        <w:t xml:space="preserve">is </w:t>
      </w:r>
      <w:r w:rsidRPr="001410E6">
        <w:rPr>
          <w:rFonts w:asciiTheme="majorHAnsi" w:hAnsiTheme="majorHAnsi"/>
          <w:sz w:val="18"/>
          <w:szCs w:val="20"/>
          <w:lang w:val="en-US"/>
        </w:rPr>
        <w:t xml:space="preserve">reported as </w:t>
      </w:r>
      <w:r w:rsidRPr="001410E6">
        <w:rPr>
          <w:rFonts w:asciiTheme="majorHAnsi" w:hAnsiTheme="majorHAnsi"/>
          <w:i/>
          <w:sz w:val="18"/>
          <w:szCs w:val="20"/>
          <w:lang w:val="en-US"/>
        </w:rPr>
        <w:t>p</w:t>
      </w:r>
      <w:r w:rsidRPr="001410E6">
        <w:rPr>
          <w:rFonts w:asciiTheme="majorHAnsi" w:hAnsiTheme="majorHAnsi"/>
          <w:sz w:val="18"/>
          <w:szCs w:val="20"/>
          <w:lang w:val="en-US"/>
        </w:rPr>
        <w:t xml:space="preserve"> &lt; .001 = ***, </w:t>
      </w:r>
      <w:r w:rsidRPr="001410E6">
        <w:rPr>
          <w:rFonts w:asciiTheme="majorHAnsi" w:hAnsiTheme="majorHAnsi"/>
          <w:i/>
          <w:sz w:val="18"/>
          <w:szCs w:val="20"/>
          <w:lang w:val="en-US"/>
        </w:rPr>
        <w:t>p</w:t>
      </w:r>
      <w:r w:rsidRPr="001410E6">
        <w:rPr>
          <w:rFonts w:asciiTheme="majorHAnsi" w:hAnsiTheme="majorHAnsi"/>
          <w:sz w:val="18"/>
          <w:szCs w:val="20"/>
          <w:lang w:val="en-US"/>
        </w:rPr>
        <w:t xml:space="preserve"> &lt; .01 = **, </w:t>
      </w:r>
      <w:r w:rsidRPr="001410E6">
        <w:rPr>
          <w:rFonts w:asciiTheme="majorHAnsi" w:hAnsiTheme="majorHAnsi"/>
          <w:i/>
          <w:sz w:val="18"/>
          <w:szCs w:val="20"/>
          <w:lang w:val="en-US"/>
        </w:rPr>
        <w:t>p</w:t>
      </w:r>
      <w:r w:rsidRPr="001410E6">
        <w:rPr>
          <w:rFonts w:asciiTheme="majorHAnsi" w:hAnsiTheme="majorHAnsi"/>
          <w:sz w:val="18"/>
          <w:szCs w:val="20"/>
          <w:lang w:val="en-US"/>
        </w:rPr>
        <w:t xml:space="preserve"> &lt; .05 = *</w:t>
      </w:r>
      <w:r w:rsidR="00A44E0E" w:rsidRPr="001410E6">
        <w:rPr>
          <w:rFonts w:asciiTheme="majorHAnsi" w:hAnsiTheme="majorHAnsi"/>
          <w:sz w:val="18"/>
          <w:szCs w:val="20"/>
          <w:lang w:val="en-US"/>
        </w:rPr>
        <w:t>.</w:t>
      </w:r>
      <w:r w:rsidR="00C8062E" w:rsidRPr="001410E6">
        <w:rPr>
          <w:rFonts w:asciiTheme="majorHAnsi" w:hAnsiTheme="majorHAnsi"/>
          <w:sz w:val="18"/>
          <w:szCs w:val="20"/>
          <w:lang w:val="en-US"/>
        </w:rPr>
        <w:t xml:space="preserve"> </w:t>
      </w:r>
    </w:p>
    <w:p w14:paraId="56F97599" w14:textId="4B6E2117" w:rsidR="00326E18" w:rsidRPr="001410E6" w:rsidRDefault="00C8062E" w:rsidP="00326E18">
      <w:pPr>
        <w:spacing w:after="0" w:line="240" w:lineRule="auto"/>
        <w:rPr>
          <w:rFonts w:asciiTheme="majorHAnsi" w:hAnsiTheme="majorHAnsi"/>
          <w:color w:val="000000" w:themeColor="text1"/>
          <w:sz w:val="18"/>
          <w:szCs w:val="16"/>
          <w:lang w:val="en-US" w:eastAsia="zh-CN"/>
        </w:rPr>
      </w:pPr>
      <w:r w:rsidRPr="001410E6">
        <w:rPr>
          <w:rFonts w:asciiTheme="majorHAnsi" w:hAnsiTheme="majorHAnsi"/>
          <w:sz w:val="18"/>
          <w:szCs w:val="20"/>
          <w:lang w:val="en-US"/>
        </w:rPr>
        <w:t>N = 18,459.</w:t>
      </w:r>
      <w:r w:rsidR="00A44E0E" w:rsidRPr="001410E6">
        <w:rPr>
          <w:rFonts w:asciiTheme="majorHAnsi" w:hAnsiTheme="majorHAnsi"/>
          <w:sz w:val="18"/>
          <w:szCs w:val="20"/>
          <w:lang w:val="en-US"/>
        </w:rPr>
        <w:t xml:space="preserve"> </w:t>
      </w:r>
      <w:r w:rsidR="009C5F80">
        <w:rPr>
          <w:rFonts w:asciiTheme="majorHAnsi" w:hAnsiTheme="majorHAnsi"/>
          <w:sz w:val="18"/>
          <w:szCs w:val="20"/>
          <w:lang w:val="en-US"/>
        </w:rPr>
        <w:t>L</w:t>
      </w:r>
      <w:r w:rsidR="00A44E0E" w:rsidRPr="001410E6">
        <w:rPr>
          <w:rFonts w:asciiTheme="majorHAnsi" w:hAnsiTheme="majorHAnsi"/>
          <w:sz w:val="18"/>
          <w:szCs w:val="20"/>
          <w:lang w:val="en-US"/>
        </w:rPr>
        <w:t xml:space="preserve">og likelihood ratio statistic, </w:t>
      </w:r>
      <m:oMath>
        <m:sSup>
          <m:sSupPr>
            <m:ctrlPr>
              <w:rPr>
                <w:rFonts w:ascii="Cambria Math" w:hAnsi="Cambria Math"/>
                <w:i/>
                <w:sz w:val="18"/>
                <w:szCs w:val="20"/>
                <w:lang w:val="en-US"/>
              </w:rPr>
            </m:ctrlPr>
          </m:sSupPr>
          <m:e>
            <m:r>
              <w:rPr>
                <w:rFonts w:ascii="Cambria Math" w:hAnsi="Cambria Math"/>
                <w:sz w:val="18"/>
                <w:szCs w:val="20"/>
                <w:lang w:val="en-US"/>
              </w:rPr>
              <m:t>χ</m:t>
            </m:r>
          </m:e>
          <m:sup>
            <m:r>
              <w:rPr>
                <w:rFonts w:ascii="Cambria Math" w:hAnsi="Cambria Math"/>
                <w:sz w:val="18"/>
                <w:szCs w:val="20"/>
                <w:lang w:val="en-US"/>
              </w:rPr>
              <m:t>2</m:t>
            </m:r>
          </m:sup>
        </m:sSup>
      </m:oMath>
      <w:r w:rsidR="00A44E0E" w:rsidRPr="001410E6">
        <w:rPr>
          <w:rFonts w:asciiTheme="majorHAnsi" w:eastAsiaTheme="minorEastAsia" w:hAnsiTheme="majorHAnsi"/>
          <w:sz w:val="18"/>
          <w:szCs w:val="20"/>
          <w:lang w:val="en-US"/>
        </w:rPr>
        <w:t xml:space="preserve">(22) = 2,569, </w:t>
      </w:r>
      <w:r w:rsidR="007F1F1A" w:rsidRPr="001410E6">
        <w:rPr>
          <w:rFonts w:asciiTheme="majorHAnsi" w:eastAsiaTheme="minorEastAsia" w:hAnsiTheme="majorHAnsi"/>
          <w:i/>
          <w:sz w:val="18"/>
          <w:szCs w:val="20"/>
          <w:lang w:val="en-US"/>
        </w:rPr>
        <w:t>p</w:t>
      </w:r>
      <w:r w:rsidR="007F1F1A" w:rsidRPr="001410E6">
        <w:rPr>
          <w:rFonts w:asciiTheme="majorHAnsi" w:eastAsiaTheme="minorEastAsia" w:hAnsiTheme="majorHAnsi"/>
          <w:sz w:val="18"/>
          <w:szCs w:val="20"/>
          <w:lang w:val="en-US"/>
        </w:rPr>
        <w:t xml:space="preserve"> &lt; .001, </w:t>
      </w:r>
      <w:r w:rsidR="007F1F1A" w:rsidRPr="001410E6">
        <w:rPr>
          <w:rFonts w:asciiTheme="majorHAnsi" w:eastAsiaTheme="minorEastAsia" w:hAnsiTheme="majorHAnsi"/>
          <w:i/>
          <w:sz w:val="18"/>
          <w:szCs w:val="20"/>
          <w:lang w:val="en-US"/>
        </w:rPr>
        <w:t>R</w:t>
      </w:r>
      <w:r w:rsidR="007F1F1A" w:rsidRPr="001410E6">
        <w:rPr>
          <w:rFonts w:asciiTheme="majorHAnsi" w:eastAsiaTheme="minorEastAsia" w:hAnsiTheme="majorHAnsi"/>
          <w:i/>
          <w:sz w:val="18"/>
          <w:szCs w:val="20"/>
          <w:vertAlign w:val="superscript"/>
          <w:lang w:val="en-US"/>
        </w:rPr>
        <w:t>2</w:t>
      </w:r>
      <w:r w:rsidR="007F1F1A" w:rsidRPr="001410E6">
        <w:rPr>
          <w:rFonts w:asciiTheme="majorHAnsi" w:eastAsiaTheme="minorEastAsia" w:hAnsiTheme="majorHAnsi"/>
          <w:sz w:val="18"/>
          <w:szCs w:val="20"/>
          <w:lang w:val="en-US"/>
        </w:rPr>
        <w:t xml:space="preserve"> = 0.13</w:t>
      </w:r>
      <w:r w:rsidRPr="001410E6">
        <w:rPr>
          <w:rFonts w:asciiTheme="majorHAnsi" w:eastAsiaTheme="minorEastAsia" w:hAnsiTheme="majorHAnsi"/>
          <w:sz w:val="18"/>
          <w:szCs w:val="20"/>
          <w:lang w:val="en-US"/>
        </w:rPr>
        <w:t>. Harrel’s c-index (concordance) = 0.766 (se = 0.008).</w:t>
      </w:r>
    </w:p>
    <w:p w14:paraId="3B215E73" w14:textId="77777777" w:rsidR="00326E18" w:rsidRPr="00277D3E" w:rsidRDefault="00326E18" w:rsidP="00326E18">
      <w:pPr>
        <w:spacing w:after="0" w:line="240" w:lineRule="auto"/>
        <w:rPr>
          <w:rFonts w:asciiTheme="majorHAnsi" w:hAnsiTheme="majorHAnsi"/>
          <w:sz w:val="20"/>
          <w:lang w:val="en-US"/>
        </w:rPr>
      </w:pPr>
    </w:p>
    <w:p w14:paraId="0A3142E3" w14:textId="77777777" w:rsidR="00326E18" w:rsidRDefault="00326E18" w:rsidP="00326E18">
      <w:pPr>
        <w:spacing w:line="240" w:lineRule="auto"/>
        <w:rPr>
          <w:rFonts w:asciiTheme="majorHAnsi" w:hAnsiTheme="majorHAnsi"/>
          <w:sz w:val="20"/>
          <w:lang w:val="en-US"/>
        </w:rPr>
      </w:pPr>
      <w:r w:rsidRPr="00277D3E">
        <w:rPr>
          <w:rFonts w:asciiTheme="majorHAnsi" w:hAnsiTheme="majorHAnsi"/>
          <w:sz w:val="20"/>
          <w:lang w:val="en-US"/>
        </w:rPr>
        <w:br w:type="page"/>
      </w:r>
    </w:p>
    <w:p w14:paraId="6683B723" w14:textId="77777777" w:rsidR="0080313D" w:rsidRDefault="0080313D" w:rsidP="00326E18">
      <w:pPr>
        <w:spacing w:line="240" w:lineRule="auto"/>
        <w:rPr>
          <w:rFonts w:asciiTheme="majorHAnsi" w:hAnsiTheme="majorHAnsi"/>
          <w:sz w:val="20"/>
          <w:lang w:val="en-US"/>
        </w:rPr>
        <w:sectPr w:rsidR="0080313D">
          <w:pgSz w:w="11906" w:h="16838"/>
          <w:pgMar w:top="1440" w:right="1440" w:bottom="1440" w:left="1440" w:header="708" w:footer="708" w:gutter="0"/>
          <w:cols w:space="708"/>
          <w:docGrid w:linePitch="360"/>
        </w:sectPr>
      </w:pPr>
    </w:p>
    <w:p w14:paraId="5F549DCD" w14:textId="4C369F22" w:rsidR="0080313D" w:rsidRDefault="0080313D" w:rsidP="00326E18">
      <w:pPr>
        <w:spacing w:line="240" w:lineRule="auto"/>
        <w:rPr>
          <w:rFonts w:asciiTheme="majorHAnsi" w:hAnsiTheme="majorHAnsi"/>
          <w:sz w:val="20"/>
          <w:lang w:val="en-US"/>
        </w:rPr>
      </w:pPr>
    </w:p>
    <w:p w14:paraId="1932B969" w14:textId="3C574E4C" w:rsidR="0080313D" w:rsidRDefault="0080313D" w:rsidP="0080313D">
      <w:pPr>
        <w:spacing w:after="0" w:line="240" w:lineRule="auto"/>
        <w:rPr>
          <w:rFonts w:asciiTheme="majorHAnsi" w:hAnsiTheme="majorHAnsi"/>
          <w:sz w:val="20"/>
          <w:lang w:val="en-US"/>
        </w:rPr>
      </w:pPr>
      <w:r w:rsidRPr="00270A33">
        <w:rPr>
          <w:rFonts w:asciiTheme="majorHAnsi" w:hAnsiTheme="majorHAnsi"/>
          <w:b/>
          <w:sz w:val="20"/>
          <w:lang w:val="en-US"/>
        </w:rPr>
        <w:t xml:space="preserve">Table </w:t>
      </w:r>
      <w:r>
        <w:rPr>
          <w:rFonts w:asciiTheme="majorHAnsi" w:hAnsiTheme="majorHAnsi"/>
          <w:b/>
          <w:sz w:val="20"/>
          <w:lang w:val="en-US"/>
        </w:rPr>
        <w:t>IV</w:t>
      </w:r>
      <w:r>
        <w:rPr>
          <w:rFonts w:asciiTheme="majorHAnsi" w:hAnsiTheme="majorHAnsi"/>
          <w:sz w:val="20"/>
          <w:lang w:val="en-US"/>
        </w:rPr>
        <w:t xml:space="preserve">. Model estimates (calculated from Table II) for the likelihood of ceasing to trade (hazard ratio, </w:t>
      </w:r>
      <w:r w:rsidRPr="00326E18">
        <w:rPr>
          <w:rFonts w:asciiTheme="majorHAnsi" w:hAnsiTheme="majorHAnsi"/>
          <w:i/>
          <w:sz w:val="20"/>
          <w:lang w:val="en-US"/>
        </w:rPr>
        <w:t>h</w:t>
      </w:r>
      <w:r>
        <w:rPr>
          <w:rFonts w:asciiTheme="majorHAnsi" w:hAnsiTheme="majorHAnsi"/>
          <w:sz w:val="20"/>
          <w:lang w:val="en-US"/>
        </w:rPr>
        <w:t>(</w:t>
      </w:r>
      <w:r w:rsidRPr="00326E18">
        <w:rPr>
          <w:rFonts w:asciiTheme="majorHAnsi" w:hAnsiTheme="majorHAnsi"/>
          <w:i/>
          <w:sz w:val="20"/>
          <w:lang w:val="en-US"/>
        </w:rPr>
        <w:t>t</w:t>
      </w:r>
      <w:r>
        <w:rPr>
          <w:rFonts w:asciiTheme="majorHAnsi" w:hAnsiTheme="majorHAnsi"/>
          <w:sz w:val="20"/>
          <w:lang w:val="en-US"/>
        </w:rPr>
        <w:t>)) relative to the reference group for generally profitable (PMM) and unprofitable traders NMM)</w:t>
      </w:r>
      <w:r>
        <w:rPr>
          <w:rFonts w:asciiTheme="majorHAnsi" w:hAnsiTheme="majorHAnsi"/>
          <w:sz w:val="20"/>
          <w:vertAlign w:val="superscript"/>
          <w:lang w:val="en-US"/>
        </w:rPr>
        <w:t>I</w:t>
      </w:r>
      <w:r>
        <w:rPr>
          <w:rFonts w:asciiTheme="majorHAnsi" w:hAnsiTheme="majorHAnsi"/>
          <w:sz w:val="20"/>
          <w:lang w:val="en-US"/>
        </w:rPr>
        <w:t xml:space="preserve"> whose cumulative returns in the current month change from net loss to net profit, net profit to net loss, stayed in profit or stayed in loss. </w:t>
      </w:r>
      <w:r w:rsidR="00660C81">
        <w:rPr>
          <w:rFonts w:asciiTheme="majorHAnsi" w:hAnsiTheme="majorHAnsi"/>
          <w:sz w:val="20"/>
          <w:lang w:val="en-US"/>
        </w:rPr>
        <w:t xml:space="preserve">The estimates based on models defining </w:t>
      </w:r>
      <w:r w:rsidR="00E167EF">
        <w:rPr>
          <w:rFonts w:asciiTheme="majorHAnsi" w:hAnsiTheme="majorHAnsi"/>
          <w:sz w:val="20"/>
          <w:lang w:val="en-US"/>
        </w:rPr>
        <w:t xml:space="preserve">the </w:t>
      </w:r>
      <w:r w:rsidR="00660C81">
        <w:rPr>
          <w:rFonts w:asciiTheme="majorHAnsi" w:hAnsiTheme="majorHAnsi"/>
          <w:sz w:val="20"/>
          <w:lang w:val="en-US"/>
        </w:rPr>
        <w:t xml:space="preserve">PMM and NMM groups as </w:t>
      </w:r>
      <w:r w:rsidR="00E167EF">
        <w:rPr>
          <w:rFonts w:asciiTheme="majorHAnsi" w:hAnsiTheme="majorHAnsi"/>
          <w:sz w:val="20"/>
          <w:lang w:val="en-US"/>
        </w:rPr>
        <w:t xml:space="preserve">those achieving more than 50%, </w:t>
      </w:r>
      <w:r w:rsidR="00660C81">
        <w:rPr>
          <w:rFonts w:asciiTheme="majorHAnsi" w:hAnsiTheme="majorHAnsi"/>
          <w:sz w:val="20"/>
          <w:lang w:val="en-US"/>
        </w:rPr>
        <w:t>75% and 90%</w:t>
      </w:r>
      <w:r w:rsidR="00E167EF">
        <w:rPr>
          <w:rFonts w:asciiTheme="majorHAnsi" w:hAnsiTheme="majorHAnsi"/>
          <w:sz w:val="20"/>
          <w:lang w:val="en-US"/>
        </w:rPr>
        <w:t xml:space="preserve"> of months since commencing trading which ended in a positive or negative </w:t>
      </w:r>
      <w:r w:rsidR="00452B75">
        <w:rPr>
          <w:rFonts w:asciiTheme="majorHAnsi" w:hAnsiTheme="majorHAnsi"/>
          <w:sz w:val="20"/>
          <w:lang w:val="en-US"/>
        </w:rPr>
        <w:t>accumulated</w:t>
      </w:r>
      <w:r w:rsidR="00E167EF">
        <w:rPr>
          <w:rFonts w:asciiTheme="majorHAnsi" w:hAnsiTheme="majorHAnsi"/>
          <w:sz w:val="20"/>
          <w:lang w:val="en-US"/>
        </w:rPr>
        <w:t xml:space="preserve"> return, respectively, </w:t>
      </w:r>
      <w:r w:rsidR="00660C81">
        <w:rPr>
          <w:rFonts w:asciiTheme="majorHAnsi" w:hAnsiTheme="majorHAnsi"/>
          <w:sz w:val="20"/>
          <w:lang w:val="en-US"/>
        </w:rPr>
        <w:t>are  shown.</w:t>
      </w:r>
    </w:p>
    <w:tbl>
      <w:tblPr>
        <w:tblW w:w="13526" w:type="dxa"/>
        <w:tblLook w:val="04A0" w:firstRow="1" w:lastRow="0" w:firstColumn="1" w:lastColumn="0" w:noHBand="0" w:noVBand="1"/>
      </w:tblPr>
      <w:tblGrid>
        <w:gridCol w:w="3040"/>
        <w:gridCol w:w="1386"/>
        <w:gridCol w:w="1300"/>
        <w:gridCol w:w="1376"/>
        <w:gridCol w:w="1224"/>
        <w:gridCol w:w="1538"/>
        <w:gridCol w:w="1062"/>
        <w:gridCol w:w="1538"/>
        <w:gridCol w:w="1062"/>
      </w:tblGrid>
      <w:tr w:rsidR="0080313D" w:rsidRPr="0080313D" w14:paraId="4F10328E" w14:textId="77777777" w:rsidTr="0080313D">
        <w:trPr>
          <w:trHeight w:val="300"/>
        </w:trPr>
        <w:tc>
          <w:tcPr>
            <w:tcW w:w="3040" w:type="dxa"/>
            <w:tcBorders>
              <w:top w:val="nil"/>
              <w:left w:val="nil"/>
              <w:bottom w:val="nil"/>
              <w:right w:val="nil"/>
            </w:tcBorders>
            <w:shd w:val="clear" w:color="auto" w:fill="auto"/>
            <w:noWrap/>
            <w:vAlign w:val="bottom"/>
            <w:hideMark/>
          </w:tcPr>
          <w:p w14:paraId="4010590E" w14:textId="77777777" w:rsidR="0080313D" w:rsidRPr="0080313D" w:rsidRDefault="0080313D" w:rsidP="0080313D">
            <w:pPr>
              <w:spacing w:after="0" w:line="240" w:lineRule="auto"/>
              <w:rPr>
                <w:rFonts w:ascii="Times New Roman" w:eastAsia="Times New Roman" w:hAnsi="Times New Roman" w:cs="Times New Roman"/>
                <w:sz w:val="24"/>
                <w:szCs w:val="24"/>
              </w:rPr>
            </w:pPr>
          </w:p>
        </w:tc>
        <w:tc>
          <w:tcPr>
            <w:tcW w:w="1386" w:type="dxa"/>
            <w:tcBorders>
              <w:top w:val="nil"/>
              <w:left w:val="nil"/>
              <w:bottom w:val="nil"/>
              <w:right w:val="nil"/>
            </w:tcBorders>
            <w:shd w:val="clear" w:color="auto" w:fill="auto"/>
            <w:noWrap/>
            <w:vAlign w:val="bottom"/>
            <w:hideMark/>
          </w:tcPr>
          <w:p w14:paraId="4E354A06" w14:textId="77777777" w:rsidR="0080313D" w:rsidRPr="0080313D" w:rsidRDefault="0080313D" w:rsidP="0080313D">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6D659D25" w14:textId="77777777" w:rsidR="0080313D" w:rsidRPr="0080313D" w:rsidRDefault="0080313D" w:rsidP="0080313D">
            <w:pPr>
              <w:spacing w:after="0" w:line="240" w:lineRule="auto"/>
              <w:rPr>
                <w:rFonts w:ascii="Times New Roman" w:eastAsia="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bottom"/>
            <w:hideMark/>
          </w:tcPr>
          <w:p w14:paraId="6E4A93E4" w14:textId="10CC4F18" w:rsidR="0080313D" w:rsidRPr="00D3702F" w:rsidRDefault="0080313D" w:rsidP="0080313D">
            <w:pPr>
              <w:spacing w:after="0" w:line="240" w:lineRule="auto"/>
              <w:jc w:val="center"/>
              <w:rPr>
                <w:rFonts w:asciiTheme="majorHAnsi" w:eastAsia="Times New Roman" w:hAnsiTheme="majorHAnsi" w:cs="Times New Roman"/>
                <w:color w:val="000000"/>
                <w:sz w:val="20"/>
                <w:szCs w:val="20"/>
              </w:rPr>
            </w:pPr>
            <w:r w:rsidRPr="00D3702F">
              <w:rPr>
                <w:rFonts w:asciiTheme="majorHAnsi" w:eastAsia="Times New Roman" w:hAnsiTheme="majorHAnsi" w:cs="Times New Roman"/>
                <w:color w:val="000000"/>
                <w:sz w:val="20"/>
                <w:szCs w:val="20"/>
              </w:rPr>
              <w:t>In profit</w:t>
            </w:r>
            <w:r w:rsidR="003F5EC4" w:rsidRPr="00D3702F">
              <w:rPr>
                <w:rFonts w:asciiTheme="majorHAnsi" w:eastAsia="Times New Roman" w:hAnsiTheme="majorHAnsi" w:cs="Times New Roman"/>
                <w:color w:val="000000"/>
                <w:sz w:val="20"/>
                <w:szCs w:val="20"/>
              </w:rPr>
              <w:t>/loss for</w:t>
            </w:r>
            <w:r w:rsidRPr="00D3702F">
              <w:rPr>
                <w:rFonts w:asciiTheme="majorHAnsi" w:eastAsia="Times New Roman" w:hAnsiTheme="majorHAnsi" w:cs="Times New Roman"/>
                <w:color w:val="000000"/>
                <w:sz w:val="20"/>
                <w:szCs w:val="20"/>
              </w:rPr>
              <w:t xml:space="preserve"> </w:t>
            </w:r>
            <w:r w:rsidR="00233834" w:rsidRPr="00D3702F">
              <w:rPr>
                <w:rFonts w:asciiTheme="majorHAnsi" w:eastAsia="Times New Roman" w:hAnsiTheme="majorHAnsi" w:cs="Times New Roman"/>
                <w:color w:val="000000"/>
                <w:sz w:val="20"/>
                <w:szCs w:val="20"/>
              </w:rPr>
              <w:t>&gt;</w:t>
            </w:r>
            <w:r w:rsidRPr="00D3702F">
              <w:rPr>
                <w:rFonts w:asciiTheme="majorHAnsi" w:eastAsia="Times New Roman" w:hAnsiTheme="majorHAnsi" w:cs="Times New Roman"/>
                <w:color w:val="000000"/>
                <w:sz w:val="20"/>
                <w:szCs w:val="20"/>
              </w:rPr>
              <w:t xml:space="preserve">50% of months since </w:t>
            </w:r>
            <w:r w:rsidR="00C33C5F" w:rsidRPr="00D3702F">
              <w:rPr>
                <w:rFonts w:asciiTheme="majorHAnsi" w:eastAsia="Times New Roman" w:hAnsiTheme="majorHAnsi" w:cs="Times New Roman"/>
                <w:color w:val="000000"/>
                <w:sz w:val="20"/>
                <w:szCs w:val="20"/>
              </w:rPr>
              <w:t>commencing trading</w:t>
            </w:r>
          </w:p>
        </w:tc>
        <w:tc>
          <w:tcPr>
            <w:tcW w:w="2600" w:type="dxa"/>
            <w:gridSpan w:val="2"/>
            <w:tcBorders>
              <w:top w:val="nil"/>
              <w:left w:val="nil"/>
              <w:bottom w:val="nil"/>
              <w:right w:val="nil"/>
            </w:tcBorders>
            <w:shd w:val="clear" w:color="auto" w:fill="auto"/>
            <w:noWrap/>
            <w:vAlign w:val="bottom"/>
            <w:hideMark/>
          </w:tcPr>
          <w:p w14:paraId="3E1890FB" w14:textId="53B16B13" w:rsidR="0080313D" w:rsidRPr="00D3702F" w:rsidRDefault="0080313D" w:rsidP="0080313D">
            <w:pPr>
              <w:spacing w:after="0" w:line="240" w:lineRule="auto"/>
              <w:jc w:val="center"/>
              <w:rPr>
                <w:rFonts w:asciiTheme="majorHAnsi" w:eastAsia="Times New Roman" w:hAnsiTheme="majorHAnsi" w:cs="Times New Roman"/>
                <w:color w:val="000000"/>
                <w:sz w:val="20"/>
                <w:szCs w:val="20"/>
              </w:rPr>
            </w:pPr>
            <w:r w:rsidRPr="00D3702F">
              <w:rPr>
                <w:rFonts w:asciiTheme="majorHAnsi" w:eastAsia="Times New Roman" w:hAnsiTheme="majorHAnsi" w:cs="Times New Roman"/>
                <w:color w:val="000000"/>
                <w:sz w:val="20"/>
                <w:szCs w:val="20"/>
              </w:rPr>
              <w:t>In profit</w:t>
            </w:r>
            <w:r w:rsidR="003F5EC4" w:rsidRPr="00D3702F">
              <w:rPr>
                <w:rFonts w:asciiTheme="majorHAnsi" w:eastAsia="Times New Roman" w:hAnsiTheme="majorHAnsi" w:cs="Times New Roman"/>
                <w:color w:val="000000"/>
                <w:sz w:val="20"/>
                <w:szCs w:val="20"/>
              </w:rPr>
              <w:t>/loss</w:t>
            </w:r>
            <w:r w:rsidRPr="00D3702F">
              <w:rPr>
                <w:rFonts w:asciiTheme="majorHAnsi" w:eastAsia="Times New Roman" w:hAnsiTheme="majorHAnsi" w:cs="Times New Roman"/>
                <w:color w:val="000000"/>
                <w:sz w:val="20"/>
                <w:szCs w:val="20"/>
              </w:rPr>
              <w:t xml:space="preserve"> </w:t>
            </w:r>
            <w:r w:rsidR="00C33C5F" w:rsidRPr="00D3702F">
              <w:rPr>
                <w:rFonts w:asciiTheme="majorHAnsi" w:eastAsia="Times New Roman" w:hAnsiTheme="majorHAnsi" w:cs="Times New Roman"/>
                <w:color w:val="000000"/>
                <w:sz w:val="20"/>
                <w:szCs w:val="20"/>
              </w:rPr>
              <w:t xml:space="preserve">for &gt; </w:t>
            </w:r>
            <w:r w:rsidRPr="00D3702F">
              <w:rPr>
                <w:rFonts w:asciiTheme="majorHAnsi" w:eastAsia="Times New Roman" w:hAnsiTheme="majorHAnsi" w:cs="Times New Roman"/>
                <w:color w:val="000000"/>
                <w:sz w:val="20"/>
                <w:szCs w:val="20"/>
              </w:rPr>
              <w:t xml:space="preserve">75% of months since </w:t>
            </w:r>
            <w:r w:rsidR="00C33C5F" w:rsidRPr="00D3702F">
              <w:rPr>
                <w:rFonts w:asciiTheme="majorHAnsi" w:eastAsia="Times New Roman" w:hAnsiTheme="majorHAnsi" w:cs="Times New Roman"/>
                <w:color w:val="000000"/>
                <w:sz w:val="20"/>
                <w:szCs w:val="20"/>
              </w:rPr>
              <w:t>commencing trading</w:t>
            </w:r>
          </w:p>
        </w:tc>
        <w:tc>
          <w:tcPr>
            <w:tcW w:w="2600" w:type="dxa"/>
            <w:gridSpan w:val="2"/>
            <w:tcBorders>
              <w:top w:val="nil"/>
              <w:left w:val="nil"/>
              <w:bottom w:val="nil"/>
              <w:right w:val="nil"/>
            </w:tcBorders>
            <w:shd w:val="clear" w:color="auto" w:fill="auto"/>
            <w:noWrap/>
            <w:vAlign w:val="bottom"/>
            <w:hideMark/>
          </w:tcPr>
          <w:p w14:paraId="4F7ED077" w14:textId="6D663EA8" w:rsidR="0080313D" w:rsidRPr="00D3702F" w:rsidRDefault="0080313D" w:rsidP="0080313D">
            <w:pPr>
              <w:spacing w:after="0" w:line="240" w:lineRule="auto"/>
              <w:jc w:val="center"/>
              <w:rPr>
                <w:rFonts w:asciiTheme="majorHAnsi" w:eastAsia="Times New Roman" w:hAnsiTheme="majorHAnsi" w:cs="Times New Roman"/>
                <w:color w:val="000000"/>
                <w:sz w:val="20"/>
                <w:szCs w:val="20"/>
              </w:rPr>
            </w:pPr>
            <w:r w:rsidRPr="00D3702F">
              <w:rPr>
                <w:rFonts w:asciiTheme="majorHAnsi" w:eastAsia="Times New Roman" w:hAnsiTheme="majorHAnsi" w:cs="Times New Roman"/>
                <w:color w:val="000000"/>
                <w:sz w:val="20"/>
                <w:szCs w:val="20"/>
              </w:rPr>
              <w:t>In profit</w:t>
            </w:r>
            <w:r w:rsidR="003F5EC4" w:rsidRPr="00D3702F">
              <w:rPr>
                <w:rFonts w:asciiTheme="majorHAnsi" w:eastAsia="Times New Roman" w:hAnsiTheme="majorHAnsi" w:cs="Times New Roman"/>
                <w:color w:val="000000"/>
                <w:sz w:val="20"/>
                <w:szCs w:val="20"/>
              </w:rPr>
              <w:t>/loss</w:t>
            </w:r>
            <w:r w:rsidR="00C33C5F" w:rsidRPr="00D3702F">
              <w:rPr>
                <w:rFonts w:asciiTheme="majorHAnsi" w:eastAsia="Times New Roman" w:hAnsiTheme="majorHAnsi" w:cs="Times New Roman"/>
                <w:color w:val="000000"/>
                <w:sz w:val="20"/>
                <w:szCs w:val="20"/>
              </w:rPr>
              <w:t xml:space="preserve"> for &gt;</w:t>
            </w:r>
            <w:r w:rsidRPr="00D3702F">
              <w:rPr>
                <w:rFonts w:asciiTheme="majorHAnsi" w:eastAsia="Times New Roman" w:hAnsiTheme="majorHAnsi" w:cs="Times New Roman"/>
                <w:color w:val="000000"/>
                <w:sz w:val="20"/>
                <w:szCs w:val="20"/>
              </w:rPr>
              <w:t xml:space="preserve"> 90% of months since </w:t>
            </w:r>
            <w:r w:rsidR="00C33C5F" w:rsidRPr="00D3702F">
              <w:rPr>
                <w:rFonts w:asciiTheme="majorHAnsi" w:eastAsia="Times New Roman" w:hAnsiTheme="majorHAnsi" w:cs="Times New Roman"/>
                <w:color w:val="000000"/>
                <w:sz w:val="20"/>
                <w:szCs w:val="20"/>
              </w:rPr>
              <w:t>commencing trading</w:t>
            </w:r>
          </w:p>
        </w:tc>
      </w:tr>
      <w:tr w:rsidR="0080313D" w:rsidRPr="0080313D" w14:paraId="7AFD0690" w14:textId="77777777" w:rsidTr="0080313D">
        <w:trPr>
          <w:trHeight w:val="300"/>
        </w:trPr>
        <w:tc>
          <w:tcPr>
            <w:tcW w:w="3040" w:type="dxa"/>
            <w:tcBorders>
              <w:top w:val="single" w:sz="4" w:space="0" w:color="auto"/>
              <w:left w:val="nil"/>
              <w:bottom w:val="single" w:sz="4" w:space="0" w:color="auto"/>
              <w:right w:val="nil"/>
            </w:tcBorders>
            <w:shd w:val="clear" w:color="auto" w:fill="auto"/>
            <w:noWrap/>
            <w:vAlign w:val="center"/>
            <w:hideMark/>
          </w:tcPr>
          <w:p w14:paraId="3B705CCF"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Long-Term Historical Profitability</w:t>
            </w:r>
          </w:p>
        </w:tc>
        <w:tc>
          <w:tcPr>
            <w:tcW w:w="1386" w:type="dxa"/>
            <w:tcBorders>
              <w:top w:val="single" w:sz="4" w:space="0" w:color="auto"/>
              <w:left w:val="nil"/>
              <w:bottom w:val="single" w:sz="4" w:space="0" w:color="auto"/>
              <w:right w:val="nil"/>
            </w:tcBorders>
            <w:shd w:val="clear" w:color="auto" w:fill="auto"/>
            <w:noWrap/>
            <w:vAlign w:val="center"/>
            <w:hideMark/>
          </w:tcPr>
          <w:p w14:paraId="60A54844"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Previous Month</w:t>
            </w:r>
          </w:p>
        </w:tc>
        <w:tc>
          <w:tcPr>
            <w:tcW w:w="1300" w:type="dxa"/>
            <w:tcBorders>
              <w:top w:val="single" w:sz="4" w:space="0" w:color="auto"/>
              <w:left w:val="nil"/>
              <w:bottom w:val="single" w:sz="4" w:space="0" w:color="auto"/>
              <w:right w:val="nil"/>
            </w:tcBorders>
            <w:shd w:val="clear" w:color="auto" w:fill="auto"/>
            <w:noWrap/>
            <w:vAlign w:val="center"/>
            <w:hideMark/>
          </w:tcPr>
          <w:p w14:paraId="3FD23517"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Current Month</w:t>
            </w:r>
          </w:p>
        </w:tc>
        <w:tc>
          <w:tcPr>
            <w:tcW w:w="1376" w:type="dxa"/>
            <w:tcBorders>
              <w:top w:val="single" w:sz="4" w:space="0" w:color="auto"/>
              <w:left w:val="nil"/>
              <w:bottom w:val="single" w:sz="4" w:space="0" w:color="auto"/>
              <w:right w:val="nil"/>
            </w:tcBorders>
            <w:shd w:val="clear" w:color="auto" w:fill="auto"/>
            <w:noWrap/>
            <w:vAlign w:val="center"/>
            <w:hideMark/>
          </w:tcPr>
          <w:p w14:paraId="7E4B8BC4" w14:textId="77777777" w:rsidR="0080313D" w:rsidRPr="00D3702F" w:rsidRDefault="0080313D" w:rsidP="0080313D">
            <w:pPr>
              <w:spacing w:after="0" w:line="240" w:lineRule="auto"/>
              <w:jc w:val="center"/>
              <w:rPr>
                <w:rFonts w:ascii="Cambria" w:eastAsia="Times New Roman" w:hAnsi="Cambria" w:cs="Times New Roman"/>
                <w:color w:val="000000"/>
                <w:sz w:val="20"/>
                <w:szCs w:val="20"/>
              </w:rPr>
            </w:pPr>
            <w:r w:rsidRPr="00D3702F">
              <w:rPr>
                <w:rFonts w:ascii="Cambria" w:eastAsia="Times New Roman" w:hAnsi="Cambria" w:cs="Times New Roman"/>
                <w:color w:val="000000"/>
                <w:sz w:val="20"/>
                <w:szCs w:val="20"/>
              </w:rPr>
              <w:t>log(</w:t>
            </w:r>
            <w:r w:rsidRPr="00D3702F">
              <w:rPr>
                <w:rFonts w:ascii="Cambria" w:eastAsia="Times New Roman" w:hAnsi="Cambria" w:cs="Times New Roman"/>
                <w:i/>
                <w:iCs/>
                <w:color w:val="000000"/>
                <w:sz w:val="20"/>
                <w:szCs w:val="20"/>
              </w:rPr>
              <w:t>h</w:t>
            </w:r>
            <w:r w:rsidRPr="00D3702F">
              <w:rPr>
                <w:rFonts w:ascii="Cambria" w:eastAsia="Times New Roman" w:hAnsi="Cambria" w:cs="Times New Roman"/>
                <w:color w:val="000000"/>
                <w:sz w:val="20"/>
                <w:szCs w:val="20"/>
              </w:rPr>
              <w:t>(</w:t>
            </w:r>
            <w:r w:rsidRPr="00D3702F">
              <w:rPr>
                <w:rFonts w:ascii="Cambria" w:eastAsia="Times New Roman" w:hAnsi="Cambria" w:cs="Times New Roman"/>
                <w:i/>
                <w:iCs/>
                <w:color w:val="000000"/>
                <w:sz w:val="20"/>
                <w:szCs w:val="20"/>
              </w:rPr>
              <w:t>t</w:t>
            </w:r>
            <w:r w:rsidRPr="00D3702F">
              <w:rPr>
                <w:rFonts w:ascii="Cambria" w:eastAsia="Times New Roman" w:hAnsi="Cambria" w:cs="Times New Roman"/>
                <w:color w:val="000000"/>
                <w:sz w:val="20"/>
                <w:szCs w:val="20"/>
              </w:rPr>
              <w:t>))</w:t>
            </w:r>
          </w:p>
        </w:tc>
        <w:tc>
          <w:tcPr>
            <w:tcW w:w="1224" w:type="dxa"/>
            <w:tcBorders>
              <w:top w:val="single" w:sz="4" w:space="0" w:color="auto"/>
              <w:left w:val="nil"/>
              <w:bottom w:val="single" w:sz="4" w:space="0" w:color="auto"/>
              <w:right w:val="nil"/>
            </w:tcBorders>
            <w:shd w:val="clear" w:color="auto" w:fill="auto"/>
            <w:noWrap/>
            <w:vAlign w:val="center"/>
            <w:hideMark/>
          </w:tcPr>
          <w:p w14:paraId="333DEB4B" w14:textId="77777777" w:rsidR="0080313D" w:rsidRPr="00D3702F" w:rsidRDefault="0080313D" w:rsidP="0080313D">
            <w:pPr>
              <w:spacing w:after="0" w:line="240" w:lineRule="auto"/>
              <w:jc w:val="center"/>
              <w:rPr>
                <w:rFonts w:ascii="Cambria" w:eastAsia="Times New Roman" w:hAnsi="Cambria" w:cs="Times New Roman"/>
                <w:i/>
                <w:iCs/>
                <w:color w:val="000000"/>
                <w:sz w:val="20"/>
                <w:szCs w:val="20"/>
              </w:rPr>
            </w:pPr>
            <w:r w:rsidRPr="00D3702F">
              <w:rPr>
                <w:rFonts w:ascii="Cambria" w:eastAsia="Times New Roman" w:hAnsi="Cambria" w:cs="Times New Roman"/>
                <w:i/>
                <w:iCs/>
                <w:color w:val="000000"/>
                <w:sz w:val="20"/>
                <w:szCs w:val="20"/>
              </w:rPr>
              <w:t>h</w:t>
            </w:r>
            <w:r w:rsidRPr="00D3702F">
              <w:rPr>
                <w:rFonts w:ascii="Cambria" w:eastAsia="Times New Roman" w:hAnsi="Cambria" w:cs="Times New Roman"/>
                <w:color w:val="000000"/>
                <w:sz w:val="20"/>
                <w:szCs w:val="20"/>
              </w:rPr>
              <w:t>(</w:t>
            </w:r>
            <w:r w:rsidRPr="00D3702F">
              <w:rPr>
                <w:rFonts w:ascii="Cambria" w:eastAsia="Times New Roman" w:hAnsi="Cambria" w:cs="Times New Roman"/>
                <w:i/>
                <w:iCs/>
                <w:color w:val="000000"/>
                <w:sz w:val="20"/>
                <w:szCs w:val="20"/>
              </w:rPr>
              <w:t>t</w:t>
            </w:r>
            <w:r w:rsidRPr="00D3702F">
              <w:rPr>
                <w:rFonts w:ascii="Cambria" w:eastAsia="Times New Roman" w:hAnsi="Cambria" w:cs="Times New Roman"/>
                <w:color w:val="000000"/>
                <w:sz w:val="20"/>
                <w:szCs w:val="20"/>
              </w:rPr>
              <w:t>)</w:t>
            </w:r>
          </w:p>
        </w:tc>
        <w:tc>
          <w:tcPr>
            <w:tcW w:w="1538" w:type="dxa"/>
            <w:tcBorders>
              <w:top w:val="single" w:sz="4" w:space="0" w:color="auto"/>
              <w:left w:val="nil"/>
              <w:bottom w:val="single" w:sz="4" w:space="0" w:color="auto"/>
              <w:right w:val="nil"/>
            </w:tcBorders>
            <w:shd w:val="clear" w:color="auto" w:fill="auto"/>
            <w:noWrap/>
            <w:vAlign w:val="center"/>
            <w:hideMark/>
          </w:tcPr>
          <w:p w14:paraId="69787748" w14:textId="77777777" w:rsidR="0080313D" w:rsidRPr="00D3702F" w:rsidRDefault="0080313D" w:rsidP="0080313D">
            <w:pPr>
              <w:spacing w:after="0" w:line="240" w:lineRule="auto"/>
              <w:jc w:val="center"/>
              <w:rPr>
                <w:rFonts w:ascii="Cambria" w:eastAsia="Times New Roman" w:hAnsi="Cambria" w:cs="Times New Roman"/>
                <w:color w:val="000000"/>
                <w:sz w:val="20"/>
                <w:szCs w:val="20"/>
              </w:rPr>
            </w:pPr>
            <w:r w:rsidRPr="00D3702F">
              <w:rPr>
                <w:rFonts w:ascii="Cambria" w:eastAsia="Times New Roman" w:hAnsi="Cambria" w:cs="Times New Roman"/>
                <w:color w:val="000000"/>
                <w:sz w:val="20"/>
                <w:szCs w:val="20"/>
              </w:rPr>
              <w:t>log(</w:t>
            </w:r>
            <w:r w:rsidRPr="00D3702F">
              <w:rPr>
                <w:rFonts w:ascii="Cambria" w:eastAsia="Times New Roman" w:hAnsi="Cambria" w:cs="Times New Roman"/>
                <w:i/>
                <w:iCs/>
                <w:color w:val="000000"/>
                <w:sz w:val="20"/>
                <w:szCs w:val="20"/>
              </w:rPr>
              <w:t>h</w:t>
            </w:r>
            <w:r w:rsidRPr="00D3702F">
              <w:rPr>
                <w:rFonts w:ascii="Cambria" w:eastAsia="Times New Roman" w:hAnsi="Cambria" w:cs="Times New Roman"/>
                <w:color w:val="000000"/>
                <w:sz w:val="20"/>
                <w:szCs w:val="20"/>
              </w:rPr>
              <w:t>(</w:t>
            </w:r>
            <w:r w:rsidRPr="00D3702F">
              <w:rPr>
                <w:rFonts w:ascii="Cambria" w:eastAsia="Times New Roman" w:hAnsi="Cambria" w:cs="Times New Roman"/>
                <w:i/>
                <w:iCs/>
                <w:color w:val="000000"/>
                <w:sz w:val="20"/>
                <w:szCs w:val="20"/>
              </w:rPr>
              <w:t>t</w:t>
            </w:r>
            <w:r w:rsidRPr="00D3702F">
              <w:rPr>
                <w:rFonts w:ascii="Cambria" w:eastAsia="Times New Roman" w:hAnsi="Cambria" w:cs="Times New Roman"/>
                <w:color w:val="000000"/>
                <w:sz w:val="20"/>
                <w:szCs w:val="20"/>
              </w:rPr>
              <w:t>))</w:t>
            </w:r>
          </w:p>
        </w:tc>
        <w:tc>
          <w:tcPr>
            <w:tcW w:w="1062" w:type="dxa"/>
            <w:tcBorders>
              <w:top w:val="single" w:sz="4" w:space="0" w:color="auto"/>
              <w:left w:val="nil"/>
              <w:bottom w:val="single" w:sz="4" w:space="0" w:color="auto"/>
              <w:right w:val="nil"/>
            </w:tcBorders>
            <w:shd w:val="clear" w:color="auto" w:fill="auto"/>
            <w:noWrap/>
            <w:vAlign w:val="center"/>
            <w:hideMark/>
          </w:tcPr>
          <w:p w14:paraId="4D84F998" w14:textId="77777777" w:rsidR="0080313D" w:rsidRPr="00D3702F" w:rsidRDefault="0080313D" w:rsidP="0080313D">
            <w:pPr>
              <w:spacing w:after="0" w:line="240" w:lineRule="auto"/>
              <w:jc w:val="center"/>
              <w:rPr>
                <w:rFonts w:ascii="Cambria" w:eastAsia="Times New Roman" w:hAnsi="Cambria" w:cs="Times New Roman"/>
                <w:i/>
                <w:iCs/>
                <w:color w:val="000000"/>
                <w:sz w:val="20"/>
                <w:szCs w:val="20"/>
              </w:rPr>
            </w:pPr>
            <w:r w:rsidRPr="00D3702F">
              <w:rPr>
                <w:rFonts w:ascii="Cambria" w:eastAsia="Times New Roman" w:hAnsi="Cambria" w:cs="Times New Roman"/>
                <w:i/>
                <w:iCs/>
                <w:color w:val="000000"/>
                <w:sz w:val="20"/>
                <w:szCs w:val="20"/>
              </w:rPr>
              <w:t>h</w:t>
            </w:r>
            <w:r w:rsidRPr="00D3702F">
              <w:rPr>
                <w:rFonts w:ascii="Cambria" w:eastAsia="Times New Roman" w:hAnsi="Cambria" w:cs="Times New Roman"/>
                <w:color w:val="000000"/>
                <w:sz w:val="20"/>
                <w:szCs w:val="20"/>
              </w:rPr>
              <w:t>(</w:t>
            </w:r>
            <w:r w:rsidRPr="00D3702F">
              <w:rPr>
                <w:rFonts w:ascii="Cambria" w:eastAsia="Times New Roman" w:hAnsi="Cambria" w:cs="Times New Roman"/>
                <w:i/>
                <w:iCs/>
                <w:color w:val="000000"/>
                <w:sz w:val="20"/>
                <w:szCs w:val="20"/>
              </w:rPr>
              <w:t>t</w:t>
            </w:r>
            <w:r w:rsidRPr="00D3702F">
              <w:rPr>
                <w:rFonts w:ascii="Cambria" w:eastAsia="Times New Roman" w:hAnsi="Cambria" w:cs="Times New Roman"/>
                <w:color w:val="000000"/>
                <w:sz w:val="20"/>
                <w:szCs w:val="20"/>
              </w:rPr>
              <w:t>)</w:t>
            </w:r>
          </w:p>
        </w:tc>
        <w:tc>
          <w:tcPr>
            <w:tcW w:w="1538" w:type="dxa"/>
            <w:tcBorders>
              <w:top w:val="single" w:sz="4" w:space="0" w:color="auto"/>
              <w:left w:val="nil"/>
              <w:bottom w:val="single" w:sz="4" w:space="0" w:color="auto"/>
              <w:right w:val="nil"/>
            </w:tcBorders>
            <w:shd w:val="clear" w:color="auto" w:fill="auto"/>
            <w:noWrap/>
            <w:vAlign w:val="center"/>
            <w:hideMark/>
          </w:tcPr>
          <w:p w14:paraId="01682067" w14:textId="77777777" w:rsidR="0080313D" w:rsidRPr="00D3702F" w:rsidRDefault="0080313D" w:rsidP="0080313D">
            <w:pPr>
              <w:spacing w:after="0" w:line="240" w:lineRule="auto"/>
              <w:jc w:val="center"/>
              <w:rPr>
                <w:rFonts w:ascii="Cambria" w:eastAsia="Times New Roman" w:hAnsi="Cambria" w:cs="Times New Roman"/>
                <w:color w:val="000000"/>
                <w:sz w:val="20"/>
                <w:szCs w:val="20"/>
              </w:rPr>
            </w:pPr>
            <w:r w:rsidRPr="00D3702F">
              <w:rPr>
                <w:rFonts w:ascii="Cambria" w:eastAsia="Times New Roman" w:hAnsi="Cambria" w:cs="Times New Roman"/>
                <w:color w:val="000000"/>
                <w:sz w:val="20"/>
                <w:szCs w:val="20"/>
              </w:rPr>
              <w:t>log(</w:t>
            </w:r>
            <w:r w:rsidRPr="00D3702F">
              <w:rPr>
                <w:rFonts w:ascii="Cambria" w:eastAsia="Times New Roman" w:hAnsi="Cambria" w:cs="Times New Roman"/>
                <w:i/>
                <w:iCs/>
                <w:color w:val="000000"/>
                <w:sz w:val="20"/>
                <w:szCs w:val="20"/>
              </w:rPr>
              <w:t>h</w:t>
            </w:r>
            <w:r w:rsidRPr="00D3702F">
              <w:rPr>
                <w:rFonts w:ascii="Cambria" w:eastAsia="Times New Roman" w:hAnsi="Cambria" w:cs="Times New Roman"/>
                <w:color w:val="000000"/>
                <w:sz w:val="20"/>
                <w:szCs w:val="20"/>
              </w:rPr>
              <w:t>(</w:t>
            </w:r>
            <w:r w:rsidRPr="00D3702F">
              <w:rPr>
                <w:rFonts w:ascii="Cambria" w:eastAsia="Times New Roman" w:hAnsi="Cambria" w:cs="Times New Roman"/>
                <w:i/>
                <w:iCs/>
                <w:color w:val="000000"/>
                <w:sz w:val="20"/>
                <w:szCs w:val="20"/>
              </w:rPr>
              <w:t>t</w:t>
            </w:r>
            <w:r w:rsidRPr="00D3702F">
              <w:rPr>
                <w:rFonts w:ascii="Cambria" w:eastAsia="Times New Roman" w:hAnsi="Cambria" w:cs="Times New Roman"/>
                <w:color w:val="000000"/>
                <w:sz w:val="20"/>
                <w:szCs w:val="20"/>
              </w:rPr>
              <w:t>))</w:t>
            </w:r>
          </w:p>
        </w:tc>
        <w:tc>
          <w:tcPr>
            <w:tcW w:w="1062" w:type="dxa"/>
            <w:tcBorders>
              <w:top w:val="single" w:sz="4" w:space="0" w:color="auto"/>
              <w:left w:val="nil"/>
              <w:bottom w:val="single" w:sz="4" w:space="0" w:color="auto"/>
              <w:right w:val="nil"/>
            </w:tcBorders>
            <w:shd w:val="clear" w:color="auto" w:fill="auto"/>
            <w:noWrap/>
            <w:vAlign w:val="center"/>
            <w:hideMark/>
          </w:tcPr>
          <w:p w14:paraId="12AFBD47" w14:textId="77777777" w:rsidR="0080313D" w:rsidRPr="00D3702F" w:rsidRDefault="0080313D" w:rsidP="0080313D">
            <w:pPr>
              <w:spacing w:after="0" w:line="240" w:lineRule="auto"/>
              <w:jc w:val="center"/>
              <w:rPr>
                <w:rFonts w:ascii="Cambria" w:eastAsia="Times New Roman" w:hAnsi="Cambria" w:cs="Times New Roman"/>
                <w:i/>
                <w:iCs/>
                <w:color w:val="000000"/>
                <w:sz w:val="20"/>
                <w:szCs w:val="20"/>
              </w:rPr>
            </w:pPr>
            <w:r w:rsidRPr="00D3702F">
              <w:rPr>
                <w:rFonts w:ascii="Cambria" w:eastAsia="Times New Roman" w:hAnsi="Cambria" w:cs="Times New Roman"/>
                <w:i/>
                <w:iCs/>
                <w:color w:val="000000"/>
                <w:sz w:val="20"/>
                <w:szCs w:val="20"/>
              </w:rPr>
              <w:t>h</w:t>
            </w:r>
            <w:r w:rsidRPr="00D3702F">
              <w:rPr>
                <w:rFonts w:ascii="Cambria" w:eastAsia="Times New Roman" w:hAnsi="Cambria" w:cs="Times New Roman"/>
                <w:color w:val="000000"/>
                <w:sz w:val="20"/>
                <w:szCs w:val="20"/>
              </w:rPr>
              <w:t>(</w:t>
            </w:r>
            <w:r w:rsidRPr="00D3702F">
              <w:rPr>
                <w:rFonts w:ascii="Cambria" w:eastAsia="Times New Roman" w:hAnsi="Cambria" w:cs="Times New Roman"/>
                <w:i/>
                <w:iCs/>
                <w:color w:val="000000"/>
                <w:sz w:val="20"/>
                <w:szCs w:val="20"/>
              </w:rPr>
              <w:t>t</w:t>
            </w:r>
            <w:r w:rsidRPr="00D3702F">
              <w:rPr>
                <w:rFonts w:ascii="Cambria" w:eastAsia="Times New Roman" w:hAnsi="Cambria" w:cs="Times New Roman"/>
                <w:color w:val="000000"/>
                <w:sz w:val="20"/>
                <w:szCs w:val="20"/>
              </w:rPr>
              <w:t>)</w:t>
            </w:r>
          </w:p>
        </w:tc>
      </w:tr>
      <w:tr w:rsidR="0080313D" w:rsidRPr="0080313D" w14:paraId="1AF4A888" w14:textId="77777777" w:rsidTr="0080313D">
        <w:trPr>
          <w:trHeight w:val="300"/>
        </w:trPr>
        <w:tc>
          <w:tcPr>
            <w:tcW w:w="3040" w:type="dxa"/>
            <w:tcBorders>
              <w:top w:val="nil"/>
              <w:left w:val="nil"/>
              <w:bottom w:val="nil"/>
              <w:right w:val="nil"/>
            </w:tcBorders>
            <w:shd w:val="clear" w:color="auto" w:fill="auto"/>
            <w:noWrap/>
            <w:vAlign w:val="center"/>
            <w:hideMark/>
          </w:tcPr>
          <w:p w14:paraId="57F1A960"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Profitable (PMM)</w:t>
            </w:r>
          </w:p>
        </w:tc>
        <w:tc>
          <w:tcPr>
            <w:tcW w:w="1386" w:type="dxa"/>
            <w:tcBorders>
              <w:top w:val="nil"/>
              <w:left w:val="nil"/>
              <w:bottom w:val="nil"/>
              <w:right w:val="nil"/>
            </w:tcBorders>
            <w:shd w:val="clear" w:color="auto" w:fill="auto"/>
            <w:noWrap/>
            <w:vAlign w:val="center"/>
            <w:hideMark/>
          </w:tcPr>
          <w:p w14:paraId="6CFBAF0D"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Loss</w:t>
            </w:r>
          </w:p>
        </w:tc>
        <w:tc>
          <w:tcPr>
            <w:tcW w:w="1300" w:type="dxa"/>
            <w:tcBorders>
              <w:top w:val="nil"/>
              <w:left w:val="nil"/>
              <w:bottom w:val="nil"/>
              <w:right w:val="nil"/>
            </w:tcBorders>
            <w:shd w:val="clear" w:color="auto" w:fill="auto"/>
            <w:noWrap/>
            <w:vAlign w:val="center"/>
            <w:hideMark/>
          </w:tcPr>
          <w:p w14:paraId="0E776423"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w:t>
            </w:r>
          </w:p>
        </w:tc>
        <w:tc>
          <w:tcPr>
            <w:tcW w:w="1376" w:type="dxa"/>
            <w:tcBorders>
              <w:top w:val="nil"/>
              <w:left w:val="nil"/>
              <w:bottom w:val="nil"/>
              <w:right w:val="nil"/>
            </w:tcBorders>
            <w:shd w:val="clear" w:color="auto" w:fill="auto"/>
            <w:noWrap/>
            <w:vAlign w:val="center"/>
            <w:hideMark/>
          </w:tcPr>
          <w:p w14:paraId="15494119"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0.841</w:t>
            </w:r>
          </w:p>
        </w:tc>
        <w:tc>
          <w:tcPr>
            <w:tcW w:w="1224" w:type="dxa"/>
            <w:tcBorders>
              <w:top w:val="nil"/>
              <w:left w:val="nil"/>
              <w:bottom w:val="nil"/>
              <w:right w:val="nil"/>
            </w:tcBorders>
            <w:shd w:val="clear" w:color="auto" w:fill="auto"/>
            <w:noWrap/>
            <w:vAlign w:val="center"/>
            <w:hideMark/>
          </w:tcPr>
          <w:p w14:paraId="36532045"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2.318</w:t>
            </w:r>
          </w:p>
        </w:tc>
        <w:tc>
          <w:tcPr>
            <w:tcW w:w="1538" w:type="dxa"/>
            <w:tcBorders>
              <w:top w:val="nil"/>
              <w:left w:val="nil"/>
              <w:bottom w:val="nil"/>
              <w:right w:val="nil"/>
            </w:tcBorders>
            <w:shd w:val="clear" w:color="auto" w:fill="auto"/>
            <w:noWrap/>
            <w:vAlign w:val="bottom"/>
            <w:hideMark/>
          </w:tcPr>
          <w:p w14:paraId="2E09B5C8"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-11.816</w:t>
            </w:r>
          </w:p>
        </w:tc>
        <w:tc>
          <w:tcPr>
            <w:tcW w:w="1062" w:type="dxa"/>
            <w:tcBorders>
              <w:top w:val="nil"/>
              <w:left w:val="nil"/>
              <w:bottom w:val="nil"/>
              <w:right w:val="nil"/>
            </w:tcBorders>
            <w:shd w:val="clear" w:color="auto" w:fill="auto"/>
            <w:noWrap/>
            <w:vAlign w:val="bottom"/>
            <w:hideMark/>
          </w:tcPr>
          <w:p w14:paraId="458F94C5"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0.000</w:t>
            </w:r>
          </w:p>
        </w:tc>
        <w:tc>
          <w:tcPr>
            <w:tcW w:w="1538" w:type="dxa"/>
            <w:tcBorders>
              <w:top w:val="nil"/>
              <w:left w:val="nil"/>
              <w:bottom w:val="nil"/>
              <w:right w:val="nil"/>
            </w:tcBorders>
            <w:shd w:val="clear" w:color="auto" w:fill="auto"/>
            <w:noWrap/>
            <w:vAlign w:val="bottom"/>
            <w:hideMark/>
          </w:tcPr>
          <w:p w14:paraId="304B1E9C"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-10.897</w:t>
            </w:r>
          </w:p>
        </w:tc>
        <w:tc>
          <w:tcPr>
            <w:tcW w:w="1062" w:type="dxa"/>
            <w:tcBorders>
              <w:top w:val="nil"/>
              <w:left w:val="nil"/>
              <w:bottom w:val="nil"/>
              <w:right w:val="nil"/>
            </w:tcBorders>
            <w:shd w:val="clear" w:color="auto" w:fill="auto"/>
            <w:noWrap/>
            <w:vAlign w:val="bottom"/>
            <w:hideMark/>
          </w:tcPr>
          <w:p w14:paraId="4CE226BB"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0.000</w:t>
            </w:r>
          </w:p>
        </w:tc>
      </w:tr>
      <w:tr w:rsidR="0080313D" w:rsidRPr="0080313D" w14:paraId="04BA4045" w14:textId="77777777" w:rsidTr="0080313D">
        <w:trPr>
          <w:trHeight w:val="300"/>
        </w:trPr>
        <w:tc>
          <w:tcPr>
            <w:tcW w:w="3040" w:type="dxa"/>
            <w:tcBorders>
              <w:top w:val="nil"/>
              <w:left w:val="nil"/>
              <w:bottom w:val="nil"/>
              <w:right w:val="nil"/>
            </w:tcBorders>
            <w:shd w:val="clear" w:color="auto" w:fill="auto"/>
            <w:noWrap/>
            <w:vAlign w:val="center"/>
            <w:hideMark/>
          </w:tcPr>
          <w:p w14:paraId="36F21FA8"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Profitable (PMM)</w:t>
            </w:r>
          </w:p>
        </w:tc>
        <w:tc>
          <w:tcPr>
            <w:tcW w:w="1386" w:type="dxa"/>
            <w:tcBorders>
              <w:top w:val="nil"/>
              <w:left w:val="nil"/>
              <w:bottom w:val="nil"/>
              <w:right w:val="nil"/>
            </w:tcBorders>
            <w:shd w:val="clear" w:color="auto" w:fill="auto"/>
            <w:noWrap/>
            <w:vAlign w:val="center"/>
            <w:hideMark/>
          </w:tcPr>
          <w:p w14:paraId="01B536FE"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w:t>
            </w:r>
          </w:p>
        </w:tc>
        <w:tc>
          <w:tcPr>
            <w:tcW w:w="1300" w:type="dxa"/>
            <w:tcBorders>
              <w:top w:val="nil"/>
              <w:left w:val="nil"/>
              <w:bottom w:val="nil"/>
              <w:right w:val="nil"/>
            </w:tcBorders>
            <w:shd w:val="clear" w:color="auto" w:fill="auto"/>
            <w:noWrap/>
            <w:vAlign w:val="center"/>
            <w:hideMark/>
          </w:tcPr>
          <w:p w14:paraId="200B6247"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Loss</w:t>
            </w:r>
          </w:p>
        </w:tc>
        <w:tc>
          <w:tcPr>
            <w:tcW w:w="1376" w:type="dxa"/>
            <w:tcBorders>
              <w:top w:val="nil"/>
              <w:left w:val="nil"/>
              <w:bottom w:val="nil"/>
              <w:right w:val="nil"/>
            </w:tcBorders>
            <w:shd w:val="clear" w:color="auto" w:fill="auto"/>
            <w:noWrap/>
            <w:vAlign w:val="center"/>
            <w:hideMark/>
          </w:tcPr>
          <w:p w14:paraId="6FC5F384"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2.019</w:t>
            </w:r>
          </w:p>
        </w:tc>
        <w:tc>
          <w:tcPr>
            <w:tcW w:w="1224" w:type="dxa"/>
            <w:tcBorders>
              <w:top w:val="nil"/>
              <w:left w:val="nil"/>
              <w:bottom w:val="nil"/>
              <w:right w:val="nil"/>
            </w:tcBorders>
            <w:shd w:val="clear" w:color="auto" w:fill="auto"/>
            <w:noWrap/>
            <w:vAlign w:val="center"/>
            <w:hideMark/>
          </w:tcPr>
          <w:p w14:paraId="181C08DD"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7.529</w:t>
            </w:r>
          </w:p>
        </w:tc>
        <w:tc>
          <w:tcPr>
            <w:tcW w:w="1538" w:type="dxa"/>
            <w:tcBorders>
              <w:top w:val="nil"/>
              <w:left w:val="nil"/>
              <w:bottom w:val="nil"/>
              <w:right w:val="nil"/>
            </w:tcBorders>
            <w:shd w:val="clear" w:color="auto" w:fill="auto"/>
            <w:noWrap/>
            <w:vAlign w:val="bottom"/>
            <w:hideMark/>
          </w:tcPr>
          <w:p w14:paraId="068CCE25"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0.595</w:t>
            </w:r>
          </w:p>
        </w:tc>
        <w:tc>
          <w:tcPr>
            <w:tcW w:w="1062" w:type="dxa"/>
            <w:tcBorders>
              <w:top w:val="nil"/>
              <w:left w:val="nil"/>
              <w:bottom w:val="nil"/>
              <w:right w:val="nil"/>
            </w:tcBorders>
            <w:shd w:val="clear" w:color="auto" w:fill="auto"/>
            <w:noWrap/>
            <w:vAlign w:val="bottom"/>
            <w:hideMark/>
          </w:tcPr>
          <w:p w14:paraId="62CD1C55"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1.813</w:t>
            </w:r>
          </w:p>
        </w:tc>
        <w:tc>
          <w:tcPr>
            <w:tcW w:w="1538" w:type="dxa"/>
            <w:tcBorders>
              <w:top w:val="nil"/>
              <w:left w:val="nil"/>
              <w:bottom w:val="nil"/>
              <w:right w:val="nil"/>
            </w:tcBorders>
            <w:shd w:val="clear" w:color="auto" w:fill="auto"/>
            <w:noWrap/>
            <w:vAlign w:val="bottom"/>
            <w:hideMark/>
          </w:tcPr>
          <w:p w14:paraId="71C4E03D"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0.337</w:t>
            </w:r>
          </w:p>
        </w:tc>
        <w:tc>
          <w:tcPr>
            <w:tcW w:w="1062" w:type="dxa"/>
            <w:tcBorders>
              <w:top w:val="nil"/>
              <w:left w:val="nil"/>
              <w:bottom w:val="nil"/>
              <w:right w:val="nil"/>
            </w:tcBorders>
            <w:shd w:val="clear" w:color="auto" w:fill="auto"/>
            <w:noWrap/>
            <w:vAlign w:val="bottom"/>
            <w:hideMark/>
          </w:tcPr>
          <w:p w14:paraId="28DB6B90"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1.401</w:t>
            </w:r>
          </w:p>
        </w:tc>
      </w:tr>
      <w:tr w:rsidR="0080313D" w:rsidRPr="0080313D" w14:paraId="37473E97" w14:textId="77777777" w:rsidTr="0080313D">
        <w:trPr>
          <w:trHeight w:val="300"/>
        </w:trPr>
        <w:tc>
          <w:tcPr>
            <w:tcW w:w="3040" w:type="dxa"/>
            <w:tcBorders>
              <w:top w:val="nil"/>
              <w:left w:val="nil"/>
              <w:bottom w:val="nil"/>
              <w:right w:val="nil"/>
            </w:tcBorders>
            <w:shd w:val="clear" w:color="auto" w:fill="auto"/>
            <w:noWrap/>
            <w:vAlign w:val="center"/>
            <w:hideMark/>
          </w:tcPr>
          <w:p w14:paraId="78403915"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Unprofitable (NMM)</w:t>
            </w:r>
          </w:p>
        </w:tc>
        <w:tc>
          <w:tcPr>
            <w:tcW w:w="1386" w:type="dxa"/>
            <w:tcBorders>
              <w:top w:val="nil"/>
              <w:left w:val="nil"/>
              <w:bottom w:val="nil"/>
              <w:right w:val="nil"/>
            </w:tcBorders>
            <w:shd w:val="clear" w:color="auto" w:fill="auto"/>
            <w:noWrap/>
            <w:vAlign w:val="center"/>
            <w:hideMark/>
          </w:tcPr>
          <w:p w14:paraId="52DAC64D"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Loss</w:t>
            </w:r>
          </w:p>
        </w:tc>
        <w:tc>
          <w:tcPr>
            <w:tcW w:w="1300" w:type="dxa"/>
            <w:tcBorders>
              <w:top w:val="nil"/>
              <w:left w:val="nil"/>
              <w:bottom w:val="nil"/>
              <w:right w:val="nil"/>
            </w:tcBorders>
            <w:shd w:val="clear" w:color="auto" w:fill="auto"/>
            <w:noWrap/>
            <w:vAlign w:val="center"/>
            <w:hideMark/>
          </w:tcPr>
          <w:p w14:paraId="2DF65290"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w:t>
            </w:r>
          </w:p>
        </w:tc>
        <w:tc>
          <w:tcPr>
            <w:tcW w:w="1376" w:type="dxa"/>
            <w:tcBorders>
              <w:top w:val="nil"/>
              <w:left w:val="nil"/>
              <w:bottom w:val="nil"/>
              <w:right w:val="nil"/>
            </w:tcBorders>
            <w:shd w:val="clear" w:color="auto" w:fill="auto"/>
            <w:noWrap/>
            <w:vAlign w:val="center"/>
            <w:hideMark/>
          </w:tcPr>
          <w:p w14:paraId="5DCA28F1"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2.419</w:t>
            </w:r>
          </w:p>
        </w:tc>
        <w:tc>
          <w:tcPr>
            <w:tcW w:w="1224" w:type="dxa"/>
            <w:tcBorders>
              <w:top w:val="nil"/>
              <w:left w:val="nil"/>
              <w:bottom w:val="nil"/>
              <w:right w:val="nil"/>
            </w:tcBorders>
            <w:shd w:val="clear" w:color="auto" w:fill="auto"/>
            <w:noWrap/>
            <w:vAlign w:val="center"/>
            <w:hideMark/>
          </w:tcPr>
          <w:p w14:paraId="2F917C18"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11.237</w:t>
            </w:r>
          </w:p>
        </w:tc>
        <w:tc>
          <w:tcPr>
            <w:tcW w:w="1538" w:type="dxa"/>
            <w:tcBorders>
              <w:top w:val="nil"/>
              <w:left w:val="nil"/>
              <w:bottom w:val="nil"/>
              <w:right w:val="nil"/>
            </w:tcBorders>
            <w:shd w:val="clear" w:color="auto" w:fill="auto"/>
            <w:noWrap/>
            <w:vAlign w:val="bottom"/>
            <w:hideMark/>
          </w:tcPr>
          <w:p w14:paraId="7B5276B0"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1.746</w:t>
            </w:r>
          </w:p>
        </w:tc>
        <w:tc>
          <w:tcPr>
            <w:tcW w:w="1062" w:type="dxa"/>
            <w:tcBorders>
              <w:top w:val="nil"/>
              <w:left w:val="nil"/>
              <w:bottom w:val="nil"/>
              <w:right w:val="nil"/>
            </w:tcBorders>
            <w:shd w:val="clear" w:color="auto" w:fill="auto"/>
            <w:noWrap/>
            <w:vAlign w:val="bottom"/>
            <w:hideMark/>
          </w:tcPr>
          <w:p w14:paraId="25A03334"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5.732</w:t>
            </w:r>
          </w:p>
        </w:tc>
        <w:tc>
          <w:tcPr>
            <w:tcW w:w="1538" w:type="dxa"/>
            <w:tcBorders>
              <w:top w:val="nil"/>
              <w:left w:val="nil"/>
              <w:bottom w:val="nil"/>
              <w:right w:val="nil"/>
            </w:tcBorders>
            <w:shd w:val="clear" w:color="auto" w:fill="auto"/>
            <w:noWrap/>
            <w:vAlign w:val="bottom"/>
            <w:hideMark/>
          </w:tcPr>
          <w:p w14:paraId="0DD90FB6"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1.319</w:t>
            </w:r>
          </w:p>
        </w:tc>
        <w:tc>
          <w:tcPr>
            <w:tcW w:w="1062" w:type="dxa"/>
            <w:tcBorders>
              <w:top w:val="nil"/>
              <w:left w:val="nil"/>
              <w:bottom w:val="nil"/>
              <w:right w:val="nil"/>
            </w:tcBorders>
            <w:shd w:val="clear" w:color="auto" w:fill="auto"/>
            <w:noWrap/>
            <w:vAlign w:val="bottom"/>
            <w:hideMark/>
          </w:tcPr>
          <w:p w14:paraId="5B3C66F9"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3.740</w:t>
            </w:r>
          </w:p>
        </w:tc>
      </w:tr>
      <w:tr w:rsidR="0080313D" w:rsidRPr="0080313D" w14:paraId="4142BA86" w14:textId="77777777" w:rsidTr="0080313D">
        <w:trPr>
          <w:trHeight w:val="300"/>
        </w:trPr>
        <w:tc>
          <w:tcPr>
            <w:tcW w:w="3040" w:type="dxa"/>
            <w:tcBorders>
              <w:top w:val="nil"/>
              <w:left w:val="nil"/>
              <w:bottom w:val="nil"/>
              <w:right w:val="nil"/>
            </w:tcBorders>
            <w:shd w:val="clear" w:color="auto" w:fill="auto"/>
            <w:noWrap/>
            <w:vAlign w:val="center"/>
            <w:hideMark/>
          </w:tcPr>
          <w:p w14:paraId="4339026B"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Unprofitable (NMM)</w:t>
            </w:r>
          </w:p>
        </w:tc>
        <w:tc>
          <w:tcPr>
            <w:tcW w:w="1386" w:type="dxa"/>
            <w:tcBorders>
              <w:top w:val="nil"/>
              <w:left w:val="nil"/>
              <w:bottom w:val="nil"/>
              <w:right w:val="nil"/>
            </w:tcBorders>
            <w:shd w:val="clear" w:color="auto" w:fill="auto"/>
            <w:noWrap/>
            <w:vAlign w:val="center"/>
            <w:hideMark/>
          </w:tcPr>
          <w:p w14:paraId="7D1E9B5C"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w:t>
            </w:r>
          </w:p>
        </w:tc>
        <w:tc>
          <w:tcPr>
            <w:tcW w:w="1300" w:type="dxa"/>
            <w:tcBorders>
              <w:top w:val="nil"/>
              <w:left w:val="nil"/>
              <w:bottom w:val="nil"/>
              <w:right w:val="nil"/>
            </w:tcBorders>
            <w:shd w:val="clear" w:color="auto" w:fill="auto"/>
            <w:noWrap/>
            <w:vAlign w:val="center"/>
            <w:hideMark/>
          </w:tcPr>
          <w:p w14:paraId="1A3B061F"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Loss</w:t>
            </w:r>
          </w:p>
        </w:tc>
        <w:tc>
          <w:tcPr>
            <w:tcW w:w="1376" w:type="dxa"/>
            <w:tcBorders>
              <w:top w:val="nil"/>
              <w:left w:val="nil"/>
              <w:bottom w:val="nil"/>
              <w:right w:val="nil"/>
            </w:tcBorders>
            <w:shd w:val="clear" w:color="auto" w:fill="auto"/>
            <w:noWrap/>
            <w:vAlign w:val="center"/>
            <w:hideMark/>
          </w:tcPr>
          <w:p w14:paraId="656683BD"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2.816</w:t>
            </w:r>
          </w:p>
        </w:tc>
        <w:tc>
          <w:tcPr>
            <w:tcW w:w="1224" w:type="dxa"/>
            <w:tcBorders>
              <w:top w:val="nil"/>
              <w:left w:val="nil"/>
              <w:bottom w:val="nil"/>
              <w:right w:val="nil"/>
            </w:tcBorders>
            <w:shd w:val="clear" w:color="auto" w:fill="auto"/>
            <w:noWrap/>
            <w:vAlign w:val="center"/>
            <w:hideMark/>
          </w:tcPr>
          <w:p w14:paraId="28D8D782"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16.717</w:t>
            </w:r>
          </w:p>
        </w:tc>
        <w:tc>
          <w:tcPr>
            <w:tcW w:w="1538" w:type="dxa"/>
            <w:tcBorders>
              <w:top w:val="nil"/>
              <w:left w:val="nil"/>
              <w:bottom w:val="nil"/>
              <w:right w:val="nil"/>
            </w:tcBorders>
            <w:shd w:val="clear" w:color="auto" w:fill="auto"/>
            <w:noWrap/>
            <w:vAlign w:val="bottom"/>
            <w:hideMark/>
          </w:tcPr>
          <w:p w14:paraId="21D054A5"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1.868</w:t>
            </w:r>
          </w:p>
        </w:tc>
        <w:tc>
          <w:tcPr>
            <w:tcW w:w="1062" w:type="dxa"/>
            <w:tcBorders>
              <w:top w:val="nil"/>
              <w:left w:val="nil"/>
              <w:bottom w:val="nil"/>
              <w:right w:val="nil"/>
            </w:tcBorders>
            <w:shd w:val="clear" w:color="auto" w:fill="auto"/>
            <w:noWrap/>
            <w:vAlign w:val="bottom"/>
            <w:hideMark/>
          </w:tcPr>
          <w:p w14:paraId="504BFD2E"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6.475</w:t>
            </w:r>
          </w:p>
        </w:tc>
        <w:tc>
          <w:tcPr>
            <w:tcW w:w="1538" w:type="dxa"/>
            <w:tcBorders>
              <w:top w:val="nil"/>
              <w:left w:val="nil"/>
              <w:bottom w:val="nil"/>
              <w:right w:val="nil"/>
            </w:tcBorders>
            <w:shd w:val="clear" w:color="auto" w:fill="auto"/>
            <w:noWrap/>
            <w:vAlign w:val="bottom"/>
            <w:hideMark/>
          </w:tcPr>
          <w:p w14:paraId="0E3CB33E"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1.613</w:t>
            </w:r>
          </w:p>
        </w:tc>
        <w:tc>
          <w:tcPr>
            <w:tcW w:w="1062" w:type="dxa"/>
            <w:tcBorders>
              <w:top w:val="nil"/>
              <w:left w:val="nil"/>
              <w:bottom w:val="nil"/>
              <w:right w:val="nil"/>
            </w:tcBorders>
            <w:shd w:val="clear" w:color="auto" w:fill="auto"/>
            <w:noWrap/>
            <w:vAlign w:val="bottom"/>
            <w:hideMark/>
          </w:tcPr>
          <w:p w14:paraId="49B509B8"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5.018</w:t>
            </w:r>
          </w:p>
        </w:tc>
      </w:tr>
      <w:tr w:rsidR="0080313D" w:rsidRPr="0080313D" w14:paraId="1A3A4F57" w14:textId="77777777" w:rsidTr="0080313D">
        <w:trPr>
          <w:trHeight w:val="300"/>
        </w:trPr>
        <w:tc>
          <w:tcPr>
            <w:tcW w:w="3040" w:type="dxa"/>
            <w:tcBorders>
              <w:top w:val="nil"/>
              <w:left w:val="nil"/>
              <w:bottom w:val="nil"/>
              <w:right w:val="nil"/>
            </w:tcBorders>
            <w:shd w:val="clear" w:color="auto" w:fill="auto"/>
            <w:noWrap/>
            <w:vAlign w:val="center"/>
            <w:hideMark/>
          </w:tcPr>
          <w:p w14:paraId="37FA88FD"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Profitable (PMM)</w:t>
            </w:r>
          </w:p>
        </w:tc>
        <w:tc>
          <w:tcPr>
            <w:tcW w:w="1386" w:type="dxa"/>
            <w:tcBorders>
              <w:top w:val="nil"/>
              <w:left w:val="nil"/>
              <w:bottom w:val="nil"/>
              <w:right w:val="nil"/>
            </w:tcBorders>
            <w:shd w:val="clear" w:color="auto" w:fill="auto"/>
            <w:noWrap/>
            <w:vAlign w:val="center"/>
            <w:hideMark/>
          </w:tcPr>
          <w:p w14:paraId="21661160"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Loss</w:t>
            </w:r>
          </w:p>
        </w:tc>
        <w:tc>
          <w:tcPr>
            <w:tcW w:w="1300" w:type="dxa"/>
            <w:tcBorders>
              <w:top w:val="nil"/>
              <w:left w:val="nil"/>
              <w:bottom w:val="nil"/>
              <w:right w:val="nil"/>
            </w:tcBorders>
            <w:shd w:val="clear" w:color="auto" w:fill="auto"/>
            <w:noWrap/>
            <w:vAlign w:val="center"/>
            <w:hideMark/>
          </w:tcPr>
          <w:p w14:paraId="63B563F1"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Loss</w:t>
            </w:r>
          </w:p>
        </w:tc>
        <w:tc>
          <w:tcPr>
            <w:tcW w:w="1376" w:type="dxa"/>
            <w:tcBorders>
              <w:top w:val="nil"/>
              <w:left w:val="nil"/>
              <w:bottom w:val="nil"/>
              <w:right w:val="nil"/>
            </w:tcBorders>
            <w:shd w:val="clear" w:color="auto" w:fill="auto"/>
            <w:noWrap/>
            <w:vAlign w:val="center"/>
            <w:hideMark/>
          </w:tcPr>
          <w:p w14:paraId="40C80D1C"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1.798</w:t>
            </w:r>
          </w:p>
        </w:tc>
        <w:tc>
          <w:tcPr>
            <w:tcW w:w="1224" w:type="dxa"/>
            <w:tcBorders>
              <w:top w:val="nil"/>
              <w:left w:val="nil"/>
              <w:bottom w:val="nil"/>
              <w:right w:val="nil"/>
            </w:tcBorders>
            <w:shd w:val="clear" w:color="auto" w:fill="auto"/>
            <w:noWrap/>
            <w:vAlign w:val="center"/>
            <w:hideMark/>
          </w:tcPr>
          <w:p w14:paraId="55ABCEFA"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6.036</w:t>
            </w:r>
          </w:p>
        </w:tc>
        <w:tc>
          <w:tcPr>
            <w:tcW w:w="1538" w:type="dxa"/>
            <w:tcBorders>
              <w:top w:val="nil"/>
              <w:left w:val="nil"/>
              <w:bottom w:val="nil"/>
              <w:right w:val="nil"/>
            </w:tcBorders>
            <w:shd w:val="clear" w:color="auto" w:fill="auto"/>
            <w:noWrap/>
            <w:vAlign w:val="bottom"/>
            <w:hideMark/>
          </w:tcPr>
          <w:p w14:paraId="3B302490"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1.216</w:t>
            </w:r>
          </w:p>
        </w:tc>
        <w:tc>
          <w:tcPr>
            <w:tcW w:w="1062" w:type="dxa"/>
            <w:tcBorders>
              <w:top w:val="nil"/>
              <w:left w:val="nil"/>
              <w:bottom w:val="nil"/>
              <w:right w:val="nil"/>
            </w:tcBorders>
            <w:shd w:val="clear" w:color="auto" w:fill="auto"/>
            <w:noWrap/>
            <w:vAlign w:val="bottom"/>
            <w:hideMark/>
          </w:tcPr>
          <w:p w14:paraId="40F776B0"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3.374</w:t>
            </w:r>
          </w:p>
        </w:tc>
        <w:tc>
          <w:tcPr>
            <w:tcW w:w="1538" w:type="dxa"/>
            <w:tcBorders>
              <w:top w:val="nil"/>
              <w:left w:val="nil"/>
              <w:bottom w:val="nil"/>
              <w:right w:val="nil"/>
            </w:tcBorders>
            <w:shd w:val="clear" w:color="auto" w:fill="auto"/>
            <w:noWrap/>
            <w:vAlign w:val="bottom"/>
            <w:hideMark/>
          </w:tcPr>
          <w:p w14:paraId="709117A0"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-11.040</w:t>
            </w:r>
          </w:p>
        </w:tc>
        <w:tc>
          <w:tcPr>
            <w:tcW w:w="1062" w:type="dxa"/>
            <w:tcBorders>
              <w:top w:val="nil"/>
              <w:left w:val="nil"/>
              <w:bottom w:val="nil"/>
              <w:right w:val="nil"/>
            </w:tcBorders>
            <w:shd w:val="clear" w:color="auto" w:fill="auto"/>
            <w:noWrap/>
            <w:vAlign w:val="bottom"/>
            <w:hideMark/>
          </w:tcPr>
          <w:p w14:paraId="09443F3A"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0.000</w:t>
            </w:r>
          </w:p>
        </w:tc>
      </w:tr>
      <w:tr w:rsidR="0080313D" w:rsidRPr="0080313D" w14:paraId="6C70AFE5" w14:textId="77777777" w:rsidTr="0080313D">
        <w:trPr>
          <w:trHeight w:val="300"/>
        </w:trPr>
        <w:tc>
          <w:tcPr>
            <w:tcW w:w="3040" w:type="dxa"/>
            <w:tcBorders>
              <w:top w:val="nil"/>
              <w:left w:val="nil"/>
              <w:bottom w:val="nil"/>
              <w:right w:val="nil"/>
            </w:tcBorders>
            <w:shd w:val="clear" w:color="auto" w:fill="auto"/>
            <w:noWrap/>
            <w:vAlign w:val="center"/>
            <w:hideMark/>
          </w:tcPr>
          <w:p w14:paraId="4A028A15"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Unprofitable (NMM)</w:t>
            </w:r>
          </w:p>
        </w:tc>
        <w:tc>
          <w:tcPr>
            <w:tcW w:w="1386" w:type="dxa"/>
            <w:tcBorders>
              <w:top w:val="nil"/>
              <w:left w:val="nil"/>
              <w:bottom w:val="nil"/>
              <w:right w:val="nil"/>
            </w:tcBorders>
            <w:shd w:val="clear" w:color="auto" w:fill="auto"/>
            <w:noWrap/>
            <w:vAlign w:val="center"/>
            <w:hideMark/>
          </w:tcPr>
          <w:p w14:paraId="5E781A6C"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Loss</w:t>
            </w:r>
          </w:p>
        </w:tc>
        <w:tc>
          <w:tcPr>
            <w:tcW w:w="1300" w:type="dxa"/>
            <w:tcBorders>
              <w:top w:val="nil"/>
              <w:left w:val="nil"/>
              <w:bottom w:val="nil"/>
              <w:right w:val="nil"/>
            </w:tcBorders>
            <w:shd w:val="clear" w:color="auto" w:fill="auto"/>
            <w:noWrap/>
            <w:vAlign w:val="center"/>
            <w:hideMark/>
          </w:tcPr>
          <w:p w14:paraId="409A966C"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Loss</w:t>
            </w:r>
          </w:p>
        </w:tc>
        <w:tc>
          <w:tcPr>
            <w:tcW w:w="1376" w:type="dxa"/>
            <w:tcBorders>
              <w:top w:val="nil"/>
              <w:left w:val="nil"/>
              <w:bottom w:val="nil"/>
              <w:right w:val="nil"/>
            </w:tcBorders>
            <w:shd w:val="clear" w:color="auto" w:fill="auto"/>
            <w:noWrap/>
            <w:vAlign w:val="center"/>
            <w:hideMark/>
          </w:tcPr>
          <w:p w14:paraId="05898A60"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2.280</w:t>
            </w:r>
          </w:p>
        </w:tc>
        <w:tc>
          <w:tcPr>
            <w:tcW w:w="1224" w:type="dxa"/>
            <w:tcBorders>
              <w:top w:val="nil"/>
              <w:left w:val="nil"/>
              <w:bottom w:val="nil"/>
              <w:right w:val="nil"/>
            </w:tcBorders>
            <w:shd w:val="clear" w:color="auto" w:fill="auto"/>
            <w:noWrap/>
            <w:vAlign w:val="center"/>
            <w:hideMark/>
          </w:tcPr>
          <w:p w14:paraId="088E2FE3"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9.775</w:t>
            </w:r>
          </w:p>
        </w:tc>
        <w:tc>
          <w:tcPr>
            <w:tcW w:w="1538" w:type="dxa"/>
            <w:tcBorders>
              <w:top w:val="nil"/>
              <w:left w:val="nil"/>
              <w:bottom w:val="nil"/>
              <w:right w:val="nil"/>
            </w:tcBorders>
            <w:shd w:val="clear" w:color="auto" w:fill="auto"/>
            <w:noWrap/>
            <w:vAlign w:val="bottom"/>
            <w:hideMark/>
          </w:tcPr>
          <w:p w14:paraId="51CFD4FB"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1.809</w:t>
            </w:r>
          </w:p>
        </w:tc>
        <w:tc>
          <w:tcPr>
            <w:tcW w:w="1062" w:type="dxa"/>
            <w:tcBorders>
              <w:top w:val="nil"/>
              <w:left w:val="nil"/>
              <w:bottom w:val="nil"/>
              <w:right w:val="nil"/>
            </w:tcBorders>
            <w:shd w:val="clear" w:color="auto" w:fill="auto"/>
            <w:noWrap/>
            <w:vAlign w:val="bottom"/>
            <w:hideMark/>
          </w:tcPr>
          <w:p w14:paraId="2D2A7FE5"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6.104</w:t>
            </w:r>
          </w:p>
        </w:tc>
        <w:tc>
          <w:tcPr>
            <w:tcW w:w="1538" w:type="dxa"/>
            <w:tcBorders>
              <w:top w:val="nil"/>
              <w:left w:val="nil"/>
              <w:bottom w:val="nil"/>
              <w:right w:val="nil"/>
            </w:tcBorders>
            <w:shd w:val="clear" w:color="auto" w:fill="auto"/>
            <w:noWrap/>
            <w:vAlign w:val="bottom"/>
            <w:hideMark/>
          </w:tcPr>
          <w:p w14:paraId="52793E72"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1.486</w:t>
            </w:r>
          </w:p>
        </w:tc>
        <w:tc>
          <w:tcPr>
            <w:tcW w:w="1062" w:type="dxa"/>
            <w:tcBorders>
              <w:top w:val="nil"/>
              <w:left w:val="nil"/>
              <w:bottom w:val="nil"/>
              <w:right w:val="nil"/>
            </w:tcBorders>
            <w:shd w:val="clear" w:color="auto" w:fill="auto"/>
            <w:noWrap/>
            <w:vAlign w:val="bottom"/>
            <w:hideMark/>
          </w:tcPr>
          <w:p w14:paraId="105D757B"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4.419</w:t>
            </w:r>
          </w:p>
        </w:tc>
      </w:tr>
      <w:tr w:rsidR="0080313D" w:rsidRPr="0080313D" w14:paraId="55B6F059" w14:textId="77777777" w:rsidTr="0080313D">
        <w:trPr>
          <w:trHeight w:val="300"/>
        </w:trPr>
        <w:tc>
          <w:tcPr>
            <w:tcW w:w="3040" w:type="dxa"/>
            <w:tcBorders>
              <w:top w:val="nil"/>
              <w:left w:val="nil"/>
              <w:bottom w:val="nil"/>
              <w:right w:val="nil"/>
            </w:tcBorders>
            <w:shd w:val="clear" w:color="auto" w:fill="auto"/>
            <w:noWrap/>
            <w:vAlign w:val="center"/>
            <w:hideMark/>
          </w:tcPr>
          <w:p w14:paraId="3A18D795"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Profitable (PMM)</w:t>
            </w:r>
          </w:p>
        </w:tc>
        <w:tc>
          <w:tcPr>
            <w:tcW w:w="1386" w:type="dxa"/>
            <w:tcBorders>
              <w:top w:val="nil"/>
              <w:left w:val="nil"/>
              <w:bottom w:val="nil"/>
              <w:right w:val="nil"/>
            </w:tcBorders>
            <w:shd w:val="clear" w:color="auto" w:fill="auto"/>
            <w:noWrap/>
            <w:vAlign w:val="center"/>
            <w:hideMark/>
          </w:tcPr>
          <w:p w14:paraId="66133E7A"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w:t>
            </w:r>
          </w:p>
        </w:tc>
        <w:tc>
          <w:tcPr>
            <w:tcW w:w="1300" w:type="dxa"/>
            <w:tcBorders>
              <w:top w:val="nil"/>
              <w:left w:val="nil"/>
              <w:bottom w:val="nil"/>
              <w:right w:val="nil"/>
            </w:tcBorders>
            <w:shd w:val="clear" w:color="auto" w:fill="auto"/>
            <w:noWrap/>
            <w:vAlign w:val="center"/>
            <w:hideMark/>
          </w:tcPr>
          <w:p w14:paraId="0B50B5E0"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w:t>
            </w:r>
          </w:p>
        </w:tc>
        <w:tc>
          <w:tcPr>
            <w:tcW w:w="1376" w:type="dxa"/>
            <w:tcBorders>
              <w:top w:val="nil"/>
              <w:left w:val="nil"/>
              <w:bottom w:val="nil"/>
              <w:right w:val="nil"/>
            </w:tcBorders>
            <w:shd w:val="clear" w:color="auto" w:fill="auto"/>
            <w:noWrap/>
            <w:vAlign w:val="center"/>
            <w:hideMark/>
          </w:tcPr>
          <w:p w14:paraId="325E06E7"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-0.482</w:t>
            </w:r>
          </w:p>
        </w:tc>
        <w:tc>
          <w:tcPr>
            <w:tcW w:w="1224" w:type="dxa"/>
            <w:tcBorders>
              <w:top w:val="nil"/>
              <w:left w:val="nil"/>
              <w:bottom w:val="nil"/>
              <w:right w:val="nil"/>
            </w:tcBorders>
            <w:shd w:val="clear" w:color="auto" w:fill="auto"/>
            <w:noWrap/>
            <w:vAlign w:val="center"/>
            <w:hideMark/>
          </w:tcPr>
          <w:p w14:paraId="5C3B8C0E"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0.618</w:t>
            </w:r>
          </w:p>
        </w:tc>
        <w:tc>
          <w:tcPr>
            <w:tcW w:w="1538" w:type="dxa"/>
            <w:tcBorders>
              <w:top w:val="nil"/>
              <w:left w:val="nil"/>
              <w:bottom w:val="nil"/>
              <w:right w:val="nil"/>
            </w:tcBorders>
            <w:shd w:val="clear" w:color="auto" w:fill="auto"/>
            <w:noWrap/>
            <w:vAlign w:val="bottom"/>
            <w:hideMark/>
          </w:tcPr>
          <w:p w14:paraId="7378E181"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-0.593</w:t>
            </w:r>
          </w:p>
        </w:tc>
        <w:tc>
          <w:tcPr>
            <w:tcW w:w="1062" w:type="dxa"/>
            <w:tcBorders>
              <w:top w:val="nil"/>
              <w:left w:val="nil"/>
              <w:bottom w:val="nil"/>
              <w:right w:val="nil"/>
            </w:tcBorders>
            <w:shd w:val="clear" w:color="auto" w:fill="auto"/>
            <w:noWrap/>
            <w:vAlign w:val="bottom"/>
            <w:hideMark/>
          </w:tcPr>
          <w:p w14:paraId="7F700BB1"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0.553</w:t>
            </w:r>
          </w:p>
        </w:tc>
        <w:tc>
          <w:tcPr>
            <w:tcW w:w="1538" w:type="dxa"/>
            <w:tcBorders>
              <w:top w:val="nil"/>
              <w:left w:val="nil"/>
              <w:bottom w:val="nil"/>
              <w:right w:val="nil"/>
            </w:tcBorders>
            <w:shd w:val="clear" w:color="auto" w:fill="auto"/>
            <w:noWrap/>
            <w:vAlign w:val="bottom"/>
            <w:hideMark/>
          </w:tcPr>
          <w:p w14:paraId="087D92FE"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-12.526</w:t>
            </w:r>
          </w:p>
        </w:tc>
        <w:tc>
          <w:tcPr>
            <w:tcW w:w="1062" w:type="dxa"/>
            <w:tcBorders>
              <w:top w:val="nil"/>
              <w:left w:val="nil"/>
              <w:bottom w:val="nil"/>
              <w:right w:val="nil"/>
            </w:tcBorders>
            <w:shd w:val="clear" w:color="auto" w:fill="auto"/>
            <w:noWrap/>
            <w:vAlign w:val="bottom"/>
            <w:hideMark/>
          </w:tcPr>
          <w:p w14:paraId="547CE055"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0.000</w:t>
            </w:r>
          </w:p>
        </w:tc>
      </w:tr>
      <w:tr w:rsidR="0080313D" w:rsidRPr="0080313D" w14:paraId="3BFFBE5B" w14:textId="77777777" w:rsidTr="0080313D">
        <w:trPr>
          <w:trHeight w:val="300"/>
        </w:trPr>
        <w:tc>
          <w:tcPr>
            <w:tcW w:w="3040" w:type="dxa"/>
            <w:tcBorders>
              <w:top w:val="nil"/>
              <w:left w:val="nil"/>
              <w:bottom w:val="single" w:sz="4" w:space="0" w:color="auto"/>
              <w:right w:val="nil"/>
            </w:tcBorders>
            <w:shd w:val="clear" w:color="auto" w:fill="auto"/>
            <w:noWrap/>
            <w:vAlign w:val="center"/>
            <w:hideMark/>
          </w:tcPr>
          <w:p w14:paraId="662F6D82" w14:textId="77777777" w:rsidR="0080313D" w:rsidRPr="0080313D" w:rsidRDefault="0080313D" w:rsidP="0080313D">
            <w:pPr>
              <w:spacing w:after="0" w:line="240" w:lineRule="auto"/>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Unprofitable (NMM; Baseline)</w:t>
            </w:r>
          </w:p>
        </w:tc>
        <w:tc>
          <w:tcPr>
            <w:tcW w:w="1386" w:type="dxa"/>
            <w:tcBorders>
              <w:top w:val="nil"/>
              <w:left w:val="nil"/>
              <w:bottom w:val="single" w:sz="4" w:space="0" w:color="auto"/>
              <w:right w:val="nil"/>
            </w:tcBorders>
            <w:shd w:val="clear" w:color="auto" w:fill="auto"/>
            <w:noWrap/>
            <w:vAlign w:val="center"/>
            <w:hideMark/>
          </w:tcPr>
          <w:p w14:paraId="4488F2A3"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w:t>
            </w:r>
          </w:p>
        </w:tc>
        <w:tc>
          <w:tcPr>
            <w:tcW w:w="1300" w:type="dxa"/>
            <w:tcBorders>
              <w:top w:val="nil"/>
              <w:left w:val="nil"/>
              <w:bottom w:val="single" w:sz="4" w:space="0" w:color="auto"/>
              <w:right w:val="nil"/>
            </w:tcBorders>
            <w:shd w:val="clear" w:color="auto" w:fill="auto"/>
            <w:noWrap/>
            <w:vAlign w:val="center"/>
            <w:hideMark/>
          </w:tcPr>
          <w:p w14:paraId="54D12BF5" w14:textId="77777777" w:rsidR="0080313D" w:rsidRPr="0080313D" w:rsidRDefault="0080313D" w:rsidP="0080313D">
            <w:pPr>
              <w:spacing w:after="0" w:line="240" w:lineRule="auto"/>
              <w:jc w:val="center"/>
              <w:rPr>
                <w:rFonts w:ascii="Cambria" w:eastAsia="Times New Roman" w:hAnsi="Cambria" w:cs="Times New Roman"/>
                <w:color w:val="000000"/>
                <w:sz w:val="20"/>
                <w:szCs w:val="20"/>
              </w:rPr>
            </w:pPr>
            <w:r w:rsidRPr="0080313D">
              <w:rPr>
                <w:rFonts w:ascii="Cambria" w:eastAsia="Times New Roman" w:hAnsi="Cambria" w:cs="Times New Roman"/>
                <w:color w:val="000000"/>
                <w:sz w:val="20"/>
                <w:szCs w:val="20"/>
              </w:rPr>
              <w:t>Profit</w:t>
            </w:r>
          </w:p>
        </w:tc>
        <w:tc>
          <w:tcPr>
            <w:tcW w:w="1376" w:type="dxa"/>
            <w:tcBorders>
              <w:top w:val="nil"/>
              <w:left w:val="nil"/>
              <w:bottom w:val="single" w:sz="4" w:space="0" w:color="auto"/>
              <w:right w:val="nil"/>
            </w:tcBorders>
            <w:shd w:val="clear" w:color="auto" w:fill="auto"/>
            <w:noWrap/>
            <w:vAlign w:val="center"/>
            <w:hideMark/>
          </w:tcPr>
          <w:p w14:paraId="7790408D"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0.000</w:t>
            </w:r>
          </w:p>
        </w:tc>
        <w:tc>
          <w:tcPr>
            <w:tcW w:w="1224" w:type="dxa"/>
            <w:tcBorders>
              <w:top w:val="nil"/>
              <w:left w:val="nil"/>
              <w:bottom w:val="single" w:sz="4" w:space="0" w:color="auto"/>
              <w:right w:val="nil"/>
            </w:tcBorders>
            <w:shd w:val="clear" w:color="auto" w:fill="auto"/>
            <w:noWrap/>
            <w:vAlign w:val="center"/>
            <w:hideMark/>
          </w:tcPr>
          <w:p w14:paraId="7409464C"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1.000</w:t>
            </w:r>
          </w:p>
        </w:tc>
        <w:tc>
          <w:tcPr>
            <w:tcW w:w="1538" w:type="dxa"/>
            <w:tcBorders>
              <w:top w:val="nil"/>
              <w:left w:val="nil"/>
              <w:bottom w:val="single" w:sz="4" w:space="0" w:color="auto"/>
              <w:right w:val="nil"/>
            </w:tcBorders>
            <w:shd w:val="clear" w:color="auto" w:fill="auto"/>
            <w:noWrap/>
            <w:vAlign w:val="bottom"/>
            <w:hideMark/>
          </w:tcPr>
          <w:p w14:paraId="22DAD32A"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0.000</w:t>
            </w:r>
          </w:p>
        </w:tc>
        <w:tc>
          <w:tcPr>
            <w:tcW w:w="1062" w:type="dxa"/>
            <w:tcBorders>
              <w:top w:val="nil"/>
              <w:left w:val="nil"/>
              <w:bottom w:val="single" w:sz="4" w:space="0" w:color="auto"/>
              <w:right w:val="nil"/>
            </w:tcBorders>
            <w:shd w:val="clear" w:color="auto" w:fill="auto"/>
            <w:noWrap/>
            <w:vAlign w:val="bottom"/>
            <w:hideMark/>
          </w:tcPr>
          <w:p w14:paraId="3FE3A7FB"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1.000</w:t>
            </w:r>
          </w:p>
        </w:tc>
        <w:tc>
          <w:tcPr>
            <w:tcW w:w="1538" w:type="dxa"/>
            <w:tcBorders>
              <w:top w:val="nil"/>
              <w:left w:val="nil"/>
              <w:bottom w:val="single" w:sz="4" w:space="0" w:color="auto"/>
              <w:right w:val="nil"/>
            </w:tcBorders>
            <w:shd w:val="clear" w:color="auto" w:fill="auto"/>
            <w:noWrap/>
            <w:vAlign w:val="bottom"/>
            <w:hideMark/>
          </w:tcPr>
          <w:p w14:paraId="1BB02B17"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0.000</w:t>
            </w:r>
          </w:p>
        </w:tc>
        <w:tc>
          <w:tcPr>
            <w:tcW w:w="1062" w:type="dxa"/>
            <w:tcBorders>
              <w:top w:val="nil"/>
              <w:left w:val="nil"/>
              <w:bottom w:val="single" w:sz="4" w:space="0" w:color="auto"/>
              <w:right w:val="nil"/>
            </w:tcBorders>
            <w:shd w:val="clear" w:color="auto" w:fill="auto"/>
            <w:noWrap/>
            <w:vAlign w:val="bottom"/>
            <w:hideMark/>
          </w:tcPr>
          <w:p w14:paraId="5071E234" w14:textId="77777777" w:rsidR="0080313D" w:rsidRPr="00D3702F" w:rsidRDefault="0080313D" w:rsidP="0080313D">
            <w:pPr>
              <w:spacing w:after="0" w:line="240" w:lineRule="auto"/>
              <w:jc w:val="right"/>
              <w:rPr>
                <w:rFonts w:asciiTheme="majorHAnsi" w:eastAsia="Times New Roman" w:hAnsiTheme="majorHAnsi" w:cs="Times New Roman"/>
                <w:color w:val="000000"/>
              </w:rPr>
            </w:pPr>
            <w:r w:rsidRPr="00D3702F">
              <w:rPr>
                <w:rFonts w:asciiTheme="majorHAnsi" w:eastAsia="Times New Roman" w:hAnsiTheme="majorHAnsi" w:cs="Times New Roman"/>
                <w:color w:val="000000"/>
              </w:rPr>
              <w:t>1.000</w:t>
            </w:r>
          </w:p>
        </w:tc>
      </w:tr>
    </w:tbl>
    <w:p w14:paraId="76C4DCB0" w14:textId="77777777" w:rsidR="0080313D" w:rsidRDefault="0080313D" w:rsidP="0080313D">
      <w:pPr>
        <w:spacing w:after="0" w:line="240" w:lineRule="auto"/>
        <w:rPr>
          <w:rFonts w:asciiTheme="majorHAnsi" w:hAnsiTheme="majorHAnsi"/>
          <w:sz w:val="20"/>
          <w:lang w:val="en-US"/>
        </w:rPr>
      </w:pPr>
    </w:p>
    <w:p w14:paraId="08035819" w14:textId="1845D979" w:rsidR="0080313D" w:rsidRPr="00F333F6" w:rsidRDefault="0080313D" w:rsidP="0080313D">
      <w:pPr>
        <w:spacing w:after="0" w:line="240" w:lineRule="auto"/>
        <w:rPr>
          <w:rFonts w:asciiTheme="majorHAnsi" w:hAnsiTheme="majorHAnsi"/>
          <w:sz w:val="18"/>
          <w:lang w:val="en-US"/>
        </w:rPr>
      </w:pPr>
      <w:r w:rsidRPr="00F333F6">
        <w:rPr>
          <w:rFonts w:asciiTheme="majorHAnsi" w:hAnsiTheme="majorHAnsi"/>
          <w:sz w:val="18"/>
          <w:vertAlign w:val="superscript"/>
          <w:lang w:val="en-US"/>
        </w:rPr>
        <w:t xml:space="preserve">I </w:t>
      </w:r>
      <w:r w:rsidRPr="00F333F6">
        <w:rPr>
          <w:rFonts w:asciiTheme="majorHAnsi" w:hAnsiTheme="majorHAnsi"/>
          <w:sz w:val="18"/>
          <w:lang w:val="en-US"/>
        </w:rPr>
        <w:t xml:space="preserve">Traders </w:t>
      </w:r>
      <w:r w:rsidR="009C5F80">
        <w:rPr>
          <w:rFonts w:asciiTheme="majorHAnsi" w:hAnsiTheme="majorHAnsi"/>
          <w:sz w:val="18"/>
          <w:lang w:val="en-US"/>
        </w:rPr>
        <w:t xml:space="preserve">are </w:t>
      </w:r>
      <w:r w:rsidRPr="00F333F6">
        <w:rPr>
          <w:rFonts w:asciiTheme="majorHAnsi" w:hAnsiTheme="majorHAnsi"/>
          <w:sz w:val="18"/>
          <w:lang w:val="en-US"/>
        </w:rPr>
        <w:t xml:space="preserve">defined as generally profitable (unprofitable) </w:t>
      </w:r>
      <w:r>
        <w:rPr>
          <w:rFonts w:asciiTheme="majorHAnsi" w:hAnsiTheme="majorHAnsi"/>
          <w:sz w:val="18"/>
          <w:lang w:val="en-US"/>
        </w:rPr>
        <w:t>if</w:t>
      </w:r>
      <w:r w:rsidRPr="00F333F6">
        <w:rPr>
          <w:rFonts w:asciiTheme="majorHAnsi" w:hAnsiTheme="majorHAnsi"/>
          <w:sz w:val="18"/>
          <w:lang w:val="en-US"/>
        </w:rPr>
        <w:t xml:space="preserve"> they achieved more (fewer) </w:t>
      </w:r>
      <w:r w:rsidR="00842801">
        <w:rPr>
          <w:rFonts w:asciiTheme="majorHAnsi" w:hAnsiTheme="majorHAnsi"/>
          <w:sz w:val="18"/>
          <w:lang w:val="en-US"/>
        </w:rPr>
        <w:t xml:space="preserve">than 50%, 75% or 90% of </w:t>
      </w:r>
      <w:r w:rsidRPr="00F333F6">
        <w:rPr>
          <w:rFonts w:asciiTheme="majorHAnsi" w:hAnsiTheme="majorHAnsi"/>
          <w:sz w:val="18"/>
          <w:lang w:val="en-US"/>
        </w:rPr>
        <w:t>months</w:t>
      </w:r>
      <w:r w:rsidR="00E167EF" w:rsidRPr="00E167EF">
        <w:rPr>
          <w:rFonts w:asciiTheme="majorHAnsi" w:hAnsiTheme="majorHAnsi"/>
          <w:sz w:val="18"/>
          <w:lang w:val="en-US"/>
        </w:rPr>
        <w:t xml:space="preserve"> </w:t>
      </w:r>
      <w:r w:rsidR="00E167EF" w:rsidRPr="00F333F6">
        <w:rPr>
          <w:rFonts w:asciiTheme="majorHAnsi" w:hAnsiTheme="majorHAnsi"/>
          <w:sz w:val="18"/>
          <w:lang w:val="en-US"/>
        </w:rPr>
        <w:t xml:space="preserve">since </w:t>
      </w:r>
      <w:r w:rsidR="00E167EF">
        <w:rPr>
          <w:rFonts w:asciiTheme="majorHAnsi" w:hAnsiTheme="majorHAnsi"/>
          <w:sz w:val="18"/>
          <w:lang w:val="en-US"/>
        </w:rPr>
        <w:t>commencing</w:t>
      </w:r>
      <w:r w:rsidR="00E167EF" w:rsidRPr="00F333F6">
        <w:rPr>
          <w:rFonts w:asciiTheme="majorHAnsi" w:hAnsiTheme="majorHAnsi"/>
          <w:sz w:val="18"/>
          <w:lang w:val="en-US"/>
        </w:rPr>
        <w:t xml:space="preserve"> trading</w:t>
      </w:r>
      <w:r w:rsidR="00E167EF">
        <w:rPr>
          <w:rFonts w:asciiTheme="majorHAnsi" w:hAnsiTheme="majorHAnsi"/>
          <w:sz w:val="18"/>
          <w:lang w:val="en-US"/>
        </w:rPr>
        <w:t xml:space="preserve"> which</w:t>
      </w:r>
      <w:r w:rsidRPr="00F333F6">
        <w:rPr>
          <w:rFonts w:asciiTheme="majorHAnsi" w:hAnsiTheme="majorHAnsi"/>
          <w:sz w:val="18"/>
          <w:lang w:val="en-US"/>
        </w:rPr>
        <w:t xml:space="preserve"> </w:t>
      </w:r>
      <w:r w:rsidR="00E167EF" w:rsidRPr="00F333F6">
        <w:rPr>
          <w:rFonts w:asciiTheme="majorHAnsi" w:hAnsiTheme="majorHAnsi"/>
          <w:sz w:val="18"/>
          <w:lang w:val="en-US"/>
        </w:rPr>
        <w:t>end</w:t>
      </w:r>
      <w:r w:rsidR="00E167EF">
        <w:rPr>
          <w:rFonts w:asciiTheme="majorHAnsi" w:hAnsiTheme="majorHAnsi"/>
          <w:sz w:val="18"/>
          <w:lang w:val="en-US"/>
        </w:rPr>
        <w:t>ed</w:t>
      </w:r>
      <w:r w:rsidR="00E167EF" w:rsidRPr="00F333F6">
        <w:rPr>
          <w:rFonts w:asciiTheme="majorHAnsi" w:hAnsiTheme="majorHAnsi"/>
          <w:sz w:val="18"/>
          <w:lang w:val="en-US"/>
        </w:rPr>
        <w:t xml:space="preserve"> </w:t>
      </w:r>
      <w:r w:rsidRPr="00F333F6">
        <w:rPr>
          <w:rFonts w:asciiTheme="majorHAnsi" w:hAnsiTheme="majorHAnsi"/>
          <w:sz w:val="18"/>
          <w:lang w:val="en-US"/>
        </w:rPr>
        <w:t>in a positive</w:t>
      </w:r>
      <w:r w:rsidR="009C5F80">
        <w:rPr>
          <w:rFonts w:asciiTheme="majorHAnsi" w:hAnsiTheme="majorHAnsi"/>
          <w:sz w:val="18"/>
          <w:lang w:val="en-US"/>
        </w:rPr>
        <w:t xml:space="preserve"> (negative)</w:t>
      </w:r>
      <w:r w:rsidRPr="00F333F6">
        <w:rPr>
          <w:rFonts w:asciiTheme="majorHAnsi" w:hAnsiTheme="majorHAnsi"/>
          <w:sz w:val="18"/>
          <w:lang w:val="en-US"/>
        </w:rPr>
        <w:t xml:space="preserve"> cumulative return.</w:t>
      </w:r>
      <w:r>
        <w:rPr>
          <w:rFonts w:asciiTheme="majorHAnsi" w:hAnsiTheme="majorHAnsi"/>
          <w:sz w:val="18"/>
          <w:lang w:val="en-US"/>
        </w:rPr>
        <w:t xml:space="preserve"> PMM and NMM refer to the assumption of a more positive and negative mental model, respectively.</w:t>
      </w:r>
    </w:p>
    <w:p w14:paraId="357132D4" w14:textId="77777777" w:rsidR="0080313D" w:rsidRDefault="0080313D" w:rsidP="00326E18">
      <w:pPr>
        <w:spacing w:line="240" w:lineRule="auto"/>
        <w:rPr>
          <w:rFonts w:asciiTheme="majorHAnsi" w:hAnsiTheme="majorHAnsi"/>
          <w:sz w:val="20"/>
          <w:lang w:val="en-US"/>
        </w:rPr>
        <w:sectPr w:rsidR="0080313D" w:rsidSect="0080313D">
          <w:pgSz w:w="16838" w:h="11906" w:orient="landscape"/>
          <w:pgMar w:top="1440" w:right="1440" w:bottom="1440" w:left="1440" w:header="708" w:footer="708" w:gutter="0"/>
          <w:cols w:space="708"/>
          <w:docGrid w:linePitch="360"/>
        </w:sectPr>
      </w:pPr>
    </w:p>
    <w:p w14:paraId="6615A71C" w14:textId="67B8BE80" w:rsidR="0080313D" w:rsidRPr="00277D3E" w:rsidRDefault="0080313D" w:rsidP="00326E18">
      <w:pPr>
        <w:spacing w:line="240" w:lineRule="auto"/>
        <w:rPr>
          <w:rFonts w:asciiTheme="majorHAnsi" w:hAnsiTheme="majorHAnsi"/>
          <w:sz w:val="20"/>
          <w:lang w:val="en-US"/>
        </w:rPr>
      </w:pPr>
    </w:p>
    <w:p w14:paraId="3CA9D29D" w14:textId="035759B4" w:rsidR="0016286A" w:rsidRDefault="00606084" w:rsidP="00275768">
      <w:pPr>
        <w:rPr>
          <w:noProof/>
          <w:lang w:eastAsia="en-GB"/>
        </w:rPr>
      </w:pPr>
      <w:r>
        <w:rPr>
          <w:rFonts w:ascii="Helvetica" w:hAnsi="Helvetica" w:cs="Helvetica"/>
          <w:noProof/>
          <w:sz w:val="24"/>
          <w:szCs w:val="24"/>
          <w:lang w:eastAsia="en-GB"/>
        </w:rPr>
        <w:drawing>
          <wp:inline distT="0" distB="0" distL="0" distR="0" wp14:anchorId="37EC9011" wp14:editId="56A9C3B3">
            <wp:extent cx="5731510" cy="4622149"/>
            <wp:effectExtent l="0" t="0" r="8890" b="127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622149"/>
                    </a:xfrm>
                    <a:prstGeom prst="rect">
                      <a:avLst/>
                    </a:prstGeom>
                    <a:noFill/>
                    <a:ln>
                      <a:noFill/>
                    </a:ln>
                  </pic:spPr>
                </pic:pic>
              </a:graphicData>
            </a:graphic>
          </wp:inline>
        </w:drawing>
      </w:r>
    </w:p>
    <w:p w14:paraId="5A0195F8" w14:textId="66A882BD" w:rsidR="0016286A" w:rsidRDefault="0016286A" w:rsidP="00D3702F">
      <w:pPr>
        <w:spacing w:after="0" w:line="240" w:lineRule="auto"/>
        <w:rPr>
          <w:rFonts w:asciiTheme="majorHAnsi" w:hAnsiTheme="majorHAnsi"/>
          <w:noProof/>
          <w:lang w:eastAsia="en-GB"/>
        </w:rPr>
      </w:pPr>
      <w:r w:rsidRPr="00214B43">
        <w:rPr>
          <w:rFonts w:asciiTheme="majorHAnsi" w:hAnsiTheme="majorHAnsi"/>
          <w:noProof/>
          <w:lang w:eastAsia="en-GB"/>
        </w:rPr>
        <w:t>Figure 1. Four examples of histories</w:t>
      </w:r>
      <w:r w:rsidR="00EE4ECD" w:rsidRPr="00214B43">
        <w:rPr>
          <w:rFonts w:asciiTheme="majorHAnsi" w:hAnsiTheme="majorHAnsi"/>
          <w:noProof/>
          <w:lang w:eastAsia="en-GB"/>
        </w:rPr>
        <w:t xml:space="preserve"> of individuals engaged in </w:t>
      </w:r>
      <w:r w:rsidR="00EC3BCC" w:rsidRPr="00214B43">
        <w:rPr>
          <w:rFonts w:asciiTheme="majorHAnsi" w:hAnsiTheme="majorHAnsi"/>
          <w:noProof/>
          <w:lang w:eastAsia="en-GB"/>
        </w:rPr>
        <w:t xml:space="preserve">a </w:t>
      </w:r>
      <w:r w:rsidR="00EE4ECD" w:rsidRPr="00214B43">
        <w:rPr>
          <w:rFonts w:asciiTheme="majorHAnsi" w:hAnsiTheme="majorHAnsi"/>
          <w:noProof/>
          <w:lang w:eastAsia="en-GB"/>
        </w:rPr>
        <w:t>RA</w:t>
      </w:r>
      <w:r w:rsidRPr="00214B43">
        <w:rPr>
          <w:rFonts w:asciiTheme="majorHAnsi" w:hAnsiTheme="majorHAnsi"/>
          <w:noProof/>
          <w:lang w:eastAsia="en-GB"/>
        </w:rPr>
        <w:t xml:space="preserve">. </w:t>
      </w:r>
      <w:r w:rsidR="00EE4ECD" w:rsidRPr="00214B43">
        <w:rPr>
          <w:rFonts w:asciiTheme="majorHAnsi" w:hAnsiTheme="majorHAnsi"/>
          <w:noProof/>
          <w:lang w:eastAsia="en-GB"/>
        </w:rPr>
        <w:t xml:space="preserve">Individuals </w:t>
      </w:r>
      <w:r w:rsidRPr="00214B43">
        <w:rPr>
          <w:rFonts w:asciiTheme="majorHAnsi" w:hAnsiTheme="majorHAnsi"/>
          <w:noProof/>
          <w:lang w:eastAsia="en-GB"/>
        </w:rPr>
        <w:t>A</w:t>
      </w:r>
      <w:r w:rsidR="00EE4ECD" w:rsidRPr="00214B43">
        <w:rPr>
          <w:rFonts w:asciiTheme="majorHAnsi" w:hAnsiTheme="majorHAnsi"/>
          <w:noProof/>
          <w:lang w:eastAsia="en-GB"/>
        </w:rPr>
        <w:t xml:space="preserve">, </w:t>
      </w:r>
      <w:r w:rsidRPr="00214B43">
        <w:rPr>
          <w:rFonts w:asciiTheme="majorHAnsi" w:hAnsiTheme="majorHAnsi"/>
          <w:noProof/>
          <w:lang w:eastAsia="en-GB"/>
        </w:rPr>
        <w:t>B</w:t>
      </w:r>
      <w:r w:rsidR="00EE4ECD" w:rsidRPr="00214B43">
        <w:rPr>
          <w:rFonts w:asciiTheme="majorHAnsi" w:hAnsiTheme="majorHAnsi"/>
          <w:noProof/>
          <w:lang w:eastAsia="en-GB"/>
        </w:rPr>
        <w:t>,</w:t>
      </w:r>
      <w:r w:rsidRPr="00214B43">
        <w:rPr>
          <w:rFonts w:asciiTheme="majorHAnsi" w:hAnsiTheme="majorHAnsi"/>
          <w:noProof/>
          <w:lang w:eastAsia="en-GB"/>
        </w:rPr>
        <w:t xml:space="preserve"> C </w:t>
      </w:r>
      <w:r w:rsidR="00EE4ECD" w:rsidRPr="00214B43">
        <w:rPr>
          <w:rFonts w:asciiTheme="majorHAnsi" w:hAnsiTheme="majorHAnsi"/>
          <w:noProof/>
          <w:lang w:eastAsia="en-GB"/>
        </w:rPr>
        <w:t>and</w:t>
      </w:r>
      <w:r w:rsidRPr="00214B43">
        <w:rPr>
          <w:rFonts w:asciiTheme="majorHAnsi" w:hAnsiTheme="majorHAnsi"/>
          <w:noProof/>
          <w:lang w:eastAsia="en-GB"/>
        </w:rPr>
        <w:t xml:space="preserve"> D have the same negative net position </w:t>
      </w:r>
      <w:r w:rsidR="00EE4ECD" w:rsidRPr="00214B43">
        <w:rPr>
          <w:rFonts w:asciiTheme="majorHAnsi" w:hAnsiTheme="majorHAnsi"/>
          <w:noProof/>
          <w:lang w:eastAsia="en-GB"/>
        </w:rPr>
        <w:t>as a result of the</w:t>
      </w:r>
      <w:r w:rsidR="00CE3C33" w:rsidRPr="00214B43">
        <w:rPr>
          <w:rFonts w:asciiTheme="majorHAnsi" w:hAnsiTheme="majorHAnsi"/>
          <w:noProof/>
          <w:lang w:eastAsia="en-GB"/>
        </w:rPr>
        <w:t>i</w:t>
      </w:r>
      <w:r w:rsidR="00EE4ECD" w:rsidRPr="00214B43">
        <w:rPr>
          <w:rFonts w:asciiTheme="majorHAnsi" w:hAnsiTheme="majorHAnsi"/>
          <w:noProof/>
          <w:lang w:eastAsia="en-GB"/>
        </w:rPr>
        <w:t xml:space="preserve">r penultimate </w:t>
      </w:r>
      <w:r w:rsidR="00CE3C33" w:rsidRPr="00214B43">
        <w:rPr>
          <w:rFonts w:asciiTheme="majorHAnsi" w:hAnsiTheme="majorHAnsi"/>
          <w:noProof/>
          <w:lang w:eastAsia="en-GB"/>
        </w:rPr>
        <w:t>month of engaging in a RA</w:t>
      </w:r>
      <w:r w:rsidRPr="00214B43">
        <w:rPr>
          <w:rFonts w:asciiTheme="majorHAnsi" w:hAnsiTheme="majorHAnsi"/>
          <w:noProof/>
          <w:lang w:eastAsia="en-GB"/>
        </w:rPr>
        <w:t xml:space="preserve">. A and B remain in loss, whereas C and D </w:t>
      </w:r>
      <w:r w:rsidR="00EE4ECD" w:rsidRPr="00214B43">
        <w:rPr>
          <w:rFonts w:asciiTheme="majorHAnsi" w:hAnsiTheme="majorHAnsi"/>
          <w:noProof/>
          <w:lang w:eastAsia="en-GB"/>
        </w:rPr>
        <w:t xml:space="preserve">move </w:t>
      </w:r>
      <w:r w:rsidRPr="00214B43">
        <w:rPr>
          <w:rFonts w:asciiTheme="majorHAnsi" w:hAnsiTheme="majorHAnsi"/>
          <w:noProof/>
          <w:lang w:eastAsia="en-GB"/>
        </w:rPr>
        <w:t xml:space="preserve">from net loss to net profit.  A and C also have spent the majority of </w:t>
      </w:r>
      <w:r w:rsidR="00CE3C33" w:rsidRPr="00214B43">
        <w:rPr>
          <w:rFonts w:asciiTheme="majorHAnsi" w:hAnsiTheme="majorHAnsi"/>
          <w:noProof/>
          <w:lang w:eastAsia="en-GB"/>
        </w:rPr>
        <w:t>months</w:t>
      </w:r>
      <w:r w:rsidRPr="00214B43">
        <w:rPr>
          <w:rFonts w:asciiTheme="majorHAnsi" w:hAnsiTheme="majorHAnsi"/>
          <w:noProof/>
          <w:lang w:eastAsia="en-GB"/>
        </w:rPr>
        <w:t xml:space="preserve"> </w:t>
      </w:r>
      <w:r w:rsidR="00CE3C33" w:rsidRPr="00214B43">
        <w:rPr>
          <w:rFonts w:asciiTheme="majorHAnsi" w:hAnsiTheme="majorHAnsi"/>
          <w:noProof/>
          <w:lang w:eastAsia="en-GB"/>
        </w:rPr>
        <w:t xml:space="preserve">engaged in the RA </w:t>
      </w:r>
      <w:r w:rsidRPr="00214B43">
        <w:rPr>
          <w:rFonts w:asciiTheme="majorHAnsi" w:hAnsiTheme="majorHAnsi"/>
          <w:noProof/>
          <w:lang w:eastAsia="en-GB"/>
        </w:rPr>
        <w:t>in net loss</w:t>
      </w:r>
      <w:r w:rsidR="00EE4ECD" w:rsidRPr="00214B43">
        <w:rPr>
          <w:rFonts w:asciiTheme="majorHAnsi" w:hAnsiTheme="majorHAnsi"/>
          <w:noProof/>
          <w:lang w:eastAsia="en-GB"/>
        </w:rPr>
        <w:t>, whereas</w:t>
      </w:r>
      <w:r w:rsidRPr="00214B43">
        <w:rPr>
          <w:rFonts w:asciiTheme="majorHAnsi" w:hAnsiTheme="majorHAnsi"/>
          <w:noProof/>
          <w:lang w:eastAsia="en-GB"/>
        </w:rPr>
        <w:t xml:space="preserve"> B and D have spent the majority</w:t>
      </w:r>
      <w:r w:rsidRPr="00201144">
        <w:rPr>
          <w:rFonts w:asciiTheme="majorHAnsi" w:hAnsiTheme="majorHAnsi"/>
          <w:noProof/>
          <w:lang w:eastAsia="en-GB"/>
        </w:rPr>
        <w:t xml:space="preserve"> of the</w:t>
      </w:r>
      <w:r w:rsidR="00CE3C33">
        <w:rPr>
          <w:rFonts w:asciiTheme="majorHAnsi" w:hAnsiTheme="majorHAnsi"/>
          <w:noProof/>
          <w:lang w:eastAsia="en-GB"/>
        </w:rPr>
        <w:t xml:space="preserve"> months engaged in the RA </w:t>
      </w:r>
      <w:r w:rsidRPr="00201144">
        <w:rPr>
          <w:rFonts w:asciiTheme="majorHAnsi" w:hAnsiTheme="majorHAnsi"/>
          <w:noProof/>
          <w:lang w:eastAsia="en-GB"/>
        </w:rPr>
        <w:t>in net profit.</w:t>
      </w:r>
    </w:p>
    <w:p w14:paraId="67B86344" w14:textId="77777777" w:rsidR="00F67F44" w:rsidRDefault="00F67F44" w:rsidP="0016286A">
      <w:pPr>
        <w:spacing w:after="0" w:line="480" w:lineRule="auto"/>
        <w:rPr>
          <w:rFonts w:asciiTheme="majorHAnsi" w:hAnsiTheme="majorHAnsi"/>
          <w:noProof/>
          <w:lang w:eastAsia="en-GB"/>
        </w:rPr>
      </w:pPr>
    </w:p>
    <w:p w14:paraId="27C523A3" w14:textId="77777777" w:rsidR="00F67F44" w:rsidRDefault="00F67F44" w:rsidP="0016286A">
      <w:pPr>
        <w:spacing w:after="0" w:line="480" w:lineRule="auto"/>
        <w:rPr>
          <w:rFonts w:asciiTheme="majorHAnsi" w:hAnsiTheme="majorHAnsi"/>
          <w:noProof/>
          <w:lang w:eastAsia="en-GB"/>
        </w:rPr>
      </w:pPr>
    </w:p>
    <w:p w14:paraId="5E819643" w14:textId="3C7BBD34" w:rsidR="00F67F44" w:rsidRDefault="00B97797" w:rsidP="00F67F44">
      <w:pPr>
        <w:spacing w:after="0" w:line="240" w:lineRule="auto"/>
        <w:jc w:val="center"/>
        <w:rPr>
          <w:rFonts w:asciiTheme="majorHAnsi" w:hAnsiTheme="majorHAnsi"/>
          <w:lang w:val="en-US"/>
        </w:rPr>
      </w:pPr>
      <w:r>
        <w:rPr>
          <w:noProof/>
          <w:lang w:eastAsia="en-GB"/>
        </w:rPr>
        <w:drawing>
          <wp:inline distT="0" distB="0" distL="0" distR="0" wp14:anchorId="76EC73E6" wp14:editId="6EC97264">
            <wp:extent cx="5715000" cy="4763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763770"/>
                    </a:xfrm>
                    <a:prstGeom prst="rect">
                      <a:avLst/>
                    </a:prstGeom>
                    <a:noFill/>
                    <a:ln>
                      <a:noFill/>
                    </a:ln>
                  </pic:spPr>
                </pic:pic>
              </a:graphicData>
            </a:graphic>
          </wp:inline>
        </w:drawing>
      </w:r>
      <w:hyperlink r:id="rId11" w:history="1">
        <w:r w:rsidRPr="00B97797">
          <w:rPr>
            <w:rStyle w:val="Hyperlink"/>
          </w:rPr>
          <w:t>t</w:t>
        </w:r>
      </w:hyperlink>
    </w:p>
    <w:p w14:paraId="2C6E6793" w14:textId="77777777" w:rsidR="00F67F44" w:rsidRDefault="00F67F44" w:rsidP="00F67F44">
      <w:pPr>
        <w:spacing w:after="0" w:line="240" w:lineRule="auto"/>
        <w:rPr>
          <w:rFonts w:asciiTheme="majorHAnsi" w:hAnsiTheme="majorHAnsi"/>
          <w:b/>
          <w:lang w:val="en-US"/>
        </w:rPr>
      </w:pPr>
    </w:p>
    <w:p w14:paraId="22884713" w14:textId="77777777" w:rsidR="00F67F44" w:rsidRDefault="00F67F44" w:rsidP="00F67F44">
      <w:pPr>
        <w:spacing w:after="0" w:line="240" w:lineRule="auto"/>
        <w:rPr>
          <w:rFonts w:asciiTheme="majorHAnsi" w:hAnsiTheme="majorHAnsi"/>
          <w:b/>
          <w:lang w:val="en-US"/>
        </w:rPr>
      </w:pPr>
    </w:p>
    <w:p w14:paraId="611B611E" w14:textId="14F96A9D" w:rsidR="00F67F44" w:rsidRDefault="00F67F44" w:rsidP="00F67F44">
      <w:pPr>
        <w:spacing w:after="0" w:line="240" w:lineRule="auto"/>
        <w:rPr>
          <w:rFonts w:asciiTheme="majorHAnsi" w:hAnsiTheme="majorHAnsi"/>
          <w:lang w:val="en-US"/>
        </w:rPr>
      </w:pPr>
      <w:r>
        <w:rPr>
          <w:rFonts w:asciiTheme="majorHAnsi" w:hAnsiTheme="majorHAnsi"/>
          <w:b/>
          <w:lang w:val="en-US"/>
        </w:rPr>
        <w:t>Figure 2</w:t>
      </w:r>
      <w:r w:rsidRPr="00F16821">
        <w:rPr>
          <w:rFonts w:asciiTheme="majorHAnsi" w:hAnsiTheme="majorHAnsi"/>
          <w:b/>
          <w:lang w:val="en-US"/>
        </w:rPr>
        <w:t>.</w:t>
      </w:r>
      <w:r>
        <w:rPr>
          <w:rFonts w:asciiTheme="majorHAnsi" w:hAnsiTheme="majorHAnsi"/>
          <w:lang w:val="en-US"/>
        </w:rPr>
        <w:t xml:space="preserve"> Log-</w:t>
      </w:r>
      <w:r w:rsidR="009664A6">
        <w:rPr>
          <w:rFonts w:asciiTheme="majorHAnsi" w:hAnsiTheme="majorHAnsi"/>
          <w:lang w:val="en-US"/>
        </w:rPr>
        <w:t xml:space="preserve">hazard rate </w:t>
      </w:r>
      <w:r>
        <w:rPr>
          <w:rFonts w:asciiTheme="majorHAnsi" w:hAnsiTheme="majorHAnsi"/>
          <w:lang w:val="en-US"/>
        </w:rPr>
        <w:t xml:space="preserve">indicating the change in the likelihood of </w:t>
      </w:r>
      <w:r w:rsidR="00AE01B6">
        <w:rPr>
          <w:rFonts w:asciiTheme="majorHAnsi" w:hAnsiTheme="majorHAnsi"/>
          <w:lang w:val="en-US"/>
        </w:rPr>
        <w:t>ceasing trad</w:t>
      </w:r>
      <w:r w:rsidR="00214B43">
        <w:rPr>
          <w:rFonts w:asciiTheme="majorHAnsi" w:hAnsiTheme="majorHAnsi"/>
          <w:lang w:val="en-US"/>
        </w:rPr>
        <w:t>ing</w:t>
      </w:r>
      <w:r w:rsidR="00AE01B6">
        <w:rPr>
          <w:rFonts w:asciiTheme="majorHAnsi" w:hAnsiTheme="majorHAnsi"/>
          <w:lang w:val="en-US"/>
        </w:rPr>
        <w:t xml:space="preserve"> </w:t>
      </w:r>
      <w:r>
        <w:rPr>
          <w:rFonts w:asciiTheme="majorHAnsi" w:hAnsiTheme="majorHAnsi"/>
          <w:lang w:val="en-US"/>
        </w:rPr>
        <w:t xml:space="preserve">(likelihood increases as log-hazard rate </w:t>
      </w:r>
      <w:r w:rsidR="00185ABC">
        <w:rPr>
          <w:rFonts w:asciiTheme="majorHAnsi" w:hAnsiTheme="majorHAnsi"/>
          <w:lang w:val="en-US"/>
        </w:rPr>
        <w:t>increases</w:t>
      </w:r>
      <w:r>
        <w:rPr>
          <w:rFonts w:asciiTheme="majorHAnsi" w:hAnsiTheme="majorHAnsi"/>
          <w:lang w:val="en-US"/>
        </w:rPr>
        <w:t>) at various levels of</w:t>
      </w:r>
      <w:r w:rsidR="00185ABC">
        <w:rPr>
          <w:rFonts w:asciiTheme="majorHAnsi" w:hAnsiTheme="majorHAnsi"/>
          <w:lang w:val="en-US"/>
        </w:rPr>
        <w:t xml:space="preserve"> </w:t>
      </w:r>
      <w:r w:rsidR="002A46D9">
        <w:rPr>
          <w:rFonts w:asciiTheme="majorHAnsi" w:hAnsiTheme="majorHAnsi"/>
          <w:lang w:val="en-US"/>
        </w:rPr>
        <w:t>net</w:t>
      </w:r>
      <w:r>
        <w:rPr>
          <w:rFonts w:asciiTheme="majorHAnsi" w:hAnsiTheme="majorHAnsi"/>
          <w:lang w:val="en-US"/>
        </w:rPr>
        <w:t xml:space="preserve"> return on </w:t>
      </w:r>
      <w:r w:rsidR="00185ABC">
        <w:rPr>
          <w:rFonts w:asciiTheme="majorHAnsi" w:hAnsiTheme="majorHAnsi"/>
          <w:lang w:val="en-US"/>
        </w:rPr>
        <w:t>capital invested</w:t>
      </w:r>
      <w:r>
        <w:rPr>
          <w:rFonts w:asciiTheme="majorHAnsi" w:hAnsiTheme="majorHAnsi"/>
          <w:lang w:val="en-US"/>
        </w:rPr>
        <w:t xml:space="preserve"> (</w:t>
      </w:r>
      <w:r w:rsidR="00185ABC" w:rsidRPr="00FC6DF5">
        <w:rPr>
          <w:rFonts w:asciiTheme="majorHAnsi" w:hAnsiTheme="majorHAnsi"/>
          <w:i/>
          <w:lang w:val="en-US"/>
        </w:rPr>
        <w:t>AROI</w:t>
      </w:r>
      <w:r w:rsidR="00185ABC">
        <w:rPr>
          <w:rFonts w:asciiTheme="majorHAnsi" w:hAnsiTheme="majorHAnsi"/>
          <w:i/>
          <w:vertAlign w:val="subscript"/>
          <w:lang w:val="en-US"/>
        </w:rPr>
        <w:t>km</w:t>
      </w:r>
      <w:r>
        <w:rPr>
          <w:rFonts w:asciiTheme="majorHAnsi" w:hAnsiTheme="majorHAnsi"/>
          <w:lang w:val="en-US"/>
        </w:rPr>
        <w:t>) relative to the break-even point.</w:t>
      </w:r>
    </w:p>
    <w:p w14:paraId="11C261BE" w14:textId="4ADD3E7F" w:rsidR="00185ABC" w:rsidRPr="007D544E" w:rsidRDefault="00185ABC" w:rsidP="0016286A">
      <w:pPr>
        <w:spacing w:after="0" w:line="480" w:lineRule="auto"/>
        <w:rPr>
          <w:rFonts w:asciiTheme="majorHAnsi" w:hAnsiTheme="majorHAnsi"/>
        </w:rPr>
      </w:pPr>
    </w:p>
    <w:p w14:paraId="2C2904CC" w14:textId="77777777" w:rsidR="0016286A" w:rsidRDefault="0016286A" w:rsidP="00326E18">
      <w:pPr>
        <w:spacing w:after="0" w:line="240" w:lineRule="auto"/>
        <w:rPr>
          <w:rFonts w:asciiTheme="majorHAnsi" w:hAnsiTheme="majorHAnsi"/>
          <w:lang w:val="en-US"/>
        </w:rPr>
      </w:pPr>
    </w:p>
    <w:p w14:paraId="4C84280D" w14:textId="20543CB2" w:rsidR="00246D88" w:rsidRDefault="00246D88" w:rsidP="00275768">
      <w:pPr>
        <w:spacing w:after="0" w:line="240" w:lineRule="auto"/>
        <w:rPr>
          <w:rFonts w:asciiTheme="majorHAnsi" w:hAnsiTheme="majorHAnsi"/>
        </w:rPr>
      </w:pPr>
    </w:p>
    <w:p w14:paraId="5AA939B3" w14:textId="1045A5EF" w:rsidR="00C47DE9" w:rsidRDefault="00C47DE9">
      <w:pPr>
        <w:rPr>
          <w:rFonts w:asciiTheme="majorHAnsi" w:hAnsiTheme="majorHAnsi"/>
        </w:rPr>
      </w:pPr>
      <w:r>
        <w:rPr>
          <w:rFonts w:asciiTheme="majorHAnsi" w:hAnsiTheme="majorHAnsi"/>
        </w:rPr>
        <w:br w:type="page"/>
      </w:r>
    </w:p>
    <w:p w14:paraId="5AFB75AC" w14:textId="46949FCF" w:rsidR="009B5DD3" w:rsidRDefault="009B5DD3" w:rsidP="00275768">
      <w:pPr>
        <w:spacing w:after="0" w:line="240" w:lineRule="auto"/>
        <w:rPr>
          <w:rFonts w:asciiTheme="majorHAnsi" w:hAnsiTheme="majorHAnsi"/>
        </w:rPr>
      </w:pPr>
    </w:p>
    <w:p w14:paraId="1E9573B8" w14:textId="54E83C2C" w:rsidR="009B5DD3" w:rsidRDefault="009308E1" w:rsidP="00275768">
      <w:pPr>
        <w:spacing w:after="0" w:line="240" w:lineRule="auto"/>
        <w:rPr>
          <w:rFonts w:asciiTheme="majorHAnsi" w:hAnsiTheme="majorHAnsi"/>
        </w:rPr>
      </w:pPr>
      <w:r>
        <w:rPr>
          <w:rFonts w:asciiTheme="majorHAnsi" w:hAnsiTheme="majorHAnsi"/>
          <w:noProof/>
          <w:lang w:eastAsia="en-GB"/>
        </w:rPr>
        <w:drawing>
          <wp:inline distT="0" distB="0" distL="0" distR="0" wp14:anchorId="6C593F65" wp14:editId="37C1376C">
            <wp:extent cx="6583680" cy="49377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viewer Figure.png"/>
                    <pic:cNvPicPr/>
                  </pic:nvPicPr>
                  <pic:blipFill>
                    <a:blip r:embed="rId12"/>
                    <a:stretch>
                      <a:fillRect/>
                    </a:stretch>
                  </pic:blipFill>
                  <pic:spPr>
                    <a:xfrm>
                      <a:off x="0" y="0"/>
                      <a:ext cx="6599676" cy="4949757"/>
                    </a:xfrm>
                    <a:prstGeom prst="rect">
                      <a:avLst/>
                    </a:prstGeom>
                  </pic:spPr>
                </pic:pic>
              </a:graphicData>
            </a:graphic>
          </wp:inline>
        </w:drawing>
      </w:r>
      <w:r w:rsidR="006B2E45">
        <w:rPr>
          <w:rFonts w:asciiTheme="majorHAnsi" w:hAnsiTheme="majorHAnsi"/>
        </w:rPr>
        <w:t xml:space="preserve"> </w:t>
      </w:r>
    </w:p>
    <w:p w14:paraId="45D2D54A" w14:textId="3E2DC5C2" w:rsidR="009B5DD3" w:rsidRDefault="00AE3D1A" w:rsidP="00275768">
      <w:pPr>
        <w:spacing w:after="0" w:line="240" w:lineRule="auto"/>
        <w:rPr>
          <w:rFonts w:asciiTheme="majorHAnsi" w:hAnsiTheme="majorHAnsi"/>
        </w:rPr>
      </w:pPr>
      <w:r w:rsidRPr="001410E6">
        <w:rPr>
          <w:rFonts w:asciiTheme="majorHAnsi" w:hAnsiTheme="majorHAnsi"/>
          <w:b/>
        </w:rPr>
        <w:t>Figure 3.</w:t>
      </w:r>
      <w:r>
        <w:rPr>
          <w:rFonts w:asciiTheme="majorHAnsi" w:hAnsiTheme="majorHAnsi"/>
        </w:rPr>
        <w:t xml:space="preserve"> </w:t>
      </w:r>
      <w:r>
        <w:rPr>
          <w:rFonts w:asciiTheme="majorHAnsi" w:hAnsiTheme="majorHAnsi"/>
          <w:lang w:val="en-US"/>
        </w:rPr>
        <w:t xml:space="preserve">Hazard </w:t>
      </w:r>
      <w:r w:rsidR="00E167EF">
        <w:rPr>
          <w:rFonts w:asciiTheme="majorHAnsi" w:hAnsiTheme="majorHAnsi"/>
          <w:lang w:val="en-US"/>
        </w:rPr>
        <w:t xml:space="preserve">rate </w:t>
      </w:r>
      <w:r>
        <w:rPr>
          <w:rFonts w:asciiTheme="majorHAnsi" w:hAnsiTheme="majorHAnsi"/>
          <w:lang w:val="en-US"/>
        </w:rPr>
        <w:t>indicating the change in the likelihood of ceasing trad</w:t>
      </w:r>
      <w:r w:rsidR="00214B43">
        <w:rPr>
          <w:rFonts w:asciiTheme="majorHAnsi" w:hAnsiTheme="majorHAnsi"/>
          <w:lang w:val="en-US"/>
        </w:rPr>
        <w:t>ing</w:t>
      </w:r>
      <w:r>
        <w:rPr>
          <w:rFonts w:asciiTheme="majorHAnsi" w:hAnsiTheme="majorHAnsi"/>
          <w:lang w:val="en-US"/>
        </w:rPr>
        <w:t xml:space="preserve"> (likelihood increases as hazard rate increases) based on different definitions of long-term profitability. Figures a and b d</w:t>
      </w:r>
      <w:r w:rsidR="00214B43">
        <w:rPr>
          <w:rFonts w:asciiTheme="majorHAnsi" w:hAnsiTheme="majorHAnsi"/>
          <w:lang w:val="en-US"/>
        </w:rPr>
        <w:t>isplay</w:t>
      </w:r>
      <w:r>
        <w:rPr>
          <w:rFonts w:asciiTheme="majorHAnsi" w:hAnsiTheme="majorHAnsi"/>
          <w:lang w:val="en-US"/>
        </w:rPr>
        <w:t xml:space="preserve"> the </w:t>
      </w:r>
      <w:r w:rsidR="00E167EF">
        <w:rPr>
          <w:rFonts w:asciiTheme="majorHAnsi" w:hAnsiTheme="majorHAnsi"/>
          <w:lang w:val="en-US"/>
        </w:rPr>
        <w:t xml:space="preserve">hazard rate </w:t>
      </w:r>
      <w:r>
        <w:rPr>
          <w:rFonts w:asciiTheme="majorHAnsi" w:hAnsiTheme="majorHAnsi"/>
          <w:lang w:val="en-US"/>
        </w:rPr>
        <w:t xml:space="preserve">changes for individuals that were profitable in </w:t>
      </w:r>
      <w:r w:rsidR="00E167EF">
        <w:rPr>
          <w:rFonts w:asciiTheme="majorHAnsi" w:hAnsiTheme="majorHAnsi"/>
          <w:lang w:val="en-US"/>
        </w:rPr>
        <w:t xml:space="preserve">more than </w:t>
      </w:r>
      <w:r>
        <w:rPr>
          <w:rFonts w:asciiTheme="majorHAnsi" w:hAnsiTheme="majorHAnsi"/>
          <w:lang w:val="en-US"/>
        </w:rPr>
        <w:t xml:space="preserve">90% of </w:t>
      </w:r>
      <w:r w:rsidR="009308E1">
        <w:rPr>
          <w:rFonts w:asciiTheme="majorHAnsi" w:hAnsiTheme="majorHAnsi"/>
          <w:lang w:val="en-US"/>
        </w:rPr>
        <w:t>(6</w:t>
      </w:r>
      <w:r>
        <w:rPr>
          <w:rFonts w:asciiTheme="majorHAnsi" w:hAnsiTheme="majorHAnsi"/>
          <w:lang w:val="en-US"/>
        </w:rPr>
        <w:t xml:space="preserve"> to 36) months prior to th</w:t>
      </w:r>
      <w:r w:rsidR="004C565C">
        <w:rPr>
          <w:rFonts w:asciiTheme="majorHAnsi" w:hAnsiTheme="majorHAnsi"/>
          <w:lang w:val="en-US"/>
        </w:rPr>
        <w:t>e current month. Figures c and d</w:t>
      </w:r>
      <w:r>
        <w:rPr>
          <w:rFonts w:asciiTheme="majorHAnsi" w:hAnsiTheme="majorHAnsi"/>
          <w:lang w:val="en-US"/>
        </w:rPr>
        <w:t xml:space="preserve"> d</w:t>
      </w:r>
      <w:r w:rsidR="00214B43">
        <w:rPr>
          <w:rFonts w:asciiTheme="majorHAnsi" w:hAnsiTheme="majorHAnsi"/>
          <w:lang w:val="en-US"/>
        </w:rPr>
        <w:t>isplay</w:t>
      </w:r>
      <w:r>
        <w:rPr>
          <w:rFonts w:asciiTheme="majorHAnsi" w:hAnsiTheme="majorHAnsi"/>
          <w:lang w:val="en-US"/>
        </w:rPr>
        <w:t xml:space="preserve"> </w:t>
      </w:r>
      <w:r w:rsidR="00E167EF">
        <w:rPr>
          <w:rFonts w:asciiTheme="majorHAnsi" w:hAnsiTheme="majorHAnsi"/>
          <w:lang w:val="en-US"/>
        </w:rPr>
        <w:t xml:space="preserve">hazard rate </w:t>
      </w:r>
      <w:r>
        <w:rPr>
          <w:rFonts w:asciiTheme="majorHAnsi" w:hAnsiTheme="majorHAnsi"/>
          <w:lang w:val="en-US"/>
        </w:rPr>
        <w:t xml:space="preserve">changes for individuals that were unprofitable in </w:t>
      </w:r>
      <w:r w:rsidR="00E167EF">
        <w:rPr>
          <w:rFonts w:asciiTheme="majorHAnsi" w:hAnsiTheme="majorHAnsi"/>
          <w:lang w:val="en-US"/>
        </w:rPr>
        <w:t xml:space="preserve">more than </w:t>
      </w:r>
      <w:r>
        <w:rPr>
          <w:rFonts w:asciiTheme="majorHAnsi" w:hAnsiTheme="majorHAnsi"/>
          <w:lang w:val="en-US"/>
        </w:rPr>
        <w:t xml:space="preserve">90% of </w:t>
      </w:r>
      <w:r w:rsidR="009308E1">
        <w:rPr>
          <w:rFonts w:asciiTheme="majorHAnsi" w:hAnsiTheme="majorHAnsi"/>
          <w:lang w:val="en-US"/>
        </w:rPr>
        <w:t>(6</w:t>
      </w:r>
      <w:r>
        <w:rPr>
          <w:rFonts w:asciiTheme="majorHAnsi" w:hAnsiTheme="majorHAnsi"/>
          <w:lang w:val="en-US"/>
        </w:rPr>
        <w:t xml:space="preserve"> to 36) month</w:t>
      </w:r>
      <w:r w:rsidR="00DA42A7">
        <w:rPr>
          <w:rFonts w:asciiTheme="majorHAnsi" w:hAnsiTheme="majorHAnsi"/>
          <w:lang w:val="en-US"/>
        </w:rPr>
        <w:t>s</w:t>
      </w:r>
      <w:r>
        <w:rPr>
          <w:rFonts w:asciiTheme="majorHAnsi" w:hAnsiTheme="majorHAnsi"/>
          <w:lang w:val="en-US"/>
        </w:rPr>
        <w:t xml:space="preserve"> prior to the current </w:t>
      </w:r>
      <w:r w:rsidR="004D5B2D">
        <w:rPr>
          <w:rFonts w:asciiTheme="majorHAnsi" w:hAnsiTheme="majorHAnsi"/>
          <w:lang w:val="en-US"/>
        </w:rPr>
        <w:t xml:space="preserve">month. </w:t>
      </w:r>
      <w:r w:rsidR="004D5B2D">
        <w:rPr>
          <w:rFonts w:asciiTheme="majorHAnsi" w:hAnsiTheme="majorHAnsi"/>
          <w:lang w:val="en-US"/>
        </w:rPr>
        <w:softHyphen/>
      </w:r>
    </w:p>
    <w:p w14:paraId="5E1E47EC" w14:textId="39C93FA8" w:rsidR="009B5DD3" w:rsidRDefault="009B5DD3" w:rsidP="00275768">
      <w:pPr>
        <w:spacing w:after="0" w:line="240" w:lineRule="auto"/>
        <w:rPr>
          <w:rFonts w:asciiTheme="majorHAnsi" w:hAnsiTheme="majorHAnsi"/>
        </w:rPr>
      </w:pPr>
    </w:p>
    <w:p w14:paraId="789BED77" w14:textId="26232B53" w:rsidR="009B5DD3" w:rsidRDefault="009B5DD3" w:rsidP="00275768">
      <w:pPr>
        <w:spacing w:after="0" w:line="240" w:lineRule="auto"/>
        <w:rPr>
          <w:rFonts w:asciiTheme="majorHAnsi" w:hAnsiTheme="majorHAnsi"/>
        </w:rPr>
      </w:pPr>
    </w:p>
    <w:p w14:paraId="2E41D476" w14:textId="52779763" w:rsidR="009B5DD3" w:rsidRDefault="009B5DD3" w:rsidP="00275768">
      <w:pPr>
        <w:spacing w:after="0" w:line="240" w:lineRule="auto"/>
        <w:rPr>
          <w:rFonts w:asciiTheme="majorHAnsi" w:hAnsiTheme="majorHAnsi"/>
        </w:rPr>
      </w:pPr>
    </w:p>
    <w:p w14:paraId="50F78782" w14:textId="4E2018B4" w:rsidR="009B5DD3" w:rsidRDefault="009B5DD3" w:rsidP="00275768">
      <w:pPr>
        <w:spacing w:after="0" w:line="240" w:lineRule="auto"/>
        <w:rPr>
          <w:rFonts w:asciiTheme="majorHAnsi" w:hAnsiTheme="majorHAnsi"/>
        </w:rPr>
      </w:pPr>
    </w:p>
    <w:p w14:paraId="40607EA4" w14:textId="76FA4657" w:rsidR="009B5DD3" w:rsidRDefault="009B5DD3" w:rsidP="00275768">
      <w:pPr>
        <w:spacing w:after="0" w:line="240" w:lineRule="auto"/>
        <w:rPr>
          <w:rFonts w:asciiTheme="majorHAnsi" w:hAnsiTheme="majorHAnsi"/>
        </w:rPr>
      </w:pPr>
    </w:p>
    <w:p w14:paraId="7A69770E" w14:textId="60C17260" w:rsidR="009B5DD3" w:rsidRDefault="009B5DD3" w:rsidP="00275768">
      <w:pPr>
        <w:spacing w:after="0" w:line="240" w:lineRule="auto"/>
        <w:rPr>
          <w:rFonts w:asciiTheme="majorHAnsi" w:hAnsiTheme="majorHAnsi"/>
        </w:rPr>
      </w:pPr>
    </w:p>
    <w:p w14:paraId="784DB818" w14:textId="2E54F320" w:rsidR="009B5DD3" w:rsidRDefault="009B5DD3" w:rsidP="00275768">
      <w:pPr>
        <w:spacing w:after="0" w:line="240" w:lineRule="auto"/>
        <w:rPr>
          <w:rFonts w:asciiTheme="majorHAnsi" w:hAnsiTheme="majorHAnsi"/>
        </w:rPr>
      </w:pPr>
    </w:p>
    <w:p w14:paraId="0BFFD2B1" w14:textId="7FAFC53E" w:rsidR="009B5DD3" w:rsidRDefault="009B5DD3" w:rsidP="00275768">
      <w:pPr>
        <w:spacing w:after="0" w:line="240" w:lineRule="auto"/>
        <w:rPr>
          <w:rFonts w:asciiTheme="majorHAnsi" w:hAnsiTheme="majorHAnsi"/>
        </w:rPr>
      </w:pPr>
    </w:p>
    <w:p w14:paraId="152EEB04" w14:textId="2DA4377D" w:rsidR="009B5DD3" w:rsidRDefault="009B5DD3" w:rsidP="00275768">
      <w:pPr>
        <w:spacing w:after="0" w:line="240" w:lineRule="auto"/>
        <w:rPr>
          <w:rFonts w:asciiTheme="majorHAnsi" w:hAnsiTheme="majorHAnsi"/>
        </w:rPr>
      </w:pPr>
    </w:p>
    <w:p w14:paraId="0FF17820" w14:textId="40CD5862" w:rsidR="009B5DD3" w:rsidRDefault="009B5DD3" w:rsidP="00275768">
      <w:pPr>
        <w:spacing w:after="0" w:line="240" w:lineRule="auto"/>
        <w:rPr>
          <w:rFonts w:asciiTheme="majorHAnsi" w:hAnsiTheme="majorHAnsi"/>
        </w:rPr>
      </w:pPr>
    </w:p>
    <w:p w14:paraId="616F95B8" w14:textId="1F5B91E4" w:rsidR="009B5DD3" w:rsidRDefault="009B5DD3" w:rsidP="00275768">
      <w:pPr>
        <w:spacing w:after="0" w:line="240" w:lineRule="auto"/>
        <w:rPr>
          <w:rFonts w:asciiTheme="majorHAnsi" w:hAnsiTheme="majorHAnsi"/>
        </w:rPr>
      </w:pPr>
    </w:p>
    <w:p w14:paraId="16F8A0E3" w14:textId="127AFDC0" w:rsidR="009B5DD3" w:rsidRDefault="009B5DD3" w:rsidP="00275768">
      <w:pPr>
        <w:spacing w:after="0" w:line="240" w:lineRule="auto"/>
        <w:rPr>
          <w:rFonts w:asciiTheme="majorHAnsi" w:hAnsiTheme="majorHAnsi"/>
        </w:rPr>
      </w:pPr>
    </w:p>
    <w:p w14:paraId="136575DC" w14:textId="77777777" w:rsidR="009B5DD3" w:rsidRPr="00306807" w:rsidRDefault="009B5DD3" w:rsidP="00275768">
      <w:pPr>
        <w:spacing w:after="0" w:line="240" w:lineRule="auto"/>
        <w:rPr>
          <w:rFonts w:asciiTheme="majorHAnsi" w:hAnsiTheme="majorHAnsi"/>
        </w:rPr>
      </w:pPr>
    </w:p>
    <w:sectPr w:rsidR="009B5DD3" w:rsidRPr="003068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45B72" w14:textId="77777777" w:rsidR="00676727" w:rsidRDefault="00676727" w:rsidP="00490C14">
      <w:pPr>
        <w:spacing w:after="0" w:line="240" w:lineRule="auto"/>
      </w:pPr>
      <w:r>
        <w:separator/>
      </w:r>
    </w:p>
  </w:endnote>
  <w:endnote w:type="continuationSeparator" w:id="0">
    <w:p w14:paraId="01E84A9D" w14:textId="77777777" w:rsidR="00676727" w:rsidRDefault="00676727" w:rsidP="0049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00006FF" w:usb1="0000FCFF" w:usb2="00000001" w:usb3="00000000" w:csb0="0000019F" w:csb1="00000000"/>
  </w:font>
  <w:font w:name="Menlo Regular">
    <w:altName w:val="Times New Roman"/>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221846"/>
      <w:docPartObj>
        <w:docPartGallery w:val="Page Numbers (Bottom of Page)"/>
        <w:docPartUnique/>
      </w:docPartObj>
    </w:sdtPr>
    <w:sdtEndPr>
      <w:rPr>
        <w:noProof/>
      </w:rPr>
    </w:sdtEndPr>
    <w:sdtContent>
      <w:p w14:paraId="74642177" w14:textId="54DC3097" w:rsidR="00676727" w:rsidRDefault="00676727">
        <w:pPr>
          <w:pStyle w:val="Footer"/>
          <w:jc w:val="right"/>
        </w:pPr>
        <w:r>
          <w:fldChar w:fldCharType="begin"/>
        </w:r>
        <w:r>
          <w:instrText xml:space="preserve"> PAGE   \* MERGEFORMAT </w:instrText>
        </w:r>
        <w:r>
          <w:fldChar w:fldCharType="separate"/>
        </w:r>
        <w:r w:rsidR="0034304F">
          <w:rPr>
            <w:noProof/>
          </w:rPr>
          <w:t>1</w:t>
        </w:r>
        <w:r>
          <w:rPr>
            <w:noProof/>
          </w:rPr>
          <w:fldChar w:fldCharType="end"/>
        </w:r>
      </w:p>
    </w:sdtContent>
  </w:sdt>
  <w:p w14:paraId="6EB88C62" w14:textId="77777777" w:rsidR="00676727" w:rsidRDefault="00676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3620" w14:textId="77777777" w:rsidR="00676727" w:rsidRDefault="00676727" w:rsidP="00490C14">
      <w:pPr>
        <w:spacing w:after="0" w:line="240" w:lineRule="auto"/>
      </w:pPr>
      <w:r>
        <w:separator/>
      </w:r>
    </w:p>
  </w:footnote>
  <w:footnote w:type="continuationSeparator" w:id="0">
    <w:p w14:paraId="2847468D" w14:textId="77777777" w:rsidR="00676727" w:rsidRDefault="00676727" w:rsidP="00490C14">
      <w:pPr>
        <w:spacing w:after="0" w:line="240" w:lineRule="auto"/>
      </w:pPr>
      <w:r>
        <w:continuationSeparator/>
      </w:r>
    </w:p>
  </w:footnote>
  <w:footnote w:id="1">
    <w:p w14:paraId="7BEC6361" w14:textId="161915DD" w:rsidR="00676727" w:rsidRPr="00275768" w:rsidRDefault="00676727">
      <w:pPr>
        <w:pStyle w:val="FootnoteText"/>
        <w:rPr>
          <w:rFonts w:asciiTheme="majorHAnsi" w:hAnsiTheme="majorHAnsi"/>
          <w:sz w:val="22"/>
          <w:szCs w:val="22"/>
          <w:lang w:val="en-US"/>
        </w:rPr>
      </w:pPr>
      <w:r>
        <w:rPr>
          <w:rStyle w:val="FootnoteReference"/>
        </w:rPr>
        <w:footnoteRef/>
      </w:r>
      <w:r>
        <w:t xml:space="preserve"> </w:t>
      </w:r>
      <w:r w:rsidRPr="00275768">
        <w:rPr>
          <w:rFonts w:asciiTheme="majorHAnsi" w:hAnsiTheme="majorHAnsi"/>
          <w:sz w:val="20"/>
          <w:szCs w:val="22"/>
        </w:rPr>
        <w:t>Baseline group: individuals with a negative mental model and who</w:t>
      </w:r>
      <w:r>
        <w:rPr>
          <w:rFonts w:asciiTheme="majorHAnsi" w:hAnsiTheme="majorHAnsi"/>
          <w:sz w:val="20"/>
          <w:szCs w:val="22"/>
        </w:rPr>
        <w:t xml:space="preserve"> experienced net profit</w:t>
      </w:r>
      <w:r w:rsidRPr="00275768">
        <w:rPr>
          <w:rFonts w:asciiTheme="majorHAnsi" w:hAnsiTheme="majorHAnsi"/>
          <w:sz w:val="20"/>
          <w:szCs w:val="22"/>
        </w:rPr>
        <w:t xml:space="preserve"> in both the previous and current month and all other covariates are equal to zero.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3152"/>
    <w:multiLevelType w:val="hybridMultilevel"/>
    <w:tmpl w:val="584488DE"/>
    <w:lvl w:ilvl="0" w:tplc="46D25DD2">
      <w:start w:val="1"/>
      <w:numFmt w:val="decimal"/>
      <w:lvlText w:val="%1."/>
      <w:lvlJc w:val="left"/>
      <w:pPr>
        <w:ind w:left="720" w:hanging="360"/>
      </w:pPr>
      <w:rPr>
        <w:rFonts w:asciiTheme="majorHAnsi" w:eastAsiaTheme="minorHAnsi" w:hAnsiTheme="maj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701CD"/>
    <w:multiLevelType w:val="hybridMultilevel"/>
    <w:tmpl w:val="624EAB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7BFD"/>
    <w:multiLevelType w:val="hybridMultilevel"/>
    <w:tmpl w:val="8DA42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95BBD"/>
    <w:multiLevelType w:val="multilevel"/>
    <w:tmpl w:val="410E2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C0A8F"/>
    <w:multiLevelType w:val="multilevel"/>
    <w:tmpl w:val="A70C05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655D8"/>
    <w:multiLevelType w:val="hybridMultilevel"/>
    <w:tmpl w:val="B6B031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860209"/>
    <w:multiLevelType w:val="hybridMultilevel"/>
    <w:tmpl w:val="5AC2301C"/>
    <w:lvl w:ilvl="0" w:tplc="D2406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14F8A"/>
    <w:multiLevelType w:val="hybridMultilevel"/>
    <w:tmpl w:val="8DA42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669FD"/>
    <w:multiLevelType w:val="hybridMultilevel"/>
    <w:tmpl w:val="2C44A2CA"/>
    <w:lvl w:ilvl="0" w:tplc="9BA2002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203D1"/>
    <w:multiLevelType w:val="multilevel"/>
    <w:tmpl w:val="52EA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2E5099"/>
    <w:multiLevelType w:val="hybridMultilevel"/>
    <w:tmpl w:val="6A7A41C6"/>
    <w:lvl w:ilvl="0" w:tplc="9BA2002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658F8"/>
    <w:multiLevelType w:val="hybridMultilevel"/>
    <w:tmpl w:val="3E48A014"/>
    <w:lvl w:ilvl="0" w:tplc="CCA21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8"/>
  </w:num>
  <w:num w:numId="6">
    <w:abstractNumId w:val="10"/>
  </w:num>
  <w:num w:numId="7">
    <w:abstractNumId w:val="7"/>
  </w:num>
  <w:num w:numId="8">
    <w:abstractNumId w:val="2"/>
  </w:num>
  <w:num w:numId="9">
    <w:abstractNumId w:val="6"/>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3B"/>
    <w:rsid w:val="000014AC"/>
    <w:rsid w:val="00001619"/>
    <w:rsid w:val="000018D1"/>
    <w:rsid w:val="00006A11"/>
    <w:rsid w:val="00007C57"/>
    <w:rsid w:val="00010B68"/>
    <w:rsid w:val="00011E1E"/>
    <w:rsid w:val="00012280"/>
    <w:rsid w:val="0001259F"/>
    <w:rsid w:val="000132D2"/>
    <w:rsid w:val="000143B2"/>
    <w:rsid w:val="00014ED9"/>
    <w:rsid w:val="00015108"/>
    <w:rsid w:val="00016A5C"/>
    <w:rsid w:val="000204FC"/>
    <w:rsid w:val="00023488"/>
    <w:rsid w:val="000244D3"/>
    <w:rsid w:val="00024C8F"/>
    <w:rsid w:val="000278DD"/>
    <w:rsid w:val="00033C89"/>
    <w:rsid w:val="000364FD"/>
    <w:rsid w:val="00036D68"/>
    <w:rsid w:val="00040F84"/>
    <w:rsid w:val="00041347"/>
    <w:rsid w:val="00044C87"/>
    <w:rsid w:val="0005453E"/>
    <w:rsid w:val="000568A2"/>
    <w:rsid w:val="000579B7"/>
    <w:rsid w:val="00060C2F"/>
    <w:rsid w:val="0006102C"/>
    <w:rsid w:val="0006165D"/>
    <w:rsid w:val="00064C13"/>
    <w:rsid w:val="00066563"/>
    <w:rsid w:val="00066A97"/>
    <w:rsid w:val="000769FC"/>
    <w:rsid w:val="00076AAE"/>
    <w:rsid w:val="00076E7B"/>
    <w:rsid w:val="000775CB"/>
    <w:rsid w:val="00077F6D"/>
    <w:rsid w:val="0008007D"/>
    <w:rsid w:val="000840A8"/>
    <w:rsid w:val="00085A31"/>
    <w:rsid w:val="000867F0"/>
    <w:rsid w:val="000869F5"/>
    <w:rsid w:val="000918FF"/>
    <w:rsid w:val="00093666"/>
    <w:rsid w:val="00093E0A"/>
    <w:rsid w:val="0009632C"/>
    <w:rsid w:val="00096DC7"/>
    <w:rsid w:val="00096E06"/>
    <w:rsid w:val="000972B2"/>
    <w:rsid w:val="000A0287"/>
    <w:rsid w:val="000A6C7A"/>
    <w:rsid w:val="000B3477"/>
    <w:rsid w:val="000B3E1C"/>
    <w:rsid w:val="000B4B4E"/>
    <w:rsid w:val="000B57A7"/>
    <w:rsid w:val="000B6259"/>
    <w:rsid w:val="000B7E36"/>
    <w:rsid w:val="000C095C"/>
    <w:rsid w:val="000C2CFB"/>
    <w:rsid w:val="000C3924"/>
    <w:rsid w:val="000C4E9A"/>
    <w:rsid w:val="000C52AA"/>
    <w:rsid w:val="000C55F1"/>
    <w:rsid w:val="000C58E2"/>
    <w:rsid w:val="000C604C"/>
    <w:rsid w:val="000C7692"/>
    <w:rsid w:val="000D0723"/>
    <w:rsid w:val="000D21D4"/>
    <w:rsid w:val="000D336D"/>
    <w:rsid w:val="000D3B20"/>
    <w:rsid w:val="000D536C"/>
    <w:rsid w:val="000D5992"/>
    <w:rsid w:val="000D627B"/>
    <w:rsid w:val="000D66D2"/>
    <w:rsid w:val="000D691B"/>
    <w:rsid w:val="000E020E"/>
    <w:rsid w:val="000E04E9"/>
    <w:rsid w:val="000E2F73"/>
    <w:rsid w:val="000E31D1"/>
    <w:rsid w:val="000E32A2"/>
    <w:rsid w:val="000E3C75"/>
    <w:rsid w:val="000E45AE"/>
    <w:rsid w:val="000E4A73"/>
    <w:rsid w:val="000E6744"/>
    <w:rsid w:val="000F03B1"/>
    <w:rsid w:val="000F18BA"/>
    <w:rsid w:val="000F25D6"/>
    <w:rsid w:val="000F490F"/>
    <w:rsid w:val="000F49F0"/>
    <w:rsid w:val="000F4AEA"/>
    <w:rsid w:val="000F6886"/>
    <w:rsid w:val="00101E8A"/>
    <w:rsid w:val="00101F7A"/>
    <w:rsid w:val="00102620"/>
    <w:rsid w:val="00102F60"/>
    <w:rsid w:val="001030C9"/>
    <w:rsid w:val="00104772"/>
    <w:rsid w:val="0010526E"/>
    <w:rsid w:val="00105728"/>
    <w:rsid w:val="0011079E"/>
    <w:rsid w:val="00110EEA"/>
    <w:rsid w:val="00111EE3"/>
    <w:rsid w:val="00112105"/>
    <w:rsid w:val="00113A51"/>
    <w:rsid w:val="001142DE"/>
    <w:rsid w:val="00114F1F"/>
    <w:rsid w:val="00115C55"/>
    <w:rsid w:val="00115F5F"/>
    <w:rsid w:val="001177DB"/>
    <w:rsid w:val="00117EC7"/>
    <w:rsid w:val="001202E5"/>
    <w:rsid w:val="00120AA2"/>
    <w:rsid w:val="001249D4"/>
    <w:rsid w:val="001259A6"/>
    <w:rsid w:val="00126CB4"/>
    <w:rsid w:val="00126FA8"/>
    <w:rsid w:val="00127AC9"/>
    <w:rsid w:val="001315A7"/>
    <w:rsid w:val="00132821"/>
    <w:rsid w:val="001346E3"/>
    <w:rsid w:val="0013541A"/>
    <w:rsid w:val="00137B2D"/>
    <w:rsid w:val="001410E6"/>
    <w:rsid w:val="00141509"/>
    <w:rsid w:val="00142BAC"/>
    <w:rsid w:val="00143150"/>
    <w:rsid w:val="0014421B"/>
    <w:rsid w:val="00150749"/>
    <w:rsid w:val="0015251B"/>
    <w:rsid w:val="00153498"/>
    <w:rsid w:val="00153871"/>
    <w:rsid w:val="00153FE1"/>
    <w:rsid w:val="00154E4B"/>
    <w:rsid w:val="00155AB4"/>
    <w:rsid w:val="00156FE4"/>
    <w:rsid w:val="001578CE"/>
    <w:rsid w:val="001626CB"/>
    <w:rsid w:val="0016286A"/>
    <w:rsid w:val="001653BF"/>
    <w:rsid w:val="00166D9E"/>
    <w:rsid w:val="00166DD3"/>
    <w:rsid w:val="0016750B"/>
    <w:rsid w:val="00167C23"/>
    <w:rsid w:val="00170D85"/>
    <w:rsid w:val="00171FE3"/>
    <w:rsid w:val="00172645"/>
    <w:rsid w:val="00172A71"/>
    <w:rsid w:val="00172DE3"/>
    <w:rsid w:val="00176F70"/>
    <w:rsid w:val="0017744D"/>
    <w:rsid w:val="001777DD"/>
    <w:rsid w:val="00177D83"/>
    <w:rsid w:val="00180461"/>
    <w:rsid w:val="00183B73"/>
    <w:rsid w:val="00185ABC"/>
    <w:rsid w:val="00185E17"/>
    <w:rsid w:val="001906A1"/>
    <w:rsid w:val="00190E5E"/>
    <w:rsid w:val="0019266B"/>
    <w:rsid w:val="0019300E"/>
    <w:rsid w:val="00194769"/>
    <w:rsid w:val="001947DA"/>
    <w:rsid w:val="0019617B"/>
    <w:rsid w:val="0019655B"/>
    <w:rsid w:val="00196C9E"/>
    <w:rsid w:val="001A2A10"/>
    <w:rsid w:val="001A2D20"/>
    <w:rsid w:val="001A4E11"/>
    <w:rsid w:val="001A4EC9"/>
    <w:rsid w:val="001A70A2"/>
    <w:rsid w:val="001A7331"/>
    <w:rsid w:val="001A7BAF"/>
    <w:rsid w:val="001B12D4"/>
    <w:rsid w:val="001B1D69"/>
    <w:rsid w:val="001B348F"/>
    <w:rsid w:val="001B3E12"/>
    <w:rsid w:val="001C0261"/>
    <w:rsid w:val="001C0ADA"/>
    <w:rsid w:val="001C12EF"/>
    <w:rsid w:val="001C4910"/>
    <w:rsid w:val="001C6ACF"/>
    <w:rsid w:val="001D06ED"/>
    <w:rsid w:val="001D070E"/>
    <w:rsid w:val="001D463D"/>
    <w:rsid w:val="001D6666"/>
    <w:rsid w:val="001D6AEE"/>
    <w:rsid w:val="001D75A1"/>
    <w:rsid w:val="001D7A76"/>
    <w:rsid w:val="001E147A"/>
    <w:rsid w:val="001E2117"/>
    <w:rsid w:val="001E4185"/>
    <w:rsid w:val="001E5962"/>
    <w:rsid w:val="001E5D87"/>
    <w:rsid w:val="001E7B95"/>
    <w:rsid w:val="001F2670"/>
    <w:rsid w:val="001F30A2"/>
    <w:rsid w:val="001F3E1F"/>
    <w:rsid w:val="001F4DED"/>
    <w:rsid w:val="001F6132"/>
    <w:rsid w:val="001F7E05"/>
    <w:rsid w:val="00200404"/>
    <w:rsid w:val="00200BA0"/>
    <w:rsid w:val="00201144"/>
    <w:rsid w:val="00203B26"/>
    <w:rsid w:val="00204A34"/>
    <w:rsid w:val="00206904"/>
    <w:rsid w:val="0020744A"/>
    <w:rsid w:val="00210223"/>
    <w:rsid w:val="002115D9"/>
    <w:rsid w:val="00214B43"/>
    <w:rsid w:val="002203A3"/>
    <w:rsid w:val="00221861"/>
    <w:rsid w:val="002227F2"/>
    <w:rsid w:val="00223108"/>
    <w:rsid w:val="00225FC9"/>
    <w:rsid w:val="00226170"/>
    <w:rsid w:val="002309C9"/>
    <w:rsid w:val="00233834"/>
    <w:rsid w:val="002352F7"/>
    <w:rsid w:val="002367C5"/>
    <w:rsid w:val="00237B27"/>
    <w:rsid w:val="00237B59"/>
    <w:rsid w:val="00242F35"/>
    <w:rsid w:val="00243569"/>
    <w:rsid w:val="0024363A"/>
    <w:rsid w:val="002439D6"/>
    <w:rsid w:val="00244058"/>
    <w:rsid w:val="00244B25"/>
    <w:rsid w:val="00245A34"/>
    <w:rsid w:val="00245BF9"/>
    <w:rsid w:val="00246D88"/>
    <w:rsid w:val="00247DC2"/>
    <w:rsid w:val="0025019D"/>
    <w:rsid w:val="002507EB"/>
    <w:rsid w:val="0025217D"/>
    <w:rsid w:val="002537C7"/>
    <w:rsid w:val="002554E2"/>
    <w:rsid w:val="002611F6"/>
    <w:rsid w:val="002619C3"/>
    <w:rsid w:val="002648CA"/>
    <w:rsid w:val="00264AEB"/>
    <w:rsid w:val="002664E2"/>
    <w:rsid w:val="00267317"/>
    <w:rsid w:val="00270376"/>
    <w:rsid w:val="00270614"/>
    <w:rsid w:val="00271DEA"/>
    <w:rsid w:val="002750E1"/>
    <w:rsid w:val="00275768"/>
    <w:rsid w:val="0027663F"/>
    <w:rsid w:val="00276AF3"/>
    <w:rsid w:val="00276D7A"/>
    <w:rsid w:val="00276D7B"/>
    <w:rsid w:val="00277257"/>
    <w:rsid w:val="0027778C"/>
    <w:rsid w:val="00277D3E"/>
    <w:rsid w:val="002814E1"/>
    <w:rsid w:val="00281814"/>
    <w:rsid w:val="002823B7"/>
    <w:rsid w:val="002835D3"/>
    <w:rsid w:val="00284247"/>
    <w:rsid w:val="00284710"/>
    <w:rsid w:val="00285834"/>
    <w:rsid w:val="0029243F"/>
    <w:rsid w:val="00292CDF"/>
    <w:rsid w:val="0029435A"/>
    <w:rsid w:val="002979C7"/>
    <w:rsid w:val="002A46D9"/>
    <w:rsid w:val="002A58A6"/>
    <w:rsid w:val="002B3146"/>
    <w:rsid w:val="002B3DB8"/>
    <w:rsid w:val="002B439A"/>
    <w:rsid w:val="002B4B92"/>
    <w:rsid w:val="002B5C79"/>
    <w:rsid w:val="002B66D1"/>
    <w:rsid w:val="002B7C58"/>
    <w:rsid w:val="002C14AC"/>
    <w:rsid w:val="002C38A1"/>
    <w:rsid w:val="002C3BFD"/>
    <w:rsid w:val="002C49BC"/>
    <w:rsid w:val="002C6E93"/>
    <w:rsid w:val="002D0AFC"/>
    <w:rsid w:val="002D0EBD"/>
    <w:rsid w:val="002E0DEA"/>
    <w:rsid w:val="002E1115"/>
    <w:rsid w:val="002F0A54"/>
    <w:rsid w:val="002F0D86"/>
    <w:rsid w:val="002F24A0"/>
    <w:rsid w:val="002F260D"/>
    <w:rsid w:val="002F28AF"/>
    <w:rsid w:val="002F2C38"/>
    <w:rsid w:val="002F5AFE"/>
    <w:rsid w:val="002F6444"/>
    <w:rsid w:val="00300E4A"/>
    <w:rsid w:val="00301CB0"/>
    <w:rsid w:val="00301F17"/>
    <w:rsid w:val="003027D7"/>
    <w:rsid w:val="00302AC3"/>
    <w:rsid w:val="00304EC5"/>
    <w:rsid w:val="00304FF9"/>
    <w:rsid w:val="00305269"/>
    <w:rsid w:val="00305AF2"/>
    <w:rsid w:val="00306807"/>
    <w:rsid w:val="00307229"/>
    <w:rsid w:val="00307394"/>
    <w:rsid w:val="00312209"/>
    <w:rsid w:val="003123E6"/>
    <w:rsid w:val="00312794"/>
    <w:rsid w:val="003144FD"/>
    <w:rsid w:val="00314812"/>
    <w:rsid w:val="00314854"/>
    <w:rsid w:val="00314D0E"/>
    <w:rsid w:val="0031500A"/>
    <w:rsid w:val="00316A42"/>
    <w:rsid w:val="0032382A"/>
    <w:rsid w:val="003252DB"/>
    <w:rsid w:val="00326E18"/>
    <w:rsid w:val="00327615"/>
    <w:rsid w:val="003327AE"/>
    <w:rsid w:val="00332B3F"/>
    <w:rsid w:val="003335D9"/>
    <w:rsid w:val="00334A6C"/>
    <w:rsid w:val="00335032"/>
    <w:rsid w:val="0033598A"/>
    <w:rsid w:val="00335A57"/>
    <w:rsid w:val="003363A6"/>
    <w:rsid w:val="00340634"/>
    <w:rsid w:val="00340C19"/>
    <w:rsid w:val="0034304F"/>
    <w:rsid w:val="003445E0"/>
    <w:rsid w:val="00345BFE"/>
    <w:rsid w:val="0035060E"/>
    <w:rsid w:val="00354472"/>
    <w:rsid w:val="00354FBB"/>
    <w:rsid w:val="00355A90"/>
    <w:rsid w:val="0035696D"/>
    <w:rsid w:val="00357316"/>
    <w:rsid w:val="003613C9"/>
    <w:rsid w:val="00363FDD"/>
    <w:rsid w:val="00364831"/>
    <w:rsid w:val="00364BC8"/>
    <w:rsid w:val="00365B62"/>
    <w:rsid w:val="00366417"/>
    <w:rsid w:val="00367D63"/>
    <w:rsid w:val="003700FE"/>
    <w:rsid w:val="00370B9C"/>
    <w:rsid w:val="0037379E"/>
    <w:rsid w:val="00374519"/>
    <w:rsid w:val="00374650"/>
    <w:rsid w:val="00374E8A"/>
    <w:rsid w:val="003751FC"/>
    <w:rsid w:val="00375AD4"/>
    <w:rsid w:val="00377138"/>
    <w:rsid w:val="0038045E"/>
    <w:rsid w:val="00382212"/>
    <w:rsid w:val="0038266F"/>
    <w:rsid w:val="00383406"/>
    <w:rsid w:val="00385198"/>
    <w:rsid w:val="003851E5"/>
    <w:rsid w:val="003870D9"/>
    <w:rsid w:val="003905A1"/>
    <w:rsid w:val="0039064C"/>
    <w:rsid w:val="00391AC3"/>
    <w:rsid w:val="00391C47"/>
    <w:rsid w:val="003945C8"/>
    <w:rsid w:val="003955D8"/>
    <w:rsid w:val="003958C8"/>
    <w:rsid w:val="003A0A9F"/>
    <w:rsid w:val="003A17D3"/>
    <w:rsid w:val="003A41DF"/>
    <w:rsid w:val="003B011B"/>
    <w:rsid w:val="003B0386"/>
    <w:rsid w:val="003B041B"/>
    <w:rsid w:val="003B292A"/>
    <w:rsid w:val="003B59DD"/>
    <w:rsid w:val="003B6DF2"/>
    <w:rsid w:val="003B7556"/>
    <w:rsid w:val="003B7987"/>
    <w:rsid w:val="003B79E9"/>
    <w:rsid w:val="003C0713"/>
    <w:rsid w:val="003C2A88"/>
    <w:rsid w:val="003C48E5"/>
    <w:rsid w:val="003C5267"/>
    <w:rsid w:val="003D01F8"/>
    <w:rsid w:val="003D0572"/>
    <w:rsid w:val="003D0801"/>
    <w:rsid w:val="003D28E6"/>
    <w:rsid w:val="003D4A18"/>
    <w:rsid w:val="003D585D"/>
    <w:rsid w:val="003D6A38"/>
    <w:rsid w:val="003D7194"/>
    <w:rsid w:val="003E0BCE"/>
    <w:rsid w:val="003E2970"/>
    <w:rsid w:val="003E4F61"/>
    <w:rsid w:val="003E5177"/>
    <w:rsid w:val="003E718B"/>
    <w:rsid w:val="003F150E"/>
    <w:rsid w:val="003F18E2"/>
    <w:rsid w:val="003F2E7C"/>
    <w:rsid w:val="003F4C2F"/>
    <w:rsid w:val="003F5EC4"/>
    <w:rsid w:val="003F6E3D"/>
    <w:rsid w:val="003F73A7"/>
    <w:rsid w:val="003F780F"/>
    <w:rsid w:val="003F7957"/>
    <w:rsid w:val="004022C3"/>
    <w:rsid w:val="00402D12"/>
    <w:rsid w:val="0040371E"/>
    <w:rsid w:val="00405CAF"/>
    <w:rsid w:val="00406D9F"/>
    <w:rsid w:val="00411492"/>
    <w:rsid w:val="004119CE"/>
    <w:rsid w:val="00412B60"/>
    <w:rsid w:val="00414C39"/>
    <w:rsid w:val="004177A1"/>
    <w:rsid w:val="004204C7"/>
    <w:rsid w:val="004213B1"/>
    <w:rsid w:val="0042627A"/>
    <w:rsid w:val="00426962"/>
    <w:rsid w:val="00426F84"/>
    <w:rsid w:val="004272CD"/>
    <w:rsid w:val="004329C7"/>
    <w:rsid w:val="0043337A"/>
    <w:rsid w:val="004340E2"/>
    <w:rsid w:val="004344E2"/>
    <w:rsid w:val="004348B2"/>
    <w:rsid w:val="0043507A"/>
    <w:rsid w:val="00435325"/>
    <w:rsid w:val="00435E0C"/>
    <w:rsid w:val="00437B71"/>
    <w:rsid w:val="00437F81"/>
    <w:rsid w:val="00442CCE"/>
    <w:rsid w:val="00443E4C"/>
    <w:rsid w:val="00444015"/>
    <w:rsid w:val="00444C2C"/>
    <w:rsid w:val="00446911"/>
    <w:rsid w:val="00447190"/>
    <w:rsid w:val="00447A4E"/>
    <w:rsid w:val="00452B75"/>
    <w:rsid w:val="004547EB"/>
    <w:rsid w:val="00456287"/>
    <w:rsid w:val="004614DD"/>
    <w:rsid w:val="00461675"/>
    <w:rsid w:val="00462C9F"/>
    <w:rsid w:val="00463A22"/>
    <w:rsid w:val="00463A9C"/>
    <w:rsid w:val="00463BA1"/>
    <w:rsid w:val="00466515"/>
    <w:rsid w:val="0046781F"/>
    <w:rsid w:val="00470520"/>
    <w:rsid w:val="0047076C"/>
    <w:rsid w:val="00474178"/>
    <w:rsid w:val="0047434D"/>
    <w:rsid w:val="00474B23"/>
    <w:rsid w:val="0047614E"/>
    <w:rsid w:val="0048014F"/>
    <w:rsid w:val="004804C2"/>
    <w:rsid w:val="00481116"/>
    <w:rsid w:val="00481367"/>
    <w:rsid w:val="00481AD7"/>
    <w:rsid w:val="00482867"/>
    <w:rsid w:val="004830AA"/>
    <w:rsid w:val="00485D32"/>
    <w:rsid w:val="00486828"/>
    <w:rsid w:val="004905CC"/>
    <w:rsid w:val="00490B2E"/>
    <w:rsid w:val="00490C14"/>
    <w:rsid w:val="004915BD"/>
    <w:rsid w:val="00493ACD"/>
    <w:rsid w:val="00493DC3"/>
    <w:rsid w:val="0049512D"/>
    <w:rsid w:val="004A099B"/>
    <w:rsid w:val="004A1628"/>
    <w:rsid w:val="004A2BA0"/>
    <w:rsid w:val="004A3F3F"/>
    <w:rsid w:val="004A661B"/>
    <w:rsid w:val="004A6F27"/>
    <w:rsid w:val="004B0B02"/>
    <w:rsid w:val="004B1956"/>
    <w:rsid w:val="004B2588"/>
    <w:rsid w:val="004B3CEB"/>
    <w:rsid w:val="004B45E1"/>
    <w:rsid w:val="004B6213"/>
    <w:rsid w:val="004B67C3"/>
    <w:rsid w:val="004B7C09"/>
    <w:rsid w:val="004B7E6E"/>
    <w:rsid w:val="004C05C1"/>
    <w:rsid w:val="004C21DD"/>
    <w:rsid w:val="004C28FD"/>
    <w:rsid w:val="004C54A1"/>
    <w:rsid w:val="004C565C"/>
    <w:rsid w:val="004C5A9B"/>
    <w:rsid w:val="004C6AC3"/>
    <w:rsid w:val="004C6C78"/>
    <w:rsid w:val="004C74FC"/>
    <w:rsid w:val="004D2174"/>
    <w:rsid w:val="004D2E72"/>
    <w:rsid w:val="004D3E45"/>
    <w:rsid w:val="004D5B2D"/>
    <w:rsid w:val="004D5D9C"/>
    <w:rsid w:val="004D623E"/>
    <w:rsid w:val="004E0623"/>
    <w:rsid w:val="004E1043"/>
    <w:rsid w:val="004E31FA"/>
    <w:rsid w:val="004F04B9"/>
    <w:rsid w:val="004F0EA8"/>
    <w:rsid w:val="004F1591"/>
    <w:rsid w:val="004F345E"/>
    <w:rsid w:val="004F4CED"/>
    <w:rsid w:val="004F518D"/>
    <w:rsid w:val="004F6804"/>
    <w:rsid w:val="004F68CF"/>
    <w:rsid w:val="004F7569"/>
    <w:rsid w:val="0050070A"/>
    <w:rsid w:val="00500782"/>
    <w:rsid w:val="005054B5"/>
    <w:rsid w:val="00506535"/>
    <w:rsid w:val="005074D5"/>
    <w:rsid w:val="00507EFB"/>
    <w:rsid w:val="00510F05"/>
    <w:rsid w:val="005119A9"/>
    <w:rsid w:val="00513436"/>
    <w:rsid w:val="00515318"/>
    <w:rsid w:val="00515641"/>
    <w:rsid w:val="00516C0D"/>
    <w:rsid w:val="0051720B"/>
    <w:rsid w:val="00517507"/>
    <w:rsid w:val="005217B3"/>
    <w:rsid w:val="0052427E"/>
    <w:rsid w:val="005255E9"/>
    <w:rsid w:val="00526C28"/>
    <w:rsid w:val="005276D3"/>
    <w:rsid w:val="0052787D"/>
    <w:rsid w:val="00530B7B"/>
    <w:rsid w:val="0053312E"/>
    <w:rsid w:val="005342D3"/>
    <w:rsid w:val="005357BD"/>
    <w:rsid w:val="00535B8C"/>
    <w:rsid w:val="005411B6"/>
    <w:rsid w:val="0054163B"/>
    <w:rsid w:val="00543E04"/>
    <w:rsid w:val="00545041"/>
    <w:rsid w:val="0054524C"/>
    <w:rsid w:val="00545624"/>
    <w:rsid w:val="00547850"/>
    <w:rsid w:val="00547A2B"/>
    <w:rsid w:val="00547F0F"/>
    <w:rsid w:val="00552CE1"/>
    <w:rsid w:val="0055339C"/>
    <w:rsid w:val="005534F5"/>
    <w:rsid w:val="005534FD"/>
    <w:rsid w:val="00554F17"/>
    <w:rsid w:val="00555D5E"/>
    <w:rsid w:val="00556CE1"/>
    <w:rsid w:val="00557405"/>
    <w:rsid w:val="0055746C"/>
    <w:rsid w:val="00557FAC"/>
    <w:rsid w:val="0056082F"/>
    <w:rsid w:val="005621D3"/>
    <w:rsid w:val="0056510B"/>
    <w:rsid w:val="00566967"/>
    <w:rsid w:val="00566E10"/>
    <w:rsid w:val="005710FF"/>
    <w:rsid w:val="00575B71"/>
    <w:rsid w:val="0057685C"/>
    <w:rsid w:val="00576EF4"/>
    <w:rsid w:val="0058040B"/>
    <w:rsid w:val="0058363E"/>
    <w:rsid w:val="00583FAC"/>
    <w:rsid w:val="00584CA5"/>
    <w:rsid w:val="00586F19"/>
    <w:rsid w:val="00587108"/>
    <w:rsid w:val="005922B8"/>
    <w:rsid w:val="00594637"/>
    <w:rsid w:val="00597F93"/>
    <w:rsid w:val="005A14AF"/>
    <w:rsid w:val="005A2BF6"/>
    <w:rsid w:val="005A6185"/>
    <w:rsid w:val="005A66D4"/>
    <w:rsid w:val="005A67F4"/>
    <w:rsid w:val="005A768F"/>
    <w:rsid w:val="005B2E74"/>
    <w:rsid w:val="005B32C5"/>
    <w:rsid w:val="005B3964"/>
    <w:rsid w:val="005B3D01"/>
    <w:rsid w:val="005B6A35"/>
    <w:rsid w:val="005C2CB9"/>
    <w:rsid w:val="005C47F6"/>
    <w:rsid w:val="005C4929"/>
    <w:rsid w:val="005C6E3B"/>
    <w:rsid w:val="005C70D0"/>
    <w:rsid w:val="005C7BE4"/>
    <w:rsid w:val="005C7DFE"/>
    <w:rsid w:val="005D1063"/>
    <w:rsid w:val="005D2158"/>
    <w:rsid w:val="005D21D0"/>
    <w:rsid w:val="005D2A18"/>
    <w:rsid w:val="005D4688"/>
    <w:rsid w:val="005D6233"/>
    <w:rsid w:val="005D63C9"/>
    <w:rsid w:val="005D7B9A"/>
    <w:rsid w:val="005E29EC"/>
    <w:rsid w:val="005E4043"/>
    <w:rsid w:val="005F4158"/>
    <w:rsid w:val="005F6113"/>
    <w:rsid w:val="006012DA"/>
    <w:rsid w:val="006020BA"/>
    <w:rsid w:val="0060221B"/>
    <w:rsid w:val="00603C0B"/>
    <w:rsid w:val="00603D72"/>
    <w:rsid w:val="00604780"/>
    <w:rsid w:val="00604DF9"/>
    <w:rsid w:val="00605B12"/>
    <w:rsid w:val="00606084"/>
    <w:rsid w:val="00610C86"/>
    <w:rsid w:val="006110D9"/>
    <w:rsid w:val="00612944"/>
    <w:rsid w:val="00614773"/>
    <w:rsid w:val="0061501C"/>
    <w:rsid w:val="00617C64"/>
    <w:rsid w:val="0062445E"/>
    <w:rsid w:val="00627448"/>
    <w:rsid w:val="00631113"/>
    <w:rsid w:val="006315A6"/>
    <w:rsid w:val="00633212"/>
    <w:rsid w:val="006333C7"/>
    <w:rsid w:val="00633799"/>
    <w:rsid w:val="00633CFF"/>
    <w:rsid w:val="0063501C"/>
    <w:rsid w:val="006358F0"/>
    <w:rsid w:val="0063621F"/>
    <w:rsid w:val="00637B23"/>
    <w:rsid w:val="0064039E"/>
    <w:rsid w:val="006428B9"/>
    <w:rsid w:val="00642906"/>
    <w:rsid w:val="00642F40"/>
    <w:rsid w:val="006435D2"/>
    <w:rsid w:val="00644058"/>
    <w:rsid w:val="006443DD"/>
    <w:rsid w:val="0064581F"/>
    <w:rsid w:val="00651797"/>
    <w:rsid w:val="00651A2B"/>
    <w:rsid w:val="006522A2"/>
    <w:rsid w:val="00652BC7"/>
    <w:rsid w:val="00653C45"/>
    <w:rsid w:val="00653D2A"/>
    <w:rsid w:val="00654F81"/>
    <w:rsid w:val="006550D6"/>
    <w:rsid w:val="00656EAE"/>
    <w:rsid w:val="0065795D"/>
    <w:rsid w:val="00660C81"/>
    <w:rsid w:val="00665106"/>
    <w:rsid w:val="00665D12"/>
    <w:rsid w:val="00667824"/>
    <w:rsid w:val="006714D6"/>
    <w:rsid w:val="0067254A"/>
    <w:rsid w:val="00673521"/>
    <w:rsid w:val="0067541E"/>
    <w:rsid w:val="00676727"/>
    <w:rsid w:val="0067722B"/>
    <w:rsid w:val="00677A58"/>
    <w:rsid w:val="006812B2"/>
    <w:rsid w:val="00681D5D"/>
    <w:rsid w:val="00682289"/>
    <w:rsid w:val="006828F4"/>
    <w:rsid w:val="006829BE"/>
    <w:rsid w:val="00682CB1"/>
    <w:rsid w:val="00683029"/>
    <w:rsid w:val="00683C18"/>
    <w:rsid w:val="00683C99"/>
    <w:rsid w:val="00685004"/>
    <w:rsid w:val="00690947"/>
    <w:rsid w:val="006914D1"/>
    <w:rsid w:val="006916BA"/>
    <w:rsid w:val="0069400E"/>
    <w:rsid w:val="00695B8C"/>
    <w:rsid w:val="00697ACB"/>
    <w:rsid w:val="00697E5C"/>
    <w:rsid w:val="006A4BA4"/>
    <w:rsid w:val="006A516B"/>
    <w:rsid w:val="006A691F"/>
    <w:rsid w:val="006B014F"/>
    <w:rsid w:val="006B20E7"/>
    <w:rsid w:val="006B2E45"/>
    <w:rsid w:val="006B3473"/>
    <w:rsid w:val="006B42C0"/>
    <w:rsid w:val="006B53C2"/>
    <w:rsid w:val="006B55AB"/>
    <w:rsid w:val="006B785C"/>
    <w:rsid w:val="006C0CF9"/>
    <w:rsid w:val="006C1831"/>
    <w:rsid w:val="006C268E"/>
    <w:rsid w:val="006C3D20"/>
    <w:rsid w:val="006C45C1"/>
    <w:rsid w:val="006C60A8"/>
    <w:rsid w:val="006C7A82"/>
    <w:rsid w:val="006D0701"/>
    <w:rsid w:val="006D1386"/>
    <w:rsid w:val="006D34E5"/>
    <w:rsid w:val="006D59F3"/>
    <w:rsid w:val="006D7181"/>
    <w:rsid w:val="006E1295"/>
    <w:rsid w:val="006E7405"/>
    <w:rsid w:val="006F09D5"/>
    <w:rsid w:val="006F4DFC"/>
    <w:rsid w:val="006F5E27"/>
    <w:rsid w:val="006F5FE9"/>
    <w:rsid w:val="006F6139"/>
    <w:rsid w:val="006F6426"/>
    <w:rsid w:val="006F6792"/>
    <w:rsid w:val="0070202F"/>
    <w:rsid w:val="0070375C"/>
    <w:rsid w:val="00704D7F"/>
    <w:rsid w:val="007057AF"/>
    <w:rsid w:val="00705BF1"/>
    <w:rsid w:val="007072C7"/>
    <w:rsid w:val="00707A42"/>
    <w:rsid w:val="00711728"/>
    <w:rsid w:val="00711EC7"/>
    <w:rsid w:val="00713523"/>
    <w:rsid w:val="00713803"/>
    <w:rsid w:val="00713CC8"/>
    <w:rsid w:val="00713F20"/>
    <w:rsid w:val="0071430B"/>
    <w:rsid w:val="00714AA3"/>
    <w:rsid w:val="007157CD"/>
    <w:rsid w:val="007159F1"/>
    <w:rsid w:val="00715EF3"/>
    <w:rsid w:val="00716064"/>
    <w:rsid w:val="00717900"/>
    <w:rsid w:val="0072189B"/>
    <w:rsid w:val="00725E2A"/>
    <w:rsid w:val="00726B4F"/>
    <w:rsid w:val="00730039"/>
    <w:rsid w:val="007318BF"/>
    <w:rsid w:val="007329EB"/>
    <w:rsid w:val="00733EF0"/>
    <w:rsid w:val="00734476"/>
    <w:rsid w:val="007349CC"/>
    <w:rsid w:val="00737407"/>
    <w:rsid w:val="0073777C"/>
    <w:rsid w:val="00737D6A"/>
    <w:rsid w:val="00743344"/>
    <w:rsid w:val="00743D46"/>
    <w:rsid w:val="007452AC"/>
    <w:rsid w:val="00745836"/>
    <w:rsid w:val="007468EE"/>
    <w:rsid w:val="00751075"/>
    <w:rsid w:val="00751599"/>
    <w:rsid w:val="0075270C"/>
    <w:rsid w:val="00755898"/>
    <w:rsid w:val="00757B0F"/>
    <w:rsid w:val="00757CB0"/>
    <w:rsid w:val="00760A90"/>
    <w:rsid w:val="00762733"/>
    <w:rsid w:val="00762FD8"/>
    <w:rsid w:val="00765069"/>
    <w:rsid w:val="0076577A"/>
    <w:rsid w:val="00765890"/>
    <w:rsid w:val="007675C9"/>
    <w:rsid w:val="007706BA"/>
    <w:rsid w:val="00776485"/>
    <w:rsid w:val="00781C45"/>
    <w:rsid w:val="00782D19"/>
    <w:rsid w:val="007861CD"/>
    <w:rsid w:val="00787E1E"/>
    <w:rsid w:val="00792C77"/>
    <w:rsid w:val="0079794A"/>
    <w:rsid w:val="00797BDD"/>
    <w:rsid w:val="007A1D46"/>
    <w:rsid w:val="007A28AE"/>
    <w:rsid w:val="007A333B"/>
    <w:rsid w:val="007A4618"/>
    <w:rsid w:val="007A519A"/>
    <w:rsid w:val="007A6E8E"/>
    <w:rsid w:val="007A7DB2"/>
    <w:rsid w:val="007B155B"/>
    <w:rsid w:val="007B511D"/>
    <w:rsid w:val="007B5525"/>
    <w:rsid w:val="007B7DDB"/>
    <w:rsid w:val="007C034E"/>
    <w:rsid w:val="007C20D6"/>
    <w:rsid w:val="007C4207"/>
    <w:rsid w:val="007C4EE5"/>
    <w:rsid w:val="007C7CD8"/>
    <w:rsid w:val="007D0A3C"/>
    <w:rsid w:val="007D4B46"/>
    <w:rsid w:val="007D514D"/>
    <w:rsid w:val="007D5428"/>
    <w:rsid w:val="007D544E"/>
    <w:rsid w:val="007D78B6"/>
    <w:rsid w:val="007D7C97"/>
    <w:rsid w:val="007E1763"/>
    <w:rsid w:val="007E3AC7"/>
    <w:rsid w:val="007E3CE2"/>
    <w:rsid w:val="007E4185"/>
    <w:rsid w:val="007F04E2"/>
    <w:rsid w:val="007F1EC5"/>
    <w:rsid w:val="007F1F1A"/>
    <w:rsid w:val="007F30FA"/>
    <w:rsid w:val="007F4043"/>
    <w:rsid w:val="007F4DDB"/>
    <w:rsid w:val="007F4EF5"/>
    <w:rsid w:val="007F57CB"/>
    <w:rsid w:val="007F6636"/>
    <w:rsid w:val="007F69CD"/>
    <w:rsid w:val="008029ED"/>
    <w:rsid w:val="00802C74"/>
    <w:rsid w:val="008030BD"/>
    <w:rsid w:val="0080313D"/>
    <w:rsid w:val="00804C22"/>
    <w:rsid w:val="00806944"/>
    <w:rsid w:val="00807CB8"/>
    <w:rsid w:val="008104D3"/>
    <w:rsid w:val="00811AF9"/>
    <w:rsid w:val="00812E3F"/>
    <w:rsid w:val="008130DC"/>
    <w:rsid w:val="00813333"/>
    <w:rsid w:val="00814CA5"/>
    <w:rsid w:val="008216F8"/>
    <w:rsid w:val="008225A8"/>
    <w:rsid w:val="00822AC8"/>
    <w:rsid w:val="00824614"/>
    <w:rsid w:val="00832631"/>
    <w:rsid w:val="00832B49"/>
    <w:rsid w:val="0083389C"/>
    <w:rsid w:val="00834909"/>
    <w:rsid w:val="0083495D"/>
    <w:rsid w:val="00837C92"/>
    <w:rsid w:val="008416A4"/>
    <w:rsid w:val="00842617"/>
    <w:rsid w:val="00842801"/>
    <w:rsid w:val="008436A2"/>
    <w:rsid w:val="0084403A"/>
    <w:rsid w:val="008441ED"/>
    <w:rsid w:val="0084720D"/>
    <w:rsid w:val="008479F5"/>
    <w:rsid w:val="008514E5"/>
    <w:rsid w:val="00851B97"/>
    <w:rsid w:val="00852FF3"/>
    <w:rsid w:val="00854762"/>
    <w:rsid w:val="00854FF7"/>
    <w:rsid w:val="00856118"/>
    <w:rsid w:val="00857CDD"/>
    <w:rsid w:val="00857EE3"/>
    <w:rsid w:val="00861CFD"/>
    <w:rsid w:val="00862C1D"/>
    <w:rsid w:val="0086432C"/>
    <w:rsid w:val="008648A8"/>
    <w:rsid w:val="0086586A"/>
    <w:rsid w:val="00866F09"/>
    <w:rsid w:val="00870A1F"/>
    <w:rsid w:val="00870AB7"/>
    <w:rsid w:val="00871CCF"/>
    <w:rsid w:val="00872F4D"/>
    <w:rsid w:val="00873F55"/>
    <w:rsid w:val="00876040"/>
    <w:rsid w:val="008767C9"/>
    <w:rsid w:val="0087722E"/>
    <w:rsid w:val="008774E3"/>
    <w:rsid w:val="008803C5"/>
    <w:rsid w:val="00883BFD"/>
    <w:rsid w:val="00891E44"/>
    <w:rsid w:val="008929E7"/>
    <w:rsid w:val="00894453"/>
    <w:rsid w:val="00894B08"/>
    <w:rsid w:val="00897A64"/>
    <w:rsid w:val="008A085A"/>
    <w:rsid w:val="008A1340"/>
    <w:rsid w:val="008A19D8"/>
    <w:rsid w:val="008A26E6"/>
    <w:rsid w:val="008A37DC"/>
    <w:rsid w:val="008A3C80"/>
    <w:rsid w:val="008A50C3"/>
    <w:rsid w:val="008A7519"/>
    <w:rsid w:val="008B13FE"/>
    <w:rsid w:val="008B24C0"/>
    <w:rsid w:val="008B2D61"/>
    <w:rsid w:val="008B3087"/>
    <w:rsid w:val="008B432C"/>
    <w:rsid w:val="008B55AC"/>
    <w:rsid w:val="008B685C"/>
    <w:rsid w:val="008B6FC2"/>
    <w:rsid w:val="008C075D"/>
    <w:rsid w:val="008C470F"/>
    <w:rsid w:val="008C639D"/>
    <w:rsid w:val="008D11A1"/>
    <w:rsid w:val="008D169E"/>
    <w:rsid w:val="008D2E29"/>
    <w:rsid w:val="008D4273"/>
    <w:rsid w:val="008D5166"/>
    <w:rsid w:val="008D6018"/>
    <w:rsid w:val="008E40A1"/>
    <w:rsid w:val="008F15AC"/>
    <w:rsid w:val="008F2098"/>
    <w:rsid w:val="008F3C50"/>
    <w:rsid w:val="008F4E33"/>
    <w:rsid w:val="008F4F95"/>
    <w:rsid w:val="008F5DE8"/>
    <w:rsid w:val="008F7CE7"/>
    <w:rsid w:val="00902C15"/>
    <w:rsid w:val="00905181"/>
    <w:rsid w:val="009057EA"/>
    <w:rsid w:val="00905A5E"/>
    <w:rsid w:val="009070BB"/>
    <w:rsid w:val="00907A6C"/>
    <w:rsid w:val="00912DE0"/>
    <w:rsid w:val="00914132"/>
    <w:rsid w:val="00914795"/>
    <w:rsid w:val="00915706"/>
    <w:rsid w:val="0092146F"/>
    <w:rsid w:val="0092161A"/>
    <w:rsid w:val="00924814"/>
    <w:rsid w:val="00926B1A"/>
    <w:rsid w:val="009308E1"/>
    <w:rsid w:val="009311C9"/>
    <w:rsid w:val="00931AF1"/>
    <w:rsid w:val="00932F92"/>
    <w:rsid w:val="009339E3"/>
    <w:rsid w:val="00933BBD"/>
    <w:rsid w:val="00934B90"/>
    <w:rsid w:val="009351D8"/>
    <w:rsid w:val="00935FC2"/>
    <w:rsid w:val="00936508"/>
    <w:rsid w:val="00942011"/>
    <w:rsid w:val="00942DA6"/>
    <w:rsid w:val="00943369"/>
    <w:rsid w:val="009433E3"/>
    <w:rsid w:val="009504D5"/>
    <w:rsid w:val="00951C74"/>
    <w:rsid w:val="00952487"/>
    <w:rsid w:val="009524A0"/>
    <w:rsid w:val="00953F2E"/>
    <w:rsid w:val="00953FDB"/>
    <w:rsid w:val="009540B6"/>
    <w:rsid w:val="00956693"/>
    <w:rsid w:val="00961AE3"/>
    <w:rsid w:val="00961B3A"/>
    <w:rsid w:val="00966368"/>
    <w:rsid w:val="009664A6"/>
    <w:rsid w:val="009671BB"/>
    <w:rsid w:val="00972071"/>
    <w:rsid w:val="00974A75"/>
    <w:rsid w:val="0097531A"/>
    <w:rsid w:val="00976081"/>
    <w:rsid w:val="009762C1"/>
    <w:rsid w:val="00976950"/>
    <w:rsid w:val="00976A64"/>
    <w:rsid w:val="00976B06"/>
    <w:rsid w:val="009807C7"/>
    <w:rsid w:val="00980AFF"/>
    <w:rsid w:val="0098183C"/>
    <w:rsid w:val="009833A0"/>
    <w:rsid w:val="009856D1"/>
    <w:rsid w:val="00985D0D"/>
    <w:rsid w:val="0098660B"/>
    <w:rsid w:val="00986BF8"/>
    <w:rsid w:val="00987238"/>
    <w:rsid w:val="009959DD"/>
    <w:rsid w:val="0099797C"/>
    <w:rsid w:val="009A0C2A"/>
    <w:rsid w:val="009A1FF3"/>
    <w:rsid w:val="009A267F"/>
    <w:rsid w:val="009A30FB"/>
    <w:rsid w:val="009B0953"/>
    <w:rsid w:val="009B163B"/>
    <w:rsid w:val="009B3104"/>
    <w:rsid w:val="009B5DD3"/>
    <w:rsid w:val="009B6541"/>
    <w:rsid w:val="009C3B23"/>
    <w:rsid w:val="009C5983"/>
    <w:rsid w:val="009C5F80"/>
    <w:rsid w:val="009C7B36"/>
    <w:rsid w:val="009D0F5C"/>
    <w:rsid w:val="009D1579"/>
    <w:rsid w:val="009D3222"/>
    <w:rsid w:val="009D5DCD"/>
    <w:rsid w:val="009D750D"/>
    <w:rsid w:val="009E01D2"/>
    <w:rsid w:val="009E0DFB"/>
    <w:rsid w:val="009E137B"/>
    <w:rsid w:val="009E3A46"/>
    <w:rsid w:val="009E3E97"/>
    <w:rsid w:val="009E5747"/>
    <w:rsid w:val="009E6553"/>
    <w:rsid w:val="009F0189"/>
    <w:rsid w:val="009F128C"/>
    <w:rsid w:val="009F1591"/>
    <w:rsid w:val="009F226C"/>
    <w:rsid w:val="009F2428"/>
    <w:rsid w:val="009F24BA"/>
    <w:rsid w:val="009F7F4B"/>
    <w:rsid w:val="00A00871"/>
    <w:rsid w:val="00A00D75"/>
    <w:rsid w:val="00A00F2A"/>
    <w:rsid w:val="00A0111F"/>
    <w:rsid w:val="00A0175B"/>
    <w:rsid w:val="00A01AC4"/>
    <w:rsid w:val="00A10E20"/>
    <w:rsid w:val="00A13344"/>
    <w:rsid w:val="00A13AF2"/>
    <w:rsid w:val="00A2459D"/>
    <w:rsid w:val="00A27752"/>
    <w:rsid w:val="00A27C27"/>
    <w:rsid w:val="00A27DC0"/>
    <w:rsid w:val="00A306DA"/>
    <w:rsid w:val="00A3288F"/>
    <w:rsid w:val="00A337C5"/>
    <w:rsid w:val="00A354BD"/>
    <w:rsid w:val="00A36820"/>
    <w:rsid w:val="00A373EA"/>
    <w:rsid w:val="00A405F8"/>
    <w:rsid w:val="00A417BC"/>
    <w:rsid w:val="00A419C0"/>
    <w:rsid w:val="00A4265B"/>
    <w:rsid w:val="00A431BE"/>
    <w:rsid w:val="00A447CA"/>
    <w:rsid w:val="00A44E0E"/>
    <w:rsid w:val="00A45A36"/>
    <w:rsid w:val="00A4712D"/>
    <w:rsid w:val="00A47B7B"/>
    <w:rsid w:val="00A5088A"/>
    <w:rsid w:val="00A51519"/>
    <w:rsid w:val="00A51F09"/>
    <w:rsid w:val="00A549AD"/>
    <w:rsid w:val="00A576E0"/>
    <w:rsid w:val="00A5777A"/>
    <w:rsid w:val="00A62644"/>
    <w:rsid w:val="00A64A37"/>
    <w:rsid w:val="00A66C04"/>
    <w:rsid w:val="00A66C72"/>
    <w:rsid w:val="00A67F64"/>
    <w:rsid w:val="00A702C5"/>
    <w:rsid w:val="00A7088B"/>
    <w:rsid w:val="00A726BC"/>
    <w:rsid w:val="00A73A38"/>
    <w:rsid w:val="00A74A84"/>
    <w:rsid w:val="00A7536A"/>
    <w:rsid w:val="00A757A9"/>
    <w:rsid w:val="00A760A7"/>
    <w:rsid w:val="00A84F6C"/>
    <w:rsid w:val="00A867B3"/>
    <w:rsid w:val="00A8747B"/>
    <w:rsid w:val="00A92ED3"/>
    <w:rsid w:val="00A92FF7"/>
    <w:rsid w:val="00A955CF"/>
    <w:rsid w:val="00AA024D"/>
    <w:rsid w:val="00AA18C7"/>
    <w:rsid w:val="00AA239A"/>
    <w:rsid w:val="00AA297B"/>
    <w:rsid w:val="00AA2C50"/>
    <w:rsid w:val="00AB0D35"/>
    <w:rsid w:val="00AB0F61"/>
    <w:rsid w:val="00AB3263"/>
    <w:rsid w:val="00AB47D4"/>
    <w:rsid w:val="00AB6684"/>
    <w:rsid w:val="00AB7DC6"/>
    <w:rsid w:val="00AC1F7F"/>
    <w:rsid w:val="00AC280A"/>
    <w:rsid w:val="00AC604D"/>
    <w:rsid w:val="00AC6229"/>
    <w:rsid w:val="00AC6FFD"/>
    <w:rsid w:val="00AD0D40"/>
    <w:rsid w:val="00AD497E"/>
    <w:rsid w:val="00AD6368"/>
    <w:rsid w:val="00AD6BB4"/>
    <w:rsid w:val="00AD70C4"/>
    <w:rsid w:val="00AD72F8"/>
    <w:rsid w:val="00AD741A"/>
    <w:rsid w:val="00AE01B6"/>
    <w:rsid w:val="00AE1AB3"/>
    <w:rsid w:val="00AE3D1A"/>
    <w:rsid w:val="00AE3F83"/>
    <w:rsid w:val="00AE428C"/>
    <w:rsid w:val="00AF00C2"/>
    <w:rsid w:val="00AF2652"/>
    <w:rsid w:val="00AF5431"/>
    <w:rsid w:val="00AF66B7"/>
    <w:rsid w:val="00B002A8"/>
    <w:rsid w:val="00B00418"/>
    <w:rsid w:val="00B007F2"/>
    <w:rsid w:val="00B00C57"/>
    <w:rsid w:val="00B01430"/>
    <w:rsid w:val="00B02C8C"/>
    <w:rsid w:val="00B0338F"/>
    <w:rsid w:val="00B054B1"/>
    <w:rsid w:val="00B060B7"/>
    <w:rsid w:val="00B0769B"/>
    <w:rsid w:val="00B0799D"/>
    <w:rsid w:val="00B110DE"/>
    <w:rsid w:val="00B12702"/>
    <w:rsid w:val="00B13F4E"/>
    <w:rsid w:val="00B15A74"/>
    <w:rsid w:val="00B1722A"/>
    <w:rsid w:val="00B17424"/>
    <w:rsid w:val="00B20EDA"/>
    <w:rsid w:val="00B22E2D"/>
    <w:rsid w:val="00B23745"/>
    <w:rsid w:val="00B23EC4"/>
    <w:rsid w:val="00B267F1"/>
    <w:rsid w:val="00B26C45"/>
    <w:rsid w:val="00B27EDA"/>
    <w:rsid w:val="00B27F19"/>
    <w:rsid w:val="00B32937"/>
    <w:rsid w:val="00B33626"/>
    <w:rsid w:val="00B35267"/>
    <w:rsid w:val="00B36B2B"/>
    <w:rsid w:val="00B37430"/>
    <w:rsid w:val="00B37DC3"/>
    <w:rsid w:val="00B40A7A"/>
    <w:rsid w:val="00B440DA"/>
    <w:rsid w:val="00B465AF"/>
    <w:rsid w:val="00B47208"/>
    <w:rsid w:val="00B47A8A"/>
    <w:rsid w:val="00B51099"/>
    <w:rsid w:val="00B52774"/>
    <w:rsid w:val="00B52F39"/>
    <w:rsid w:val="00B53647"/>
    <w:rsid w:val="00B540C1"/>
    <w:rsid w:val="00B5609C"/>
    <w:rsid w:val="00B57932"/>
    <w:rsid w:val="00B57948"/>
    <w:rsid w:val="00B57CB8"/>
    <w:rsid w:val="00B6139B"/>
    <w:rsid w:val="00B631A3"/>
    <w:rsid w:val="00B631D2"/>
    <w:rsid w:val="00B63657"/>
    <w:rsid w:val="00B63917"/>
    <w:rsid w:val="00B64BE4"/>
    <w:rsid w:val="00B74D86"/>
    <w:rsid w:val="00B81C2F"/>
    <w:rsid w:val="00B83961"/>
    <w:rsid w:val="00B87622"/>
    <w:rsid w:val="00B90F67"/>
    <w:rsid w:val="00B92086"/>
    <w:rsid w:val="00B92104"/>
    <w:rsid w:val="00B92F0D"/>
    <w:rsid w:val="00B93B75"/>
    <w:rsid w:val="00B95E5B"/>
    <w:rsid w:val="00B97797"/>
    <w:rsid w:val="00B97C35"/>
    <w:rsid w:val="00BA0595"/>
    <w:rsid w:val="00BA0CD1"/>
    <w:rsid w:val="00BA1298"/>
    <w:rsid w:val="00BA3E65"/>
    <w:rsid w:val="00BA4140"/>
    <w:rsid w:val="00BA44F4"/>
    <w:rsid w:val="00BA49ED"/>
    <w:rsid w:val="00BA53A0"/>
    <w:rsid w:val="00BA5B92"/>
    <w:rsid w:val="00BA5DAF"/>
    <w:rsid w:val="00BA7A87"/>
    <w:rsid w:val="00BB1F0D"/>
    <w:rsid w:val="00BB25C5"/>
    <w:rsid w:val="00BB4EF2"/>
    <w:rsid w:val="00BB6AFE"/>
    <w:rsid w:val="00BB73EB"/>
    <w:rsid w:val="00BC28C0"/>
    <w:rsid w:val="00BC3314"/>
    <w:rsid w:val="00BC35DE"/>
    <w:rsid w:val="00BC4555"/>
    <w:rsid w:val="00BC5990"/>
    <w:rsid w:val="00BC6798"/>
    <w:rsid w:val="00BC7691"/>
    <w:rsid w:val="00BC7831"/>
    <w:rsid w:val="00BD2276"/>
    <w:rsid w:val="00BD2B71"/>
    <w:rsid w:val="00BD2B7D"/>
    <w:rsid w:val="00BD2C96"/>
    <w:rsid w:val="00BD5BB6"/>
    <w:rsid w:val="00BD7274"/>
    <w:rsid w:val="00BD72D1"/>
    <w:rsid w:val="00BD756F"/>
    <w:rsid w:val="00BD7704"/>
    <w:rsid w:val="00BD7861"/>
    <w:rsid w:val="00BE40FF"/>
    <w:rsid w:val="00BE4111"/>
    <w:rsid w:val="00BE439E"/>
    <w:rsid w:val="00BE572C"/>
    <w:rsid w:val="00BE5D7D"/>
    <w:rsid w:val="00BE6BF4"/>
    <w:rsid w:val="00BE7E34"/>
    <w:rsid w:val="00BF0ADC"/>
    <w:rsid w:val="00BF0AF9"/>
    <w:rsid w:val="00BF2B13"/>
    <w:rsid w:val="00BF45B1"/>
    <w:rsid w:val="00BF4E89"/>
    <w:rsid w:val="00BF6196"/>
    <w:rsid w:val="00BF6F1F"/>
    <w:rsid w:val="00BF737D"/>
    <w:rsid w:val="00C01DBD"/>
    <w:rsid w:val="00C035F5"/>
    <w:rsid w:val="00C044BA"/>
    <w:rsid w:val="00C05058"/>
    <w:rsid w:val="00C055E8"/>
    <w:rsid w:val="00C10A00"/>
    <w:rsid w:val="00C13570"/>
    <w:rsid w:val="00C1443E"/>
    <w:rsid w:val="00C154DA"/>
    <w:rsid w:val="00C15763"/>
    <w:rsid w:val="00C1761C"/>
    <w:rsid w:val="00C201CD"/>
    <w:rsid w:val="00C22142"/>
    <w:rsid w:val="00C23CCB"/>
    <w:rsid w:val="00C250DA"/>
    <w:rsid w:val="00C25299"/>
    <w:rsid w:val="00C32BCC"/>
    <w:rsid w:val="00C32D1E"/>
    <w:rsid w:val="00C32D9E"/>
    <w:rsid w:val="00C33C5F"/>
    <w:rsid w:val="00C345BB"/>
    <w:rsid w:val="00C3543B"/>
    <w:rsid w:val="00C3643B"/>
    <w:rsid w:val="00C36AFE"/>
    <w:rsid w:val="00C40A4E"/>
    <w:rsid w:val="00C40A6A"/>
    <w:rsid w:val="00C42BF6"/>
    <w:rsid w:val="00C42C69"/>
    <w:rsid w:val="00C43DC7"/>
    <w:rsid w:val="00C45384"/>
    <w:rsid w:val="00C46982"/>
    <w:rsid w:val="00C470D6"/>
    <w:rsid w:val="00C47DE9"/>
    <w:rsid w:val="00C51D1D"/>
    <w:rsid w:val="00C51EDD"/>
    <w:rsid w:val="00C52792"/>
    <w:rsid w:val="00C52970"/>
    <w:rsid w:val="00C52FD7"/>
    <w:rsid w:val="00C5545B"/>
    <w:rsid w:val="00C55BE0"/>
    <w:rsid w:val="00C55F5F"/>
    <w:rsid w:val="00C577BF"/>
    <w:rsid w:val="00C57B78"/>
    <w:rsid w:val="00C633C9"/>
    <w:rsid w:val="00C63D74"/>
    <w:rsid w:val="00C646B6"/>
    <w:rsid w:val="00C667ED"/>
    <w:rsid w:val="00C67EF3"/>
    <w:rsid w:val="00C70577"/>
    <w:rsid w:val="00C70657"/>
    <w:rsid w:val="00C72402"/>
    <w:rsid w:val="00C7259B"/>
    <w:rsid w:val="00C73D52"/>
    <w:rsid w:val="00C76162"/>
    <w:rsid w:val="00C804F5"/>
    <w:rsid w:val="00C8062E"/>
    <w:rsid w:val="00C80AAF"/>
    <w:rsid w:val="00C84F29"/>
    <w:rsid w:val="00C85D50"/>
    <w:rsid w:val="00C85EEA"/>
    <w:rsid w:val="00C86AFC"/>
    <w:rsid w:val="00C87B0F"/>
    <w:rsid w:val="00C901B1"/>
    <w:rsid w:val="00C91477"/>
    <w:rsid w:val="00C923D4"/>
    <w:rsid w:val="00C925C4"/>
    <w:rsid w:val="00C9492E"/>
    <w:rsid w:val="00C94F52"/>
    <w:rsid w:val="00CA02A1"/>
    <w:rsid w:val="00CA1DB5"/>
    <w:rsid w:val="00CA41A4"/>
    <w:rsid w:val="00CA5B48"/>
    <w:rsid w:val="00CB09D9"/>
    <w:rsid w:val="00CB1C98"/>
    <w:rsid w:val="00CB3B0F"/>
    <w:rsid w:val="00CB7A52"/>
    <w:rsid w:val="00CC0F41"/>
    <w:rsid w:val="00CC10FE"/>
    <w:rsid w:val="00CC4193"/>
    <w:rsid w:val="00CC4212"/>
    <w:rsid w:val="00CC6C96"/>
    <w:rsid w:val="00CC71D5"/>
    <w:rsid w:val="00CC72F8"/>
    <w:rsid w:val="00CD1581"/>
    <w:rsid w:val="00CD320C"/>
    <w:rsid w:val="00CD41B4"/>
    <w:rsid w:val="00CE13B6"/>
    <w:rsid w:val="00CE3C33"/>
    <w:rsid w:val="00CE673E"/>
    <w:rsid w:val="00CF00BC"/>
    <w:rsid w:val="00CF0224"/>
    <w:rsid w:val="00CF10CF"/>
    <w:rsid w:val="00CF1529"/>
    <w:rsid w:val="00CF2547"/>
    <w:rsid w:val="00CF2999"/>
    <w:rsid w:val="00CF3281"/>
    <w:rsid w:val="00CF58A1"/>
    <w:rsid w:val="00D01403"/>
    <w:rsid w:val="00D0289B"/>
    <w:rsid w:val="00D02F37"/>
    <w:rsid w:val="00D0446C"/>
    <w:rsid w:val="00D05629"/>
    <w:rsid w:val="00D10266"/>
    <w:rsid w:val="00D10E30"/>
    <w:rsid w:val="00D114C7"/>
    <w:rsid w:val="00D13B16"/>
    <w:rsid w:val="00D17394"/>
    <w:rsid w:val="00D17480"/>
    <w:rsid w:val="00D212A9"/>
    <w:rsid w:val="00D21BCC"/>
    <w:rsid w:val="00D22DE3"/>
    <w:rsid w:val="00D2391E"/>
    <w:rsid w:val="00D2457F"/>
    <w:rsid w:val="00D26FC4"/>
    <w:rsid w:val="00D31016"/>
    <w:rsid w:val="00D315EE"/>
    <w:rsid w:val="00D31CE3"/>
    <w:rsid w:val="00D324A7"/>
    <w:rsid w:val="00D32EB3"/>
    <w:rsid w:val="00D32FF4"/>
    <w:rsid w:val="00D35E52"/>
    <w:rsid w:val="00D36D5D"/>
    <w:rsid w:val="00D3700F"/>
    <w:rsid w:val="00D3702F"/>
    <w:rsid w:val="00D40D0C"/>
    <w:rsid w:val="00D40F7E"/>
    <w:rsid w:val="00D414A8"/>
    <w:rsid w:val="00D41683"/>
    <w:rsid w:val="00D41C70"/>
    <w:rsid w:val="00D4288E"/>
    <w:rsid w:val="00D4336B"/>
    <w:rsid w:val="00D47562"/>
    <w:rsid w:val="00D50252"/>
    <w:rsid w:val="00D5271F"/>
    <w:rsid w:val="00D53C81"/>
    <w:rsid w:val="00D5500D"/>
    <w:rsid w:val="00D5579C"/>
    <w:rsid w:val="00D562B0"/>
    <w:rsid w:val="00D56311"/>
    <w:rsid w:val="00D56970"/>
    <w:rsid w:val="00D57A49"/>
    <w:rsid w:val="00D60741"/>
    <w:rsid w:val="00D627F8"/>
    <w:rsid w:val="00D62E61"/>
    <w:rsid w:val="00D6302F"/>
    <w:rsid w:val="00D6343B"/>
    <w:rsid w:val="00D648E7"/>
    <w:rsid w:val="00D64ABF"/>
    <w:rsid w:val="00D65256"/>
    <w:rsid w:val="00D66FE3"/>
    <w:rsid w:val="00D71513"/>
    <w:rsid w:val="00D72EA6"/>
    <w:rsid w:val="00D73F0E"/>
    <w:rsid w:val="00D75262"/>
    <w:rsid w:val="00D774B2"/>
    <w:rsid w:val="00D80A06"/>
    <w:rsid w:val="00D80F55"/>
    <w:rsid w:val="00D828E0"/>
    <w:rsid w:val="00D850E9"/>
    <w:rsid w:val="00D853CD"/>
    <w:rsid w:val="00D86236"/>
    <w:rsid w:val="00D8635D"/>
    <w:rsid w:val="00D91738"/>
    <w:rsid w:val="00D9279A"/>
    <w:rsid w:val="00D95974"/>
    <w:rsid w:val="00DA135F"/>
    <w:rsid w:val="00DA2355"/>
    <w:rsid w:val="00DA2CBC"/>
    <w:rsid w:val="00DA3E16"/>
    <w:rsid w:val="00DA423C"/>
    <w:rsid w:val="00DA42A7"/>
    <w:rsid w:val="00DA4A37"/>
    <w:rsid w:val="00DA4CC2"/>
    <w:rsid w:val="00DA68FC"/>
    <w:rsid w:val="00DA6B65"/>
    <w:rsid w:val="00DB1AD8"/>
    <w:rsid w:val="00DB24F3"/>
    <w:rsid w:val="00DB308B"/>
    <w:rsid w:val="00DB42EF"/>
    <w:rsid w:val="00DB46A8"/>
    <w:rsid w:val="00DB4F28"/>
    <w:rsid w:val="00DB7FF2"/>
    <w:rsid w:val="00DC3351"/>
    <w:rsid w:val="00DC3904"/>
    <w:rsid w:val="00DC4438"/>
    <w:rsid w:val="00DC4DC5"/>
    <w:rsid w:val="00DC568D"/>
    <w:rsid w:val="00DD05D0"/>
    <w:rsid w:val="00DD1F5C"/>
    <w:rsid w:val="00DD2ED0"/>
    <w:rsid w:val="00DD3EBB"/>
    <w:rsid w:val="00DD7BC4"/>
    <w:rsid w:val="00DE0C41"/>
    <w:rsid w:val="00DE3D0B"/>
    <w:rsid w:val="00DE4F2D"/>
    <w:rsid w:val="00DE5914"/>
    <w:rsid w:val="00DE7CFA"/>
    <w:rsid w:val="00DF4FA2"/>
    <w:rsid w:val="00DF6DAB"/>
    <w:rsid w:val="00E00713"/>
    <w:rsid w:val="00E014C4"/>
    <w:rsid w:val="00E038E6"/>
    <w:rsid w:val="00E05D13"/>
    <w:rsid w:val="00E116D7"/>
    <w:rsid w:val="00E12DCB"/>
    <w:rsid w:val="00E13040"/>
    <w:rsid w:val="00E1342F"/>
    <w:rsid w:val="00E140F5"/>
    <w:rsid w:val="00E14D43"/>
    <w:rsid w:val="00E167EF"/>
    <w:rsid w:val="00E23F70"/>
    <w:rsid w:val="00E25B96"/>
    <w:rsid w:val="00E2665C"/>
    <w:rsid w:val="00E273CC"/>
    <w:rsid w:val="00E27643"/>
    <w:rsid w:val="00E31668"/>
    <w:rsid w:val="00E318CA"/>
    <w:rsid w:val="00E320DF"/>
    <w:rsid w:val="00E33CCD"/>
    <w:rsid w:val="00E35386"/>
    <w:rsid w:val="00E363DA"/>
    <w:rsid w:val="00E3648B"/>
    <w:rsid w:val="00E40148"/>
    <w:rsid w:val="00E41202"/>
    <w:rsid w:val="00E426C6"/>
    <w:rsid w:val="00E439A2"/>
    <w:rsid w:val="00E4505F"/>
    <w:rsid w:val="00E45265"/>
    <w:rsid w:val="00E4599F"/>
    <w:rsid w:val="00E47250"/>
    <w:rsid w:val="00E47527"/>
    <w:rsid w:val="00E50080"/>
    <w:rsid w:val="00E51A1F"/>
    <w:rsid w:val="00E53C64"/>
    <w:rsid w:val="00E54695"/>
    <w:rsid w:val="00E546CB"/>
    <w:rsid w:val="00E54CEB"/>
    <w:rsid w:val="00E552E4"/>
    <w:rsid w:val="00E56413"/>
    <w:rsid w:val="00E57E6E"/>
    <w:rsid w:val="00E6077D"/>
    <w:rsid w:val="00E6090A"/>
    <w:rsid w:val="00E61AAB"/>
    <w:rsid w:val="00E641AC"/>
    <w:rsid w:val="00E65D08"/>
    <w:rsid w:val="00E66108"/>
    <w:rsid w:val="00E66CC8"/>
    <w:rsid w:val="00E6796E"/>
    <w:rsid w:val="00E70842"/>
    <w:rsid w:val="00E713B8"/>
    <w:rsid w:val="00E73AE9"/>
    <w:rsid w:val="00E74A29"/>
    <w:rsid w:val="00E778EA"/>
    <w:rsid w:val="00E8198A"/>
    <w:rsid w:val="00E81A17"/>
    <w:rsid w:val="00E83EBF"/>
    <w:rsid w:val="00E83F46"/>
    <w:rsid w:val="00E84364"/>
    <w:rsid w:val="00E84F5D"/>
    <w:rsid w:val="00E86669"/>
    <w:rsid w:val="00E870BE"/>
    <w:rsid w:val="00E90658"/>
    <w:rsid w:val="00E917D1"/>
    <w:rsid w:val="00E92235"/>
    <w:rsid w:val="00E94344"/>
    <w:rsid w:val="00E9536A"/>
    <w:rsid w:val="00E954FE"/>
    <w:rsid w:val="00E95906"/>
    <w:rsid w:val="00EA1F1F"/>
    <w:rsid w:val="00EA21F5"/>
    <w:rsid w:val="00EA3C32"/>
    <w:rsid w:val="00EA4214"/>
    <w:rsid w:val="00EA6F41"/>
    <w:rsid w:val="00EB102B"/>
    <w:rsid w:val="00EB161F"/>
    <w:rsid w:val="00EB177B"/>
    <w:rsid w:val="00EB192C"/>
    <w:rsid w:val="00EB19B1"/>
    <w:rsid w:val="00EB3EFA"/>
    <w:rsid w:val="00EB7E39"/>
    <w:rsid w:val="00EB7EB9"/>
    <w:rsid w:val="00EC2033"/>
    <w:rsid w:val="00EC3BCC"/>
    <w:rsid w:val="00EC5001"/>
    <w:rsid w:val="00EC7BC9"/>
    <w:rsid w:val="00ED0971"/>
    <w:rsid w:val="00ED10B9"/>
    <w:rsid w:val="00ED2752"/>
    <w:rsid w:val="00ED6175"/>
    <w:rsid w:val="00ED61EB"/>
    <w:rsid w:val="00EE0BF5"/>
    <w:rsid w:val="00EE29A2"/>
    <w:rsid w:val="00EE3E8F"/>
    <w:rsid w:val="00EE3EE4"/>
    <w:rsid w:val="00EE4DDF"/>
    <w:rsid w:val="00EE4ECD"/>
    <w:rsid w:val="00EE5149"/>
    <w:rsid w:val="00EE5A04"/>
    <w:rsid w:val="00EE7D0E"/>
    <w:rsid w:val="00EF1C91"/>
    <w:rsid w:val="00EF1EB6"/>
    <w:rsid w:val="00EF26B7"/>
    <w:rsid w:val="00EF390A"/>
    <w:rsid w:val="00EF478D"/>
    <w:rsid w:val="00EF4EC5"/>
    <w:rsid w:val="00EF5832"/>
    <w:rsid w:val="00EF60C5"/>
    <w:rsid w:val="00EF61F7"/>
    <w:rsid w:val="00EF7895"/>
    <w:rsid w:val="00EF7A13"/>
    <w:rsid w:val="00EF7E1F"/>
    <w:rsid w:val="00F0074B"/>
    <w:rsid w:val="00F01E29"/>
    <w:rsid w:val="00F021D3"/>
    <w:rsid w:val="00F0374A"/>
    <w:rsid w:val="00F0433E"/>
    <w:rsid w:val="00F04FD8"/>
    <w:rsid w:val="00F0518C"/>
    <w:rsid w:val="00F06879"/>
    <w:rsid w:val="00F13D2D"/>
    <w:rsid w:val="00F141CD"/>
    <w:rsid w:val="00F147C9"/>
    <w:rsid w:val="00F1536F"/>
    <w:rsid w:val="00F17E3A"/>
    <w:rsid w:val="00F25FB5"/>
    <w:rsid w:val="00F26B05"/>
    <w:rsid w:val="00F30438"/>
    <w:rsid w:val="00F321D4"/>
    <w:rsid w:val="00F34C4F"/>
    <w:rsid w:val="00F408F2"/>
    <w:rsid w:val="00F41001"/>
    <w:rsid w:val="00F4154E"/>
    <w:rsid w:val="00F42114"/>
    <w:rsid w:val="00F42439"/>
    <w:rsid w:val="00F42990"/>
    <w:rsid w:val="00F461A6"/>
    <w:rsid w:val="00F462B1"/>
    <w:rsid w:val="00F475D3"/>
    <w:rsid w:val="00F527B9"/>
    <w:rsid w:val="00F55F22"/>
    <w:rsid w:val="00F61D24"/>
    <w:rsid w:val="00F636F7"/>
    <w:rsid w:val="00F66C6E"/>
    <w:rsid w:val="00F675D6"/>
    <w:rsid w:val="00F679F1"/>
    <w:rsid w:val="00F67F44"/>
    <w:rsid w:val="00F7020F"/>
    <w:rsid w:val="00F72414"/>
    <w:rsid w:val="00F7343B"/>
    <w:rsid w:val="00F74868"/>
    <w:rsid w:val="00F75514"/>
    <w:rsid w:val="00F80AC9"/>
    <w:rsid w:val="00F812AC"/>
    <w:rsid w:val="00F8143F"/>
    <w:rsid w:val="00F81683"/>
    <w:rsid w:val="00F8485E"/>
    <w:rsid w:val="00F85D14"/>
    <w:rsid w:val="00F87081"/>
    <w:rsid w:val="00F914E6"/>
    <w:rsid w:val="00F91803"/>
    <w:rsid w:val="00F92CD2"/>
    <w:rsid w:val="00F94509"/>
    <w:rsid w:val="00F96211"/>
    <w:rsid w:val="00FA00BE"/>
    <w:rsid w:val="00FA0DCC"/>
    <w:rsid w:val="00FA106C"/>
    <w:rsid w:val="00FA15E3"/>
    <w:rsid w:val="00FA1DC8"/>
    <w:rsid w:val="00FA1F33"/>
    <w:rsid w:val="00FA6817"/>
    <w:rsid w:val="00FB0FC1"/>
    <w:rsid w:val="00FB2AB5"/>
    <w:rsid w:val="00FB553B"/>
    <w:rsid w:val="00FB6968"/>
    <w:rsid w:val="00FC0A2B"/>
    <w:rsid w:val="00FC3E87"/>
    <w:rsid w:val="00FC6324"/>
    <w:rsid w:val="00FC6DF5"/>
    <w:rsid w:val="00FC7652"/>
    <w:rsid w:val="00FD2D98"/>
    <w:rsid w:val="00FD344F"/>
    <w:rsid w:val="00FD633B"/>
    <w:rsid w:val="00FE1715"/>
    <w:rsid w:val="00FE5AEA"/>
    <w:rsid w:val="00FE79DD"/>
    <w:rsid w:val="00FF0226"/>
    <w:rsid w:val="00FF19E7"/>
    <w:rsid w:val="00FF4B83"/>
    <w:rsid w:val="00FF65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9DF26"/>
  <w15:docId w15:val="{17D50F9A-80E8-4D48-93FC-F84F42AA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70BB"/>
  </w:style>
  <w:style w:type="paragraph" w:customStyle="1" w:styleId="phone">
    <w:name w:val="phone"/>
    <w:basedOn w:val="Normal"/>
    <w:next w:val="Normal"/>
    <w:uiPriority w:val="99"/>
    <w:rsid w:val="00BC6798"/>
    <w:pPr>
      <w:spacing w:before="120" w:line="240" w:lineRule="auto"/>
    </w:pPr>
    <w:rPr>
      <w:rFonts w:ascii="Calibri" w:eastAsia="SimSun" w:hAnsi="Calibri" w:cs="Arial"/>
      <w:sz w:val="20"/>
      <w:lang w:val="en-US" w:eastAsia="zh-CN"/>
    </w:rPr>
  </w:style>
  <w:style w:type="paragraph" w:styleId="ListParagraph">
    <w:name w:val="List Paragraph"/>
    <w:basedOn w:val="Normal"/>
    <w:uiPriority w:val="34"/>
    <w:qFormat/>
    <w:rsid w:val="00BC6798"/>
    <w:pPr>
      <w:ind w:left="720"/>
      <w:contextualSpacing/>
    </w:pPr>
  </w:style>
  <w:style w:type="character" w:styleId="Hyperlink">
    <w:name w:val="Hyperlink"/>
    <w:basedOn w:val="DefaultParagraphFont"/>
    <w:uiPriority w:val="99"/>
    <w:unhideWhenUsed/>
    <w:rsid w:val="003D7194"/>
    <w:rPr>
      <w:color w:val="0000FF"/>
      <w:u w:val="single"/>
    </w:rPr>
  </w:style>
  <w:style w:type="paragraph" w:styleId="BalloonText">
    <w:name w:val="Balloon Text"/>
    <w:basedOn w:val="Normal"/>
    <w:link w:val="BalloonTextChar"/>
    <w:uiPriority w:val="99"/>
    <w:semiHidden/>
    <w:unhideWhenUsed/>
    <w:rsid w:val="00A64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A37"/>
    <w:rPr>
      <w:rFonts w:ascii="Tahoma" w:hAnsi="Tahoma" w:cs="Tahoma"/>
      <w:sz w:val="16"/>
      <w:szCs w:val="16"/>
    </w:rPr>
  </w:style>
  <w:style w:type="character" w:styleId="CommentReference">
    <w:name w:val="annotation reference"/>
    <w:basedOn w:val="DefaultParagraphFont"/>
    <w:uiPriority w:val="99"/>
    <w:semiHidden/>
    <w:unhideWhenUsed/>
    <w:rsid w:val="00C250DA"/>
    <w:rPr>
      <w:sz w:val="16"/>
      <w:szCs w:val="16"/>
    </w:rPr>
  </w:style>
  <w:style w:type="paragraph" w:styleId="CommentText">
    <w:name w:val="annotation text"/>
    <w:basedOn w:val="Normal"/>
    <w:link w:val="CommentTextChar"/>
    <w:uiPriority w:val="99"/>
    <w:semiHidden/>
    <w:unhideWhenUsed/>
    <w:rsid w:val="00C250DA"/>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250D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75262"/>
    <w:rPr>
      <w:rFonts w:eastAsiaTheme="minorHAnsi"/>
      <w:b/>
      <w:bCs/>
    </w:rPr>
  </w:style>
  <w:style w:type="character" w:customStyle="1" w:styleId="CommentSubjectChar">
    <w:name w:val="Comment Subject Char"/>
    <w:basedOn w:val="CommentTextChar"/>
    <w:link w:val="CommentSubject"/>
    <w:uiPriority w:val="99"/>
    <w:semiHidden/>
    <w:rsid w:val="00D75262"/>
    <w:rPr>
      <w:rFonts w:eastAsiaTheme="minorEastAsia"/>
      <w:b/>
      <w:bCs/>
      <w:sz w:val="20"/>
      <w:szCs w:val="20"/>
    </w:rPr>
  </w:style>
  <w:style w:type="character" w:customStyle="1" w:styleId="MTEquationSection">
    <w:name w:val="MTEquationSection"/>
    <w:basedOn w:val="DefaultParagraphFont"/>
    <w:rsid w:val="005A14AF"/>
    <w:rPr>
      <w:rFonts w:asciiTheme="majorHAnsi" w:hAnsiTheme="majorHAnsi"/>
      <w:b/>
      <w:vanish/>
      <w:color w:val="FF0000"/>
      <w:lang w:val="en-US"/>
    </w:rPr>
  </w:style>
  <w:style w:type="paragraph" w:customStyle="1" w:styleId="MTDisplayEquation">
    <w:name w:val="MTDisplayEquation"/>
    <w:basedOn w:val="Normal"/>
    <w:next w:val="Normal"/>
    <w:link w:val="MTDisplayEquationChar"/>
    <w:rsid w:val="005A14AF"/>
    <w:pPr>
      <w:tabs>
        <w:tab w:val="center" w:pos="4520"/>
        <w:tab w:val="right" w:pos="9020"/>
      </w:tabs>
      <w:spacing w:after="0" w:line="360" w:lineRule="auto"/>
    </w:pPr>
    <w:rPr>
      <w:rFonts w:asciiTheme="majorHAnsi" w:eastAsiaTheme="minorEastAsia" w:hAnsiTheme="majorHAnsi"/>
      <w:lang w:val="en-US"/>
    </w:rPr>
  </w:style>
  <w:style w:type="character" w:customStyle="1" w:styleId="MTDisplayEquationChar">
    <w:name w:val="MTDisplayEquation Char"/>
    <w:basedOn w:val="DefaultParagraphFont"/>
    <w:link w:val="MTDisplayEquation"/>
    <w:rsid w:val="005A14AF"/>
    <w:rPr>
      <w:rFonts w:asciiTheme="majorHAnsi" w:eastAsiaTheme="minorEastAsia" w:hAnsiTheme="majorHAnsi"/>
      <w:lang w:val="en-US"/>
    </w:rPr>
  </w:style>
  <w:style w:type="paragraph" w:styleId="Header">
    <w:name w:val="header"/>
    <w:basedOn w:val="Normal"/>
    <w:link w:val="HeaderChar"/>
    <w:uiPriority w:val="99"/>
    <w:unhideWhenUsed/>
    <w:rsid w:val="005A14AF"/>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5A14AF"/>
    <w:rPr>
      <w:rFonts w:eastAsiaTheme="minorEastAsia"/>
    </w:rPr>
  </w:style>
  <w:style w:type="paragraph" w:styleId="Footer">
    <w:name w:val="footer"/>
    <w:basedOn w:val="Normal"/>
    <w:link w:val="FooterChar"/>
    <w:uiPriority w:val="99"/>
    <w:unhideWhenUsed/>
    <w:rsid w:val="005A14AF"/>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5A14AF"/>
    <w:rPr>
      <w:rFonts w:eastAsiaTheme="minorEastAsia"/>
    </w:rPr>
  </w:style>
  <w:style w:type="paragraph" w:styleId="FootnoteText">
    <w:name w:val="footnote text"/>
    <w:basedOn w:val="Normal"/>
    <w:link w:val="FootnoteTextChar"/>
    <w:uiPriority w:val="99"/>
    <w:unhideWhenUsed/>
    <w:rsid w:val="005A14AF"/>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5A14AF"/>
    <w:rPr>
      <w:rFonts w:eastAsiaTheme="minorEastAsia"/>
      <w:sz w:val="24"/>
      <w:szCs w:val="24"/>
    </w:rPr>
  </w:style>
  <w:style w:type="character" w:styleId="FootnoteReference">
    <w:name w:val="footnote reference"/>
    <w:basedOn w:val="DefaultParagraphFont"/>
    <w:uiPriority w:val="99"/>
    <w:unhideWhenUsed/>
    <w:rsid w:val="005A14AF"/>
    <w:rPr>
      <w:vertAlign w:val="superscript"/>
    </w:rPr>
  </w:style>
  <w:style w:type="character" w:styleId="Emphasis">
    <w:name w:val="Emphasis"/>
    <w:basedOn w:val="DefaultParagraphFont"/>
    <w:uiPriority w:val="20"/>
    <w:qFormat/>
    <w:rsid w:val="005A14AF"/>
    <w:rPr>
      <w:i/>
      <w:iCs/>
    </w:rPr>
  </w:style>
  <w:style w:type="character" w:customStyle="1" w:styleId="highlight">
    <w:name w:val="highlight"/>
    <w:basedOn w:val="DefaultParagraphFont"/>
    <w:rsid w:val="005A14AF"/>
  </w:style>
  <w:style w:type="table" w:styleId="TableGrid">
    <w:name w:val="Table Grid"/>
    <w:basedOn w:val="TableNormal"/>
    <w:uiPriority w:val="59"/>
    <w:rsid w:val="00E5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21DD"/>
    <w:pPr>
      <w:spacing w:after="0" w:line="240" w:lineRule="auto"/>
    </w:pPr>
  </w:style>
  <w:style w:type="paragraph" w:styleId="NormalWeb">
    <w:name w:val="Normal (Web)"/>
    <w:basedOn w:val="Normal"/>
    <w:uiPriority w:val="99"/>
    <w:unhideWhenUsed/>
    <w:rsid w:val="008B685C"/>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72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C7259B"/>
    <w:rPr>
      <w:rFonts w:ascii="Courier New" w:eastAsia="Times New Roman" w:hAnsi="Courier New" w:cs="Courier New"/>
      <w:sz w:val="20"/>
      <w:szCs w:val="20"/>
      <w:lang w:eastAsia="zh-CN"/>
    </w:rPr>
  </w:style>
  <w:style w:type="character" w:styleId="PlaceholderText">
    <w:name w:val="Placeholder Text"/>
    <w:basedOn w:val="DefaultParagraphFont"/>
    <w:uiPriority w:val="99"/>
    <w:semiHidden/>
    <w:rsid w:val="009762C1"/>
    <w:rPr>
      <w:color w:val="808080"/>
    </w:rPr>
  </w:style>
  <w:style w:type="paragraph" w:styleId="Bibliography">
    <w:name w:val="Bibliography"/>
    <w:basedOn w:val="Normal"/>
    <w:next w:val="Normal"/>
    <w:uiPriority w:val="99"/>
    <w:unhideWhenUsed/>
    <w:rsid w:val="003027D7"/>
    <w:pPr>
      <w:spacing w:after="0" w:line="48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787E1E"/>
    <w:rPr>
      <w:color w:val="800080" w:themeColor="followedHyperlink"/>
      <w:u w:val="single"/>
    </w:rPr>
  </w:style>
  <w:style w:type="character" w:customStyle="1" w:styleId="UnresolvedMention">
    <w:name w:val="Unresolved Mention"/>
    <w:basedOn w:val="DefaultParagraphFont"/>
    <w:uiPriority w:val="99"/>
    <w:semiHidden/>
    <w:unhideWhenUsed/>
    <w:rsid w:val="00B97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2033">
      <w:bodyDiv w:val="1"/>
      <w:marLeft w:val="0"/>
      <w:marRight w:val="0"/>
      <w:marTop w:val="0"/>
      <w:marBottom w:val="0"/>
      <w:divBdr>
        <w:top w:val="none" w:sz="0" w:space="0" w:color="auto"/>
        <w:left w:val="none" w:sz="0" w:space="0" w:color="auto"/>
        <w:bottom w:val="none" w:sz="0" w:space="0" w:color="auto"/>
        <w:right w:val="none" w:sz="0" w:space="0" w:color="auto"/>
      </w:divBdr>
    </w:div>
    <w:div w:id="346255501">
      <w:bodyDiv w:val="1"/>
      <w:marLeft w:val="0"/>
      <w:marRight w:val="0"/>
      <w:marTop w:val="0"/>
      <w:marBottom w:val="0"/>
      <w:divBdr>
        <w:top w:val="none" w:sz="0" w:space="0" w:color="auto"/>
        <w:left w:val="none" w:sz="0" w:space="0" w:color="auto"/>
        <w:bottom w:val="none" w:sz="0" w:space="0" w:color="auto"/>
        <w:right w:val="none" w:sz="0" w:space="0" w:color="auto"/>
      </w:divBdr>
    </w:div>
    <w:div w:id="389618252">
      <w:bodyDiv w:val="1"/>
      <w:marLeft w:val="0"/>
      <w:marRight w:val="0"/>
      <w:marTop w:val="0"/>
      <w:marBottom w:val="0"/>
      <w:divBdr>
        <w:top w:val="none" w:sz="0" w:space="0" w:color="auto"/>
        <w:left w:val="none" w:sz="0" w:space="0" w:color="auto"/>
        <w:bottom w:val="none" w:sz="0" w:space="0" w:color="auto"/>
        <w:right w:val="none" w:sz="0" w:space="0" w:color="auto"/>
      </w:divBdr>
    </w:div>
    <w:div w:id="480774737">
      <w:bodyDiv w:val="1"/>
      <w:marLeft w:val="0"/>
      <w:marRight w:val="0"/>
      <w:marTop w:val="0"/>
      <w:marBottom w:val="0"/>
      <w:divBdr>
        <w:top w:val="none" w:sz="0" w:space="0" w:color="auto"/>
        <w:left w:val="none" w:sz="0" w:space="0" w:color="auto"/>
        <w:bottom w:val="none" w:sz="0" w:space="0" w:color="auto"/>
        <w:right w:val="none" w:sz="0" w:space="0" w:color="auto"/>
      </w:divBdr>
    </w:div>
    <w:div w:id="513543265">
      <w:bodyDiv w:val="1"/>
      <w:marLeft w:val="0"/>
      <w:marRight w:val="0"/>
      <w:marTop w:val="0"/>
      <w:marBottom w:val="0"/>
      <w:divBdr>
        <w:top w:val="none" w:sz="0" w:space="0" w:color="auto"/>
        <w:left w:val="none" w:sz="0" w:space="0" w:color="auto"/>
        <w:bottom w:val="none" w:sz="0" w:space="0" w:color="auto"/>
        <w:right w:val="none" w:sz="0" w:space="0" w:color="auto"/>
      </w:divBdr>
    </w:div>
    <w:div w:id="567808464">
      <w:bodyDiv w:val="1"/>
      <w:marLeft w:val="0"/>
      <w:marRight w:val="0"/>
      <w:marTop w:val="0"/>
      <w:marBottom w:val="0"/>
      <w:divBdr>
        <w:top w:val="none" w:sz="0" w:space="0" w:color="auto"/>
        <w:left w:val="none" w:sz="0" w:space="0" w:color="auto"/>
        <w:bottom w:val="none" w:sz="0" w:space="0" w:color="auto"/>
        <w:right w:val="none" w:sz="0" w:space="0" w:color="auto"/>
      </w:divBdr>
    </w:div>
    <w:div w:id="632977552">
      <w:bodyDiv w:val="1"/>
      <w:marLeft w:val="0"/>
      <w:marRight w:val="0"/>
      <w:marTop w:val="0"/>
      <w:marBottom w:val="0"/>
      <w:divBdr>
        <w:top w:val="none" w:sz="0" w:space="0" w:color="auto"/>
        <w:left w:val="none" w:sz="0" w:space="0" w:color="auto"/>
        <w:bottom w:val="none" w:sz="0" w:space="0" w:color="auto"/>
        <w:right w:val="none" w:sz="0" w:space="0" w:color="auto"/>
      </w:divBdr>
      <w:divsChild>
        <w:div w:id="823815714">
          <w:marLeft w:val="0"/>
          <w:marRight w:val="0"/>
          <w:marTop w:val="0"/>
          <w:marBottom w:val="0"/>
          <w:divBdr>
            <w:top w:val="none" w:sz="0" w:space="0" w:color="auto"/>
            <w:left w:val="none" w:sz="0" w:space="0" w:color="auto"/>
            <w:bottom w:val="none" w:sz="0" w:space="0" w:color="auto"/>
            <w:right w:val="none" w:sz="0" w:space="0" w:color="auto"/>
          </w:divBdr>
          <w:divsChild>
            <w:div w:id="581724869">
              <w:marLeft w:val="0"/>
              <w:marRight w:val="0"/>
              <w:marTop w:val="0"/>
              <w:marBottom w:val="0"/>
              <w:divBdr>
                <w:top w:val="none" w:sz="0" w:space="0" w:color="auto"/>
                <w:left w:val="none" w:sz="0" w:space="0" w:color="auto"/>
                <w:bottom w:val="none" w:sz="0" w:space="0" w:color="auto"/>
                <w:right w:val="none" w:sz="0" w:space="0" w:color="auto"/>
              </w:divBdr>
              <w:divsChild>
                <w:div w:id="7936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7861">
      <w:bodyDiv w:val="1"/>
      <w:marLeft w:val="0"/>
      <w:marRight w:val="0"/>
      <w:marTop w:val="0"/>
      <w:marBottom w:val="0"/>
      <w:divBdr>
        <w:top w:val="none" w:sz="0" w:space="0" w:color="auto"/>
        <w:left w:val="none" w:sz="0" w:space="0" w:color="auto"/>
        <w:bottom w:val="none" w:sz="0" w:space="0" w:color="auto"/>
        <w:right w:val="none" w:sz="0" w:space="0" w:color="auto"/>
      </w:divBdr>
    </w:div>
    <w:div w:id="684095418">
      <w:bodyDiv w:val="1"/>
      <w:marLeft w:val="0"/>
      <w:marRight w:val="0"/>
      <w:marTop w:val="0"/>
      <w:marBottom w:val="0"/>
      <w:divBdr>
        <w:top w:val="none" w:sz="0" w:space="0" w:color="auto"/>
        <w:left w:val="none" w:sz="0" w:space="0" w:color="auto"/>
        <w:bottom w:val="none" w:sz="0" w:space="0" w:color="auto"/>
        <w:right w:val="none" w:sz="0" w:space="0" w:color="auto"/>
      </w:divBdr>
      <w:divsChild>
        <w:div w:id="139618346">
          <w:marLeft w:val="0"/>
          <w:marRight w:val="0"/>
          <w:marTop w:val="0"/>
          <w:marBottom w:val="0"/>
          <w:divBdr>
            <w:top w:val="none" w:sz="0" w:space="0" w:color="auto"/>
            <w:left w:val="none" w:sz="0" w:space="0" w:color="auto"/>
            <w:bottom w:val="none" w:sz="0" w:space="0" w:color="auto"/>
            <w:right w:val="none" w:sz="0" w:space="0" w:color="auto"/>
          </w:divBdr>
        </w:div>
        <w:div w:id="428476759">
          <w:marLeft w:val="0"/>
          <w:marRight w:val="0"/>
          <w:marTop w:val="0"/>
          <w:marBottom w:val="0"/>
          <w:divBdr>
            <w:top w:val="none" w:sz="0" w:space="0" w:color="auto"/>
            <w:left w:val="none" w:sz="0" w:space="0" w:color="auto"/>
            <w:bottom w:val="none" w:sz="0" w:space="0" w:color="auto"/>
            <w:right w:val="none" w:sz="0" w:space="0" w:color="auto"/>
          </w:divBdr>
        </w:div>
        <w:div w:id="794953479">
          <w:marLeft w:val="0"/>
          <w:marRight w:val="0"/>
          <w:marTop w:val="0"/>
          <w:marBottom w:val="0"/>
          <w:divBdr>
            <w:top w:val="none" w:sz="0" w:space="0" w:color="auto"/>
            <w:left w:val="none" w:sz="0" w:space="0" w:color="auto"/>
            <w:bottom w:val="none" w:sz="0" w:space="0" w:color="auto"/>
            <w:right w:val="none" w:sz="0" w:space="0" w:color="auto"/>
          </w:divBdr>
        </w:div>
        <w:div w:id="909459645">
          <w:marLeft w:val="0"/>
          <w:marRight w:val="0"/>
          <w:marTop w:val="0"/>
          <w:marBottom w:val="0"/>
          <w:divBdr>
            <w:top w:val="none" w:sz="0" w:space="0" w:color="auto"/>
            <w:left w:val="none" w:sz="0" w:space="0" w:color="auto"/>
            <w:bottom w:val="none" w:sz="0" w:space="0" w:color="auto"/>
            <w:right w:val="none" w:sz="0" w:space="0" w:color="auto"/>
          </w:divBdr>
        </w:div>
        <w:div w:id="1091779371">
          <w:marLeft w:val="0"/>
          <w:marRight w:val="0"/>
          <w:marTop w:val="0"/>
          <w:marBottom w:val="0"/>
          <w:divBdr>
            <w:top w:val="none" w:sz="0" w:space="0" w:color="auto"/>
            <w:left w:val="none" w:sz="0" w:space="0" w:color="auto"/>
            <w:bottom w:val="none" w:sz="0" w:space="0" w:color="auto"/>
            <w:right w:val="none" w:sz="0" w:space="0" w:color="auto"/>
          </w:divBdr>
        </w:div>
        <w:div w:id="1135372183">
          <w:marLeft w:val="0"/>
          <w:marRight w:val="0"/>
          <w:marTop w:val="0"/>
          <w:marBottom w:val="0"/>
          <w:divBdr>
            <w:top w:val="none" w:sz="0" w:space="0" w:color="auto"/>
            <w:left w:val="none" w:sz="0" w:space="0" w:color="auto"/>
            <w:bottom w:val="none" w:sz="0" w:space="0" w:color="auto"/>
            <w:right w:val="none" w:sz="0" w:space="0" w:color="auto"/>
          </w:divBdr>
        </w:div>
        <w:div w:id="1250312682">
          <w:marLeft w:val="0"/>
          <w:marRight w:val="0"/>
          <w:marTop w:val="0"/>
          <w:marBottom w:val="0"/>
          <w:divBdr>
            <w:top w:val="none" w:sz="0" w:space="0" w:color="auto"/>
            <w:left w:val="none" w:sz="0" w:space="0" w:color="auto"/>
            <w:bottom w:val="none" w:sz="0" w:space="0" w:color="auto"/>
            <w:right w:val="none" w:sz="0" w:space="0" w:color="auto"/>
          </w:divBdr>
        </w:div>
        <w:div w:id="1513370922">
          <w:marLeft w:val="0"/>
          <w:marRight w:val="0"/>
          <w:marTop w:val="0"/>
          <w:marBottom w:val="0"/>
          <w:divBdr>
            <w:top w:val="none" w:sz="0" w:space="0" w:color="auto"/>
            <w:left w:val="none" w:sz="0" w:space="0" w:color="auto"/>
            <w:bottom w:val="none" w:sz="0" w:space="0" w:color="auto"/>
            <w:right w:val="none" w:sz="0" w:space="0" w:color="auto"/>
          </w:divBdr>
        </w:div>
        <w:div w:id="1519008615">
          <w:marLeft w:val="0"/>
          <w:marRight w:val="0"/>
          <w:marTop w:val="0"/>
          <w:marBottom w:val="0"/>
          <w:divBdr>
            <w:top w:val="none" w:sz="0" w:space="0" w:color="auto"/>
            <w:left w:val="none" w:sz="0" w:space="0" w:color="auto"/>
            <w:bottom w:val="none" w:sz="0" w:space="0" w:color="auto"/>
            <w:right w:val="none" w:sz="0" w:space="0" w:color="auto"/>
          </w:divBdr>
        </w:div>
        <w:div w:id="1728718204">
          <w:marLeft w:val="0"/>
          <w:marRight w:val="0"/>
          <w:marTop w:val="0"/>
          <w:marBottom w:val="0"/>
          <w:divBdr>
            <w:top w:val="none" w:sz="0" w:space="0" w:color="auto"/>
            <w:left w:val="none" w:sz="0" w:space="0" w:color="auto"/>
            <w:bottom w:val="none" w:sz="0" w:space="0" w:color="auto"/>
            <w:right w:val="none" w:sz="0" w:space="0" w:color="auto"/>
          </w:divBdr>
        </w:div>
      </w:divsChild>
    </w:div>
    <w:div w:id="780992899">
      <w:bodyDiv w:val="1"/>
      <w:marLeft w:val="0"/>
      <w:marRight w:val="0"/>
      <w:marTop w:val="0"/>
      <w:marBottom w:val="0"/>
      <w:divBdr>
        <w:top w:val="none" w:sz="0" w:space="0" w:color="auto"/>
        <w:left w:val="none" w:sz="0" w:space="0" w:color="auto"/>
        <w:bottom w:val="none" w:sz="0" w:space="0" w:color="auto"/>
        <w:right w:val="none" w:sz="0" w:space="0" w:color="auto"/>
      </w:divBdr>
    </w:div>
    <w:div w:id="873660778">
      <w:bodyDiv w:val="1"/>
      <w:marLeft w:val="0"/>
      <w:marRight w:val="0"/>
      <w:marTop w:val="0"/>
      <w:marBottom w:val="0"/>
      <w:divBdr>
        <w:top w:val="none" w:sz="0" w:space="0" w:color="auto"/>
        <w:left w:val="none" w:sz="0" w:space="0" w:color="auto"/>
        <w:bottom w:val="none" w:sz="0" w:space="0" w:color="auto"/>
        <w:right w:val="none" w:sz="0" w:space="0" w:color="auto"/>
      </w:divBdr>
      <w:divsChild>
        <w:div w:id="1957519698">
          <w:marLeft w:val="0"/>
          <w:marRight w:val="0"/>
          <w:marTop w:val="0"/>
          <w:marBottom w:val="0"/>
          <w:divBdr>
            <w:top w:val="none" w:sz="0" w:space="0" w:color="auto"/>
            <w:left w:val="none" w:sz="0" w:space="0" w:color="auto"/>
            <w:bottom w:val="none" w:sz="0" w:space="0" w:color="auto"/>
            <w:right w:val="none" w:sz="0" w:space="0" w:color="auto"/>
          </w:divBdr>
          <w:divsChild>
            <w:div w:id="1253390059">
              <w:marLeft w:val="0"/>
              <w:marRight w:val="0"/>
              <w:marTop w:val="0"/>
              <w:marBottom w:val="0"/>
              <w:divBdr>
                <w:top w:val="none" w:sz="0" w:space="0" w:color="auto"/>
                <w:left w:val="none" w:sz="0" w:space="0" w:color="auto"/>
                <w:bottom w:val="none" w:sz="0" w:space="0" w:color="auto"/>
                <w:right w:val="none" w:sz="0" w:space="0" w:color="auto"/>
              </w:divBdr>
              <w:divsChild>
                <w:div w:id="981229246">
                  <w:marLeft w:val="0"/>
                  <w:marRight w:val="0"/>
                  <w:marTop w:val="0"/>
                  <w:marBottom w:val="0"/>
                  <w:divBdr>
                    <w:top w:val="none" w:sz="0" w:space="0" w:color="auto"/>
                    <w:left w:val="none" w:sz="0" w:space="0" w:color="auto"/>
                    <w:bottom w:val="none" w:sz="0" w:space="0" w:color="auto"/>
                    <w:right w:val="none" w:sz="0" w:space="0" w:color="auto"/>
                  </w:divBdr>
                </w:div>
                <w:div w:id="11103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2244">
      <w:bodyDiv w:val="1"/>
      <w:marLeft w:val="0"/>
      <w:marRight w:val="0"/>
      <w:marTop w:val="0"/>
      <w:marBottom w:val="0"/>
      <w:divBdr>
        <w:top w:val="none" w:sz="0" w:space="0" w:color="auto"/>
        <w:left w:val="none" w:sz="0" w:space="0" w:color="auto"/>
        <w:bottom w:val="none" w:sz="0" w:space="0" w:color="auto"/>
        <w:right w:val="none" w:sz="0" w:space="0" w:color="auto"/>
      </w:divBdr>
      <w:divsChild>
        <w:div w:id="945381411">
          <w:marLeft w:val="0"/>
          <w:marRight w:val="0"/>
          <w:marTop w:val="0"/>
          <w:marBottom w:val="0"/>
          <w:divBdr>
            <w:top w:val="none" w:sz="0" w:space="0" w:color="auto"/>
            <w:left w:val="none" w:sz="0" w:space="0" w:color="auto"/>
            <w:bottom w:val="none" w:sz="0" w:space="0" w:color="auto"/>
            <w:right w:val="none" w:sz="0" w:space="0" w:color="auto"/>
          </w:divBdr>
          <w:divsChild>
            <w:div w:id="1917468895">
              <w:marLeft w:val="0"/>
              <w:marRight w:val="0"/>
              <w:marTop w:val="0"/>
              <w:marBottom w:val="0"/>
              <w:divBdr>
                <w:top w:val="none" w:sz="0" w:space="0" w:color="auto"/>
                <w:left w:val="none" w:sz="0" w:space="0" w:color="auto"/>
                <w:bottom w:val="none" w:sz="0" w:space="0" w:color="auto"/>
                <w:right w:val="none" w:sz="0" w:space="0" w:color="auto"/>
              </w:divBdr>
              <w:divsChild>
                <w:div w:id="979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4775">
      <w:bodyDiv w:val="1"/>
      <w:marLeft w:val="0"/>
      <w:marRight w:val="0"/>
      <w:marTop w:val="0"/>
      <w:marBottom w:val="0"/>
      <w:divBdr>
        <w:top w:val="none" w:sz="0" w:space="0" w:color="auto"/>
        <w:left w:val="none" w:sz="0" w:space="0" w:color="auto"/>
        <w:bottom w:val="none" w:sz="0" w:space="0" w:color="auto"/>
        <w:right w:val="none" w:sz="0" w:space="0" w:color="auto"/>
      </w:divBdr>
      <w:divsChild>
        <w:div w:id="1211697414">
          <w:marLeft w:val="0"/>
          <w:marRight w:val="0"/>
          <w:marTop w:val="0"/>
          <w:marBottom w:val="0"/>
          <w:divBdr>
            <w:top w:val="none" w:sz="0" w:space="0" w:color="auto"/>
            <w:left w:val="none" w:sz="0" w:space="0" w:color="auto"/>
            <w:bottom w:val="none" w:sz="0" w:space="0" w:color="auto"/>
            <w:right w:val="none" w:sz="0" w:space="0" w:color="auto"/>
          </w:divBdr>
          <w:divsChild>
            <w:div w:id="1786004433">
              <w:marLeft w:val="0"/>
              <w:marRight w:val="0"/>
              <w:marTop w:val="0"/>
              <w:marBottom w:val="0"/>
              <w:divBdr>
                <w:top w:val="none" w:sz="0" w:space="0" w:color="auto"/>
                <w:left w:val="none" w:sz="0" w:space="0" w:color="auto"/>
                <w:bottom w:val="none" w:sz="0" w:space="0" w:color="auto"/>
                <w:right w:val="none" w:sz="0" w:space="0" w:color="auto"/>
              </w:divBdr>
              <w:divsChild>
                <w:div w:id="364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4763">
      <w:bodyDiv w:val="1"/>
      <w:marLeft w:val="0"/>
      <w:marRight w:val="0"/>
      <w:marTop w:val="0"/>
      <w:marBottom w:val="0"/>
      <w:divBdr>
        <w:top w:val="none" w:sz="0" w:space="0" w:color="auto"/>
        <w:left w:val="none" w:sz="0" w:space="0" w:color="auto"/>
        <w:bottom w:val="none" w:sz="0" w:space="0" w:color="auto"/>
        <w:right w:val="none" w:sz="0" w:space="0" w:color="auto"/>
      </w:divBdr>
    </w:div>
    <w:div w:id="1386223753">
      <w:bodyDiv w:val="1"/>
      <w:marLeft w:val="0"/>
      <w:marRight w:val="0"/>
      <w:marTop w:val="0"/>
      <w:marBottom w:val="0"/>
      <w:divBdr>
        <w:top w:val="none" w:sz="0" w:space="0" w:color="auto"/>
        <w:left w:val="none" w:sz="0" w:space="0" w:color="auto"/>
        <w:bottom w:val="none" w:sz="0" w:space="0" w:color="auto"/>
        <w:right w:val="none" w:sz="0" w:space="0" w:color="auto"/>
      </w:divBdr>
      <w:divsChild>
        <w:div w:id="1255094084">
          <w:marLeft w:val="0"/>
          <w:marRight w:val="0"/>
          <w:marTop w:val="0"/>
          <w:marBottom w:val="0"/>
          <w:divBdr>
            <w:top w:val="none" w:sz="0" w:space="0" w:color="auto"/>
            <w:left w:val="none" w:sz="0" w:space="0" w:color="auto"/>
            <w:bottom w:val="none" w:sz="0" w:space="0" w:color="auto"/>
            <w:right w:val="none" w:sz="0" w:space="0" w:color="auto"/>
          </w:divBdr>
        </w:div>
      </w:divsChild>
    </w:div>
    <w:div w:id="1440679265">
      <w:bodyDiv w:val="1"/>
      <w:marLeft w:val="0"/>
      <w:marRight w:val="0"/>
      <w:marTop w:val="0"/>
      <w:marBottom w:val="0"/>
      <w:divBdr>
        <w:top w:val="none" w:sz="0" w:space="0" w:color="auto"/>
        <w:left w:val="none" w:sz="0" w:space="0" w:color="auto"/>
        <w:bottom w:val="none" w:sz="0" w:space="0" w:color="auto"/>
        <w:right w:val="none" w:sz="0" w:space="0" w:color="auto"/>
      </w:divBdr>
    </w:div>
    <w:div w:id="1446651816">
      <w:bodyDiv w:val="1"/>
      <w:marLeft w:val="0"/>
      <w:marRight w:val="0"/>
      <w:marTop w:val="0"/>
      <w:marBottom w:val="0"/>
      <w:divBdr>
        <w:top w:val="none" w:sz="0" w:space="0" w:color="auto"/>
        <w:left w:val="none" w:sz="0" w:space="0" w:color="auto"/>
        <w:bottom w:val="none" w:sz="0" w:space="0" w:color="auto"/>
        <w:right w:val="none" w:sz="0" w:space="0" w:color="auto"/>
      </w:divBdr>
      <w:divsChild>
        <w:div w:id="1856726699">
          <w:marLeft w:val="0"/>
          <w:marRight w:val="0"/>
          <w:marTop w:val="0"/>
          <w:marBottom w:val="0"/>
          <w:divBdr>
            <w:top w:val="none" w:sz="0" w:space="0" w:color="auto"/>
            <w:left w:val="none" w:sz="0" w:space="0" w:color="auto"/>
            <w:bottom w:val="none" w:sz="0" w:space="0" w:color="auto"/>
            <w:right w:val="none" w:sz="0" w:space="0" w:color="auto"/>
          </w:divBdr>
          <w:divsChild>
            <w:div w:id="343215788">
              <w:marLeft w:val="0"/>
              <w:marRight w:val="0"/>
              <w:marTop w:val="0"/>
              <w:marBottom w:val="0"/>
              <w:divBdr>
                <w:top w:val="none" w:sz="0" w:space="0" w:color="auto"/>
                <w:left w:val="none" w:sz="0" w:space="0" w:color="auto"/>
                <w:bottom w:val="none" w:sz="0" w:space="0" w:color="auto"/>
                <w:right w:val="none" w:sz="0" w:space="0" w:color="auto"/>
              </w:divBdr>
              <w:divsChild>
                <w:div w:id="8647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2064">
      <w:bodyDiv w:val="1"/>
      <w:marLeft w:val="0"/>
      <w:marRight w:val="0"/>
      <w:marTop w:val="0"/>
      <w:marBottom w:val="0"/>
      <w:divBdr>
        <w:top w:val="none" w:sz="0" w:space="0" w:color="auto"/>
        <w:left w:val="none" w:sz="0" w:space="0" w:color="auto"/>
        <w:bottom w:val="none" w:sz="0" w:space="0" w:color="auto"/>
        <w:right w:val="none" w:sz="0" w:space="0" w:color="auto"/>
      </w:divBdr>
    </w:div>
    <w:div w:id="1598706933">
      <w:bodyDiv w:val="1"/>
      <w:marLeft w:val="0"/>
      <w:marRight w:val="0"/>
      <w:marTop w:val="0"/>
      <w:marBottom w:val="0"/>
      <w:divBdr>
        <w:top w:val="none" w:sz="0" w:space="0" w:color="auto"/>
        <w:left w:val="none" w:sz="0" w:space="0" w:color="auto"/>
        <w:bottom w:val="none" w:sz="0" w:space="0" w:color="auto"/>
        <w:right w:val="none" w:sz="0" w:space="0" w:color="auto"/>
      </w:divBdr>
      <w:divsChild>
        <w:div w:id="1627815086">
          <w:marLeft w:val="0"/>
          <w:marRight w:val="0"/>
          <w:marTop w:val="0"/>
          <w:marBottom w:val="0"/>
          <w:divBdr>
            <w:top w:val="none" w:sz="0" w:space="0" w:color="auto"/>
            <w:left w:val="none" w:sz="0" w:space="0" w:color="auto"/>
            <w:bottom w:val="none" w:sz="0" w:space="0" w:color="auto"/>
            <w:right w:val="none" w:sz="0" w:space="0" w:color="auto"/>
          </w:divBdr>
        </w:div>
      </w:divsChild>
    </w:div>
    <w:div w:id="1737972264">
      <w:bodyDiv w:val="1"/>
      <w:marLeft w:val="0"/>
      <w:marRight w:val="0"/>
      <w:marTop w:val="0"/>
      <w:marBottom w:val="0"/>
      <w:divBdr>
        <w:top w:val="none" w:sz="0" w:space="0" w:color="auto"/>
        <w:left w:val="none" w:sz="0" w:space="0" w:color="auto"/>
        <w:bottom w:val="none" w:sz="0" w:space="0" w:color="auto"/>
        <w:right w:val="none" w:sz="0" w:space="0" w:color="auto"/>
      </w:divBdr>
    </w:div>
    <w:div w:id="1752122803">
      <w:bodyDiv w:val="1"/>
      <w:marLeft w:val="0"/>
      <w:marRight w:val="0"/>
      <w:marTop w:val="0"/>
      <w:marBottom w:val="0"/>
      <w:divBdr>
        <w:top w:val="none" w:sz="0" w:space="0" w:color="auto"/>
        <w:left w:val="none" w:sz="0" w:space="0" w:color="auto"/>
        <w:bottom w:val="none" w:sz="0" w:space="0" w:color="auto"/>
        <w:right w:val="none" w:sz="0" w:space="0" w:color="auto"/>
      </w:divBdr>
    </w:div>
    <w:div w:id="1804735418">
      <w:bodyDiv w:val="1"/>
      <w:marLeft w:val="0"/>
      <w:marRight w:val="0"/>
      <w:marTop w:val="0"/>
      <w:marBottom w:val="0"/>
      <w:divBdr>
        <w:top w:val="none" w:sz="0" w:space="0" w:color="auto"/>
        <w:left w:val="none" w:sz="0" w:space="0" w:color="auto"/>
        <w:bottom w:val="none" w:sz="0" w:space="0" w:color="auto"/>
        <w:right w:val="none" w:sz="0" w:space="0" w:color="auto"/>
      </w:divBdr>
    </w:div>
    <w:div w:id="1888223549">
      <w:bodyDiv w:val="1"/>
      <w:marLeft w:val="0"/>
      <w:marRight w:val="0"/>
      <w:marTop w:val="0"/>
      <w:marBottom w:val="0"/>
      <w:divBdr>
        <w:top w:val="none" w:sz="0" w:space="0" w:color="auto"/>
        <w:left w:val="none" w:sz="0" w:space="0" w:color="auto"/>
        <w:bottom w:val="none" w:sz="0" w:space="0" w:color="auto"/>
        <w:right w:val="none" w:sz="0" w:space="0" w:color="auto"/>
      </w:divBdr>
    </w:div>
    <w:div w:id="1888956580">
      <w:bodyDiv w:val="1"/>
      <w:marLeft w:val="0"/>
      <w:marRight w:val="0"/>
      <w:marTop w:val="0"/>
      <w:marBottom w:val="0"/>
      <w:divBdr>
        <w:top w:val="none" w:sz="0" w:space="0" w:color="auto"/>
        <w:left w:val="none" w:sz="0" w:space="0" w:color="auto"/>
        <w:bottom w:val="none" w:sz="0" w:space="0" w:color="auto"/>
        <w:right w:val="none" w:sz="0" w:space="0" w:color="auto"/>
      </w:divBdr>
      <w:divsChild>
        <w:div w:id="1869948480">
          <w:marLeft w:val="0"/>
          <w:marRight w:val="0"/>
          <w:marTop w:val="0"/>
          <w:marBottom w:val="0"/>
          <w:divBdr>
            <w:top w:val="none" w:sz="0" w:space="0" w:color="auto"/>
            <w:left w:val="none" w:sz="0" w:space="0" w:color="auto"/>
            <w:bottom w:val="none" w:sz="0" w:space="0" w:color="auto"/>
            <w:right w:val="none" w:sz="0" w:space="0" w:color="auto"/>
          </w:divBdr>
          <w:divsChild>
            <w:div w:id="738136525">
              <w:marLeft w:val="0"/>
              <w:marRight w:val="0"/>
              <w:marTop w:val="0"/>
              <w:marBottom w:val="0"/>
              <w:divBdr>
                <w:top w:val="none" w:sz="0" w:space="0" w:color="auto"/>
                <w:left w:val="none" w:sz="0" w:space="0" w:color="auto"/>
                <w:bottom w:val="none" w:sz="0" w:space="0" w:color="auto"/>
                <w:right w:val="none" w:sz="0" w:space="0" w:color="auto"/>
              </w:divBdr>
              <w:divsChild>
                <w:div w:id="16698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6141">
      <w:bodyDiv w:val="1"/>
      <w:marLeft w:val="0"/>
      <w:marRight w:val="0"/>
      <w:marTop w:val="0"/>
      <w:marBottom w:val="0"/>
      <w:divBdr>
        <w:top w:val="none" w:sz="0" w:space="0" w:color="auto"/>
        <w:left w:val="none" w:sz="0" w:space="0" w:color="auto"/>
        <w:bottom w:val="none" w:sz="0" w:space="0" w:color="auto"/>
        <w:right w:val="none" w:sz="0" w:space="0" w:color="auto"/>
      </w:divBdr>
    </w:div>
    <w:div w:id="1962148905">
      <w:bodyDiv w:val="1"/>
      <w:marLeft w:val="0"/>
      <w:marRight w:val="0"/>
      <w:marTop w:val="0"/>
      <w:marBottom w:val="0"/>
      <w:divBdr>
        <w:top w:val="none" w:sz="0" w:space="0" w:color="auto"/>
        <w:left w:val="none" w:sz="0" w:space="0" w:color="auto"/>
        <w:bottom w:val="none" w:sz="0" w:space="0" w:color="auto"/>
        <w:right w:val="none" w:sz="0" w:space="0" w:color="auto"/>
      </w:divBdr>
    </w:div>
    <w:div w:id="1967391162">
      <w:bodyDiv w:val="1"/>
      <w:marLeft w:val="0"/>
      <w:marRight w:val="0"/>
      <w:marTop w:val="0"/>
      <w:marBottom w:val="0"/>
      <w:divBdr>
        <w:top w:val="none" w:sz="0" w:space="0" w:color="auto"/>
        <w:left w:val="none" w:sz="0" w:space="0" w:color="auto"/>
        <w:bottom w:val="none" w:sz="0" w:space="0" w:color="auto"/>
        <w:right w:val="none" w:sz="0" w:space="0" w:color="auto"/>
      </w:divBdr>
    </w:div>
    <w:div w:id="19985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tlook.soton.ac.uk/owa/attachment.ashx?id=RgAAAAApmK6GRPPSTrYvpWkMXCWYBwAntMpyM9kuQqV1Bk2BBUTcAAACFZfWAADkmV%2bIq1jMTYKRhS%2frkfE%2bAADS8o2IAAAJ&amp;attcnt=1&amp;attid0=BAAAAAAA&amp;attcid0=F96B7847-2798-43AC-BF44-9960C1BB015D"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EA13-F57A-4423-B950-3A82DB54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14123</Words>
  <Characters>80504</Characters>
  <Application>Microsoft Office Word</Application>
  <DocSecurity>4</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Fraser-Mackenzie P.A.</dc:creator>
  <cp:keywords/>
  <dc:description/>
  <cp:lastModifiedBy>de Montfalcon S.P.</cp:lastModifiedBy>
  <cp:revision>2</cp:revision>
  <dcterms:created xsi:type="dcterms:W3CDTF">2018-12-10T09:47:00Z</dcterms:created>
  <dcterms:modified xsi:type="dcterms:W3CDTF">2018-12-10T09:47:00Z</dcterms:modified>
</cp:coreProperties>
</file>