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7FCE4" w14:textId="19D4BA7E" w:rsidR="00BD4D70" w:rsidRPr="00D91CEB" w:rsidRDefault="005C334C" w:rsidP="009739B1">
      <w:pPr>
        <w:spacing w:after="120" w:line="240" w:lineRule="auto"/>
        <w:jc w:val="both"/>
        <w:rPr>
          <w:rFonts w:ascii="Times New Roman" w:hAnsi="Times New Roman" w:cs="Times New Roman"/>
          <w:b/>
          <w:sz w:val="24"/>
          <w:szCs w:val="24"/>
          <w:u w:val="single"/>
        </w:rPr>
      </w:pPr>
      <w:r w:rsidRPr="00D91CEB">
        <w:rPr>
          <w:rFonts w:ascii="Times New Roman" w:hAnsi="Times New Roman" w:cs="Times New Roman"/>
          <w:b/>
          <w:sz w:val="24"/>
          <w:szCs w:val="24"/>
          <w:u w:val="single"/>
        </w:rPr>
        <w:t>Th</w:t>
      </w:r>
      <w:r w:rsidR="007961C3" w:rsidRPr="00D91CEB">
        <w:rPr>
          <w:rFonts w:ascii="Times New Roman" w:hAnsi="Times New Roman" w:cs="Times New Roman"/>
          <w:b/>
          <w:sz w:val="24"/>
          <w:szCs w:val="24"/>
          <w:u w:val="single"/>
        </w:rPr>
        <w:t>e Teaching Excellence Framework</w:t>
      </w:r>
      <w:r w:rsidR="00BF6888" w:rsidRPr="00D91CEB">
        <w:rPr>
          <w:rFonts w:ascii="Times New Roman" w:hAnsi="Times New Roman" w:cs="Times New Roman"/>
          <w:b/>
          <w:sz w:val="24"/>
          <w:szCs w:val="24"/>
          <w:u w:val="single"/>
        </w:rPr>
        <w:t xml:space="preserve">: </w:t>
      </w:r>
      <w:r w:rsidRPr="00D91CEB">
        <w:rPr>
          <w:rFonts w:ascii="Times New Roman" w:hAnsi="Times New Roman" w:cs="Times New Roman"/>
          <w:b/>
          <w:sz w:val="24"/>
          <w:szCs w:val="24"/>
          <w:u w:val="single"/>
        </w:rPr>
        <w:t>Symbolic Violence</w:t>
      </w:r>
      <w:r w:rsidR="007961C3" w:rsidRPr="00D91CEB">
        <w:rPr>
          <w:rFonts w:ascii="Times New Roman" w:hAnsi="Times New Roman" w:cs="Times New Roman"/>
          <w:b/>
          <w:sz w:val="24"/>
          <w:szCs w:val="24"/>
          <w:u w:val="single"/>
        </w:rPr>
        <w:t xml:space="preserve"> and the Measured Market</w:t>
      </w:r>
      <w:r w:rsidR="00917027" w:rsidRPr="00D91CEB">
        <w:rPr>
          <w:rFonts w:ascii="Times New Roman" w:hAnsi="Times New Roman" w:cs="Times New Roman"/>
          <w:b/>
          <w:sz w:val="24"/>
          <w:szCs w:val="24"/>
          <w:u w:val="single"/>
        </w:rPr>
        <w:t xml:space="preserve"> in Higher Education </w:t>
      </w:r>
    </w:p>
    <w:p w14:paraId="34014AEF" w14:textId="77777777" w:rsidR="00217D26" w:rsidRPr="00D91CEB" w:rsidRDefault="00217D26" w:rsidP="009739B1">
      <w:pPr>
        <w:spacing w:after="120" w:line="240" w:lineRule="auto"/>
        <w:jc w:val="both"/>
        <w:rPr>
          <w:rFonts w:ascii="Times New Roman" w:hAnsi="Times New Roman" w:cs="Times New Roman"/>
          <w:b/>
          <w:sz w:val="24"/>
          <w:szCs w:val="24"/>
          <w:u w:val="single"/>
        </w:rPr>
      </w:pPr>
    </w:p>
    <w:p w14:paraId="5B672ACE" w14:textId="7860C8B9" w:rsidR="00BD4D70" w:rsidRPr="00D91CEB" w:rsidRDefault="00BD4D70" w:rsidP="009739B1">
      <w:pPr>
        <w:spacing w:after="120" w:line="240" w:lineRule="auto"/>
        <w:jc w:val="both"/>
        <w:rPr>
          <w:rFonts w:asciiTheme="majorBidi" w:hAnsiTheme="majorBidi" w:cstheme="majorBidi"/>
          <w:b/>
          <w:sz w:val="24"/>
          <w:szCs w:val="24"/>
        </w:rPr>
      </w:pPr>
      <w:r w:rsidRPr="00D91CEB">
        <w:rPr>
          <w:rFonts w:asciiTheme="majorBidi" w:hAnsiTheme="majorBidi" w:cstheme="majorBidi"/>
          <w:b/>
          <w:sz w:val="24"/>
          <w:szCs w:val="24"/>
        </w:rPr>
        <w:t xml:space="preserve">Abstract </w:t>
      </w:r>
    </w:p>
    <w:p w14:paraId="4F016676" w14:textId="67F6D2A8" w:rsidR="00BD4D70" w:rsidRPr="00D91CEB" w:rsidRDefault="006574D5" w:rsidP="001C1AAE">
      <w:pPr>
        <w:spacing w:after="120" w:line="360" w:lineRule="auto"/>
        <w:jc w:val="both"/>
        <w:rPr>
          <w:rFonts w:asciiTheme="majorBidi" w:hAnsiTheme="majorBidi" w:cstheme="majorBidi"/>
          <w:i/>
          <w:sz w:val="24"/>
          <w:szCs w:val="24"/>
        </w:rPr>
      </w:pPr>
      <w:r>
        <w:rPr>
          <w:rFonts w:asciiTheme="majorBidi" w:hAnsiTheme="majorBidi" w:cstheme="majorBidi"/>
          <w:i/>
          <w:sz w:val="24"/>
          <w:szCs w:val="24"/>
        </w:rPr>
        <w:t>In English higher education, t</w:t>
      </w:r>
      <w:r w:rsidR="00BD4D70" w:rsidRPr="00D91CEB">
        <w:rPr>
          <w:rFonts w:asciiTheme="majorBidi" w:hAnsiTheme="majorBidi" w:cstheme="majorBidi"/>
          <w:i/>
          <w:sz w:val="24"/>
          <w:szCs w:val="24"/>
        </w:rPr>
        <w:t xml:space="preserve">he Teaching Excellence Framework represents a very significant </w:t>
      </w:r>
      <w:r>
        <w:rPr>
          <w:rFonts w:asciiTheme="majorBidi" w:hAnsiTheme="majorBidi" w:cstheme="majorBidi"/>
          <w:i/>
          <w:sz w:val="24"/>
          <w:szCs w:val="24"/>
        </w:rPr>
        <w:t xml:space="preserve">recent </w:t>
      </w:r>
      <w:r w:rsidR="00BD4D70" w:rsidRPr="00D91CEB">
        <w:rPr>
          <w:rFonts w:asciiTheme="majorBidi" w:hAnsiTheme="majorBidi" w:cstheme="majorBidi"/>
          <w:i/>
          <w:sz w:val="24"/>
          <w:szCs w:val="24"/>
        </w:rPr>
        <w:t xml:space="preserve">policy lever in the continued operation of a measured market in the sector. Conceived as a policy to enhance and make further transparent the quality of teaching, it utilises a variety of key measurements to establish sets of related outcomes upon which effective teaching can be assessed. Drawing upon Bourdieu’s concept of symbolic violence and adopting policy </w:t>
      </w:r>
      <w:r>
        <w:rPr>
          <w:rFonts w:asciiTheme="majorBidi" w:hAnsiTheme="majorBidi" w:cstheme="majorBidi"/>
          <w:i/>
          <w:sz w:val="24"/>
          <w:szCs w:val="24"/>
        </w:rPr>
        <w:t>framing as an</w:t>
      </w:r>
      <w:r w:rsidR="00BD4D70" w:rsidRPr="00D91CEB">
        <w:rPr>
          <w:rFonts w:asciiTheme="majorBidi" w:hAnsiTheme="majorBidi" w:cstheme="majorBidi"/>
          <w:i/>
          <w:sz w:val="24"/>
          <w:szCs w:val="24"/>
        </w:rPr>
        <w:t xml:space="preserve"> analy</w:t>
      </w:r>
      <w:r>
        <w:rPr>
          <w:rFonts w:asciiTheme="majorBidi" w:hAnsiTheme="majorBidi" w:cstheme="majorBidi"/>
          <w:i/>
          <w:sz w:val="24"/>
          <w:szCs w:val="24"/>
        </w:rPr>
        <w:t>tical approach</w:t>
      </w:r>
      <w:r w:rsidR="00BD4D70" w:rsidRPr="00D91CEB">
        <w:rPr>
          <w:rFonts w:asciiTheme="majorBidi" w:hAnsiTheme="majorBidi" w:cstheme="majorBidi"/>
          <w:i/>
          <w:sz w:val="24"/>
          <w:szCs w:val="24"/>
        </w:rPr>
        <w:t>, we illustrate how the T</w:t>
      </w:r>
      <w:r w:rsidR="002D6977">
        <w:rPr>
          <w:rFonts w:asciiTheme="majorBidi" w:hAnsiTheme="majorBidi" w:cstheme="majorBidi"/>
          <w:i/>
          <w:sz w:val="24"/>
          <w:szCs w:val="24"/>
        </w:rPr>
        <w:t xml:space="preserve">eaching </w:t>
      </w:r>
      <w:r w:rsidR="00BD4D70" w:rsidRPr="00D91CEB">
        <w:rPr>
          <w:rFonts w:asciiTheme="majorBidi" w:hAnsiTheme="majorBidi" w:cstheme="majorBidi"/>
          <w:i/>
          <w:sz w:val="24"/>
          <w:szCs w:val="24"/>
        </w:rPr>
        <w:t>E</w:t>
      </w:r>
      <w:r w:rsidR="002D6977">
        <w:rPr>
          <w:rFonts w:asciiTheme="majorBidi" w:hAnsiTheme="majorBidi" w:cstheme="majorBidi"/>
          <w:i/>
          <w:sz w:val="24"/>
          <w:szCs w:val="24"/>
        </w:rPr>
        <w:t xml:space="preserve">xcellence </w:t>
      </w:r>
      <w:r w:rsidR="00BD4D70" w:rsidRPr="00D91CEB">
        <w:rPr>
          <w:rFonts w:asciiTheme="majorBidi" w:hAnsiTheme="majorBidi" w:cstheme="majorBidi"/>
          <w:i/>
          <w:sz w:val="24"/>
          <w:szCs w:val="24"/>
        </w:rPr>
        <w:t xml:space="preserve">Framework and its related discursive techniques are significant in </w:t>
      </w:r>
      <w:r w:rsidR="00BD4D70" w:rsidRPr="00D91CEB">
        <w:rPr>
          <w:rFonts w:ascii="Times New Roman" w:hAnsi="Times New Roman" w:cs="Times New Roman"/>
          <w:i/>
          <w:sz w:val="24"/>
          <w:szCs w:val="24"/>
        </w:rPr>
        <w:t xml:space="preserve">(re)producing the institutional conditions which enable market policy to operate effectively. </w:t>
      </w:r>
      <w:r w:rsidR="00BD4D70" w:rsidRPr="00D91CEB">
        <w:rPr>
          <w:rFonts w:asciiTheme="majorBidi" w:hAnsiTheme="majorBidi" w:cstheme="majorBidi"/>
          <w:i/>
          <w:sz w:val="24"/>
          <w:szCs w:val="24"/>
        </w:rPr>
        <w:t xml:space="preserve">The article focuses specifically on three core pillars </w:t>
      </w:r>
      <w:r w:rsidR="001F5D16" w:rsidRPr="00D91CEB">
        <w:rPr>
          <w:rFonts w:asciiTheme="majorBidi" w:hAnsiTheme="majorBidi" w:cstheme="majorBidi"/>
          <w:i/>
          <w:sz w:val="24"/>
          <w:szCs w:val="24"/>
        </w:rPr>
        <w:t>of</w:t>
      </w:r>
      <w:r w:rsidR="00BD4D70" w:rsidRPr="00D91CEB">
        <w:rPr>
          <w:rFonts w:asciiTheme="majorBidi" w:hAnsiTheme="majorBidi" w:cstheme="majorBidi"/>
          <w:i/>
          <w:sz w:val="24"/>
          <w:szCs w:val="24"/>
        </w:rPr>
        <w:t xml:space="preserve"> the </w:t>
      </w:r>
      <w:r w:rsidR="00CE1E94">
        <w:rPr>
          <w:rFonts w:asciiTheme="majorBidi" w:hAnsiTheme="majorBidi" w:cstheme="majorBidi"/>
          <w:i/>
          <w:sz w:val="24"/>
          <w:szCs w:val="24"/>
        </w:rPr>
        <w:t>marketis</w:t>
      </w:r>
      <w:r w:rsidR="00BD4D70" w:rsidRPr="00D91CEB">
        <w:rPr>
          <w:rFonts w:asciiTheme="majorBidi" w:hAnsiTheme="majorBidi" w:cstheme="majorBidi"/>
          <w:i/>
          <w:sz w:val="24"/>
          <w:szCs w:val="24"/>
        </w:rPr>
        <w:t xml:space="preserve">ation project of </w:t>
      </w:r>
      <w:r>
        <w:rPr>
          <w:rFonts w:asciiTheme="majorBidi" w:hAnsiTheme="majorBidi" w:cstheme="majorBidi"/>
          <w:i/>
          <w:sz w:val="24"/>
          <w:szCs w:val="24"/>
        </w:rPr>
        <w:t>English</w:t>
      </w:r>
      <w:r w:rsidR="00BD4D70" w:rsidRPr="00D91CEB">
        <w:rPr>
          <w:rFonts w:asciiTheme="majorBidi" w:hAnsiTheme="majorBidi" w:cstheme="majorBidi"/>
          <w:i/>
          <w:sz w:val="24"/>
          <w:szCs w:val="24"/>
        </w:rPr>
        <w:t xml:space="preserve"> </w:t>
      </w:r>
      <w:r>
        <w:rPr>
          <w:rFonts w:asciiTheme="majorBidi" w:hAnsiTheme="majorBidi" w:cstheme="majorBidi"/>
          <w:i/>
          <w:sz w:val="24"/>
          <w:szCs w:val="24"/>
        </w:rPr>
        <w:t>higher education</w:t>
      </w:r>
      <w:r w:rsidR="00BD4D70" w:rsidRPr="00D91CEB">
        <w:rPr>
          <w:rFonts w:asciiTheme="majorBidi" w:hAnsiTheme="majorBidi" w:cstheme="majorBidi"/>
          <w:i/>
          <w:sz w:val="24"/>
          <w:szCs w:val="24"/>
        </w:rPr>
        <w:t xml:space="preserve"> </w:t>
      </w:r>
      <w:r w:rsidR="002D6977">
        <w:rPr>
          <w:rFonts w:asciiTheme="majorBidi" w:hAnsiTheme="majorBidi" w:cstheme="majorBidi"/>
          <w:i/>
          <w:sz w:val="24"/>
          <w:szCs w:val="24"/>
        </w:rPr>
        <w:t>that</w:t>
      </w:r>
      <w:r w:rsidR="00BD4D70" w:rsidRPr="00D91CEB">
        <w:rPr>
          <w:rFonts w:asciiTheme="majorBidi" w:hAnsiTheme="majorBidi" w:cstheme="majorBidi"/>
          <w:i/>
          <w:sz w:val="24"/>
          <w:szCs w:val="24"/>
        </w:rPr>
        <w:t xml:space="preserve"> are strongly affirmed: the </w:t>
      </w:r>
      <w:r w:rsidR="002D6977">
        <w:rPr>
          <w:rFonts w:asciiTheme="majorBidi" w:hAnsiTheme="majorBidi" w:cstheme="majorBidi"/>
          <w:i/>
          <w:sz w:val="24"/>
          <w:szCs w:val="24"/>
        </w:rPr>
        <w:t xml:space="preserve">further </w:t>
      </w:r>
      <w:r w:rsidR="00BD4D70" w:rsidRPr="00D91CEB">
        <w:rPr>
          <w:rFonts w:asciiTheme="majorBidi" w:hAnsiTheme="majorBidi" w:cstheme="majorBidi"/>
          <w:i/>
          <w:sz w:val="24"/>
          <w:szCs w:val="24"/>
        </w:rPr>
        <w:t>enactment of students as consumers</w:t>
      </w:r>
      <w:r w:rsidR="002D6977">
        <w:rPr>
          <w:rFonts w:asciiTheme="majorBidi" w:hAnsiTheme="majorBidi" w:cstheme="majorBidi"/>
          <w:i/>
          <w:sz w:val="24"/>
          <w:szCs w:val="24"/>
        </w:rPr>
        <w:t xml:space="preserve"> and universities as producers</w:t>
      </w:r>
      <w:r w:rsidR="00DA17F0">
        <w:rPr>
          <w:rFonts w:asciiTheme="majorBidi" w:hAnsiTheme="majorBidi" w:cstheme="majorBidi"/>
          <w:i/>
          <w:sz w:val="24"/>
          <w:szCs w:val="24"/>
        </w:rPr>
        <w:t>,</w:t>
      </w:r>
      <w:r w:rsidR="00BD4D70" w:rsidRPr="00D91CEB">
        <w:rPr>
          <w:rFonts w:asciiTheme="majorBidi" w:hAnsiTheme="majorBidi" w:cstheme="majorBidi"/>
          <w:i/>
          <w:sz w:val="24"/>
          <w:szCs w:val="24"/>
        </w:rPr>
        <w:t xml:space="preserve"> the related pre-occupation with graduates’ employability and future returns; and the uncritical application of metrics to signify institutions’ performance value.</w:t>
      </w:r>
      <w:r w:rsidR="002D6977">
        <w:rPr>
          <w:rFonts w:asciiTheme="majorBidi" w:hAnsiTheme="majorBidi" w:cstheme="majorBidi"/>
          <w:i/>
          <w:sz w:val="24"/>
          <w:szCs w:val="24"/>
        </w:rPr>
        <w:t xml:space="preserve"> </w:t>
      </w:r>
      <w:r w:rsidR="002D6977" w:rsidRPr="00594B71">
        <w:rPr>
          <w:rFonts w:ascii="Times New Roman" w:hAnsi="Times New Roman" w:cs="Times New Roman"/>
          <w:bCs/>
          <w:i/>
          <w:sz w:val="24"/>
          <w:szCs w:val="24"/>
        </w:rPr>
        <w:t xml:space="preserve">We show how misrecognition operates by </w:t>
      </w:r>
      <w:r w:rsidR="00567E2B" w:rsidRPr="00594B71">
        <w:rPr>
          <w:rFonts w:ascii="Times New Roman" w:hAnsi="Times New Roman" w:cs="Times New Roman"/>
          <w:bCs/>
          <w:i/>
          <w:sz w:val="24"/>
          <w:szCs w:val="24"/>
        </w:rPr>
        <w:t xml:space="preserve">a </w:t>
      </w:r>
      <w:r w:rsidR="002D6977" w:rsidRPr="00594B71">
        <w:rPr>
          <w:rFonts w:ascii="Times New Roman" w:hAnsi="Times New Roman" w:cs="Times New Roman"/>
          <w:bCs/>
          <w:i/>
          <w:sz w:val="24"/>
          <w:szCs w:val="24"/>
        </w:rPr>
        <w:t>market policy cloaking itself under the guise of student empowerment and quality</w:t>
      </w:r>
      <w:r w:rsidR="00567E2B" w:rsidRPr="00594B71">
        <w:rPr>
          <w:rFonts w:ascii="Times New Roman" w:hAnsi="Times New Roman" w:cs="Times New Roman"/>
          <w:bCs/>
          <w:i/>
          <w:sz w:val="24"/>
          <w:szCs w:val="24"/>
        </w:rPr>
        <w:t>, and call for academic and political practices that forge acts of resistance</w:t>
      </w:r>
      <w:r w:rsidR="00567E2B" w:rsidRPr="00356420">
        <w:rPr>
          <w:rFonts w:ascii="Times New Roman" w:hAnsi="Times New Roman" w:cs="Times New Roman"/>
          <w:bCs/>
          <w:i/>
          <w:sz w:val="24"/>
          <w:szCs w:val="24"/>
        </w:rPr>
        <w:t>.</w:t>
      </w:r>
    </w:p>
    <w:p w14:paraId="04627AB5" w14:textId="7FB2FEB2" w:rsidR="00695012" w:rsidRPr="00D91CEB" w:rsidRDefault="00695012" w:rsidP="001C1AAE">
      <w:pPr>
        <w:spacing w:after="120" w:line="360" w:lineRule="auto"/>
        <w:jc w:val="both"/>
        <w:rPr>
          <w:rFonts w:ascii="Times New Roman" w:hAnsi="Times New Roman" w:cs="Times New Roman"/>
          <w:b/>
          <w:sz w:val="24"/>
          <w:szCs w:val="24"/>
        </w:rPr>
      </w:pPr>
    </w:p>
    <w:p w14:paraId="4CE35717" w14:textId="77777777" w:rsidR="00594CA6" w:rsidRPr="00D91CEB" w:rsidRDefault="00594CA6" w:rsidP="001C1AAE">
      <w:pPr>
        <w:spacing w:after="120" w:line="360" w:lineRule="auto"/>
        <w:jc w:val="both"/>
        <w:rPr>
          <w:rFonts w:ascii="Times New Roman" w:hAnsi="Times New Roman" w:cs="Times New Roman"/>
          <w:b/>
          <w:sz w:val="24"/>
          <w:szCs w:val="24"/>
        </w:rPr>
      </w:pPr>
      <w:r w:rsidRPr="00D91CEB">
        <w:rPr>
          <w:rFonts w:ascii="Times New Roman" w:hAnsi="Times New Roman" w:cs="Times New Roman"/>
          <w:b/>
          <w:sz w:val="24"/>
          <w:szCs w:val="24"/>
        </w:rPr>
        <w:t>Introduction</w:t>
      </w:r>
    </w:p>
    <w:p w14:paraId="6250F24D" w14:textId="0CAA0AE5" w:rsidR="00C77C32" w:rsidRPr="00D91CEB" w:rsidRDefault="00E37534"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This</w:t>
      </w:r>
      <w:r w:rsidR="004444B1" w:rsidRPr="00D91CEB">
        <w:rPr>
          <w:rFonts w:ascii="Times New Roman" w:hAnsi="Times New Roman" w:cs="Times New Roman"/>
          <w:sz w:val="24"/>
          <w:szCs w:val="24"/>
        </w:rPr>
        <w:t xml:space="preserve"> article examines t</w:t>
      </w:r>
      <w:r w:rsidR="00594CA6" w:rsidRPr="00D91CEB">
        <w:rPr>
          <w:rFonts w:ascii="Times New Roman" w:hAnsi="Times New Roman" w:cs="Times New Roman"/>
          <w:sz w:val="24"/>
          <w:szCs w:val="24"/>
        </w:rPr>
        <w:t>he T</w:t>
      </w:r>
      <w:r w:rsidR="00CB4351" w:rsidRPr="00D91CEB">
        <w:rPr>
          <w:rFonts w:ascii="Times New Roman" w:hAnsi="Times New Roman" w:cs="Times New Roman"/>
          <w:sz w:val="24"/>
          <w:szCs w:val="24"/>
        </w:rPr>
        <w:t xml:space="preserve">eaching Excellence </w:t>
      </w:r>
      <w:r w:rsidR="00594CA6" w:rsidRPr="00D91CEB">
        <w:rPr>
          <w:rFonts w:ascii="Times New Roman" w:hAnsi="Times New Roman" w:cs="Times New Roman"/>
          <w:sz w:val="24"/>
          <w:szCs w:val="24"/>
        </w:rPr>
        <w:t>F</w:t>
      </w:r>
      <w:r w:rsidR="00CB4351" w:rsidRPr="00D91CEB">
        <w:rPr>
          <w:rFonts w:ascii="Times New Roman" w:hAnsi="Times New Roman" w:cs="Times New Roman"/>
          <w:sz w:val="24"/>
          <w:szCs w:val="24"/>
        </w:rPr>
        <w:t>ramework (TEF)</w:t>
      </w:r>
      <w:r w:rsidR="008B532C" w:rsidRPr="00D91CEB">
        <w:rPr>
          <w:rFonts w:ascii="Times New Roman" w:hAnsi="Times New Roman" w:cs="Times New Roman"/>
          <w:sz w:val="24"/>
          <w:szCs w:val="24"/>
        </w:rPr>
        <w:t xml:space="preserve"> as a </w:t>
      </w:r>
      <w:r w:rsidR="00594CA6" w:rsidRPr="00D91CEB">
        <w:rPr>
          <w:rFonts w:ascii="Times New Roman" w:hAnsi="Times New Roman" w:cs="Times New Roman"/>
          <w:sz w:val="24"/>
          <w:szCs w:val="24"/>
        </w:rPr>
        <w:t xml:space="preserve">significant policy development </w:t>
      </w:r>
      <w:r w:rsidR="00D60DCF" w:rsidRPr="00D91CEB">
        <w:rPr>
          <w:rFonts w:ascii="Times New Roman" w:hAnsi="Times New Roman" w:cs="Times New Roman"/>
          <w:sz w:val="24"/>
          <w:szCs w:val="24"/>
        </w:rPr>
        <w:t>and as one of the most recent</w:t>
      </w:r>
      <w:r w:rsidR="0037322E" w:rsidRPr="00D91CEB">
        <w:rPr>
          <w:rFonts w:ascii="Times New Roman" w:hAnsi="Times New Roman" w:cs="Times New Roman"/>
          <w:sz w:val="24"/>
          <w:szCs w:val="24"/>
        </w:rPr>
        <w:t xml:space="preserve"> initiatives in a cascade of reforms inspired by neo-liberal imperatives</w:t>
      </w:r>
      <w:r w:rsidR="0045754F" w:rsidRPr="00D91CEB">
        <w:rPr>
          <w:rFonts w:ascii="Times New Roman" w:hAnsi="Times New Roman" w:cs="Times New Roman"/>
          <w:sz w:val="24"/>
          <w:szCs w:val="24"/>
        </w:rPr>
        <w:t xml:space="preserve"> in English higher education</w:t>
      </w:r>
      <w:r w:rsidR="00DA17F0">
        <w:rPr>
          <w:rFonts w:ascii="Times New Roman" w:hAnsi="Times New Roman" w:cs="Times New Roman"/>
          <w:sz w:val="24"/>
          <w:szCs w:val="24"/>
        </w:rPr>
        <w:t xml:space="preserve"> (HE)</w:t>
      </w:r>
      <w:r w:rsidR="0088181A" w:rsidRPr="00D91CEB">
        <w:rPr>
          <w:rFonts w:ascii="Times New Roman" w:hAnsi="Times New Roman" w:cs="Times New Roman"/>
          <w:sz w:val="24"/>
          <w:szCs w:val="24"/>
        </w:rPr>
        <w:t xml:space="preserve">. </w:t>
      </w:r>
      <w:r w:rsidR="00D10D66" w:rsidRPr="00D91CEB">
        <w:rPr>
          <w:rFonts w:ascii="Times New Roman" w:hAnsi="Times New Roman" w:cs="Times New Roman"/>
          <w:sz w:val="24"/>
          <w:szCs w:val="24"/>
        </w:rPr>
        <w:t>While the osten</w:t>
      </w:r>
      <w:r w:rsidR="000065B8" w:rsidRPr="00D91CEB">
        <w:rPr>
          <w:rFonts w:ascii="Times New Roman" w:hAnsi="Times New Roman" w:cs="Times New Roman"/>
          <w:sz w:val="24"/>
          <w:szCs w:val="24"/>
        </w:rPr>
        <w:t xml:space="preserve">sible aims are manifold </w:t>
      </w:r>
      <w:r w:rsidR="0088181A" w:rsidRPr="00D91CEB">
        <w:rPr>
          <w:rFonts w:ascii="Times New Roman" w:hAnsi="Times New Roman" w:cs="Times New Roman"/>
          <w:sz w:val="24"/>
          <w:szCs w:val="24"/>
        </w:rPr>
        <w:t xml:space="preserve">including </w:t>
      </w:r>
      <w:r w:rsidR="00D10D66" w:rsidRPr="00D91CEB">
        <w:rPr>
          <w:rFonts w:ascii="Times New Roman" w:hAnsi="Times New Roman" w:cs="Times New Roman"/>
          <w:sz w:val="24"/>
          <w:szCs w:val="24"/>
        </w:rPr>
        <w:t>balancing</w:t>
      </w:r>
      <w:r w:rsidR="000065B8" w:rsidRPr="00D91CEB">
        <w:rPr>
          <w:rFonts w:ascii="Times New Roman" w:hAnsi="Times New Roman" w:cs="Times New Roman"/>
          <w:sz w:val="24"/>
          <w:szCs w:val="24"/>
        </w:rPr>
        <w:t xml:space="preserve"> teaching and research,</w:t>
      </w:r>
      <w:r w:rsidR="00D10D66" w:rsidRPr="00D91CEB">
        <w:rPr>
          <w:rFonts w:ascii="Times New Roman" w:hAnsi="Times New Roman" w:cs="Times New Roman"/>
          <w:sz w:val="24"/>
          <w:szCs w:val="24"/>
        </w:rPr>
        <w:t xml:space="preserve"> improving teaching quality</w:t>
      </w:r>
      <w:r w:rsidR="00172A97" w:rsidRPr="00D91CEB">
        <w:rPr>
          <w:rFonts w:ascii="Times New Roman" w:hAnsi="Times New Roman" w:cs="Times New Roman"/>
          <w:sz w:val="24"/>
          <w:szCs w:val="24"/>
        </w:rPr>
        <w:t>,</w:t>
      </w:r>
      <w:r w:rsidR="00D10D66" w:rsidRPr="00D91CEB">
        <w:rPr>
          <w:rFonts w:ascii="Times New Roman" w:hAnsi="Times New Roman" w:cs="Times New Roman"/>
          <w:sz w:val="24"/>
          <w:szCs w:val="24"/>
        </w:rPr>
        <w:t xml:space="preserve"> widening participation</w:t>
      </w:r>
      <w:r w:rsidR="00172A97" w:rsidRPr="00D91CEB">
        <w:rPr>
          <w:rFonts w:ascii="Times New Roman" w:hAnsi="Times New Roman" w:cs="Times New Roman"/>
          <w:sz w:val="24"/>
          <w:szCs w:val="24"/>
        </w:rPr>
        <w:t xml:space="preserve"> and linking education to employment</w:t>
      </w:r>
      <w:r w:rsidR="00D10D66" w:rsidRPr="00D91CEB">
        <w:rPr>
          <w:rFonts w:ascii="Times New Roman" w:hAnsi="Times New Roman" w:cs="Times New Roman"/>
          <w:sz w:val="24"/>
          <w:szCs w:val="24"/>
        </w:rPr>
        <w:t xml:space="preserve">, </w:t>
      </w:r>
      <w:r w:rsidR="0037322E" w:rsidRPr="00D91CEB">
        <w:rPr>
          <w:rFonts w:ascii="Times New Roman" w:hAnsi="Times New Roman" w:cs="Times New Roman"/>
          <w:sz w:val="24"/>
          <w:szCs w:val="24"/>
        </w:rPr>
        <w:t>the</w:t>
      </w:r>
      <w:r w:rsidR="0088181A" w:rsidRPr="00D91CEB">
        <w:rPr>
          <w:rFonts w:ascii="Times New Roman" w:hAnsi="Times New Roman" w:cs="Times New Roman"/>
          <w:sz w:val="24"/>
          <w:szCs w:val="24"/>
        </w:rPr>
        <w:t xml:space="preserve"> </w:t>
      </w:r>
      <w:r w:rsidR="00F64CD8" w:rsidRPr="00D91CEB">
        <w:rPr>
          <w:rFonts w:ascii="Times New Roman" w:hAnsi="Times New Roman" w:cs="Times New Roman"/>
          <w:sz w:val="24"/>
          <w:szCs w:val="24"/>
        </w:rPr>
        <w:t xml:space="preserve">TEF </w:t>
      </w:r>
      <w:r w:rsidR="00B203D0" w:rsidRPr="00D91CEB">
        <w:rPr>
          <w:rFonts w:ascii="Times New Roman" w:hAnsi="Times New Roman" w:cs="Times New Roman"/>
          <w:sz w:val="24"/>
          <w:szCs w:val="24"/>
        </w:rPr>
        <w:t xml:space="preserve">can also </w:t>
      </w:r>
      <w:proofErr w:type="gramStart"/>
      <w:r w:rsidR="00B203D0" w:rsidRPr="00D91CEB">
        <w:rPr>
          <w:rFonts w:ascii="Times New Roman" w:hAnsi="Times New Roman" w:cs="Times New Roman"/>
          <w:sz w:val="24"/>
          <w:szCs w:val="24"/>
        </w:rPr>
        <w:t>be seen as</w:t>
      </w:r>
      <w:proofErr w:type="gramEnd"/>
      <w:r w:rsidR="0037322E" w:rsidRPr="00D91CEB">
        <w:rPr>
          <w:rFonts w:ascii="Times New Roman" w:hAnsi="Times New Roman" w:cs="Times New Roman"/>
          <w:sz w:val="24"/>
          <w:szCs w:val="24"/>
        </w:rPr>
        <w:t xml:space="preserve"> an</w:t>
      </w:r>
      <w:r w:rsidR="00F64CD8" w:rsidRPr="00D91CEB">
        <w:rPr>
          <w:rFonts w:ascii="Times New Roman" w:hAnsi="Times New Roman" w:cs="Times New Roman"/>
          <w:sz w:val="24"/>
          <w:szCs w:val="24"/>
        </w:rPr>
        <w:t xml:space="preserve"> in</w:t>
      </w:r>
      <w:r w:rsidR="004B5408" w:rsidRPr="00D91CEB">
        <w:rPr>
          <w:rFonts w:ascii="Times New Roman" w:hAnsi="Times New Roman" w:cs="Times New Roman"/>
          <w:sz w:val="24"/>
          <w:szCs w:val="24"/>
        </w:rPr>
        <w:t xml:space="preserve">strument for the </w:t>
      </w:r>
      <w:r w:rsidR="00D60DCF" w:rsidRPr="00D91CEB">
        <w:rPr>
          <w:rFonts w:ascii="Times New Roman" w:hAnsi="Times New Roman" w:cs="Times New Roman"/>
          <w:sz w:val="24"/>
          <w:szCs w:val="24"/>
        </w:rPr>
        <w:t xml:space="preserve">entrenchment and </w:t>
      </w:r>
      <w:r w:rsidR="004B5408" w:rsidRPr="00D91CEB">
        <w:rPr>
          <w:rFonts w:ascii="Times New Roman" w:hAnsi="Times New Roman" w:cs="Times New Roman"/>
          <w:sz w:val="24"/>
          <w:szCs w:val="24"/>
        </w:rPr>
        <w:t>amplification</w:t>
      </w:r>
      <w:r w:rsidR="0074621F" w:rsidRPr="00D91CEB">
        <w:rPr>
          <w:rFonts w:ascii="Times New Roman" w:hAnsi="Times New Roman" w:cs="Times New Roman"/>
          <w:sz w:val="24"/>
          <w:szCs w:val="24"/>
        </w:rPr>
        <w:t xml:space="preserve"> of</w:t>
      </w:r>
      <w:r w:rsidR="00B203D0" w:rsidRPr="00D91CEB">
        <w:rPr>
          <w:rFonts w:ascii="Times New Roman" w:hAnsi="Times New Roman" w:cs="Times New Roman"/>
          <w:sz w:val="24"/>
          <w:szCs w:val="24"/>
        </w:rPr>
        <w:t xml:space="preserve"> neo-lib</w:t>
      </w:r>
      <w:r w:rsidR="0088181A" w:rsidRPr="00D91CEB">
        <w:rPr>
          <w:rFonts w:ascii="Times New Roman" w:hAnsi="Times New Roman" w:cs="Times New Roman"/>
          <w:sz w:val="24"/>
          <w:szCs w:val="24"/>
        </w:rPr>
        <w:t>eral</w:t>
      </w:r>
      <w:r w:rsidR="00792032" w:rsidRPr="00D91CEB">
        <w:rPr>
          <w:rFonts w:ascii="Times New Roman" w:hAnsi="Times New Roman" w:cs="Times New Roman"/>
          <w:sz w:val="24"/>
          <w:szCs w:val="24"/>
        </w:rPr>
        <w:t xml:space="preserve"> market competition in HE</w:t>
      </w:r>
      <w:r w:rsidR="00F64CD8" w:rsidRPr="00D91CEB">
        <w:rPr>
          <w:rFonts w:ascii="Times New Roman" w:hAnsi="Times New Roman" w:cs="Times New Roman"/>
          <w:sz w:val="24"/>
          <w:szCs w:val="24"/>
        </w:rPr>
        <w:t>.</w:t>
      </w:r>
      <w:r w:rsidR="00792032" w:rsidRPr="00D91CEB">
        <w:rPr>
          <w:rFonts w:ascii="Times New Roman" w:hAnsi="Times New Roman" w:cs="Times New Roman"/>
          <w:sz w:val="24"/>
          <w:szCs w:val="24"/>
        </w:rPr>
        <w:t xml:space="preserve"> </w:t>
      </w:r>
      <w:r w:rsidR="00D60DCF" w:rsidRPr="00D91CEB">
        <w:rPr>
          <w:rFonts w:ascii="Times New Roman" w:hAnsi="Times New Roman" w:cs="Times New Roman"/>
          <w:sz w:val="24"/>
          <w:szCs w:val="24"/>
        </w:rPr>
        <w:t xml:space="preserve">The </w:t>
      </w:r>
      <w:r w:rsidR="00DA17F0">
        <w:rPr>
          <w:rFonts w:ascii="Times New Roman" w:hAnsi="Times New Roman" w:cs="Times New Roman"/>
          <w:sz w:val="24"/>
          <w:szCs w:val="24"/>
        </w:rPr>
        <w:t xml:space="preserve">government presented the </w:t>
      </w:r>
      <w:r w:rsidR="00D60DCF" w:rsidRPr="00D91CEB">
        <w:rPr>
          <w:rFonts w:ascii="Times New Roman" w:hAnsi="Times New Roman" w:cs="Times New Roman"/>
          <w:sz w:val="24"/>
          <w:szCs w:val="24"/>
        </w:rPr>
        <w:t>TEF</w:t>
      </w:r>
      <w:r w:rsidR="00043E30" w:rsidRPr="00D91CEB">
        <w:rPr>
          <w:rFonts w:ascii="Times New Roman" w:hAnsi="Times New Roman" w:cs="Times New Roman"/>
          <w:sz w:val="24"/>
          <w:szCs w:val="24"/>
        </w:rPr>
        <w:t xml:space="preserve"> </w:t>
      </w:r>
      <w:r w:rsidR="0074621F" w:rsidRPr="00D91CEB">
        <w:rPr>
          <w:rFonts w:ascii="Times New Roman" w:hAnsi="Times New Roman" w:cs="Times New Roman"/>
          <w:sz w:val="24"/>
          <w:szCs w:val="24"/>
        </w:rPr>
        <w:t xml:space="preserve">most </w:t>
      </w:r>
      <w:r w:rsidR="001E7E10" w:rsidRPr="00D91CEB">
        <w:rPr>
          <w:rFonts w:ascii="Times New Roman" w:hAnsi="Times New Roman" w:cs="Times New Roman"/>
          <w:sz w:val="24"/>
          <w:szCs w:val="24"/>
        </w:rPr>
        <w:t>explicitly</w:t>
      </w:r>
      <w:r w:rsidR="0045754F" w:rsidRPr="00D91CEB">
        <w:rPr>
          <w:rFonts w:ascii="Times New Roman" w:hAnsi="Times New Roman" w:cs="Times New Roman"/>
          <w:sz w:val="24"/>
          <w:szCs w:val="24"/>
        </w:rPr>
        <w:t xml:space="preserve"> in the Green Paper (BIS, 2015: ‘Fulfilling our Potential’) and the subsequent White Paper (BIS, 2016a: ‘Success as a Knowledge Economy’)</w:t>
      </w:r>
      <w:r w:rsidR="00DA17F0">
        <w:rPr>
          <w:rFonts w:ascii="Times New Roman" w:hAnsi="Times New Roman" w:cs="Times New Roman"/>
          <w:sz w:val="24"/>
          <w:szCs w:val="24"/>
        </w:rPr>
        <w:t>. These papers</w:t>
      </w:r>
      <w:r w:rsidR="0045754F" w:rsidRPr="00D91CEB">
        <w:rPr>
          <w:rFonts w:ascii="Times New Roman" w:hAnsi="Times New Roman" w:cs="Times New Roman"/>
          <w:sz w:val="24"/>
          <w:szCs w:val="24"/>
        </w:rPr>
        <w:t xml:space="preserve"> ha</w:t>
      </w:r>
      <w:r w:rsidR="00DA17F0">
        <w:rPr>
          <w:rFonts w:ascii="Times New Roman" w:hAnsi="Times New Roman" w:cs="Times New Roman"/>
          <w:sz w:val="24"/>
          <w:szCs w:val="24"/>
        </w:rPr>
        <w:t>ve</w:t>
      </w:r>
      <w:r w:rsidR="0045754F" w:rsidRPr="00D91CEB">
        <w:rPr>
          <w:rFonts w:ascii="Times New Roman" w:hAnsi="Times New Roman" w:cs="Times New Roman"/>
          <w:sz w:val="24"/>
          <w:szCs w:val="24"/>
        </w:rPr>
        <w:t xml:space="preserve"> followed</w:t>
      </w:r>
      <w:r w:rsidR="001E7E10" w:rsidRPr="00D91CEB">
        <w:rPr>
          <w:rFonts w:ascii="Times New Roman" w:hAnsi="Times New Roman" w:cs="Times New Roman"/>
          <w:sz w:val="24"/>
          <w:szCs w:val="24"/>
        </w:rPr>
        <w:t xml:space="preserve"> a</w:t>
      </w:r>
      <w:r w:rsidR="00D60DCF" w:rsidRPr="00D91CEB">
        <w:rPr>
          <w:rFonts w:ascii="Times New Roman" w:hAnsi="Times New Roman" w:cs="Times New Roman"/>
          <w:sz w:val="24"/>
          <w:szCs w:val="24"/>
        </w:rPr>
        <w:t xml:space="preserve"> trajectory o</w:t>
      </w:r>
      <w:r w:rsidR="001E7E10" w:rsidRPr="00D91CEB">
        <w:rPr>
          <w:rFonts w:ascii="Times New Roman" w:hAnsi="Times New Roman" w:cs="Times New Roman"/>
          <w:sz w:val="24"/>
          <w:szCs w:val="24"/>
        </w:rPr>
        <w:t>f market-driven reform</w:t>
      </w:r>
      <w:r w:rsidR="00DA17F0">
        <w:rPr>
          <w:rFonts w:ascii="Times New Roman" w:hAnsi="Times New Roman" w:cs="Times New Roman"/>
          <w:sz w:val="24"/>
          <w:szCs w:val="24"/>
        </w:rPr>
        <w:t>s</w:t>
      </w:r>
      <w:r w:rsidR="001E7E10" w:rsidRPr="00D91CEB">
        <w:rPr>
          <w:rFonts w:ascii="Times New Roman" w:hAnsi="Times New Roman" w:cs="Times New Roman"/>
          <w:sz w:val="24"/>
          <w:szCs w:val="24"/>
        </w:rPr>
        <w:t xml:space="preserve"> </w:t>
      </w:r>
      <w:r w:rsidR="00961EC8">
        <w:rPr>
          <w:rFonts w:ascii="Times New Roman" w:hAnsi="Times New Roman" w:cs="Times New Roman"/>
          <w:sz w:val="24"/>
          <w:szCs w:val="24"/>
        </w:rPr>
        <w:t>that</w:t>
      </w:r>
      <w:r w:rsidR="001E7E10" w:rsidRPr="00D91CEB">
        <w:rPr>
          <w:rFonts w:ascii="Times New Roman" w:hAnsi="Times New Roman" w:cs="Times New Roman"/>
          <w:sz w:val="24"/>
          <w:szCs w:val="24"/>
        </w:rPr>
        <w:t xml:space="preserve"> </w:t>
      </w:r>
      <w:r w:rsidR="00D60DCF" w:rsidRPr="00D91CEB">
        <w:rPr>
          <w:rFonts w:ascii="Times New Roman" w:hAnsi="Times New Roman" w:cs="Times New Roman"/>
          <w:sz w:val="24"/>
          <w:szCs w:val="24"/>
        </w:rPr>
        <w:t xml:space="preserve">gathered momentum in the UK </w:t>
      </w:r>
      <w:r w:rsidR="00043E30" w:rsidRPr="00D91CEB">
        <w:rPr>
          <w:rFonts w:ascii="Times New Roman" w:hAnsi="Times New Roman" w:cs="Times New Roman"/>
          <w:sz w:val="24"/>
          <w:szCs w:val="24"/>
        </w:rPr>
        <w:t>in preceding decades</w:t>
      </w:r>
      <w:r w:rsidR="00D60DCF" w:rsidRPr="00D91CEB">
        <w:rPr>
          <w:rFonts w:ascii="Times New Roman" w:hAnsi="Times New Roman" w:cs="Times New Roman"/>
          <w:sz w:val="24"/>
          <w:szCs w:val="24"/>
        </w:rPr>
        <w:t xml:space="preserve"> </w:t>
      </w:r>
      <w:r w:rsidR="00043E30" w:rsidRPr="00D91CEB">
        <w:rPr>
          <w:rFonts w:ascii="Times New Roman" w:hAnsi="Times New Roman" w:cs="Times New Roman"/>
          <w:sz w:val="24"/>
          <w:szCs w:val="24"/>
        </w:rPr>
        <w:t>(</w:t>
      </w:r>
      <w:r w:rsidR="0074621F" w:rsidRPr="00D91CEB">
        <w:rPr>
          <w:rFonts w:ascii="Times New Roman" w:hAnsi="Times New Roman" w:cs="Times New Roman"/>
          <w:sz w:val="24"/>
          <w:szCs w:val="24"/>
        </w:rPr>
        <w:t>s</w:t>
      </w:r>
      <w:r w:rsidR="00043E30" w:rsidRPr="00D91CEB">
        <w:rPr>
          <w:rFonts w:ascii="Times New Roman" w:hAnsi="Times New Roman" w:cs="Times New Roman"/>
          <w:sz w:val="24"/>
          <w:szCs w:val="24"/>
        </w:rPr>
        <w:t xml:space="preserve">ee for example </w:t>
      </w:r>
      <w:r w:rsidR="001E7E10" w:rsidRPr="00D91CEB">
        <w:rPr>
          <w:rFonts w:ascii="Times New Roman" w:hAnsi="Times New Roman" w:cs="Times New Roman"/>
          <w:sz w:val="24"/>
          <w:szCs w:val="24"/>
        </w:rPr>
        <w:t xml:space="preserve">seminal policy documents such as </w:t>
      </w:r>
      <w:r w:rsidR="00C052A4">
        <w:rPr>
          <w:rFonts w:ascii="Times New Roman" w:hAnsi="Times New Roman" w:cs="Times New Roman"/>
          <w:sz w:val="24"/>
          <w:szCs w:val="24"/>
        </w:rPr>
        <w:t xml:space="preserve">CVCP, </w:t>
      </w:r>
      <w:r w:rsidR="00D60DCF" w:rsidRPr="00D91CEB">
        <w:rPr>
          <w:rFonts w:ascii="Times New Roman" w:hAnsi="Times New Roman" w:cs="Times New Roman"/>
          <w:sz w:val="24"/>
          <w:szCs w:val="24"/>
        </w:rPr>
        <w:t>1985; DFE</w:t>
      </w:r>
      <w:r w:rsidR="00D369A7">
        <w:rPr>
          <w:rFonts w:ascii="Times New Roman" w:hAnsi="Times New Roman" w:cs="Times New Roman"/>
          <w:sz w:val="24"/>
          <w:szCs w:val="24"/>
        </w:rPr>
        <w:t>S</w:t>
      </w:r>
      <w:r w:rsidR="00D60DCF" w:rsidRPr="00D91CEB">
        <w:rPr>
          <w:rFonts w:ascii="Times New Roman" w:hAnsi="Times New Roman" w:cs="Times New Roman"/>
          <w:sz w:val="24"/>
          <w:szCs w:val="24"/>
        </w:rPr>
        <w:t>, 1997; 200</w:t>
      </w:r>
      <w:r w:rsidR="0058182C">
        <w:rPr>
          <w:rFonts w:ascii="Times New Roman" w:hAnsi="Times New Roman" w:cs="Times New Roman"/>
          <w:sz w:val="24"/>
          <w:szCs w:val="24"/>
        </w:rPr>
        <w:t>3</w:t>
      </w:r>
      <w:r w:rsidR="00D369A7">
        <w:rPr>
          <w:rFonts w:ascii="Times New Roman" w:hAnsi="Times New Roman" w:cs="Times New Roman"/>
          <w:sz w:val="24"/>
          <w:szCs w:val="24"/>
        </w:rPr>
        <w:t>; BIS, 2011).</w:t>
      </w:r>
      <w:r w:rsidR="0045754F" w:rsidRPr="00D91CEB">
        <w:rPr>
          <w:rFonts w:ascii="Times New Roman" w:hAnsi="Times New Roman" w:cs="Times New Roman"/>
          <w:sz w:val="24"/>
          <w:szCs w:val="24"/>
        </w:rPr>
        <w:t xml:space="preserve"> The TEF</w:t>
      </w:r>
      <w:r w:rsidR="0074621F" w:rsidRPr="00D91CEB">
        <w:rPr>
          <w:rFonts w:ascii="Times New Roman" w:hAnsi="Times New Roman" w:cs="Times New Roman"/>
          <w:sz w:val="24"/>
          <w:szCs w:val="24"/>
        </w:rPr>
        <w:t xml:space="preserve"> has significantly advanced this agenda</w:t>
      </w:r>
      <w:r w:rsidR="0045754F" w:rsidRPr="00D91CEB">
        <w:rPr>
          <w:rFonts w:ascii="Times New Roman" w:hAnsi="Times New Roman" w:cs="Times New Roman"/>
          <w:sz w:val="24"/>
          <w:szCs w:val="24"/>
        </w:rPr>
        <w:t xml:space="preserve"> </w:t>
      </w:r>
      <w:r w:rsidR="0074621F" w:rsidRPr="00D91CEB">
        <w:rPr>
          <w:rFonts w:ascii="Times New Roman" w:hAnsi="Times New Roman" w:cs="Times New Roman"/>
          <w:sz w:val="24"/>
          <w:szCs w:val="24"/>
        </w:rPr>
        <w:t>by purporting to measure teaching quality through</w:t>
      </w:r>
      <w:r w:rsidR="00043E30" w:rsidRPr="00D91CEB">
        <w:rPr>
          <w:rFonts w:ascii="Times New Roman" w:hAnsi="Times New Roman" w:cs="Times New Roman"/>
          <w:sz w:val="24"/>
          <w:szCs w:val="24"/>
        </w:rPr>
        <w:t xml:space="preserve"> data on</w:t>
      </w:r>
      <w:r w:rsidR="0045754F" w:rsidRPr="00D91CEB">
        <w:rPr>
          <w:rFonts w:ascii="Times New Roman" w:hAnsi="Times New Roman" w:cs="Times New Roman"/>
          <w:sz w:val="24"/>
          <w:szCs w:val="24"/>
        </w:rPr>
        <w:t xml:space="preserve"> student satisfaction, graduate employment outcomes and staff-student contact time. Institutions’ relative performance on these measures determines </w:t>
      </w:r>
      <w:r w:rsidR="0045754F" w:rsidRPr="00D91CEB">
        <w:rPr>
          <w:rFonts w:ascii="Times New Roman" w:hAnsi="Times New Roman" w:cs="Times New Roman"/>
          <w:sz w:val="24"/>
          <w:szCs w:val="24"/>
        </w:rPr>
        <w:lastRenderedPageBreak/>
        <w:t>their position on a three-point grading system, which carries significant implications for their public image and profile as well as potential funding revenue.</w:t>
      </w:r>
    </w:p>
    <w:p w14:paraId="71F412CA" w14:textId="2640529F" w:rsidR="006C5BC5" w:rsidRPr="00D91CEB" w:rsidRDefault="0045754F"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 xml:space="preserve">Our article is located in the wider body of scholarship on the neo-liberal political project as it pertains </w:t>
      </w:r>
      <w:proofErr w:type="gramStart"/>
      <w:r w:rsidRPr="00D91CEB">
        <w:rPr>
          <w:rFonts w:ascii="Times New Roman" w:hAnsi="Times New Roman" w:cs="Times New Roman"/>
          <w:sz w:val="24"/>
          <w:szCs w:val="24"/>
        </w:rPr>
        <w:t>to</w:t>
      </w:r>
      <w:proofErr w:type="gramEnd"/>
      <w:r w:rsidRPr="00D91CEB">
        <w:rPr>
          <w:rFonts w:ascii="Times New Roman" w:hAnsi="Times New Roman" w:cs="Times New Roman"/>
          <w:sz w:val="24"/>
          <w:szCs w:val="24"/>
        </w:rPr>
        <w:t xml:space="preserve"> </w:t>
      </w:r>
      <w:r w:rsidR="00961EC8">
        <w:rPr>
          <w:rFonts w:ascii="Times New Roman" w:hAnsi="Times New Roman" w:cs="Times New Roman"/>
          <w:sz w:val="24"/>
          <w:szCs w:val="24"/>
        </w:rPr>
        <w:t>HE</w:t>
      </w:r>
      <w:r w:rsidR="00043E30" w:rsidRPr="00D91CEB">
        <w:rPr>
          <w:rFonts w:ascii="Times New Roman" w:hAnsi="Times New Roman" w:cs="Times New Roman"/>
          <w:sz w:val="24"/>
          <w:szCs w:val="24"/>
        </w:rPr>
        <w:t xml:space="preserve">. </w:t>
      </w:r>
      <w:r w:rsidR="00FF23DE" w:rsidRPr="00D91CEB">
        <w:rPr>
          <w:rFonts w:ascii="Times New Roman" w:hAnsi="Times New Roman" w:cs="Times New Roman"/>
          <w:sz w:val="24"/>
          <w:szCs w:val="24"/>
        </w:rPr>
        <w:t xml:space="preserve">A range of authors have documented </w:t>
      </w:r>
      <w:r w:rsidR="001E7E10" w:rsidRPr="00D91CEB">
        <w:rPr>
          <w:rFonts w:ascii="Times New Roman" w:hAnsi="Times New Roman" w:cs="Times New Roman"/>
          <w:sz w:val="24"/>
          <w:szCs w:val="24"/>
        </w:rPr>
        <w:t xml:space="preserve">the shift from </w:t>
      </w:r>
      <w:r w:rsidR="00FF23DE" w:rsidRPr="00D91CEB">
        <w:rPr>
          <w:rFonts w:ascii="Times New Roman" w:hAnsi="Times New Roman" w:cs="Times New Roman"/>
          <w:sz w:val="24"/>
          <w:szCs w:val="24"/>
        </w:rPr>
        <w:t xml:space="preserve">Keynesian welfare state settlements towards </w:t>
      </w:r>
      <w:r w:rsidR="00B203D0" w:rsidRPr="00D91CEB">
        <w:rPr>
          <w:rFonts w:ascii="Times New Roman" w:hAnsi="Times New Roman" w:cs="Times New Roman"/>
          <w:sz w:val="24"/>
          <w:szCs w:val="24"/>
        </w:rPr>
        <w:t xml:space="preserve">market and </w:t>
      </w:r>
      <w:r w:rsidR="0074621F" w:rsidRPr="00D91CEB">
        <w:rPr>
          <w:rFonts w:ascii="Times New Roman" w:hAnsi="Times New Roman" w:cs="Times New Roman"/>
          <w:sz w:val="24"/>
          <w:szCs w:val="24"/>
        </w:rPr>
        <w:t xml:space="preserve">audit principles </w:t>
      </w:r>
      <w:r w:rsidR="001C3ED1" w:rsidRPr="00D91CEB">
        <w:rPr>
          <w:rFonts w:ascii="Times New Roman" w:hAnsi="Times New Roman" w:cs="Times New Roman"/>
          <w:sz w:val="24"/>
          <w:szCs w:val="24"/>
        </w:rPr>
        <w:t xml:space="preserve">(Connell, 2013; </w:t>
      </w:r>
      <w:proofErr w:type="spellStart"/>
      <w:r w:rsidR="001C3ED1" w:rsidRPr="00D91CEB">
        <w:rPr>
          <w:rFonts w:ascii="Times New Roman" w:hAnsi="Times New Roman" w:cs="Times New Roman"/>
          <w:sz w:val="24"/>
          <w:szCs w:val="24"/>
        </w:rPr>
        <w:t>Marginson</w:t>
      </w:r>
      <w:proofErr w:type="spellEnd"/>
      <w:r w:rsidR="001C3ED1" w:rsidRPr="00D91CEB">
        <w:rPr>
          <w:rFonts w:ascii="Times New Roman" w:hAnsi="Times New Roman" w:cs="Times New Roman"/>
          <w:sz w:val="24"/>
          <w:szCs w:val="24"/>
        </w:rPr>
        <w:t>, 2013), t</w:t>
      </w:r>
      <w:r w:rsidR="0074621F" w:rsidRPr="00D91CEB">
        <w:rPr>
          <w:rFonts w:ascii="Times New Roman" w:hAnsi="Times New Roman" w:cs="Times New Roman"/>
          <w:sz w:val="24"/>
          <w:szCs w:val="24"/>
        </w:rPr>
        <w:t xml:space="preserve">he </w:t>
      </w:r>
      <w:r w:rsidR="00FF23DE" w:rsidRPr="00D91CEB">
        <w:rPr>
          <w:rFonts w:ascii="Times New Roman" w:hAnsi="Times New Roman" w:cs="Times New Roman"/>
          <w:sz w:val="24"/>
          <w:szCs w:val="24"/>
        </w:rPr>
        <w:t>extension of government</w:t>
      </w:r>
      <w:r w:rsidR="00B203D0" w:rsidRPr="00D91CEB">
        <w:rPr>
          <w:rFonts w:ascii="Times New Roman" w:hAnsi="Times New Roman" w:cs="Times New Roman"/>
          <w:sz w:val="24"/>
          <w:szCs w:val="24"/>
        </w:rPr>
        <w:t xml:space="preserve"> </w:t>
      </w:r>
      <w:r w:rsidR="007163C2" w:rsidRPr="00D91CEB">
        <w:rPr>
          <w:rFonts w:ascii="Times New Roman" w:hAnsi="Times New Roman" w:cs="Times New Roman"/>
          <w:sz w:val="24"/>
          <w:szCs w:val="24"/>
        </w:rPr>
        <w:t xml:space="preserve">surveillance </w:t>
      </w:r>
      <w:r w:rsidR="001C3ED1" w:rsidRPr="00D91CEB">
        <w:rPr>
          <w:rFonts w:ascii="Times New Roman" w:hAnsi="Times New Roman" w:cs="Times New Roman"/>
          <w:sz w:val="24"/>
          <w:szCs w:val="24"/>
        </w:rPr>
        <w:t xml:space="preserve">and market measures to transform </w:t>
      </w:r>
      <w:r w:rsidR="00FF23DE" w:rsidRPr="00D91CEB">
        <w:rPr>
          <w:rFonts w:ascii="Times New Roman" w:hAnsi="Times New Roman" w:cs="Times New Roman"/>
          <w:sz w:val="24"/>
          <w:szCs w:val="24"/>
        </w:rPr>
        <w:t>resear</w:t>
      </w:r>
      <w:r w:rsidR="005753E3" w:rsidRPr="00D91CEB">
        <w:rPr>
          <w:rFonts w:ascii="Times New Roman" w:hAnsi="Times New Roman" w:cs="Times New Roman"/>
          <w:sz w:val="24"/>
          <w:szCs w:val="24"/>
        </w:rPr>
        <w:t>ch and teaching (</w:t>
      </w:r>
      <w:proofErr w:type="spellStart"/>
      <w:r w:rsidR="003525A6" w:rsidRPr="00D91CEB">
        <w:rPr>
          <w:rFonts w:ascii="Times New Roman" w:hAnsi="Times New Roman" w:cs="Times New Roman"/>
          <w:sz w:val="24"/>
          <w:szCs w:val="24"/>
        </w:rPr>
        <w:t>Collini</w:t>
      </w:r>
      <w:proofErr w:type="spellEnd"/>
      <w:r w:rsidR="007B21A1">
        <w:rPr>
          <w:rFonts w:ascii="Times New Roman" w:hAnsi="Times New Roman" w:cs="Times New Roman"/>
          <w:sz w:val="24"/>
          <w:szCs w:val="24"/>
        </w:rPr>
        <w:t>,</w:t>
      </w:r>
      <w:r w:rsidR="003525A6" w:rsidRPr="00D91CEB">
        <w:rPr>
          <w:rFonts w:ascii="Times New Roman" w:hAnsi="Times New Roman" w:cs="Times New Roman"/>
          <w:sz w:val="24"/>
          <w:szCs w:val="24"/>
        </w:rPr>
        <w:t xml:space="preserve"> 2012)</w:t>
      </w:r>
      <w:r w:rsidR="001C3ED1" w:rsidRPr="00D91CEB">
        <w:rPr>
          <w:rFonts w:ascii="Times New Roman" w:hAnsi="Times New Roman" w:cs="Times New Roman"/>
          <w:sz w:val="24"/>
          <w:szCs w:val="24"/>
        </w:rPr>
        <w:t>,</w:t>
      </w:r>
      <w:r w:rsidR="00664C46" w:rsidRPr="00D91CEB">
        <w:rPr>
          <w:rFonts w:ascii="Times New Roman" w:hAnsi="Times New Roman" w:cs="Times New Roman"/>
          <w:sz w:val="24"/>
          <w:szCs w:val="24"/>
        </w:rPr>
        <w:t xml:space="preserve"> deregulation to enable the </w:t>
      </w:r>
      <w:r w:rsidR="00347846" w:rsidRPr="00D91CEB">
        <w:rPr>
          <w:rFonts w:ascii="Times New Roman" w:hAnsi="Times New Roman" w:cs="Times New Roman"/>
          <w:sz w:val="24"/>
          <w:szCs w:val="24"/>
        </w:rPr>
        <w:t>en</w:t>
      </w:r>
      <w:r w:rsidR="003525A6" w:rsidRPr="00D91CEB">
        <w:rPr>
          <w:rFonts w:ascii="Times New Roman" w:hAnsi="Times New Roman" w:cs="Times New Roman"/>
          <w:sz w:val="24"/>
          <w:szCs w:val="24"/>
        </w:rPr>
        <w:t>t</w:t>
      </w:r>
      <w:r w:rsidR="00347846" w:rsidRPr="00D91CEB">
        <w:rPr>
          <w:rFonts w:ascii="Times New Roman" w:hAnsi="Times New Roman" w:cs="Times New Roman"/>
          <w:sz w:val="24"/>
          <w:szCs w:val="24"/>
        </w:rPr>
        <w:t>ry of for</w:t>
      </w:r>
      <w:r w:rsidR="007B21A1">
        <w:rPr>
          <w:rFonts w:ascii="Times New Roman" w:hAnsi="Times New Roman" w:cs="Times New Roman"/>
          <w:sz w:val="24"/>
          <w:szCs w:val="24"/>
        </w:rPr>
        <w:t>-</w:t>
      </w:r>
      <w:r w:rsidR="00347846" w:rsidRPr="00D91CEB">
        <w:rPr>
          <w:rFonts w:ascii="Times New Roman" w:hAnsi="Times New Roman" w:cs="Times New Roman"/>
          <w:sz w:val="24"/>
          <w:szCs w:val="24"/>
        </w:rPr>
        <w:t xml:space="preserve">profit </w:t>
      </w:r>
      <w:r w:rsidR="007B21A1">
        <w:rPr>
          <w:rFonts w:ascii="Times New Roman" w:hAnsi="Times New Roman" w:cs="Times New Roman"/>
          <w:sz w:val="24"/>
          <w:szCs w:val="24"/>
        </w:rPr>
        <w:t>providers</w:t>
      </w:r>
      <w:r w:rsidR="00347846" w:rsidRPr="00D91CEB">
        <w:rPr>
          <w:rFonts w:ascii="Times New Roman" w:hAnsi="Times New Roman" w:cs="Times New Roman"/>
          <w:sz w:val="24"/>
          <w:szCs w:val="24"/>
        </w:rPr>
        <w:t xml:space="preserve"> (</w:t>
      </w:r>
      <w:r w:rsidR="005753E3" w:rsidRPr="00D91CEB">
        <w:rPr>
          <w:rFonts w:ascii="Times New Roman" w:hAnsi="Times New Roman" w:cs="Times New Roman"/>
          <w:sz w:val="24"/>
          <w:szCs w:val="24"/>
        </w:rPr>
        <w:t xml:space="preserve">Brown and </w:t>
      </w:r>
      <w:proofErr w:type="spellStart"/>
      <w:r w:rsidR="005753E3" w:rsidRPr="00D91CEB">
        <w:rPr>
          <w:rFonts w:ascii="Times New Roman" w:hAnsi="Times New Roman" w:cs="Times New Roman"/>
          <w:sz w:val="24"/>
          <w:szCs w:val="24"/>
        </w:rPr>
        <w:t>Carasso</w:t>
      </w:r>
      <w:proofErr w:type="spellEnd"/>
      <w:r w:rsidR="005753E3" w:rsidRPr="00D91CEB">
        <w:rPr>
          <w:rFonts w:ascii="Times New Roman" w:hAnsi="Times New Roman" w:cs="Times New Roman"/>
          <w:sz w:val="24"/>
          <w:szCs w:val="24"/>
        </w:rPr>
        <w:t>, 2013</w:t>
      </w:r>
      <w:r w:rsidR="001E7E10" w:rsidRPr="00D91CEB">
        <w:rPr>
          <w:rFonts w:ascii="Times New Roman" w:hAnsi="Times New Roman" w:cs="Times New Roman"/>
          <w:sz w:val="24"/>
          <w:szCs w:val="24"/>
        </w:rPr>
        <w:t>)</w:t>
      </w:r>
      <w:r w:rsidR="001C3ED1" w:rsidRPr="00D91CEB">
        <w:rPr>
          <w:rFonts w:ascii="Times New Roman" w:hAnsi="Times New Roman" w:cs="Times New Roman"/>
          <w:sz w:val="24"/>
          <w:szCs w:val="24"/>
        </w:rPr>
        <w:t xml:space="preserve"> as well as</w:t>
      </w:r>
      <w:r w:rsidR="00664C46" w:rsidRPr="00D91CEB">
        <w:rPr>
          <w:rFonts w:ascii="Times New Roman" w:hAnsi="Times New Roman" w:cs="Times New Roman"/>
          <w:sz w:val="24"/>
          <w:szCs w:val="24"/>
        </w:rPr>
        <w:t xml:space="preserve"> the </w:t>
      </w:r>
      <w:r w:rsidR="007163C2" w:rsidRPr="00D91CEB">
        <w:rPr>
          <w:rFonts w:ascii="Times New Roman" w:hAnsi="Times New Roman" w:cs="Times New Roman"/>
          <w:sz w:val="24"/>
          <w:szCs w:val="24"/>
        </w:rPr>
        <w:t>reconceptualization of the student as a co</w:t>
      </w:r>
      <w:r w:rsidR="001E7E10" w:rsidRPr="00D91CEB">
        <w:rPr>
          <w:rFonts w:ascii="Times New Roman" w:hAnsi="Times New Roman" w:cs="Times New Roman"/>
          <w:sz w:val="24"/>
          <w:szCs w:val="24"/>
        </w:rPr>
        <w:t xml:space="preserve">nsumer </w:t>
      </w:r>
      <w:r w:rsidR="00347846" w:rsidRPr="00D91CEB">
        <w:rPr>
          <w:rFonts w:ascii="Times New Roman" w:hAnsi="Times New Roman" w:cs="Times New Roman"/>
          <w:sz w:val="24"/>
          <w:szCs w:val="24"/>
        </w:rPr>
        <w:t>(Naidoo</w:t>
      </w:r>
      <w:r w:rsidR="008662EB" w:rsidRPr="00D91CEB">
        <w:rPr>
          <w:rFonts w:ascii="Times New Roman" w:hAnsi="Times New Roman" w:cs="Times New Roman"/>
          <w:sz w:val="24"/>
          <w:szCs w:val="24"/>
        </w:rPr>
        <w:t xml:space="preserve"> </w:t>
      </w:r>
      <w:r w:rsidR="008662EB" w:rsidRPr="00A71103">
        <w:rPr>
          <w:rFonts w:ascii="Times New Roman" w:hAnsi="Times New Roman" w:cs="Times New Roman"/>
          <w:i/>
          <w:sz w:val="24"/>
          <w:szCs w:val="24"/>
        </w:rPr>
        <w:t xml:space="preserve">et </w:t>
      </w:r>
      <w:r w:rsidR="008662EB" w:rsidRPr="001E30E7">
        <w:rPr>
          <w:rFonts w:ascii="Times New Roman" w:hAnsi="Times New Roman" w:cs="Times New Roman"/>
          <w:i/>
          <w:sz w:val="24"/>
          <w:szCs w:val="24"/>
        </w:rPr>
        <w:t>al</w:t>
      </w:r>
      <w:r w:rsidR="007B21A1">
        <w:rPr>
          <w:rFonts w:ascii="Times New Roman" w:hAnsi="Times New Roman" w:cs="Times New Roman"/>
          <w:sz w:val="24"/>
          <w:szCs w:val="24"/>
        </w:rPr>
        <w:t>.,</w:t>
      </w:r>
      <w:r w:rsidR="008662EB" w:rsidRPr="00D91CEB">
        <w:rPr>
          <w:rFonts w:ascii="Times New Roman" w:hAnsi="Times New Roman" w:cs="Times New Roman"/>
          <w:sz w:val="24"/>
          <w:szCs w:val="24"/>
        </w:rPr>
        <w:t xml:space="preserve"> 201</w:t>
      </w:r>
      <w:r w:rsidR="00AD46F3">
        <w:rPr>
          <w:rFonts w:ascii="Times New Roman" w:hAnsi="Times New Roman" w:cs="Times New Roman"/>
          <w:sz w:val="24"/>
          <w:szCs w:val="24"/>
        </w:rPr>
        <w:t>1</w:t>
      </w:r>
      <w:r w:rsidR="008662EB" w:rsidRPr="00D91CEB">
        <w:rPr>
          <w:rFonts w:ascii="Times New Roman" w:hAnsi="Times New Roman" w:cs="Times New Roman"/>
          <w:sz w:val="24"/>
          <w:szCs w:val="24"/>
        </w:rPr>
        <w:t>; Williams</w:t>
      </w:r>
      <w:r w:rsidR="007B21A1">
        <w:rPr>
          <w:rFonts w:ascii="Times New Roman" w:hAnsi="Times New Roman" w:cs="Times New Roman"/>
          <w:sz w:val="24"/>
          <w:szCs w:val="24"/>
        </w:rPr>
        <w:t>,</w:t>
      </w:r>
      <w:r w:rsidR="003525A6" w:rsidRPr="00D91CEB">
        <w:rPr>
          <w:rFonts w:ascii="Times New Roman" w:hAnsi="Times New Roman" w:cs="Times New Roman"/>
          <w:sz w:val="24"/>
          <w:szCs w:val="24"/>
        </w:rPr>
        <w:t xml:space="preserve"> 2013)</w:t>
      </w:r>
      <w:r w:rsidR="007163C2" w:rsidRPr="00D91CEB">
        <w:rPr>
          <w:rFonts w:ascii="Times New Roman" w:hAnsi="Times New Roman" w:cs="Times New Roman"/>
          <w:sz w:val="24"/>
          <w:szCs w:val="24"/>
        </w:rPr>
        <w:t>.</w:t>
      </w:r>
      <w:r w:rsidR="0088181A" w:rsidRPr="00D91CEB">
        <w:rPr>
          <w:rFonts w:ascii="Times New Roman" w:hAnsi="Times New Roman" w:cs="Times New Roman"/>
          <w:sz w:val="24"/>
          <w:szCs w:val="24"/>
        </w:rPr>
        <w:t xml:space="preserve"> Reputation</w:t>
      </w:r>
      <w:r w:rsidR="00124EF6">
        <w:rPr>
          <w:rFonts w:ascii="Times New Roman" w:hAnsi="Times New Roman" w:cs="Times New Roman"/>
          <w:sz w:val="24"/>
          <w:szCs w:val="24"/>
        </w:rPr>
        <w:t>-</w:t>
      </w:r>
      <w:r w:rsidR="0088181A" w:rsidRPr="00D91CEB">
        <w:rPr>
          <w:rFonts w:ascii="Times New Roman" w:hAnsi="Times New Roman" w:cs="Times New Roman"/>
          <w:sz w:val="24"/>
          <w:szCs w:val="24"/>
        </w:rPr>
        <w:t>based market instruments such as</w:t>
      </w:r>
      <w:r w:rsidR="00B203D0" w:rsidRPr="00D91CEB">
        <w:rPr>
          <w:rFonts w:ascii="Times New Roman" w:hAnsi="Times New Roman" w:cs="Times New Roman"/>
          <w:sz w:val="24"/>
          <w:szCs w:val="24"/>
        </w:rPr>
        <w:t xml:space="preserve"> </w:t>
      </w:r>
      <w:r w:rsidR="00FF23DE" w:rsidRPr="00D91CEB">
        <w:rPr>
          <w:rFonts w:ascii="Times New Roman" w:hAnsi="Times New Roman" w:cs="Times New Roman"/>
          <w:sz w:val="24"/>
          <w:szCs w:val="24"/>
        </w:rPr>
        <w:t>consumer information systems</w:t>
      </w:r>
      <w:r w:rsidR="002D4EAB" w:rsidRPr="00D91CEB">
        <w:rPr>
          <w:rFonts w:ascii="Times New Roman" w:hAnsi="Times New Roman" w:cs="Times New Roman"/>
          <w:sz w:val="24"/>
          <w:szCs w:val="24"/>
        </w:rPr>
        <w:t xml:space="preserve"> and rankings have become powerful</w:t>
      </w:r>
      <w:r w:rsidR="004F0C3F" w:rsidRPr="00D91CEB">
        <w:rPr>
          <w:rFonts w:ascii="Times New Roman" w:hAnsi="Times New Roman" w:cs="Times New Roman"/>
          <w:sz w:val="24"/>
          <w:szCs w:val="24"/>
        </w:rPr>
        <w:t xml:space="preserve"> instruments</w:t>
      </w:r>
      <w:r w:rsidR="00D62F69" w:rsidRPr="00D91CEB">
        <w:rPr>
          <w:rFonts w:ascii="Times New Roman" w:hAnsi="Times New Roman" w:cs="Times New Roman"/>
          <w:sz w:val="24"/>
          <w:szCs w:val="24"/>
        </w:rPr>
        <w:t xml:space="preserve"> to govern change </w:t>
      </w:r>
      <w:r w:rsidR="002D4EAB" w:rsidRPr="00D91CEB">
        <w:rPr>
          <w:rFonts w:ascii="Times New Roman" w:hAnsi="Times New Roman" w:cs="Times New Roman"/>
          <w:sz w:val="24"/>
          <w:szCs w:val="24"/>
        </w:rPr>
        <w:t>by numbers</w:t>
      </w:r>
      <w:r w:rsidR="00B203D0" w:rsidRPr="00D91CEB">
        <w:rPr>
          <w:rFonts w:ascii="Times New Roman" w:hAnsi="Times New Roman" w:cs="Times New Roman"/>
          <w:sz w:val="24"/>
          <w:szCs w:val="24"/>
        </w:rPr>
        <w:t xml:space="preserve"> (</w:t>
      </w:r>
      <w:r w:rsidR="0088181A" w:rsidRPr="00D91CEB">
        <w:rPr>
          <w:rFonts w:ascii="Times New Roman" w:hAnsi="Times New Roman" w:cs="Times New Roman"/>
          <w:sz w:val="24"/>
          <w:szCs w:val="24"/>
        </w:rPr>
        <w:t>Enders,</w:t>
      </w:r>
      <w:r w:rsidR="00D86530" w:rsidRPr="00D91CEB">
        <w:rPr>
          <w:rFonts w:ascii="Times New Roman" w:hAnsi="Times New Roman" w:cs="Times New Roman"/>
          <w:sz w:val="24"/>
          <w:szCs w:val="24"/>
        </w:rPr>
        <w:t xml:space="preserve"> 2015</w:t>
      </w:r>
      <w:r w:rsidR="003525A6" w:rsidRPr="00D91CEB">
        <w:rPr>
          <w:rFonts w:ascii="Times New Roman" w:hAnsi="Times New Roman" w:cs="Times New Roman"/>
          <w:sz w:val="24"/>
          <w:szCs w:val="24"/>
        </w:rPr>
        <w:t>; David</w:t>
      </w:r>
      <w:r w:rsidR="007B21A1">
        <w:rPr>
          <w:rFonts w:ascii="Times New Roman" w:hAnsi="Times New Roman" w:cs="Times New Roman"/>
          <w:sz w:val="24"/>
          <w:szCs w:val="24"/>
        </w:rPr>
        <w:t>,</w:t>
      </w:r>
      <w:r w:rsidR="003525A6" w:rsidRPr="00D91CEB">
        <w:rPr>
          <w:rFonts w:ascii="Times New Roman" w:hAnsi="Times New Roman" w:cs="Times New Roman"/>
          <w:sz w:val="24"/>
          <w:szCs w:val="24"/>
        </w:rPr>
        <w:t xml:space="preserve"> 2016)</w:t>
      </w:r>
      <w:r w:rsidR="00C81305" w:rsidRPr="00D91CEB">
        <w:rPr>
          <w:rFonts w:ascii="Times New Roman" w:hAnsi="Times New Roman" w:cs="Times New Roman"/>
          <w:sz w:val="24"/>
          <w:szCs w:val="24"/>
        </w:rPr>
        <w:t>.</w:t>
      </w:r>
      <w:r w:rsidR="00D369A7">
        <w:rPr>
          <w:rFonts w:ascii="Times New Roman" w:hAnsi="Times New Roman" w:cs="Times New Roman"/>
          <w:sz w:val="24"/>
          <w:szCs w:val="24"/>
        </w:rPr>
        <w:t xml:space="preserve"> </w:t>
      </w:r>
      <w:r w:rsidR="00C81305" w:rsidRPr="00D91CEB">
        <w:rPr>
          <w:rFonts w:ascii="Times New Roman" w:hAnsi="Times New Roman" w:cs="Times New Roman"/>
          <w:sz w:val="24"/>
          <w:szCs w:val="24"/>
        </w:rPr>
        <w:t>The powerful</w:t>
      </w:r>
      <w:r w:rsidR="00347846" w:rsidRPr="00D91CEB">
        <w:rPr>
          <w:rFonts w:ascii="Times New Roman" w:hAnsi="Times New Roman" w:cs="Times New Roman"/>
          <w:sz w:val="24"/>
          <w:szCs w:val="24"/>
        </w:rPr>
        <w:t xml:space="preserve"> negative</w:t>
      </w:r>
      <w:r w:rsidR="00C81305" w:rsidRPr="00D91CEB">
        <w:rPr>
          <w:rFonts w:ascii="Times New Roman" w:hAnsi="Times New Roman" w:cs="Times New Roman"/>
          <w:sz w:val="24"/>
          <w:szCs w:val="24"/>
        </w:rPr>
        <w:t xml:space="preserve"> and sometimes</w:t>
      </w:r>
      <w:r w:rsidR="00347846" w:rsidRPr="00D91CEB">
        <w:rPr>
          <w:rFonts w:ascii="Times New Roman" w:hAnsi="Times New Roman" w:cs="Times New Roman"/>
          <w:sz w:val="24"/>
          <w:szCs w:val="24"/>
        </w:rPr>
        <w:t xml:space="preserve"> unintended consequences of contemporary market and audit based reform</w:t>
      </w:r>
      <w:r w:rsidR="007B21A1">
        <w:rPr>
          <w:rFonts w:ascii="Times New Roman" w:hAnsi="Times New Roman" w:cs="Times New Roman"/>
          <w:sz w:val="24"/>
          <w:szCs w:val="24"/>
        </w:rPr>
        <w:t>s</w:t>
      </w:r>
      <w:r w:rsidR="00347846" w:rsidRPr="00D91CEB">
        <w:rPr>
          <w:rFonts w:ascii="Times New Roman" w:hAnsi="Times New Roman" w:cs="Times New Roman"/>
          <w:sz w:val="24"/>
          <w:szCs w:val="24"/>
        </w:rPr>
        <w:t xml:space="preserve"> in </w:t>
      </w:r>
      <w:r w:rsidR="001A18BD">
        <w:rPr>
          <w:rFonts w:ascii="Times New Roman" w:hAnsi="Times New Roman" w:cs="Times New Roman"/>
          <w:sz w:val="24"/>
          <w:szCs w:val="24"/>
        </w:rPr>
        <w:t>HE</w:t>
      </w:r>
      <w:r w:rsidR="00347846" w:rsidRPr="00D91CEB">
        <w:rPr>
          <w:rFonts w:ascii="Times New Roman" w:hAnsi="Times New Roman" w:cs="Times New Roman"/>
          <w:sz w:val="24"/>
          <w:szCs w:val="24"/>
        </w:rPr>
        <w:t xml:space="preserve"> </w:t>
      </w:r>
      <w:r w:rsidR="001C3ED1" w:rsidRPr="00D91CEB">
        <w:rPr>
          <w:rFonts w:ascii="Times New Roman" w:hAnsi="Times New Roman" w:cs="Times New Roman"/>
          <w:sz w:val="24"/>
          <w:szCs w:val="24"/>
        </w:rPr>
        <w:t>have been highlighted</w:t>
      </w:r>
      <w:r w:rsidR="00C81305" w:rsidRPr="00D91CEB">
        <w:rPr>
          <w:rFonts w:ascii="Times New Roman" w:hAnsi="Times New Roman" w:cs="Times New Roman"/>
          <w:sz w:val="24"/>
          <w:szCs w:val="24"/>
        </w:rPr>
        <w:t xml:space="preserve"> </w:t>
      </w:r>
      <w:r w:rsidR="00347846" w:rsidRPr="00D91CEB">
        <w:rPr>
          <w:rFonts w:ascii="Times New Roman" w:hAnsi="Times New Roman" w:cs="Times New Roman"/>
          <w:sz w:val="24"/>
          <w:szCs w:val="24"/>
        </w:rPr>
        <w:t>(see for example, Boden and Epstein</w:t>
      </w:r>
      <w:r w:rsidR="007B21A1">
        <w:rPr>
          <w:rFonts w:ascii="Times New Roman" w:hAnsi="Times New Roman" w:cs="Times New Roman"/>
          <w:sz w:val="24"/>
          <w:szCs w:val="24"/>
        </w:rPr>
        <w:t>,</w:t>
      </w:r>
      <w:r w:rsidR="00347846" w:rsidRPr="00D91CEB">
        <w:rPr>
          <w:rFonts w:ascii="Times New Roman" w:hAnsi="Times New Roman" w:cs="Times New Roman"/>
          <w:sz w:val="24"/>
          <w:szCs w:val="24"/>
        </w:rPr>
        <w:t xml:space="preserve"> 2006; Molesworth </w:t>
      </w:r>
      <w:r w:rsidR="00347846" w:rsidRPr="00A71103">
        <w:rPr>
          <w:rFonts w:ascii="Times New Roman" w:hAnsi="Times New Roman" w:cs="Times New Roman"/>
          <w:i/>
          <w:sz w:val="24"/>
          <w:szCs w:val="24"/>
        </w:rPr>
        <w:t>et</w:t>
      </w:r>
      <w:r w:rsidR="00347846" w:rsidRPr="00D91CEB">
        <w:rPr>
          <w:rFonts w:ascii="Times New Roman" w:hAnsi="Times New Roman" w:cs="Times New Roman"/>
          <w:sz w:val="24"/>
          <w:szCs w:val="24"/>
        </w:rPr>
        <w:t xml:space="preserve"> </w:t>
      </w:r>
      <w:r w:rsidR="00347846" w:rsidRPr="001E30E7">
        <w:rPr>
          <w:rFonts w:ascii="Times New Roman" w:hAnsi="Times New Roman" w:cs="Times New Roman"/>
          <w:i/>
          <w:sz w:val="24"/>
          <w:szCs w:val="24"/>
        </w:rPr>
        <w:t>al</w:t>
      </w:r>
      <w:r w:rsidR="00347846" w:rsidRPr="00D91CEB">
        <w:rPr>
          <w:rFonts w:ascii="Times New Roman" w:hAnsi="Times New Roman" w:cs="Times New Roman"/>
          <w:sz w:val="24"/>
          <w:szCs w:val="24"/>
        </w:rPr>
        <w:t>.</w:t>
      </w:r>
      <w:r w:rsidR="007B21A1">
        <w:rPr>
          <w:rFonts w:ascii="Times New Roman" w:hAnsi="Times New Roman" w:cs="Times New Roman"/>
          <w:sz w:val="24"/>
          <w:szCs w:val="24"/>
        </w:rPr>
        <w:t>,</w:t>
      </w:r>
      <w:r w:rsidR="00347846" w:rsidRPr="00D91CEB">
        <w:rPr>
          <w:rFonts w:ascii="Times New Roman" w:hAnsi="Times New Roman" w:cs="Times New Roman"/>
          <w:sz w:val="24"/>
          <w:szCs w:val="24"/>
        </w:rPr>
        <w:t xml:space="preserve"> 2009; Na</w:t>
      </w:r>
      <w:r w:rsidR="00C81305" w:rsidRPr="00D91CEB">
        <w:rPr>
          <w:rFonts w:ascii="Times New Roman" w:hAnsi="Times New Roman" w:cs="Times New Roman"/>
          <w:sz w:val="24"/>
          <w:szCs w:val="24"/>
        </w:rPr>
        <w:t>idoo and Williams</w:t>
      </w:r>
      <w:r w:rsidR="007B21A1">
        <w:rPr>
          <w:rFonts w:ascii="Times New Roman" w:hAnsi="Times New Roman" w:cs="Times New Roman"/>
          <w:sz w:val="24"/>
          <w:szCs w:val="24"/>
        </w:rPr>
        <w:t>,</w:t>
      </w:r>
      <w:r w:rsidR="00C81305" w:rsidRPr="00D91CEB">
        <w:rPr>
          <w:rFonts w:ascii="Times New Roman" w:hAnsi="Times New Roman" w:cs="Times New Roman"/>
          <w:sz w:val="24"/>
          <w:szCs w:val="24"/>
        </w:rPr>
        <w:t xml:space="preserve"> </w:t>
      </w:r>
      <w:r w:rsidR="00C81305" w:rsidRPr="00AD46F3">
        <w:rPr>
          <w:rFonts w:ascii="Times New Roman" w:hAnsi="Times New Roman" w:cs="Times New Roman"/>
          <w:sz w:val="24"/>
          <w:szCs w:val="24"/>
        </w:rPr>
        <w:t>201</w:t>
      </w:r>
      <w:r w:rsidR="009E4E62">
        <w:rPr>
          <w:rFonts w:ascii="Times New Roman" w:hAnsi="Times New Roman" w:cs="Times New Roman"/>
          <w:sz w:val="24"/>
          <w:szCs w:val="24"/>
        </w:rPr>
        <w:t>5</w:t>
      </w:r>
      <w:r w:rsidR="00347846" w:rsidRPr="00D91CEB">
        <w:rPr>
          <w:rFonts w:ascii="Times New Roman" w:hAnsi="Times New Roman" w:cs="Times New Roman"/>
          <w:sz w:val="24"/>
          <w:szCs w:val="24"/>
        </w:rPr>
        <w:t>)</w:t>
      </w:r>
      <w:r w:rsidR="007B21A1">
        <w:rPr>
          <w:rFonts w:ascii="Times New Roman" w:hAnsi="Times New Roman" w:cs="Times New Roman"/>
          <w:sz w:val="24"/>
          <w:szCs w:val="24"/>
        </w:rPr>
        <w:t xml:space="preserve">, and </w:t>
      </w:r>
      <w:r w:rsidR="001C3ED1" w:rsidRPr="00D91CEB">
        <w:rPr>
          <w:rFonts w:ascii="Times New Roman" w:hAnsi="Times New Roman" w:cs="Times New Roman"/>
          <w:sz w:val="24"/>
          <w:szCs w:val="24"/>
        </w:rPr>
        <w:t xml:space="preserve">calls for </w:t>
      </w:r>
      <w:r w:rsidR="00C81305" w:rsidRPr="00D91CEB">
        <w:rPr>
          <w:rFonts w:ascii="Times New Roman" w:hAnsi="Times New Roman" w:cs="Times New Roman"/>
          <w:sz w:val="24"/>
          <w:szCs w:val="24"/>
        </w:rPr>
        <w:t>resistance</w:t>
      </w:r>
      <w:r w:rsidR="001C3ED1" w:rsidRPr="00D91CEB">
        <w:rPr>
          <w:rFonts w:ascii="Times New Roman" w:hAnsi="Times New Roman" w:cs="Times New Roman"/>
          <w:sz w:val="24"/>
          <w:szCs w:val="24"/>
        </w:rPr>
        <w:t xml:space="preserve"> </w:t>
      </w:r>
      <w:r w:rsidR="007B21A1">
        <w:rPr>
          <w:rFonts w:ascii="Times New Roman" w:hAnsi="Times New Roman" w:cs="Times New Roman"/>
          <w:sz w:val="24"/>
          <w:szCs w:val="24"/>
        </w:rPr>
        <w:t xml:space="preserve">have been made </w:t>
      </w:r>
      <w:r w:rsidR="00C81305" w:rsidRPr="00D91CEB">
        <w:rPr>
          <w:rFonts w:ascii="Times New Roman" w:hAnsi="Times New Roman" w:cs="Times New Roman"/>
          <w:sz w:val="24"/>
          <w:szCs w:val="24"/>
        </w:rPr>
        <w:t>(see for example</w:t>
      </w:r>
      <w:r w:rsidR="007B21A1">
        <w:rPr>
          <w:rFonts w:ascii="Times New Roman" w:hAnsi="Times New Roman" w:cs="Times New Roman"/>
          <w:sz w:val="24"/>
          <w:szCs w:val="24"/>
        </w:rPr>
        <w:t>,</w:t>
      </w:r>
      <w:r w:rsidR="00010A31" w:rsidRPr="00D91CEB">
        <w:t xml:space="preserve"> </w:t>
      </w:r>
      <w:proofErr w:type="spellStart"/>
      <w:r w:rsidR="00010A31" w:rsidRPr="00D91CEB">
        <w:rPr>
          <w:rFonts w:ascii="Times New Roman" w:hAnsi="Times New Roman" w:cs="Times New Roman"/>
          <w:sz w:val="24"/>
          <w:szCs w:val="24"/>
        </w:rPr>
        <w:t>Harney</w:t>
      </w:r>
      <w:proofErr w:type="spellEnd"/>
      <w:r w:rsidR="00010A31" w:rsidRPr="00D91CEB">
        <w:rPr>
          <w:rFonts w:ascii="Times New Roman" w:hAnsi="Times New Roman" w:cs="Times New Roman"/>
          <w:sz w:val="24"/>
          <w:szCs w:val="24"/>
        </w:rPr>
        <w:t xml:space="preserve"> and Moten</w:t>
      </w:r>
      <w:r w:rsidR="007B21A1">
        <w:rPr>
          <w:rFonts w:ascii="Times New Roman" w:hAnsi="Times New Roman" w:cs="Times New Roman"/>
          <w:sz w:val="24"/>
          <w:szCs w:val="24"/>
        </w:rPr>
        <w:t>,</w:t>
      </w:r>
      <w:r w:rsidR="00010A31" w:rsidRPr="00D91CEB">
        <w:rPr>
          <w:rFonts w:ascii="Times New Roman" w:hAnsi="Times New Roman" w:cs="Times New Roman"/>
          <w:sz w:val="24"/>
          <w:szCs w:val="24"/>
        </w:rPr>
        <w:t xml:space="preserve"> </w:t>
      </w:r>
      <w:r w:rsidR="00D86530" w:rsidRPr="00D91CEB">
        <w:rPr>
          <w:rFonts w:ascii="Times New Roman" w:hAnsi="Times New Roman" w:cs="Times New Roman"/>
          <w:sz w:val="24"/>
          <w:szCs w:val="24"/>
        </w:rPr>
        <w:t>2013)</w:t>
      </w:r>
      <w:r w:rsidR="00010A31" w:rsidRPr="00D91CEB">
        <w:rPr>
          <w:rFonts w:ascii="Times New Roman" w:hAnsi="Times New Roman" w:cs="Times New Roman"/>
          <w:sz w:val="24"/>
          <w:szCs w:val="24"/>
        </w:rPr>
        <w:t>.</w:t>
      </w:r>
      <w:r w:rsidR="007B21A1">
        <w:rPr>
          <w:rFonts w:ascii="Times New Roman" w:hAnsi="Times New Roman" w:cs="Times New Roman"/>
          <w:sz w:val="24"/>
          <w:szCs w:val="24"/>
        </w:rPr>
        <w:t xml:space="preserve"> </w:t>
      </w:r>
      <w:r w:rsidR="00B0179B" w:rsidRPr="00D91CEB">
        <w:rPr>
          <w:rFonts w:ascii="Times New Roman" w:hAnsi="Times New Roman" w:cs="Times New Roman"/>
          <w:sz w:val="24"/>
          <w:szCs w:val="24"/>
        </w:rPr>
        <w:t xml:space="preserve">There is also an emerging body of work </w:t>
      </w:r>
      <w:r w:rsidR="00637996" w:rsidRPr="00D91CEB">
        <w:rPr>
          <w:rFonts w:ascii="Times New Roman" w:hAnsi="Times New Roman" w:cs="Times New Roman"/>
          <w:sz w:val="24"/>
          <w:szCs w:val="24"/>
        </w:rPr>
        <w:t>specifi</w:t>
      </w:r>
      <w:r w:rsidR="00010A31" w:rsidRPr="00D91CEB">
        <w:rPr>
          <w:rFonts w:ascii="Times New Roman" w:hAnsi="Times New Roman" w:cs="Times New Roman"/>
          <w:sz w:val="24"/>
          <w:szCs w:val="24"/>
        </w:rPr>
        <w:t>cally</w:t>
      </w:r>
      <w:r w:rsidR="00637996" w:rsidRPr="00D91CEB">
        <w:rPr>
          <w:rFonts w:ascii="Times New Roman" w:hAnsi="Times New Roman" w:cs="Times New Roman"/>
          <w:sz w:val="24"/>
          <w:szCs w:val="24"/>
        </w:rPr>
        <w:t xml:space="preserve"> on t</w:t>
      </w:r>
      <w:r w:rsidR="00010A31" w:rsidRPr="00D91CEB">
        <w:rPr>
          <w:rFonts w:ascii="Times New Roman" w:hAnsi="Times New Roman" w:cs="Times New Roman"/>
          <w:sz w:val="24"/>
          <w:szCs w:val="24"/>
        </w:rPr>
        <w:t>he</w:t>
      </w:r>
      <w:r w:rsidR="00B0179B" w:rsidRPr="00D91CEB">
        <w:rPr>
          <w:rFonts w:ascii="Times New Roman" w:hAnsi="Times New Roman" w:cs="Times New Roman"/>
          <w:sz w:val="24"/>
          <w:szCs w:val="24"/>
        </w:rPr>
        <w:t xml:space="preserve"> TEF which</w:t>
      </w:r>
      <w:r w:rsidR="001C3ED1" w:rsidRPr="00D91CEB">
        <w:rPr>
          <w:rFonts w:ascii="Times New Roman" w:hAnsi="Times New Roman" w:cs="Times New Roman"/>
          <w:sz w:val="24"/>
          <w:szCs w:val="24"/>
        </w:rPr>
        <w:t xml:space="preserve"> reveal its links to the neo-liberal post</w:t>
      </w:r>
      <w:r w:rsidR="006012FE">
        <w:rPr>
          <w:rFonts w:ascii="Times New Roman" w:hAnsi="Times New Roman" w:cs="Times New Roman"/>
          <w:sz w:val="24"/>
          <w:szCs w:val="24"/>
        </w:rPr>
        <w:t>-</w:t>
      </w:r>
      <w:r w:rsidR="001C3ED1" w:rsidRPr="00D91CEB">
        <w:rPr>
          <w:rFonts w:ascii="Times New Roman" w:hAnsi="Times New Roman" w:cs="Times New Roman"/>
          <w:sz w:val="24"/>
          <w:szCs w:val="24"/>
        </w:rPr>
        <w:t>welfare state (</w:t>
      </w:r>
      <w:r w:rsidR="00362096" w:rsidRPr="00D91CEB">
        <w:rPr>
          <w:rFonts w:ascii="Times New Roman" w:hAnsi="Times New Roman" w:cs="Times New Roman"/>
          <w:sz w:val="24"/>
          <w:szCs w:val="24"/>
        </w:rPr>
        <w:t>Heaney and Mackenzie, 2017),</w:t>
      </w:r>
      <w:r w:rsidR="001C3ED1" w:rsidRPr="00D91CEB">
        <w:rPr>
          <w:rFonts w:ascii="Times New Roman" w:hAnsi="Times New Roman" w:cs="Times New Roman"/>
          <w:sz w:val="24"/>
          <w:szCs w:val="24"/>
        </w:rPr>
        <w:t xml:space="preserve"> its fallacies </w:t>
      </w:r>
      <w:r w:rsidR="00362096" w:rsidRPr="00D91CEB">
        <w:rPr>
          <w:rFonts w:ascii="Times New Roman" w:hAnsi="Times New Roman" w:cs="Times New Roman"/>
          <w:sz w:val="24"/>
          <w:szCs w:val="24"/>
        </w:rPr>
        <w:t>(Frankham</w:t>
      </w:r>
      <w:r w:rsidR="007B21A1">
        <w:rPr>
          <w:rFonts w:ascii="Times New Roman" w:hAnsi="Times New Roman" w:cs="Times New Roman"/>
          <w:sz w:val="24"/>
          <w:szCs w:val="24"/>
        </w:rPr>
        <w:t>,</w:t>
      </w:r>
      <w:r w:rsidR="00362096" w:rsidRPr="00D91CEB">
        <w:rPr>
          <w:rFonts w:ascii="Times New Roman" w:hAnsi="Times New Roman" w:cs="Times New Roman"/>
          <w:sz w:val="24"/>
          <w:szCs w:val="24"/>
        </w:rPr>
        <w:t xml:space="preserve"> 2017) </w:t>
      </w:r>
      <w:r w:rsidR="001C3ED1" w:rsidRPr="00D91CEB">
        <w:rPr>
          <w:rFonts w:ascii="Times New Roman" w:hAnsi="Times New Roman" w:cs="Times New Roman"/>
          <w:sz w:val="24"/>
          <w:szCs w:val="24"/>
        </w:rPr>
        <w:t>and inherent dangers (</w:t>
      </w:r>
      <w:proofErr w:type="spellStart"/>
      <w:r w:rsidR="001C3ED1" w:rsidRPr="00D91CEB">
        <w:rPr>
          <w:rFonts w:ascii="Times New Roman" w:hAnsi="Times New Roman" w:cs="Times New Roman"/>
          <w:sz w:val="24"/>
          <w:szCs w:val="24"/>
        </w:rPr>
        <w:t>Forstenzer</w:t>
      </w:r>
      <w:proofErr w:type="spellEnd"/>
      <w:r w:rsidR="00362096" w:rsidRPr="00D91CEB">
        <w:rPr>
          <w:rFonts w:ascii="Times New Roman" w:hAnsi="Times New Roman" w:cs="Times New Roman"/>
          <w:sz w:val="24"/>
          <w:szCs w:val="24"/>
        </w:rPr>
        <w:t>,</w:t>
      </w:r>
      <w:r w:rsidR="00851024" w:rsidRPr="00D91CEB">
        <w:rPr>
          <w:rFonts w:ascii="Times New Roman" w:hAnsi="Times New Roman" w:cs="Times New Roman"/>
          <w:sz w:val="24"/>
          <w:szCs w:val="24"/>
        </w:rPr>
        <w:t xml:space="preserve"> 2016</w:t>
      </w:r>
      <w:r w:rsidR="00362096" w:rsidRPr="00D91CEB">
        <w:rPr>
          <w:rFonts w:ascii="Times New Roman" w:hAnsi="Times New Roman" w:cs="Times New Roman"/>
          <w:sz w:val="24"/>
          <w:szCs w:val="24"/>
        </w:rPr>
        <w:t>)</w:t>
      </w:r>
      <w:r w:rsidR="00851024" w:rsidRPr="00D91CEB">
        <w:rPr>
          <w:rFonts w:ascii="Times New Roman" w:hAnsi="Times New Roman" w:cs="Times New Roman"/>
          <w:sz w:val="24"/>
          <w:szCs w:val="24"/>
        </w:rPr>
        <w:t>.</w:t>
      </w:r>
      <w:r w:rsidR="00D86530" w:rsidRPr="00D91CEB">
        <w:rPr>
          <w:rFonts w:ascii="Times New Roman" w:hAnsi="Times New Roman" w:cs="Times New Roman"/>
          <w:sz w:val="24"/>
          <w:szCs w:val="24"/>
        </w:rPr>
        <w:t xml:space="preserve"> </w:t>
      </w:r>
    </w:p>
    <w:p w14:paraId="338A92C5" w14:textId="313F2F3A" w:rsidR="005E38E2" w:rsidRPr="00D91CEB" w:rsidRDefault="002D4EAB"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 xml:space="preserve">We </w:t>
      </w:r>
      <w:r w:rsidR="00637996" w:rsidRPr="00D91CEB">
        <w:rPr>
          <w:rFonts w:ascii="Times New Roman" w:hAnsi="Times New Roman" w:cs="Times New Roman"/>
          <w:sz w:val="24"/>
          <w:szCs w:val="24"/>
        </w:rPr>
        <w:t>draw on and</w:t>
      </w:r>
      <w:r w:rsidRPr="00D91CEB">
        <w:rPr>
          <w:rFonts w:ascii="Times New Roman" w:hAnsi="Times New Roman" w:cs="Times New Roman"/>
          <w:sz w:val="24"/>
          <w:szCs w:val="24"/>
        </w:rPr>
        <w:t xml:space="preserve"> extend</w:t>
      </w:r>
      <w:r w:rsidR="00574438" w:rsidRPr="00D91CEB">
        <w:rPr>
          <w:rFonts w:ascii="Times New Roman" w:hAnsi="Times New Roman" w:cs="Times New Roman"/>
          <w:sz w:val="24"/>
          <w:szCs w:val="24"/>
        </w:rPr>
        <w:t xml:space="preserve"> this work by </w:t>
      </w:r>
      <w:r w:rsidR="00EB53A8" w:rsidRPr="00D91CEB">
        <w:rPr>
          <w:rFonts w:ascii="Times New Roman" w:hAnsi="Times New Roman" w:cs="Times New Roman"/>
          <w:sz w:val="24"/>
          <w:szCs w:val="24"/>
        </w:rPr>
        <w:t>delving beneath</w:t>
      </w:r>
      <w:r w:rsidR="00D86530" w:rsidRPr="00D91CEB">
        <w:rPr>
          <w:rFonts w:ascii="Times New Roman" w:hAnsi="Times New Roman" w:cs="Times New Roman"/>
          <w:sz w:val="24"/>
          <w:szCs w:val="24"/>
        </w:rPr>
        <w:t xml:space="preserve"> the larger</w:t>
      </w:r>
      <w:r w:rsidR="00664C46" w:rsidRPr="00D91CEB">
        <w:rPr>
          <w:rFonts w:ascii="Times New Roman" w:hAnsi="Times New Roman" w:cs="Times New Roman"/>
          <w:sz w:val="24"/>
          <w:szCs w:val="24"/>
        </w:rPr>
        <w:t xml:space="preserve"> neo-liberal project to </w:t>
      </w:r>
      <w:r w:rsidR="007A06FC" w:rsidRPr="00D91CEB">
        <w:rPr>
          <w:rFonts w:ascii="Times New Roman" w:hAnsi="Times New Roman" w:cs="Times New Roman"/>
          <w:sz w:val="24"/>
          <w:szCs w:val="24"/>
        </w:rPr>
        <w:t>analyse how</w:t>
      </w:r>
      <w:r w:rsidR="004F0C3F" w:rsidRPr="00D91CEB">
        <w:rPr>
          <w:rFonts w:ascii="Times New Roman" w:hAnsi="Times New Roman" w:cs="Times New Roman"/>
          <w:sz w:val="24"/>
          <w:szCs w:val="24"/>
        </w:rPr>
        <w:t xml:space="preserve"> </w:t>
      </w:r>
      <w:r w:rsidR="007A06FC" w:rsidRPr="00D91CEB">
        <w:rPr>
          <w:rFonts w:ascii="Times New Roman" w:hAnsi="Times New Roman" w:cs="Times New Roman"/>
          <w:sz w:val="24"/>
          <w:szCs w:val="24"/>
        </w:rPr>
        <w:t xml:space="preserve">discursive </w:t>
      </w:r>
      <w:r w:rsidR="001C3ED1" w:rsidRPr="00D91CEB">
        <w:rPr>
          <w:rFonts w:ascii="Times New Roman" w:hAnsi="Times New Roman" w:cs="Times New Roman"/>
          <w:sz w:val="24"/>
          <w:szCs w:val="24"/>
        </w:rPr>
        <w:t xml:space="preserve">acts </w:t>
      </w:r>
      <w:r w:rsidR="00851024" w:rsidRPr="00D91CEB">
        <w:rPr>
          <w:rFonts w:ascii="Times New Roman" w:hAnsi="Times New Roman" w:cs="Times New Roman"/>
          <w:sz w:val="24"/>
          <w:szCs w:val="24"/>
        </w:rPr>
        <w:t>are welded</w:t>
      </w:r>
      <w:r w:rsidR="00D86530" w:rsidRPr="00D91CEB">
        <w:rPr>
          <w:rFonts w:ascii="Times New Roman" w:hAnsi="Times New Roman" w:cs="Times New Roman"/>
          <w:sz w:val="24"/>
          <w:szCs w:val="24"/>
        </w:rPr>
        <w:t xml:space="preserve"> together in seminal policy paper</w:t>
      </w:r>
      <w:r w:rsidR="007A06FC" w:rsidRPr="00D91CEB">
        <w:rPr>
          <w:rFonts w:ascii="Times New Roman" w:hAnsi="Times New Roman" w:cs="Times New Roman"/>
          <w:sz w:val="24"/>
          <w:szCs w:val="24"/>
        </w:rPr>
        <w:t>s</w:t>
      </w:r>
      <w:r w:rsidR="001C3ED1" w:rsidRPr="00D91CEB">
        <w:rPr>
          <w:rFonts w:ascii="Times New Roman" w:hAnsi="Times New Roman" w:cs="Times New Roman"/>
          <w:sz w:val="24"/>
          <w:szCs w:val="24"/>
        </w:rPr>
        <w:t xml:space="preserve"> to </w:t>
      </w:r>
      <w:r w:rsidR="007B21A1">
        <w:rPr>
          <w:rFonts w:ascii="Times New Roman" w:hAnsi="Times New Roman" w:cs="Times New Roman"/>
          <w:sz w:val="24"/>
          <w:szCs w:val="24"/>
        </w:rPr>
        <w:t xml:space="preserve">further </w:t>
      </w:r>
      <w:r w:rsidR="001C3ED1" w:rsidRPr="00D91CEB">
        <w:rPr>
          <w:rFonts w:ascii="Times New Roman" w:hAnsi="Times New Roman" w:cs="Times New Roman"/>
          <w:sz w:val="24"/>
          <w:szCs w:val="24"/>
        </w:rPr>
        <w:t>build</w:t>
      </w:r>
      <w:r w:rsidR="00D86530" w:rsidRPr="00D91CEB">
        <w:rPr>
          <w:rFonts w:ascii="Times New Roman" w:hAnsi="Times New Roman" w:cs="Times New Roman"/>
          <w:sz w:val="24"/>
          <w:szCs w:val="24"/>
        </w:rPr>
        <w:t xml:space="preserve"> the </w:t>
      </w:r>
      <w:r w:rsidR="001C3ED1" w:rsidRPr="00D91CEB">
        <w:rPr>
          <w:rFonts w:ascii="Times New Roman" w:hAnsi="Times New Roman" w:cs="Times New Roman"/>
          <w:sz w:val="24"/>
          <w:szCs w:val="24"/>
        </w:rPr>
        <w:t>micro-</w:t>
      </w:r>
      <w:r w:rsidR="00D86530" w:rsidRPr="00D91CEB">
        <w:rPr>
          <w:rFonts w:ascii="Times New Roman" w:hAnsi="Times New Roman" w:cs="Times New Roman"/>
          <w:sz w:val="24"/>
          <w:szCs w:val="24"/>
        </w:rPr>
        <w:t xml:space="preserve">foundation on which the larger </w:t>
      </w:r>
      <w:r w:rsidR="00851024" w:rsidRPr="00D91CEB">
        <w:rPr>
          <w:rFonts w:ascii="Times New Roman" w:hAnsi="Times New Roman" w:cs="Times New Roman"/>
          <w:sz w:val="24"/>
          <w:szCs w:val="24"/>
        </w:rPr>
        <w:t xml:space="preserve">political </w:t>
      </w:r>
      <w:r w:rsidR="00D86530" w:rsidRPr="00D91CEB">
        <w:rPr>
          <w:rFonts w:ascii="Times New Roman" w:hAnsi="Times New Roman" w:cs="Times New Roman"/>
          <w:sz w:val="24"/>
          <w:szCs w:val="24"/>
        </w:rPr>
        <w:t>project rests</w:t>
      </w:r>
      <w:r w:rsidR="00542B93" w:rsidRPr="00D91CEB">
        <w:rPr>
          <w:rFonts w:ascii="Times New Roman" w:hAnsi="Times New Roman" w:cs="Times New Roman"/>
          <w:sz w:val="24"/>
          <w:szCs w:val="24"/>
        </w:rPr>
        <w:t xml:space="preserve">. In other words, we unearth </w:t>
      </w:r>
      <w:r w:rsidR="004F0C3F" w:rsidRPr="00D91CEB">
        <w:rPr>
          <w:rFonts w:ascii="Times New Roman" w:hAnsi="Times New Roman" w:cs="Times New Roman"/>
          <w:sz w:val="24"/>
          <w:szCs w:val="24"/>
        </w:rPr>
        <w:t xml:space="preserve">the micro-processes involved in </w:t>
      </w:r>
      <w:r w:rsidR="007F49CA" w:rsidRPr="00D91CEB">
        <w:rPr>
          <w:rFonts w:ascii="Times New Roman" w:hAnsi="Times New Roman" w:cs="Times New Roman"/>
          <w:sz w:val="24"/>
          <w:szCs w:val="24"/>
        </w:rPr>
        <w:t>insinuating</w:t>
      </w:r>
      <w:r w:rsidR="004F0C3F" w:rsidRPr="00D91CEB">
        <w:rPr>
          <w:rFonts w:ascii="Times New Roman" w:hAnsi="Times New Roman" w:cs="Times New Roman"/>
          <w:sz w:val="24"/>
          <w:szCs w:val="24"/>
        </w:rPr>
        <w:t xml:space="preserve"> neo-liberal principles in</w:t>
      </w:r>
      <w:r w:rsidR="00664C46" w:rsidRPr="00D91CEB">
        <w:rPr>
          <w:rFonts w:ascii="Times New Roman" w:hAnsi="Times New Roman" w:cs="Times New Roman"/>
          <w:sz w:val="24"/>
          <w:szCs w:val="24"/>
        </w:rPr>
        <w:t>to</w:t>
      </w:r>
      <w:r w:rsidR="008722E7" w:rsidRPr="00D91CEB">
        <w:rPr>
          <w:rFonts w:ascii="Times New Roman" w:hAnsi="Times New Roman" w:cs="Times New Roman"/>
          <w:sz w:val="24"/>
          <w:szCs w:val="24"/>
        </w:rPr>
        <w:t xml:space="preserve"> the fabric</w:t>
      </w:r>
      <w:r w:rsidR="00EB53A8" w:rsidRPr="00D91CEB">
        <w:rPr>
          <w:rFonts w:ascii="Times New Roman" w:hAnsi="Times New Roman" w:cs="Times New Roman"/>
          <w:sz w:val="24"/>
          <w:szCs w:val="24"/>
        </w:rPr>
        <w:t xml:space="preserve"> </w:t>
      </w:r>
      <w:r w:rsidR="00822A08" w:rsidRPr="00D91CEB">
        <w:rPr>
          <w:rFonts w:ascii="Times New Roman" w:hAnsi="Times New Roman" w:cs="Times New Roman"/>
          <w:sz w:val="24"/>
          <w:szCs w:val="24"/>
        </w:rPr>
        <w:t>of a HE</w:t>
      </w:r>
      <w:r w:rsidR="00574438" w:rsidRPr="00D91CEB">
        <w:rPr>
          <w:rFonts w:ascii="Times New Roman" w:hAnsi="Times New Roman" w:cs="Times New Roman"/>
          <w:sz w:val="24"/>
          <w:szCs w:val="24"/>
        </w:rPr>
        <w:t xml:space="preserve"> sector</w:t>
      </w:r>
      <w:r w:rsidR="00664C46" w:rsidRPr="00D91CEB">
        <w:rPr>
          <w:rFonts w:ascii="Times New Roman" w:hAnsi="Times New Roman" w:cs="Times New Roman"/>
          <w:sz w:val="24"/>
          <w:szCs w:val="24"/>
        </w:rPr>
        <w:t xml:space="preserve"> which has</w:t>
      </w:r>
      <w:r w:rsidR="00EB53A8" w:rsidRPr="00D91CEB">
        <w:rPr>
          <w:rFonts w:ascii="Times New Roman" w:hAnsi="Times New Roman" w:cs="Times New Roman"/>
          <w:sz w:val="24"/>
          <w:szCs w:val="24"/>
        </w:rPr>
        <w:t xml:space="preserve"> until relatively </w:t>
      </w:r>
      <w:r w:rsidR="00C73227" w:rsidRPr="00D91CEB">
        <w:rPr>
          <w:rFonts w:ascii="Times New Roman" w:hAnsi="Times New Roman" w:cs="Times New Roman"/>
          <w:sz w:val="24"/>
          <w:szCs w:val="24"/>
        </w:rPr>
        <w:t>recently been</w:t>
      </w:r>
      <w:r w:rsidR="00574438" w:rsidRPr="00D91CEB">
        <w:rPr>
          <w:rFonts w:ascii="Times New Roman" w:hAnsi="Times New Roman" w:cs="Times New Roman"/>
          <w:sz w:val="24"/>
          <w:szCs w:val="24"/>
        </w:rPr>
        <w:t xml:space="preserve"> </w:t>
      </w:r>
      <w:r w:rsidR="00EB53A8" w:rsidRPr="00D91CEB">
        <w:rPr>
          <w:rFonts w:ascii="Times New Roman" w:hAnsi="Times New Roman" w:cs="Times New Roman"/>
          <w:sz w:val="24"/>
          <w:szCs w:val="24"/>
        </w:rPr>
        <w:t xml:space="preserve">insulated </w:t>
      </w:r>
      <w:r w:rsidR="00574438" w:rsidRPr="00D91CEB">
        <w:rPr>
          <w:rFonts w:ascii="Times New Roman" w:hAnsi="Times New Roman" w:cs="Times New Roman"/>
          <w:sz w:val="24"/>
          <w:szCs w:val="24"/>
        </w:rPr>
        <w:t xml:space="preserve">from market forces </w:t>
      </w:r>
      <w:r w:rsidR="00664C46" w:rsidRPr="00D91CEB">
        <w:rPr>
          <w:rFonts w:ascii="Times New Roman" w:hAnsi="Times New Roman" w:cs="Times New Roman"/>
          <w:sz w:val="24"/>
          <w:szCs w:val="24"/>
        </w:rPr>
        <w:t>and which remains</w:t>
      </w:r>
      <w:r w:rsidR="004F0C3F" w:rsidRPr="00D91CEB">
        <w:rPr>
          <w:rFonts w:ascii="Times New Roman" w:hAnsi="Times New Roman" w:cs="Times New Roman"/>
          <w:sz w:val="24"/>
          <w:szCs w:val="24"/>
        </w:rPr>
        <w:t xml:space="preserve"> constituted by a </w:t>
      </w:r>
      <w:r w:rsidR="00574438" w:rsidRPr="00D91CEB">
        <w:rPr>
          <w:rFonts w:ascii="Times New Roman" w:hAnsi="Times New Roman" w:cs="Times New Roman"/>
          <w:sz w:val="24"/>
          <w:szCs w:val="24"/>
        </w:rPr>
        <w:t xml:space="preserve">deeply rooted academic culture that is antithetical to </w:t>
      </w:r>
      <w:r w:rsidR="00CE1E94">
        <w:rPr>
          <w:rFonts w:ascii="Times New Roman" w:hAnsi="Times New Roman" w:cs="Times New Roman"/>
          <w:sz w:val="24"/>
          <w:szCs w:val="24"/>
        </w:rPr>
        <w:t>marketis</w:t>
      </w:r>
      <w:r w:rsidR="00574438" w:rsidRPr="00D91CEB">
        <w:rPr>
          <w:rFonts w:ascii="Times New Roman" w:hAnsi="Times New Roman" w:cs="Times New Roman"/>
          <w:sz w:val="24"/>
          <w:szCs w:val="24"/>
        </w:rPr>
        <w:t>ation.</w:t>
      </w:r>
      <w:r w:rsidR="00664C46" w:rsidRPr="00D91CEB">
        <w:rPr>
          <w:rFonts w:ascii="Times New Roman" w:hAnsi="Times New Roman" w:cs="Times New Roman"/>
          <w:sz w:val="24"/>
          <w:szCs w:val="24"/>
        </w:rPr>
        <w:t xml:space="preserve"> </w:t>
      </w:r>
      <w:r w:rsidR="0049004E" w:rsidRPr="00D91CEB">
        <w:rPr>
          <w:rFonts w:ascii="Times New Roman" w:hAnsi="Times New Roman" w:cs="Times New Roman"/>
          <w:sz w:val="24"/>
          <w:szCs w:val="24"/>
        </w:rPr>
        <w:t xml:space="preserve">We apply </w:t>
      </w:r>
      <w:r w:rsidR="00D81DA9" w:rsidRPr="00D91CEB">
        <w:rPr>
          <w:rFonts w:ascii="Times New Roman" w:hAnsi="Times New Roman" w:cs="Times New Roman"/>
          <w:sz w:val="24"/>
          <w:szCs w:val="24"/>
        </w:rPr>
        <w:t>Bourdieu’s concept</w:t>
      </w:r>
      <w:r w:rsidR="005E38E2" w:rsidRPr="00D91CEB">
        <w:rPr>
          <w:rFonts w:ascii="Times New Roman" w:hAnsi="Times New Roman" w:cs="Times New Roman"/>
          <w:sz w:val="24"/>
          <w:szCs w:val="24"/>
        </w:rPr>
        <w:t xml:space="preserve"> of symbolic </w:t>
      </w:r>
      <w:r w:rsidR="00D81DA9" w:rsidRPr="00D91CEB">
        <w:rPr>
          <w:rFonts w:ascii="Times New Roman" w:hAnsi="Times New Roman" w:cs="Times New Roman"/>
          <w:sz w:val="24"/>
          <w:szCs w:val="24"/>
        </w:rPr>
        <w:t>violence</w:t>
      </w:r>
      <w:r w:rsidR="00D369A7">
        <w:rPr>
          <w:rFonts w:ascii="Times New Roman" w:hAnsi="Times New Roman" w:cs="Times New Roman"/>
          <w:sz w:val="24"/>
          <w:szCs w:val="24"/>
        </w:rPr>
        <w:t xml:space="preserve"> </w:t>
      </w:r>
      <w:r w:rsidR="00780E83">
        <w:rPr>
          <w:rFonts w:ascii="Times New Roman" w:hAnsi="Times New Roman" w:cs="Times New Roman"/>
          <w:sz w:val="24"/>
          <w:szCs w:val="24"/>
        </w:rPr>
        <w:t>(</w:t>
      </w:r>
      <w:r w:rsidR="00780E83" w:rsidRPr="00D91CEB">
        <w:rPr>
          <w:rFonts w:ascii="Times New Roman" w:hAnsi="Times New Roman" w:cs="Times New Roman"/>
          <w:sz w:val="24"/>
          <w:szCs w:val="24"/>
        </w:rPr>
        <w:t>Bourdieu, 1977; 1989</w:t>
      </w:r>
      <w:r w:rsidR="00780E83">
        <w:rPr>
          <w:rFonts w:ascii="Times New Roman" w:hAnsi="Times New Roman" w:cs="Times New Roman"/>
          <w:sz w:val="24"/>
          <w:szCs w:val="24"/>
        </w:rPr>
        <w:t>)</w:t>
      </w:r>
      <w:r w:rsidR="00D81DA9" w:rsidRPr="00D91CEB">
        <w:rPr>
          <w:rFonts w:ascii="Times New Roman" w:hAnsi="Times New Roman" w:cs="Times New Roman"/>
          <w:sz w:val="24"/>
          <w:szCs w:val="24"/>
        </w:rPr>
        <w:t xml:space="preserve"> as a</w:t>
      </w:r>
      <w:r w:rsidR="007F49CA" w:rsidRPr="00D91CEB">
        <w:rPr>
          <w:rFonts w:ascii="Times New Roman" w:hAnsi="Times New Roman" w:cs="Times New Roman"/>
          <w:sz w:val="24"/>
          <w:szCs w:val="24"/>
        </w:rPr>
        <w:t xml:space="preserve"> powerful</w:t>
      </w:r>
      <w:r w:rsidR="00C73227" w:rsidRPr="00D91CEB">
        <w:rPr>
          <w:rFonts w:ascii="Times New Roman" w:hAnsi="Times New Roman" w:cs="Times New Roman"/>
          <w:sz w:val="24"/>
          <w:szCs w:val="24"/>
        </w:rPr>
        <w:t xml:space="preserve"> framework </w:t>
      </w:r>
      <w:r w:rsidR="00832729" w:rsidRPr="00D91CEB">
        <w:rPr>
          <w:rFonts w:ascii="Times New Roman" w:hAnsi="Times New Roman" w:cs="Times New Roman"/>
          <w:sz w:val="24"/>
          <w:szCs w:val="24"/>
        </w:rPr>
        <w:t xml:space="preserve">to analyse these </w:t>
      </w:r>
      <w:r w:rsidR="005E38E2" w:rsidRPr="00D91CEB">
        <w:rPr>
          <w:rFonts w:ascii="Times New Roman" w:hAnsi="Times New Roman" w:cs="Times New Roman"/>
          <w:sz w:val="24"/>
          <w:szCs w:val="24"/>
        </w:rPr>
        <w:t>micro</w:t>
      </w:r>
      <w:r w:rsidR="00832729" w:rsidRPr="00D91CEB">
        <w:rPr>
          <w:rFonts w:ascii="Times New Roman" w:hAnsi="Times New Roman" w:cs="Times New Roman"/>
          <w:sz w:val="24"/>
          <w:szCs w:val="24"/>
        </w:rPr>
        <w:t>-</w:t>
      </w:r>
      <w:r w:rsidR="005E38E2" w:rsidRPr="00D91CEB">
        <w:rPr>
          <w:rFonts w:ascii="Times New Roman" w:hAnsi="Times New Roman" w:cs="Times New Roman"/>
          <w:sz w:val="24"/>
          <w:szCs w:val="24"/>
        </w:rPr>
        <w:t>processes</w:t>
      </w:r>
      <w:r w:rsidR="00832729" w:rsidRPr="00D91CEB">
        <w:rPr>
          <w:rFonts w:ascii="Times New Roman" w:hAnsi="Times New Roman" w:cs="Times New Roman"/>
          <w:sz w:val="24"/>
          <w:szCs w:val="24"/>
        </w:rPr>
        <w:t xml:space="preserve"> </w:t>
      </w:r>
      <w:r w:rsidR="005E38E2" w:rsidRPr="00D91CEB">
        <w:rPr>
          <w:rFonts w:ascii="Times New Roman" w:hAnsi="Times New Roman" w:cs="Times New Roman"/>
          <w:sz w:val="24"/>
          <w:szCs w:val="24"/>
        </w:rPr>
        <w:t xml:space="preserve">as acts </w:t>
      </w:r>
      <w:r w:rsidR="00832729" w:rsidRPr="00D91CEB">
        <w:rPr>
          <w:rFonts w:ascii="Times New Roman" w:hAnsi="Times New Roman" w:cs="Times New Roman"/>
          <w:sz w:val="24"/>
          <w:szCs w:val="24"/>
        </w:rPr>
        <w:t xml:space="preserve">of violence </w:t>
      </w:r>
      <w:r w:rsidR="007B21A1">
        <w:rPr>
          <w:rFonts w:ascii="Times New Roman" w:hAnsi="Times New Roman" w:cs="Times New Roman"/>
          <w:sz w:val="24"/>
          <w:szCs w:val="24"/>
        </w:rPr>
        <w:t>that</w:t>
      </w:r>
      <w:r w:rsidR="007F49CA" w:rsidRPr="00D91CEB">
        <w:rPr>
          <w:rFonts w:ascii="Times New Roman" w:hAnsi="Times New Roman" w:cs="Times New Roman"/>
          <w:sz w:val="24"/>
          <w:szCs w:val="24"/>
        </w:rPr>
        <w:t xml:space="preserve"> aim to </w:t>
      </w:r>
      <w:r w:rsidR="005E38E2" w:rsidRPr="00D91CEB">
        <w:rPr>
          <w:rFonts w:ascii="Times New Roman" w:hAnsi="Times New Roman" w:cs="Times New Roman"/>
          <w:sz w:val="24"/>
          <w:szCs w:val="24"/>
        </w:rPr>
        <w:t>con</w:t>
      </w:r>
      <w:r w:rsidR="00D9039D" w:rsidRPr="00D91CEB">
        <w:rPr>
          <w:rFonts w:ascii="Times New Roman" w:hAnsi="Times New Roman" w:cs="Times New Roman"/>
          <w:sz w:val="24"/>
          <w:szCs w:val="24"/>
        </w:rPr>
        <w:t>s</w:t>
      </w:r>
      <w:r w:rsidR="008722E7" w:rsidRPr="00D91CEB">
        <w:rPr>
          <w:rFonts w:ascii="Times New Roman" w:hAnsi="Times New Roman" w:cs="Times New Roman"/>
          <w:sz w:val="24"/>
          <w:szCs w:val="24"/>
        </w:rPr>
        <w:t xml:space="preserve">train and subordinate, </w:t>
      </w:r>
      <w:r w:rsidR="00832729" w:rsidRPr="00D91CEB">
        <w:rPr>
          <w:rFonts w:ascii="Times New Roman" w:hAnsi="Times New Roman" w:cs="Times New Roman"/>
          <w:sz w:val="24"/>
          <w:szCs w:val="24"/>
        </w:rPr>
        <w:t>but which are simultaneously highly</w:t>
      </w:r>
      <w:r w:rsidR="005E38E2" w:rsidRPr="00D91CEB">
        <w:rPr>
          <w:rFonts w:ascii="Times New Roman" w:hAnsi="Times New Roman" w:cs="Times New Roman"/>
          <w:sz w:val="24"/>
          <w:szCs w:val="24"/>
        </w:rPr>
        <w:t xml:space="preserve"> sy</w:t>
      </w:r>
      <w:r w:rsidR="00832729" w:rsidRPr="00D91CEB">
        <w:rPr>
          <w:rFonts w:ascii="Times New Roman" w:hAnsi="Times New Roman" w:cs="Times New Roman"/>
          <w:sz w:val="24"/>
          <w:szCs w:val="24"/>
        </w:rPr>
        <w:t>mbolic because they are</w:t>
      </w:r>
      <w:r w:rsidR="005E38E2" w:rsidRPr="00D91CEB">
        <w:rPr>
          <w:rFonts w:ascii="Times New Roman" w:hAnsi="Times New Roman" w:cs="Times New Roman"/>
          <w:sz w:val="24"/>
          <w:szCs w:val="24"/>
        </w:rPr>
        <w:t xml:space="preserve"> achieved indirectly and w</w:t>
      </w:r>
      <w:r w:rsidR="00832729" w:rsidRPr="00D91CEB">
        <w:rPr>
          <w:rFonts w:ascii="Times New Roman" w:hAnsi="Times New Roman" w:cs="Times New Roman"/>
          <w:sz w:val="24"/>
          <w:szCs w:val="24"/>
        </w:rPr>
        <w:t>ithout overt</w:t>
      </w:r>
      <w:r w:rsidR="005E38E2" w:rsidRPr="00D91CEB">
        <w:rPr>
          <w:rFonts w:ascii="Times New Roman" w:hAnsi="Times New Roman" w:cs="Times New Roman"/>
          <w:sz w:val="24"/>
          <w:szCs w:val="24"/>
        </w:rPr>
        <w:t xml:space="preserve"> force</w:t>
      </w:r>
      <w:r w:rsidR="00832729" w:rsidRPr="00D91CEB">
        <w:rPr>
          <w:rFonts w:ascii="Times New Roman" w:hAnsi="Times New Roman" w:cs="Times New Roman"/>
          <w:sz w:val="24"/>
          <w:szCs w:val="24"/>
        </w:rPr>
        <w:t>.</w:t>
      </w:r>
      <w:r w:rsidR="00D9039D" w:rsidRPr="00D91CEB">
        <w:rPr>
          <w:rFonts w:ascii="Times New Roman" w:hAnsi="Times New Roman" w:cs="Times New Roman"/>
          <w:sz w:val="24"/>
          <w:szCs w:val="24"/>
        </w:rPr>
        <w:t xml:space="preserve"> In addition,</w:t>
      </w:r>
      <w:r w:rsidR="0049004E" w:rsidRPr="00D91CEB">
        <w:rPr>
          <w:rFonts w:ascii="Times New Roman" w:hAnsi="Times New Roman" w:cs="Times New Roman"/>
          <w:sz w:val="24"/>
          <w:szCs w:val="24"/>
        </w:rPr>
        <w:t xml:space="preserve"> we </w:t>
      </w:r>
      <w:r w:rsidR="00D81DA9" w:rsidRPr="00D91CEB">
        <w:rPr>
          <w:rFonts w:ascii="Times New Roman" w:hAnsi="Times New Roman" w:cs="Times New Roman"/>
          <w:sz w:val="24"/>
          <w:szCs w:val="24"/>
        </w:rPr>
        <w:t>use Bourdieu</w:t>
      </w:r>
      <w:r w:rsidR="00D9039D" w:rsidRPr="00D91CEB">
        <w:rPr>
          <w:rFonts w:ascii="Times New Roman" w:hAnsi="Times New Roman" w:cs="Times New Roman"/>
          <w:sz w:val="24"/>
          <w:szCs w:val="24"/>
        </w:rPr>
        <w:t>’</w:t>
      </w:r>
      <w:r w:rsidR="007B21A1">
        <w:rPr>
          <w:rFonts w:ascii="Times New Roman" w:hAnsi="Times New Roman" w:cs="Times New Roman"/>
          <w:sz w:val="24"/>
          <w:szCs w:val="24"/>
        </w:rPr>
        <w:t>s</w:t>
      </w:r>
      <w:r w:rsidR="00D9039D" w:rsidRPr="00D91CEB">
        <w:rPr>
          <w:rFonts w:ascii="Times New Roman" w:hAnsi="Times New Roman" w:cs="Times New Roman"/>
          <w:sz w:val="24"/>
          <w:szCs w:val="24"/>
        </w:rPr>
        <w:t xml:space="preserve"> related concept of misrecognition</w:t>
      </w:r>
      <w:r w:rsidR="0049004E" w:rsidRPr="00D91CEB">
        <w:rPr>
          <w:rFonts w:ascii="Times New Roman" w:hAnsi="Times New Roman" w:cs="Times New Roman"/>
          <w:sz w:val="24"/>
          <w:szCs w:val="24"/>
        </w:rPr>
        <w:t xml:space="preserve"> </w:t>
      </w:r>
      <w:r w:rsidR="001D54FE">
        <w:rPr>
          <w:rFonts w:ascii="Times New Roman" w:hAnsi="Times New Roman" w:cs="Times New Roman"/>
          <w:sz w:val="24"/>
          <w:szCs w:val="24"/>
        </w:rPr>
        <w:t>(Bou</w:t>
      </w:r>
      <w:r w:rsidR="00291371">
        <w:rPr>
          <w:rFonts w:ascii="Times New Roman" w:hAnsi="Times New Roman" w:cs="Times New Roman"/>
          <w:sz w:val="24"/>
          <w:szCs w:val="24"/>
        </w:rPr>
        <w:t>r</w:t>
      </w:r>
      <w:r w:rsidR="001D54FE">
        <w:rPr>
          <w:rFonts w:ascii="Times New Roman" w:hAnsi="Times New Roman" w:cs="Times New Roman"/>
          <w:sz w:val="24"/>
          <w:szCs w:val="24"/>
        </w:rPr>
        <w:t xml:space="preserve">dieu, 2000) </w:t>
      </w:r>
      <w:r w:rsidR="0049004E" w:rsidRPr="00D91CEB">
        <w:rPr>
          <w:rFonts w:ascii="Times New Roman" w:hAnsi="Times New Roman" w:cs="Times New Roman"/>
          <w:sz w:val="24"/>
          <w:szCs w:val="24"/>
        </w:rPr>
        <w:t>to explore how notions of empowerment signalled by the TEF have the potential</w:t>
      </w:r>
      <w:r w:rsidR="008722E7" w:rsidRPr="00D91CEB">
        <w:rPr>
          <w:rFonts w:ascii="Times New Roman" w:hAnsi="Times New Roman" w:cs="Times New Roman"/>
          <w:sz w:val="24"/>
          <w:szCs w:val="24"/>
        </w:rPr>
        <w:t>, paradoxically</w:t>
      </w:r>
      <w:r w:rsidR="0049004E" w:rsidRPr="00D91CEB">
        <w:rPr>
          <w:rFonts w:ascii="Times New Roman" w:hAnsi="Times New Roman" w:cs="Times New Roman"/>
          <w:sz w:val="24"/>
          <w:szCs w:val="24"/>
        </w:rPr>
        <w:t>, to enlist central</w:t>
      </w:r>
      <w:r w:rsidR="007F49CA" w:rsidRPr="00D91CEB">
        <w:rPr>
          <w:rFonts w:ascii="Times New Roman" w:hAnsi="Times New Roman" w:cs="Times New Roman"/>
          <w:sz w:val="24"/>
          <w:szCs w:val="24"/>
        </w:rPr>
        <w:t xml:space="preserve"> actors in </w:t>
      </w:r>
      <w:r w:rsidR="001A18BD">
        <w:rPr>
          <w:rFonts w:ascii="Times New Roman" w:hAnsi="Times New Roman" w:cs="Times New Roman"/>
          <w:sz w:val="24"/>
          <w:szCs w:val="24"/>
        </w:rPr>
        <w:t>HE</w:t>
      </w:r>
      <w:r w:rsidR="007F49CA" w:rsidRPr="00D91CEB">
        <w:rPr>
          <w:rFonts w:ascii="Times New Roman" w:hAnsi="Times New Roman" w:cs="Times New Roman"/>
          <w:sz w:val="24"/>
          <w:szCs w:val="24"/>
        </w:rPr>
        <w:t xml:space="preserve"> in</w:t>
      </w:r>
      <w:r w:rsidR="008722E7" w:rsidRPr="00D91CEB">
        <w:rPr>
          <w:rFonts w:ascii="Times New Roman" w:hAnsi="Times New Roman" w:cs="Times New Roman"/>
          <w:sz w:val="24"/>
          <w:szCs w:val="24"/>
        </w:rPr>
        <w:t xml:space="preserve"> </w:t>
      </w:r>
      <w:r w:rsidR="007F49CA" w:rsidRPr="00D91CEB">
        <w:rPr>
          <w:rFonts w:ascii="Times New Roman" w:hAnsi="Times New Roman" w:cs="Times New Roman"/>
          <w:sz w:val="24"/>
          <w:szCs w:val="24"/>
        </w:rPr>
        <w:t>contributing</w:t>
      </w:r>
      <w:r w:rsidR="0049004E" w:rsidRPr="00D91CEB">
        <w:rPr>
          <w:rFonts w:ascii="Times New Roman" w:hAnsi="Times New Roman" w:cs="Times New Roman"/>
          <w:sz w:val="24"/>
          <w:szCs w:val="24"/>
        </w:rPr>
        <w:t xml:space="preserve"> to their own subordination.  </w:t>
      </w:r>
    </w:p>
    <w:p w14:paraId="3DA56AB4" w14:textId="04903BB9" w:rsidR="00B9668E" w:rsidRPr="00D91CEB" w:rsidRDefault="00EF03A7"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 xml:space="preserve">In </w:t>
      </w:r>
      <w:r w:rsidR="007F49CA" w:rsidRPr="00D91CEB">
        <w:rPr>
          <w:rFonts w:ascii="Times New Roman" w:hAnsi="Times New Roman" w:cs="Times New Roman"/>
          <w:sz w:val="24"/>
          <w:szCs w:val="24"/>
        </w:rPr>
        <w:t>order to analyse</w:t>
      </w:r>
      <w:r w:rsidRPr="00D91CEB">
        <w:rPr>
          <w:rFonts w:ascii="Times New Roman" w:hAnsi="Times New Roman" w:cs="Times New Roman"/>
          <w:sz w:val="24"/>
          <w:szCs w:val="24"/>
        </w:rPr>
        <w:t xml:space="preserve"> the key policy documents as critical instances of symbolic violence, we deploy policy framing as a</w:t>
      </w:r>
      <w:r w:rsidR="007B21A1">
        <w:rPr>
          <w:rFonts w:ascii="Times New Roman" w:hAnsi="Times New Roman" w:cs="Times New Roman"/>
          <w:sz w:val="24"/>
          <w:szCs w:val="24"/>
        </w:rPr>
        <w:t>n analytical</w:t>
      </w:r>
      <w:r w:rsidRPr="00D91CEB">
        <w:rPr>
          <w:rFonts w:ascii="Times New Roman" w:hAnsi="Times New Roman" w:cs="Times New Roman"/>
          <w:sz w:val="24"/>
          <w:szCs w:val="24"/>
        </w:rPr>
        <w:t xml:space="preserve"> tool. As Fischer</w:t>
      </w:r>
      <w:r w:rsidR="000F49E9" w:rsidRPr="00D91CEB">
        <w:rPr>
          <w:rFonts w:ascii="Times New Roman" w:hAnsi="Times New Roman" w:cs="Times New Roman"/>
          <w:sz w:val="24"/>
          <w:szCs w:val="24"/>
        </w:rPr>
        <w:t xml:space="preserve"> </w:t>
      </w:r>
      <w:r w:rsidRPr="00D91CEB">
        <w:rPr>
          <w:rFonts w:ascii="Times New Roman" w:hAnsi="Times New Roman" w:cs="Times New Roman"/>
          <w:sz w:val="24"/>
          <w:szCs w:val="24"/>
        </w:rPr>
        <w:t>(2003</w:t>
      </w:r>
      <w:r w:rsidR="00666746">
        <w:rPr>
          <w:rFonts w:ascii="Times New Roman" w:hAnsi="Times New Roman" w:cs="Times New Roman"/>
          <w:sz w:val="24"/>
          <w:szCs w:val="24"/>
        </w:rPr>
        <w:t xml:space="preserve">, </w:t>
      </w:r>
      <w:r w:rsidR="00205788">
        <w:rPr>
          <w:rFonts w:ascii="Times New Roman" w:hAnsi="Times New Roman" w:cs="Times New Roman"/>
          <w:sz w:val="24"/>
          <w:szCs w:val="24"/>
        </w:rPr>
        <w:t xml:space="preserve">p. </w:t>
      </w:r>
      <w:r w:rsidRPr="00D91CEB">
        <w:rPr>
          <w:rFonts w:ascii="Times New Roman" w:hAnsi="Times New Roman" w:cs="Times New Roman"/>
          <w:sz w:val="24"/>
          <w:szCs w:val="24"/>
        </w:rPr>
        <w:t xml:space="preserve">183) has </w:t>
      </w:r>
      <w:r w:rsidR="00C73227" w:rsidRPr="00D91CEB">
        <w:rPr>
          <w:rFonts w:ascii="Times New Roman" w:hAnsi="Times New Roman" w:cs="Times New Roman"/>
          <w:sz w:val="24"/>
          <w:szCs w:val="24"/>
        </w:rPr>
        <w:t>observed, since</w:t>
      </w:r>
      <w:r w:rsidRPr="00D91CEB">
        <w:rPr>
          <w:rFonts w:ascii="Times New Roman" w:hAnsi="Times New Roman" w:cs="Times New Roman"/>
          <w:sz w:val="24"/>
          <w:szCs w:val="24"/>
        </w:rPr>
        <w:t xml:space="preserve"> policy decisions have to be legitimised, ‘the tasks of explanation, justification and persuasion play important roles’ in policy texts and are intimately related to power relations. Policy </w:t>
      </w:r>
      <w:r w:rsidRPr="00D91CEB">
        <w:rPr>
          <w:rFonts w:ascii="Times New Roman" w:hAnsi="Times New Roman" w:cs="Times New Roman"/>
          <w:sz w:val="24"/>
          <w:szCs w:val="24"/>
        </w:rPr>
        <w:lastRenderedPageBreak/>
        <w:t xml:space="preserve">framing with its emphasis on </w:t>
      </w:r>
      <w:r w:rsidR="00B9668E" w:rsidRPr="00D91CEB">
        <w:rPr>
          <w:rFonts w:ascii="Times New Roman" w:hAnsi="Times New Roman" w:cs="Times New Roman"/>
          <w:sz w:val="24"/>
          <w:szCs w:val="24"/>
        </w:rPr>
        <w:t xml:space="preserve">the construction of the </w:t>
      </w:r>
      <w:r w:rsidRPr="00D91CEB">
        <w:rPr>
          <w:rFonts w:ascii="Times New Roman" w:hAnsi="Times New Roman" w:cs="Times New Roman"/>
          <w:sz w:val="24"/>
          <w:szCs w:val="24"/>
        </w:rPr>
        <w:t>policy ‘problem’</w:t>
      </w:r>
      <w:r w:rsidR="00B9668E" w:rsidRPr="00D91CEB">
        <w:rPr>
          <w:rFonts w:ascii="Times New Roman" w:hAnsi="Times New Roman" w:cs="Times New Roman"/>
          <w:sz w:val="24"/>
          <w:szCs w:val="24"/>
        </w:rPr>
        <w:t xml:space="preserve"> and ‘solutions’ and </w:t>
      </w:r>
      <w:r w:rsidRPr="00D91CEB">
        <w:rPr>
          <w:rFonts w:ascii="Times New Roman" w:hAnsi="Times New Roman" w:cs="Times New Roman"/>
          <w:sz w:val="24"/>
          <w:szCs w:val="24"/>
        </w:rPr>
        <w:t>the applica</w:t>
      </w:r>
      <w:r w:rsidR="00B9668E" w:rsidRPr="00D91CEB">
        <w:rPr>
          <w:rFonts w:ascii="Times New Roman" w:hAnsi="Times New Roman" w:cs="Times New Roman"/>
          <w:sz w:val="24"/>
          <w:szCs w:val="24"/>
        </w:rPr>
        <w:t>tion of moral vocabularies to</w:t>
      </w:r>
      <w:r w:rsidRPr="00D91CEB">
        <w:rPr>
          <w:rFonts w:ascii="Times New Roman" w:hAnsi="Times New Roman" w:cs="Times New Roman"/>
          <w:sz w:val="24"/>
          <w:szCs w:val="24"/>
        </w:rPr>
        <w:t xml:space="preserve"> </w:t>
      </w:r>
      <w:r w:rsidR="00B9668E" w:rsidRPr="00D91CEB">
        <w:rPr>
          <w:rFonts w:ascii="Times New Roman" w:hAnsi="Times New Roman" w:cs="Times New Roman"/>
          <w:sz w:val="24"/>
          <w:szCs w:val="24"/>
        </w:rPr>
        <w:t xml:space="preserve">anchor </w:t>
      </w:r>
      <w:r w:rsidR="00C73227" w:rsidRPr="00D91CEB">
        <w:rPr>
          <w:rFonts w:ascii="Times New Roman" w:hAnsi="Times New Roman" w:cs="Times New Roman"/>
          <w:sz w:val="24"/>
          <w:szCs w:val="24"/>
        </w:rPr>
        <w:t xml:space="preserve">specific policy directions and </w:t>
      </w:r>
      <w:r w:rsidR="00B9668E" w:rsidRPr="00D91CEB">
        <w:rPr>
          <w:rFonts w:ascii="Times New Roman" w:hAnsi="Times New Roman" w:cs="Times New Roman"/>
          <w:sz w:val="24"/>
          <w:szCs w:val="24"/>
        </w:rPr>
        <w:t>the interests of actors (</w:t>
      </w:r>
      <w:proofErr w:type="spellStart"/>
      <w:r w:rsidR="00B9668E" w:rsidRPr="00D91CEB">
        <w:rPr>
          <w:rFonts w:ascii="Times New Roman" w:hAnsi="Times New Roman" w:cs="Times New Roman"/>
          <w:sz w:val="24"/>
          <w:szCs w:val="24"/>
        </w:rPr>
        <w:t>Entman</w:t>
      </w:r>
      <w:proofErr w:type="spellEnd"/>
      <w:r w:rsidR="00B9668E" w:rsidRPr="00D91CEB">
        <w:rPr>
          <w:rFonts w:ascii="Times New Roman" w:hAnsi="Times New Roman" w:cs="Times New Roman"/>
          <w:sz w:val="24"/>
          <w:szCs w:val="24"/>
        </w:rPr>
        <w:t xml:space="preserve"> 1993) is highly compatib</w:t>
      </w:r>
      <w:r w:rsidR="00EB53A8" w:rsidRPr="00D91CEB">
        <w:rPr>
          <w:rFonts w:ascii="Times New Roman" w:hAnsi="Times New Roman" w:cs="Times New Roman"/>
          <w:sz w:val="24"/>
          <w:szCs w:val="24"/>
        </w:rPr>
        <w:t>le with Bourdieu’s conceptual framework</w:t>
      </w:r>
      <w:r w:rsidR="00B9668E" w:rsidRPr="00D91CEB">
        <w:rPr>
          <w:rFonts w:ascii="Times New Roman" w:hAnsi="Times New Roman" w:cs="Times New Roman"/>
          <w:sz w:val="24"/>
          <w:szCs w:val="24"/>
        </w:rPr>
        <w:t xml:space="preserve">. Such an approach enables us to analyse the </w:t>
      </w:r>
      <w:r w:rsidR="0019094C" w:rsidRPr="00D91CEB">
        <w:rPr>
          <w:rFonts w:ascii="Times New Roman" w:hAnsi="Times New Roman" w:cs="Times New Roman"/>
          <w:sz w:val="24"/>
          <w:szCs w:val="24"/>
        </w:rPr>
        <w:t>operation of symbolic power through discourses that establish dominant categorisations of thought, practices and institutional behaviou</w:t>
      </w:r>
      <w:r w:rsidR="008109F5" w:rsidRPr="00D91CEB">
        <w:rPr>
          <w:rFonts w:ascii="Times New Roman" w:hAnsi="Times New Roman" w:cs="Times New Roman"/>
          <w:sz w:val="24"/>
          <w:szCs w:val="24"/>
        </w:rPr>
        <w:t>rs and present these are central</w:t>
      </w:r>
      <w:r w:rsidR="0019094C" w:rsidRPr="00D91CEB">
        <w:rPr>
          <w:rFonts w:ascii="Times New Roman" w:hAnsi="Times New Roman" w:cs="Times New Roman"/>
          <w:sz w:val="24"/>
          <w:szCs w:val="24"/>
        </w:rPr>
        <w:t xml:space="preserve"> to the </w:t>
      </w:r>
      <w:r w:rsidR="00CE1E94">
        <w:rPr>
          <w:rFonts w:ascii="Times New Roman" w:hAnsi="Times New Roman" w:cs="Times New Roman"/>
          <w:sz w:val="24"/>
          <w:szCs w:val="24"/>
        </w:rPr>
        <w:t>marketis</w:t>
      </w:r>
      <w:r w:rsidR="0019094C" w:rsidRPr="00D91CEB">
        <w:rPr>
          <w:rFonts w:ascii="Times New Roman" w:hAnsi="Times New Roman" w:cs="Times New Roman"/>
          <w:sz w:val="24"/>
          <w:szCs w:val="24"/>
        </w:rPr>
        <w:t>ation project.</w:t>
      </w:r>
    </w:p>
    <w:p w14:paraId="6181B793" w14:textId="04AE5241" w:rsidR="0019094C" w:rsidRPr="00D91CEB" w:rsidRDefault="00D369A7" w:rsidP="001C1AA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w:t>
      </w:r>
      <w:r w:rsidR="008111E4" w:rsidRPr="00D91CEB">
        <w:rPr>
          <w:rFonts w:ascii="Times New Roman" w:hAnsi="Times New Roman" w:cs="Times New Roman"/>
          <w:sz w:val="24"/>
          <w:szCs w:val="24"/>
        </w:rPr>
        <w:t xml:space="preserve">e focus in particular on the Green Paper (BIS, 2015) and the subsequent White Paper (BIS, 2016a) as these contain some of the most explicit reconfiguring of HE along the lines of a measured market. </w:t>
      </w:r>
      <w:r w:rsidR="008111E4">
        <w:rPr>
          <w:rFonts w:ascii="Times New Roman" w:hAnsi="Times New Roman" w:cs="Times New Roman"/>
          <w:sz w:val="24"/>
          <w:szCs w:val="24"/>
        </w:rPr>
        <w:t>W</w:t>
      </w:r>
      <w:r w:rsidR="00B9668E" w:rsidRPr="00D91CEB">
        <w:rPr>
          <w:rFonts w:ascii="Times New Roman" w:hAnsi="Times New Roman" w:cs="Times New Roman"/>
          <w:sz w:val="24"/>
          <w:szCs w:val="24"/>
        </w:rPr>
        <w:t>e organise</w:t>
      </w:r>
      <w:r w:rsidR="0019094C" w:rsidRPr="00D91CEB">
        <w:rPr>
          <w:rFonts w:ascii="Times New Roman" w:hAnsi="Times New Roman" w:cs="Times New Roman"/>
          <w:sz w:val="24"/>
          <w:szCs w:val="24"/>
        </w:rPr>
        <w:t xml:space="preserve"> our analy</w:t>
      </w:r>
      <w:r w:rsidR="008111E4">
        <w:rPr>
          <w:rFonts w:ascii="Times New Roman" w:hAnsi="Times New Roman" w:cs="Times New Roman"/>
          <w:sz w:val="24"/>
          <w:szCs w:val="24"/>
        </w:rPr>
        <w:t>ses</w:t>
      </w:r>
      <w:r w:rsidR="0019094C" w:rsidRPr="00D91CEB">
        <w:rPr>
          <w:rFonts w:ascii="Times New Roman" w:hAnsi="Times New Roman" w:cs="Times New Roman"/>
          <w:sz w:val="24"/>
          <w:szCs w:val="24"/>
        </w:rPr>
        <w:t xml:space="preserve"> around three dominan</w:t>
      </w:r>
      <w:r w:rsidR="00EE1338" w:rsidRPr="00D91CEB">
        <w:rPr>
          <w:rFonts w:ascii="Times New Roman" w:hAnsi="Times New Roman" w:cs="Times New Roman"/>
          <w:sz w:val="24"/>
          <w:szCs w:val="24"/>
        </w:rPr>
        <w:t>t thematic pillars which emerge</w:t>
      </w:r>
      <w:r w:rsidR="0019094C" w:rsidRPr="00D91CEB">
        <w:rPr>
          <w:rFonts w:ascii="Times New Roman" w:hAnsi="Times New Roman" w:cs="Times New Roman"/>
          <w:sz w:val="24"/>
          <w:szCs w:val="24"/>
        </w:rPr>
        <w:t xml:space="preserve"> as centra</w:t>
      </w:r>
      <w:r w:rsidR="00B9668E" w:rsidRPr="00D91CEB">
        <w:rPr>
          <w:rFonts w:ascii="Times New Roman" w:hAnsi="Times New Roman" w:cs="Times New Roman"/>
          <w:sz w:val="24"/>
          <w:szCs w:val="24"/>
        </w:rPr>
        <w:t xml:space="preserve">l to the </w:t>
      </w:r>
      <w:r w:rsidR="00CE1E94">
        <w:rPr>
          <w:rFonts w:ascii="Times New Roman" w:hAnsi="Times New Roman" w:cs="Times New Roman"/>
          <w:sz w:val="24"/>
          <w:szCs w:val="24"/>
        </w:rPr>
        <w:t>marketis</w:t>
      </w:r>
      <w:r w:rsidR="00B9668E" w:rsidRPr="00D91CEB">
        <w:rPr>
          <w:rFonts w:ascii="Times New Roman" w:hAnsi="Times New Roman" w:cs="Times New Roman"/>
          <w:sz w:val="24"/>
          <w:szCs w:val="24"/>
        </w:rPr>
        <w:t xml:space="preserve">ation project </w:t>
      </w:r>
      <w:r w:rsidR="0019094C" w:rsidRPr="00D91CEB">
        <w:rPr>
          <w:rFonts w:ascii="Times New Roman" w:hAnsi="Times New Roman" w:cs="Times New Roman"/>
          <w:sz w:val="24"/>
          <w:szCs w:val="24"/>
        </w:rPr>
        <w:t>– the student-as-consumer, graduate employability and formal ranked measurements. These themes were not only organising principles of the TEF framework and a basis for appraising institutions’ market performance, but also contained a set of framings on the institutional-cultu</w:t>
      </w:r>
      <w:r w:rsidR="00EE1338" w:rsidRPr="00D91CEB">
        <w:rPr>
          <w:rFonts w:ascii="Times New Roman" w:hAnsi="Times New Roman" w:cs="Times New Roman"/>
          <w:sz w:val="24"/>
          <w:szCs w:val="24"/>
        </w:rPr>
        <w:t>ral conditions that best serve</w:t>
      </w:r>
      <w:r w:rsidR="0019094C" w:rsidRPr="00D91CEB">
        <w:rPr>
          <w:rFonts w:ascii="Times New Roman" w:hAnsi="Times New Roman" w:cs="Times New Roman"/>
          <w:sz w:val="24"/>
          <w:szCs w:val="24"/>
        </w:rPr>
        <w:t xml:space="preserve"> agents’ interests within this reform project</w:t>
      </w:r>
    </w:p>
    <w:p w14:paraId="0E0D026F" w14:textId="27287B01" w:rsidR="006A60DB" w:rsidRPr="00D91CEB" w:rsidRDefault="006A60DB" w:rsidP="001C1AAE">
      <w:pPr>
        <w:spacing w:after="120" w:line="360" w:lineRule="auto"/>
        <w:jc w:val="both"/>
        <w:rPr>
          <w:rFonts w:ascii="Times New Roman" w:hAnsi="Times New Roman" w:cs="Times New Roman"/>
          <w:b/>
          <w:sz w:val="24"/>
          <w:szCs w:val="24"/>
        </w:rPr>
      </w:pPr>
      <w:r w:rsidRPr="00D91CEB">
        <w:rPr>
          <w:rFonts w:ascii="Times New Roman" w:hAnsi="Times New Roman" w:cs="Times New Roman"/>
          <w:b/>
          <w:sz w:val="24"/>
          <w:szCs w:val="24"/>
        </w:rPr>
        <w:t xml:space="preserve">Symbolic Violence </w:t>
      </w:r>
      <w:r w:rsidR="001A1969" w:rsidRPr="00D91CEB">
        <w:rPr>
          <w:rFonts w:ascii="Times New Roman" w:hAnsi="Times New Roman" w:cs="Times New Roman"/>
          <w:b/>
          <w:sz w:val="24"/>
          <w:szCs w:val="24"/>
        </w:rPr>
        <w:t>and Neo-liberal M</w:t>
      </w:r>
      <w:r w:rsidR="009B12B9" w:rsidRPr="00D91CEB">
        <w:rPr>
          <w:rFonts w:ascii="Times New Roman" w:hAnsi="Times New Roman" w:cs="Times New Roman"/>
          <w:b/>
          <w:sz w:val="24"/>
          <w:szCs w:val="24"/>
        </w:rPr>
        <w:t>arket-M</w:t>
      </w:r>
      <w:r w:rsidR="00253C4C" w:rsidRPr="00D91CEB">
        <w:rPr>
          <w:rFonts w:ascii="Times New Roman" w:hAnsi="Times New Roman" w:cs="Times New Roman"/>
          <w:b/>
          <w:sz w:val="24"/>
          <w:szCs w:val="24"/>
        </w:rPr>
        <w:t xml:space="preserve">aking </w:t>
      </w:r>
    </w:p>
    <w:p w14:paraId="1A4D4E1B" w14:textId="3CDDDA86" w:rsidR="006A550E" w:rsidRPr="00D91CEB" w:rsidRDefault="006A550E"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Bourdieu</w:t>
      </w:r>
      <w:r w:rsidR="00F64CD8" w:rsidRPr="00D91CEB">
        <w:rPr>
          <w:rFonts w:ascii="Times New Roman" w:hAnsi="Times New Roman" w:cs="Times New Roman"/>
          <w:sz w:val="24"/>
          <w:szCs w:val="24"/>
        </w:rPr>
        <w:t xml:space="preserve"> </w:t>
      </w:r>
      <w:r w:rsidR="00C05A29" w:rsidRPr="00D91CEB">
        <w:rPr>
          <w:rFonts w:ascii="Times New Roman" w:hAnsi="Times New Roman" w:cs="Times New Roman"/>
          <w:sz w:val="24"/>
          <w:szCs w:val="24"/>
        </w:rPr>
        <w:t xml:space="preserve">(1988) </w:t>
      </w:r>
      <w:r w:rsidR="00F64CD8" w:rsidRPr="00D91CEB">
        <w:rPr>
          <w:rFonts w:ascii="Times New Roman" w:hAnsi="Times New Roman" w:cs="Times New Roman"/>
          <w:sz w:val="24"/>
          <w:szCs w:val="24"/>
        </w:rPr>
        <w:t>has</w:t>
      </w:r>
      <w:r w:rsidRPr="00D91CEB">
        <w:rPr>
          <w:rFonts w:ascii="Times New Roman" w:hAnsi="Times New Roman" w:cs="Times New Roman"/>
          <w:sz w:val="24"/>
          <w:szCs w:val="24"/>
        </w:rPr>
        <w:t xml:space="preserve"> defined</w:t>
      </w:r>
      <w:r w:rsidR="00827144" w:rsidRPr="00D91CEB">
        <w:rPr>
          <w:rFonts w:ascii="Times New Roman" w:hAnsi="Times New Roman" w:cs="Times New Roman"/>
          <w:sz w:val="24"/>
          <w:szCs w:val="24"/>
        </w:rPr>
        <w:t xml:space="preserve"> </w:t>
      </w:r>
      <w:r w:rsidR="00172A97" w:rsidRPr="00D91CEB">
        <w:rPr>
          <w:rFonts w:ascii="Times New Roman" w:hAnsi="Times New Roman" w:cs="Times New Roman"/>
          <w:sz w:val="24"/>
          <w:szCs w:val="24"/>
        </w:rPr>
        <w:t>HE</w:t>
      </w:r>
      <w:r w:rsidR="00C05A29" w:rsidRPr="00D91CEB">
        <w:rPr>
          <w:rFonts w:ascii="Times New Roman" w:hAnsi="Times New Roman" w:cs="Times New Roman"/>
          <w:sz w:val="24"/>
          <w:szCs w:val="24"/>
        </w:rPr>
        <w:t xml:space="preserve"> </w:t>
      </w:r>
      <w:r w:rsidR="00827144" w:rsidRPr="00D91CEB">
        <w:rPr>
          <w:rFonts w:ascii="Times New Roman" w:hAnsi="Times New Roman" w:cs="Times New Roman"/>
          <w:sz w:val="24"/>
          <w:szCs w:val="24"/>
        </w:rPr>
        <w:t>as</w:t>
      </w:r>
      <w:r w:rsidRPr="00D91CEB">
        <w:rPr>
          <w:rFonts w:ascii="Times New Roman" w:hAnsi="Times New Roman" w:cs="Times New Roman"/>
          <w:sz w:val="24"/>
          <w:szCs w:val="24"/>
        </w:rPr>
        <w:t xml:space="preserve"> a social field constituting a set of socially structured relations with </w:t>
      </w:r>
      <w:r w:rsidR="00F604AD" w:rsidRPr="00D91CEB">
        <w:rPr>
          <w:rFonts w:ascii="Times New Roman" w:hAnsi="Times New Roman" w:cs="Times New Roman"/>
          <w:sz w:val="24"/>
          <w:szCs w:val="24"/>
        </w:rPr>
        <w:t xml:space="preserve">a </w:t>
      </w:r>
      <w:r w:rsidRPr="00D91CEB">
        <w:rPr>
          <w:rFonts w:ascii="Times New Roman" w:hAnsi="Times New Roman" w:cs="Times New Roman"/>
          <w:sz w:val="24"/>
          <w:szCs w:val="24"/>
        </w:rPr>
        <w:t>defined system of boundaries, hierarchies and normative frameworks that supply actors operating in th</w:t>
      </w:r>
      <w:r w:rsidR="00C05A29" w:rsidRPr="00D91CEB">
        <w:rPr>
          <w:rFonts w:ascii="Times New Roman" w:hAnsi="Times New Roman" w:cs="Times New Roman"/>
          <w:sz w:val="24"/>
          <w:szCs w:val="24"/>
        </w:rPr>
        <w:t>e</w:t>
      </w:r>
      <w:r w:rsidRPr="00D91CEB">
        <w:rPr>
          <w:rFonts w:ascii="Times New Roman" w:hAnsi="Times New Roman" w:cs="Times New Roman"/>
          <w:sz w:val="24"/>
          <w:szCs w:val="24"/>
        </w:rPr>
        <w:t xml:space="preserve"> field with a framework of meaning and action</w:t>
      </w:r>
      <w:r w:rsidR="00C1481A" w:rsidRPr="00D91CEB">
        <w:rPr>
          <w:rFonts w:ascii="ClassicalGaramondBT-Roman" w:hAnsi="ClassicalGaramondBT-Roman" w:cs="ClassicalGaramondBT-Roman"/>
          <w:color w:val="231F20"/>
          <w:sz w:val="20"/>
          <w:szCs w:val="20"/>
        </w:rPr>
        <w:t>.</w:t>
      </w:r>
      <w:r w:rsidR="00AE7651" w:rsidRPr="00D91CEB">
        <w:rPr>
          <w:rFonts w:ascii="Times New Roman" w:hAnsi="Times New Roman" w:cs="Times New Roman"/>
          <w:sz w:val="24"/>
          <w:szCs w:val="24"/>
        </w:rPr>
        <w:t xml:space="preserve"> Crucially, field rules </w:t>
      </w:r>
      <w:r w:rsidRPr="00D91CEB">
        <w:rPr>
          <w:rFonts w:ascii="Times New Roman" w:hAnsi="Times New Roman" w:cs="Times New Roman"/>
          <w:sz w:val="24"/>
          <w:szCs w:val="24"/>
        </w:rPr>
        <w:t>constitute dominant value</w:t>
      </w:r>
      <w:r w:rsidR="00A57006" w:rsidRPr="00D91CEB">
        <w:rPr>
          <w:rFonts w:ascii="Times New Roman" w:hAnsi="Times New Roman" w:cs="Times New Roman"/>
          <w:sz w:val="24"/>
          <w:szCs w:val="24"/>
        </w:rPr>
        <w:t>s</w:t>
      </w:r>
      <w:r w:rsidRPr="00D91CEB">
        <w:rPr>
          <w:rFonts w:ascii="Times New Roman" w:hAnsi="Times New Roman" w:cs="Times New Roman"/>
          <w:sz w:val="24"/>
          <w:szCs w:val="24"/>
        </w:rPr>
        <w:t xml:space="preserve"> and cognitive systems, as well as legitimate ways of being and acting</w:t>
      </w:r>
      <w:r w:rsidR="00045CBE" w:rsidRPr="00D91CEB">
        <w:rPr>
          <w:rFonts w:ascii="Times New Roman" w:hAnsi="Times New Roman" w:cs="Times New Roman"/>
          <w:sz w:val="24"/>
          <w:szCs w:val="24"/>
        </w:rPr>
        <w:t xml:space="preserve">. These </w:t>
      </w:r>
      <w:r w:rsidR="00F64CD8" w:rsidRPr="00D91CEB">
        <w:rPr>
          <w:rFonts w:ascii="Times New Roman" w:hAnsi="Times New Roman" w:cs="Times New Roman"/>
          <w:sz w:val="24"/>
          <w:szCs w:val="24"/>
        </w:rPr>
        <w:t>in turn</w:t>
      </w:r>
      <w:r w:rsidR="00045CBE" w:rsidRPr="00D91CEB">
        <w:rPr>
          <w:rFonts w:ascii="Times New Roman" w:hAnsi="Times New Roman" w:cs="Times New Roman"/>
          <w:sz w:val="24"/>
          <w:szCs w:val="24"/>
        </w:rPr>
        <w:t xml:space="preserve"> stabilise</w:t>
      </w:r>
      <w:r w:rsidR="00827144" w:rsidRPr="00D91CEB">
        <w:rPr>
          <w:rFonts w:ascii="Times New Roman" w:hAnsi="Times New Roman" w:cs="Times New Roman"/>
          <w:sz w:val="24"/>
          <w:szCs w:val="24"/>
        </w:rPr>
        <w:t xml:space="preserve"> fields</w:t>
      </w:r>
      <w:r w:rsidR="00F64CD8" w:rsidRPr="00D91CEB">
        <w:rPr>
          <w:rFonts w:ascii="Times New Roman" w:hAnsi="Times New Roman" w:cs="Times New Roman"/>
          <w:sz w:val="24"/>
          <w:szCs w:val="24"/>
        </w:rPr>
        <w:t xml:space="preserve"> and </w:t>
      </w:r>
      <w:r w:rsidR="00F604AD" w:rsidRPr="00D91CEB">
        <w:rPr>
          <w:rFonts w:ascii="Times New Roman" w:hAnsi="Times New Roman" w:cs="Times New Roman"/>
          <w:sz w:val="24"/>
          <w:szCs w:val="24"/>
        </w:rPr>
        <w:t xml:space="preserve">propel </w:t>
      </w:r>
      <w:r w:rsidRPr="00D91CEB">
        <w:rPr>
          <w:rFonts w:ascii="Times New Roman" w:hAnsi="Times New Roman" w:cs="Times New Roman"/>
          <w:sz w:val="24"/>
          <w:szCs w:val="24"/>
        </w:rPr>
        <w:t>them towards overarching, albeit internally contested, purposes</w:t>
      </w:r>
      <w:r w:rsidR="00A31475" w:rsidRPr="00D91CEB">
        <w:t xml:space="preserve"> (</w:t>
      </w:r>
      <w:r w:rsidR="00A31475" w:rsidRPr="00D91CEB">
        <w:rPr>
          <w:rFonts w:ascii="Times New Roman" w:hAnsi="Times New Roman" w:cs="Times New Roman"/>
          <w:sz w:val="24"/>
          <w:szCs w:val="24"/>
        </w:rPr>
        <w:t>Bourdieu, 1988)</w:t>
      </w:r>
      <w:r w:rsidRPr="00D91CEB">
        <w:rPr>
          <w:rFonts w:ascii="Times New Roman" w:hAnsi="Times New Roman" w:cs="Times New Roman"/>
          <w:sz w:val="24"/>
          <w:szCs w:val="24"/>
        </w:rPr>
        <w:t xml:space="preserve">. </w:t>
      </w:r>
    </w:p>
    <w:p w14:paraId="22BA1B81" w14:textId="55FE7AB6" w:rsidR="006A550E" w:rsidRPr="00D91CEB" w:rsidRDefault="006A550E"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 xml:space="preserve">Field dynamics are maintained through what Bourdieu has described </w:t>
      </w:r>
      <w:r w:rsidR="00827144" w:rsidRPr="00D91CEB">
        <w:rPr>
          <w:rFonts w:ascii="Times New Roman" w:hAnsi="Times New Roman" w:cs="Times New Roman"/>
          <w:sz w:val="24"/>
          <w:szCs w:val="24"/>
        </w:rPr>
        <w:t xml:space="preserve">as </w:t>
      </w:r>
      <w:r w:rsidRPr="00D91CEB">
        <w:rPr>
          <w:rFonts w:ascii="Times New Roman" w:hAnsi="Times New Roman" w:cs="Times New Roman"/>
          <w:sz w:val="24"/>
          <w:szCs w:val="24"/>
        </w:rPr>
        <w:t>the logic of practice.</w:t>
      </w:r>
      <w:r w:rsidR="00045CBE" w:rsidRPr="00D91CEB">
        <w:rPr>
          <w:rFonts w:ascii="Times New Roman" w:hAnsi="Times New Roman" w:cs="Times New Roman"/>
          <w:sz w:val="24"/>
          <w:szCs w:val="24"/>
        </w:rPr>
        <w:t xml:space="preserve"> It is through practic</w:t>
      </w:r>
      <w:r w:rsidR="003909BD" w:rsidRPr="00D91CEB">
        <w:rPr>
          <w:rFonts w:ascii="Times New Roman" w:hAnsi="Times New Roman" w:cs="Times New Roman"/>
          <w:sz w:val="24"/>
          <w:szCs w:val="24"/>
        </w:rPr>
        <w:t>e</w:t>
      </w:r>
      <w:r w:rsidR="00045CBE" w:rsidRPr="00D91CEB">
        <w:rPr>
          <w:rFonts w:ascii="Times New Roman" w:hAnsi="Times New Roman" w:cs="Times New Roman"/>
          <w:sz w:val="24"/>
          <w:szCs w:val="24"/>
        </w:rPr>
        <w:t xml:space="preserve"> within institutional fields that actors internalise their value systems, providing them with an in</w:t>
      </w:r>
      <w:r w:rsidR="00A81AD7" w:rsidRPr="00D91CEB">
        <w:rPr>
          <w:rFonts w:ascii="Times New Roman" w:hAnsi="Times New Roman" w:cs="Times New Roman"/>
          <w:sz w:val="24"/>
          <w:szCs w:val="24"/>
        </w:rPr>
        <w:t>tuitive sense of field dynamics</w:t>
      </w:r>
      <w:r w:rsidR="00045CBE" w:rsidRPr="00D91CEB">
        <w:rPr>
          <w:rFonts w:ascii="Times New Roman" w:hAnsi="Times New Roman" w:cs="Times New Roman"/>
          <w:sz w:val="24"/>
          <w:szCs w:val="24"/>
        </w:rPr>
        <w:t>.</w:t>
      </w:r>
      <w:r w:rsidR="003909BD" w:rsidRPr="00D91CEB">
        <w:rPr>
          <w:rFonts w:ascii="Times New Roman" w:hAnsi="Times New Roman" w:cs="Times New Roman"/>
          <w:sz w:val="24"/>
          <w:szCs w:val="24"/>
        </w:rPr>
        <w:t xml:space="preserve"> Actors are</w:t>
      </w:r>
      <w:r w:rsidR="00045CBE" w:rsidRPr="00D91CEB">
        <w:rPr>
          <w:rFonts w:ascii="Times New Roman" w:hAnsi="Times New Roman" w:cs="Times New Roman"/>
          <w:sz w:val="24"/>
          <w:szCs w:val="24"/>
        </w:rPr>
        <w:t xml:space="preserve"> diffe</w:t>
      </w:r>
      <w:r w:rsidR="003909BD" w:rsidRPr="00D91CEB">
        <w:rPr>
          <w:rFonts w:ascii="Times New Roman" w:hAnsi="Times New Roman" w:cs="Times New Roman"/>
          <w:sz w:val="24"/>
          <w:szCs w:val="24"/>
        </w:rPr>
        <w:t>rent</w:t>
      </w:r>
      <w:r w:rsidR="0072623A" w:rsidRPr="00D91CEB">
        <w:rPr>
          <w:rFonts w:ascii="Times New Roman" w:hAnsi="Times New Roman" w:cs="Times New Roman"/>
          <w:sz w:val="24"/>
          <w:szCs w:val="24"/>
        </w:rPr>
        <w:t>iat</w:t>
      </w:r>
      <w:r w:rsidR="003909BD" w:rsidRPr="00D91CEB">
        <w:rPr>
          <w:rFonts w:ascii="Times New Roman" w:hAnsi="Times New Roman" w:cs="Times New Roman"/>
          <w:sz w:val="24"/>
          <w:szCs w:val="24"/>
        </w:rPr>
        <w:t>ed in fields through their</w:t>
      </w:r>
      <w:r w:rsidR="006374E8" w:rsidRPr="00D91CEB">
        <w:rPr>
          <w:rFonts w:ascii="Times New Roman" w:hAnsi="Times New Roman" w:cs="Times New Roman"/>
          <w:sz w:val="24"/>
          <w:szCs w:val="24"/>
        </w:rPr>
        <w:t xml:space="preserve"> possession of </w:t>
      </w:r>
      <w:r w:rsidR="00342449">
        <w:rPr>
          <w:rFonts w:ascii="Times New Roman" w:hAnsi="Times New Roman" w:cs="Times New Roman"/>
          <w:sz w:val="24"/>
          <w:szCs w:val="24"/>
        </w:rPr>
        <w:t xml:space="preserve">different forms of </w:t>
      </w:r>
      <w:r w:rsidR="006374E8" w:rsidRPr="00D91CEB">
        <w:rPr>
          <w:rFonts w:ascii="Times New Roman" w:hAnsi="Times New Roman" w:cs="Times New Roman"/>
          <w:sz w:val="24"/>
          <w:szCs w:val="24"/>
        </w:rPr>
        <w:t xml:space="preserve">capital </w:t>
      </w:r>
      <w:r w:rsidR="00342449">
        <w:rPr>
          <w:rFonts w:ascii="Times New Roman" w:hAnsi="Times New Roman" w:cs="Times New Roman"/>
          <w:sz w:val="24"/>
          <w:szCs w:val="24"/>
        </w:rPr>
        <w:t>that</w:t>
      </w:r>
      <w:r w:rsidR="006374E8" w:rsidRPr="00D91CEB">
        <w:rPr>
          <w:rFonts w:ascii="Times New Roman" w:hAnsi="Times New Roman" w:cs="Times New Roman"/>
          <w:sz w:val="24"/>
          <w:szCs w:val="24"/>
        </w:rPr>
        <w:t xml:space="preserve"> </w:t>
      </w:r>
      <w:r w:rsidR="00F604AD" w:rsidRPr="00D91CEB">
        <w:rPr>
          <w:rFonts w:ascii="Times New Roman" w:hAnsi="Times New Roman" w:cs="Times New Roman"/>
          <w:sz w:val="24"/>
          <w:szCs w:val="24"/>
        </w:rPr>
        <w:t>constitute</w:t>
      </w:r>
      <w:r w:rsidR="00045CBE" w:rsidRPr="00D91CEB">
        <w:rPr>
          <w:rFonts w:ascii="Times New Roman" w:hAnsi="Times New Roman" w:cs="Times New Roman"/>
          <w:sz w:val="24"/>
          <w:szCs w:val="24"/>
        </w:rPr>
        <w:t xml:space="preserve"> economic, cultural</w:t>
      </w:r>
      <w:r w:rsidR="00342449">
        <w:rPr>
          <w:rFonts w:ascii="Times New Roman" w:hAnsi="Times New Roman" w:cs="Times New Roman"/>
          <w:sz w:val="24"/>
          <w:szCs w:val="24"/>
        </w:rPr>
        <w:t>, social</w:t>
      </w:r>
      <w:r w:rsidR="00045CBE" w:rsidRPr="00D91CEB">
        <w:rPr>
          <w:rFonts w:ascii="Times New Roman" w:hAnsi="Times New Roman" w:cs="Times New Roman"/>
          <w:sz w:val="24"/>
          <w:szCs w:val="24"/>
        </w:rPr>
        <w:t xml:space="preserve"> and symbolic </w:t>
      </w:r>
      <w:r w:rsidR="006374E8" w:rsidRPr="00D91CEB">
        <w:rPr>
          <w:rFonts w:ascii="Times New Roman" w:hAnsi="Times New Roman" w:cs="Times New Roman"/>
          <w:sz w:val="24"/>
          <w:szCs w:val="24"/>
        </w:rPr>
        <w:t>resources that are valued in the field</w:t>
      </w:r>
      <w:r w:rsidR="00045CBE" w:rsidRPr="00D91CEB">
        <w:rPr>
          <w:rFonts w:ascii="Times New Roman" w:hAnsi="Times New Roman" w:cs="Times New Roman"/>
          <w:sz w:val="24"/>
          <w:szCs w:val="24"/>
        </w:rPr>
        <w:t xml:space="preserve"> </w:t>
      </w:r>
      <w:r w:rsidR="00F604AD" w:rsidRPr="00D91CEB">
        <w:rPr>
          <w:rFonts w:ascii="Times New Roman" w:hAnsi="Times New Roman" w:cs="Times New Roman"/>
          <w:sz w:val="24"/>
          <w:szCs w:val="24"/>
        </w:rPr>
        <w:t xml:space="preserve">and which </w:t>
      </w:r>
      <w:r w:rsidR="00045CBE" w:rsidRPr="00D91CEB">
        <w:rPr>
          <w:rFonts w:ascii="Times New Roman" w:hAnsi="Times New Roman" w:cs="Times New Roman"/>
          <w:sz w:val="24"/>
          <w:szCs w:val="24"/>
        </w:rPr>
        <w:t xml:space="preserve">define </w:t>
      </w:r>
      <w:r w:rsidR="006374E8" w:rsidRPr="00D91CEB">
        <w:rPr>
          <w:rFonts w:ascii="Times New Roman" w:hAnsi="Times New Roman" w:cs="Times New Roman"/>
          <w:sz w:val="24"/>
          <w:szCs w:val="24"/>
        </w:rPr>
        <w:t>their relative power</w:t>
      </w:r>
      <w:r w:rsidR="00045CBE" w:rsidRPr="00D91CEB">
        <w:rPr>
          <w:rFonts w:ascii="Times New Roman" w:hAnsi="Times New Roman" w:cs="Times New Roman"/>
          <w:sz w:val="24"/>
          <w:szCs w:val="24"/>
        </w:rPr>
        <w:t xml:space="preserve"> and perceived esteem</w:t>
      </w:r>
      <w:r w:rsidR="00C1481A" w:rsidRPr="00D91CEB">
        <w:rPr>
          <w:rFonts w:ascii="Times New Roman" w:hAnsi="Times New Roman" w:cs="Times New Roman"/>
          <w:sz w:val="24"/>
          <w:szCs w:val="24"/>
        </w:rPr>
        <w:t xml:space="preserve"> (Bourdieu, 1986)</w:t>
      </w:r>
      <w:r w:rsidR="00045CBE" w:rsidRPr="00D91CEB">
        <w:rPr>
          <w:rFonts w:ascii="Times New Roman" w:hAnsi="Times New Roman" w:cs="Times New Roman"/>
          <w:sz w:val="24"/>
          <w:szCs w:val="24"/>
        </w:rPr>
        <w:t xml:space="preserve">. </w:t>
      </w:r>
      <w:r w:rsidR="006374E8" w:rsidRPr="00D91CEB">
        <w:rPr>
          <w:rFonts w:ascii="Times New Roman" w:hAnsi="Times New Roman" w:cs="Times New Roman"/>
          <w:sz w:val="24"/>
          <w:szCs w:val="24"/>
        </w:rPr>
        <w:t xml:space="preserve">Actors </w:t>
      </w:r>
      <w:r w:rsidR="00F604AD" w:rsidRPr="00D91CEB">
        <w:rPr>
          <w:rFonts w:ascii="Times New Roman" w:hAnsi="Times New Roman" w:cs="Times New Roman"/>
          <w:sz w:val="24"/>
          <w:szCs w:val="24"/>
        </w:rPr>
        <w:t xml:space="preserve">undertake </w:t>
      </w:r>
      <w:r w:rsidR="006374E8" w:rsidRPr="00D91CEB">
        <w:rPr>
          <w:rFonts w:ascii="Times New Roman" w:hAnsi="Times New Roman" w:cs="Times New Roman"/>
          <w:sz w:val="24"/>
          <w:szCs w:val="24"/>
        </w:rPr>
        <w:t>different modes of pra</w:t>
      </w:r>
      <w:r w:rsidR="003909BD" w:rsidRPr="00D91CEB">
        <w:rPr>
          <w:rFonts w:ascii="Times New Roman" w:hAnsi="Times New Roman" w:cs="Times New Roman"/>
          <w:sz w:val="24"/>
          <w:szCs w:val="24"/>
        </w:rPr>
        <w:t xml:space="preserve">ctice </w:t>
      </w:r>
      <w:r w:rsidR="00342449">
        <w:rPr>
          <w:rFonts w:ascii="Times New Roman" w:hAnsi="Times New Roman" w:cs="Times New Roman"/>
          <w:sz w:val="24"/>
          <w:szCs w:val="24"/>
        </w:rPr>
        <w:t>that</w:t>
      </w:r>
      <w:r w:rsidR="003909BD" w:rsidRPr="00D91CEB">
        <w:rPr>
          <w:rFonts w:ascii="Times New Roman" w:hAnsi="Times New Roman" w:cs="Times New Roman"/>
          <w:sz w:val="24"/>
          <w:szCs w:val="24"/>
        </w:rPr>
        <w:t xml:space="preserve"> are related to their</w:t>
      </w:r>
      <w:r w:rsidR="006374E8" w:rsidRPr="00D91CEB">
        <w:rPr>
          <w:rFonts w:ascii="Times New Roman" w:hAnsi="Times New Roman" w:cs="Times New Roman"/>
          <w:sz w:val="24"/>
          <w:szCs w:val="24"/>
        </w:rPr>
        <w:t xml:space="preserve"> field position and sets of dispositions, defined through Bourdieu’s much-discussed concept of ‘habitus’</w:t>
      </w:r>
      <w:r w:rsidR="00A31475" w:rsidRPr="00D91CEB">
        <w:rPr>
          <w:rFonts w:ascii="Times New Roman" w:hAnsi="Times New Roman" w:cs="Times New Roman"/>
          <w:sz w:val="24"/>
          <w:szCs w:val="24"/>
        </w:rPr>
        <w:t xml:space="preserve"> (Bourdieu</w:t>
      </w:r>
      <w:r w:rsidR="00342449">
        <w:rPr>
          <w:rFonts w:ascii="Times New Roman" w:hAnsi="Times New Roman" w:cs="Times New Roman"/>
          <w:sz w:val="24"/>
          <w:szCs w:val="24"/>
        </w:rPr>
        <w:t>,</w:t>
      </w:r>
      <w:r w:rsidR="00A31475" w:rsidRPr="00D91CEB">
        <w:rPr>
          <w:rFonts w:ascii="Times New Roman" w:hAnsi="Times New Roman" w:cs="Times New Roman"/>
          <w:sz w:val="24"/>
          <w:szCs w:val="24"/>
        </w:rPr>
        <w:t xml:space="preserve"> 1977)</w:t>
      </w:r>
      <w:r w:rsidR="00EE741D" w:rsidRPr="00D91CEB">
        <w:rPr>
          <w:rFonts w:ascii="Times New Roman" w:hAnsi="Times New Roman" w:cs="Times New Roman"/>
          <w:sz w:val="24"/>
          <w:szCs w:val="24"/>
        </w:rPr>
        <w:t>.</w:t>
      </w:r>
    </w:p>
    <w:p w14:paraId="12F57398" w14:textId="76C49561" w:rsidR="00015799" w:rsidRPr="00D91CEB" w:rsidRDefault="006A550E" w:rsidP="001C1AAE">
      <w:pPr>
        <w:spacing w:line="360" w:lineRule="auto"/>
        <w:jc w:val="both"/>
      </w:pPr>
      <w:r w:rsidRPr="00D91CEB">
        <w:rPr>
          <w:rFonts w:ascii="Times New Roman" w:hAnsi="Times New Roman" w:cs="Times New Roman"/>
          <w:sz w:val="24"/>
          <w:szCs w:val="24"/>
        </w:rPr>
        <w:t>Once fields have been established, systems of meaning have to be maintained to concord with the dominant logics of practice</w:t>
      </w:r>
      <w:r w:rsidR="006374E8" w:rsidRPr="00D91CEB">
        <w:rPr>
          <w:rFonts w:ascii="Times New Roman" w:hAnsi="Times New Roman" w:cs="Times New Roman"/>
          <w:sz w:val="24"/>
          <w:szCs w:val="24"/>
        </w:rPr>
        <w:t>.</w:t>
      </w:r>
      <w:r w:rsidR="00582CC4" w:rsidRPr="00D91CEB">
        <w:rPr>
          <w:rFonts w:ascii="Times New Roman" w:hAnsi="Times New Roman" w:cs="Times New Roman"/>
          <w:sz w:val="24"/>
          <w:szCs w:val="24"/>
        </w:rPr>
        <w:t xml:space="preserve"> While overt forms of control which are largely coercive in nature can be employed this </w:t>
      </w:r>
      <w:r w:rsidR="006374E8" w:rsidRPr="00D91CEB">
        <w:rPr>
          <w:rFonts w:ascii="Times New Roman" w:hAnsi="Times New Roman" w:cs="Times New Roman"/>
          <w:sz w:val="24"/>
          <w:szCs w:val="24"/>
        </w:rPr>
        <w:t xml:space="preserve">can have a counter-productive effect </w:t>
      </w:r>
      <w:r w:rsidR="00582CC4" w:rsidRPr="00D91CEB">
        <w:rPr>
          <w:rFonts w:ascii="Times New Roman" w:hAnsi="Times New Roman" w:cs="Times New Roman"/>
          <w:sz w:val="24"/>
          <w:szCs w:val="24"/>
        </w:rPr>
        <w:t>as</w:t>
      </w:r>
      <w:r w:rsidR="00A81AD7" w:rsidRPr="00D91CEB">
        <w:rPr>
          <w:rFonts w:ascii="Times New Roman" w:hAnsi="Times New Roman" w:cs="Times New Roman"/>
          <w:sz w:val="24"/>
          <w:szCs w:val="24"/>
        </w:rPr>
        <w:t xml:space="preserve"> </w:t>
      </w:r>
      <w:r w:rsidR="006374E8" w:rsidRPr="00D91CEB">
        <w:rPr>
          <w:rFonts w:ascii="Times New Roman" w:hAnsi="Times New Roman" w:cs="Times New Roman"/>
          <w:sz w:val="24"/>
          <w:szCs w:val="24"/>
        </w:rPr>
        <w:t xml:space="preserve">resistance may be </w:t>
      </w:r>
      <w:r w:rsidR="001B4880">
        <w:rPr>
          <w:rFonts w:ascii="Times New Roman" w:hAnsi="Times New Roman" w:cs="Times New Roman"/>
          <w:sz w:val="24"/>
          <w:szCs w:val="24"/>
        </w:rPr>
        <w:lastRenderedPageBreak/>
        <w:t>provoked</w:t>
      </w:r>
      <w:r w:rsidR="008F135C" w:rsidRPr="00D91CEB">
        <w:rPr>
          <w:rFonts w:ascii="Times New Roman" w:hAnsi="Times New Roman" w:cs="Times New Roman"/>
          <w:sz w:val="24"/>
          <w:szCs w:val="24"/>
        </w:rPr>
        <w:t>,</w:t>
      </w:r>
      <w:r w:rsidR="006374E8" w:rsidRPr="00D91CEB">
        <w:rPr>
          <w:rFonts w:ascii="Times New Roman" w:hAnsi="Times New Roman" w:cs="Times New Roman"/>
          <w:sz w:val="24"/>
          <w:szCs w:val="24"/>
        </w:rPr>
        <w:t xml:space="preserve"> </w:t>
      </w:r>
      <w:r w:rsidR="00582CC4" w:rsidRPr="00D91CEB">
        <w:rPr>
          <w:rFonts w:ascii="Times New Roman" w:hAnsi="Times New Roman" w:cs="Times New Roman"/>
          <w:sz w:val="24"/>
          <w:szCs w:val="24"/>
        </w:rPr>
        <w:t xml:space="preserve">particularly </w:t>
      </w:r>
      <w:r w:rsidR="006374E8" w:rsidRPr="00D91CEB">
        <w:rPr>
          <w:rFonts w:ascii="Times New Roman" w:hAnsi="Times New Roman" w:cs="Times New Roman"/>
          <w:sz w:val="24"/>
          <w:szCs w:val="24"/>
        </w:rPr>
        <w:t xml:space="preserve">when the interests of change are understood to be confined to groups leveraging the most power. </w:t>
      </w:r>
      <w:r w:rsidR="00582CC4" w:rsidRPr="00D91CEB">
        <w:rPr>
          <w:rFonts w:ascii="Times New Roman" w:hAnsi="Times New Roman" w:cs="Times New Roman"/>
          <w:sz w:val="24"/>
          <w:szCs w:val="24"/>
        </w:rPr>
        <w:t>A m</w:t>
      </w:r>
      <w:r w:rsidR="00EA24F4" w:rsidRPr="00D91CEB">
        <w:rPr>
          <w:rFonts w:ascii="Times New Roman" w:hAnsi="Times New Roman" w:cs="Times New Roman"/>
          <w:sz w:val="24"/>
          <w:szCs w:val="24"/>
        </w:rPr>
        <w:t xml:space="preserve">ore effective </w:t>
      </w:r>
      <w:r w:rsidR="008F135C" w:rsidRPr="00D91CEB">
        <w:rPr>
          <w:rFonts w:ascii="Times New Roman" w:hAnsi="Times New Roman" w:cs="Times New Roman"/>
          <w:sz w:val="24"/>
          <w:szCs w:val="24"/>
        </w:rPr>
        <w:t xml:space="preserve">way of transforming </w:t>
      </w:r>
      <w:r w:rsidR="00F604AD" w:rsidRPr="00D91CEB">
        <w:rPr>
          <w:rFonts w:ascii="Times New Roman" w:hAnsi="Times New Roman" w:cs="Times New Roman"/>
          <w:sz w:val="24"/>
          <w:szCs w:val="24"/>
        </w:rPr>
        <w:t xml:space="preserve">field </w:t>
      </w:r>
      <w:r w:rsidR="00EA24F4" w:rsidRPr="00D91CEB">
        <w:rPr>
          <w:rFonts w:ascii="Times New Roman" w:hAnsi="Times New Roman" w:cs="Times New Roman"/>
          <w:sz w:val="24"/>
          <w:szCs w:val="24"/>
        </w:rPr>
        <w:t>ideologies</w:t>
      </w:r>
      <w:r w:rsidR="00582CC4" w:rsidRPr="00D91CEB">
        <w:rPr>
          <w:rFonts w:ascii="Times New Roman" w:hAnsi="Times New Roman" w:cs="Times New Roman"/>
          <w:sz w:val="24"/>
          <w:szCs w:val="24"/>
        </w:rPr>
        <w:t xml:space="preserve"> and value system</w:t>
      </w:r>
      <w:r w:rsidR="00EA24F4" w:rsidRPr="00D91CEB">
        <w:rPr>
          <w:rFonts w:ascii="Times New Roman" w:hAnsi="Times New Roman" w:cs="Times New Roman"/>
          <w:sz w:val="24"/>
          <w:szCs w:val="24"/>
        </w:rPr>
        <w:t>s</w:t>
      </w:r>
      <w:r w:rsidR="00582CC4" w:rsidRPr="00D91CEB">
        <w:rPr>
          <w:rFonts w:ascii="Times New Roman" w:hAnsi="Times New Roman" w:cs="Times New Roman"/>
          <w:sz w:val="24"/>
          <w:szCs w:val="24"/>
        </w:rPr>
        <w:t xml:space="preserve"> </w:t>
      </w:r>
      <w:r w:rsidR="008F135C" w:rsidRPr="00D91CEB">
        <w:rPr>
          <w:rFonts w:ascii="Times New Roman" w:hAnsi="Times New Roman" w:cs="Times New Roman"/>
          <w:sz w:val="24"/>
          <w:szCs w:val="24"/>
        </w:rPr>
        <w:t xml:space="preserve">is through </w:t>
      </w:r>
      <w:r w:rsidR="00582CC4" w:rsidRPr="00D91CEB">
        <w:rPr>
          <w:rFonts w:ascii="Times New Roman" w:hAnsi="Times New Roman" w:cs="Times New Roman"/>
          <w:sz w:val="24"/>
          <w:szCs w:val="24"/>
        </w:rPr>
        <w:t>the more subtle</w:t>
      </w:r>
      <w:r w:rsidR="00EA24F4" w:rsidRPr="00D91CEB">
        <w:rPr>
          <w:rFonts w:ascii="Times New Roman" w:hAnsi="Times New Roman" w:cs="Times New Roman"/>
          <w:sz w:val="24"/>
          <w:szCs w:val="24"/>
        </w:rPr>
        <w:t xml:space="preserve"> </w:t>
      </w:r>
      <w:r w:rsidR="00582CC4" w:rsidRPr="00D91CEB">
        <w:rPr>
          <w:rFonts w:ascii="Times New Roman" w:hAnsi="Times New Roman" w:cs="Times New Roman"/>
          <w:sz w:val="24"/>
          <w:szCs w:val="24"/>
        </w:rPr>
        <w:t xml:space="preserve">use of power involving reconfigurations of thought and action </w:t>
      </w:r>
      <w:r w:rsidR="00342449">
        <w:rPr>
          <w:rFonts w:ascii="Times New Roman" w:hAnsi="Times New Roman" w:cs="Times New Roman"/>
          <w:sz w:val="24"/>
          <w:szCs w:val="24"/>
        </w:rPr>
        <w:t>that</w:t>
      </w:r>
      <w:r w:rsidR="00582CC4" w:rsidRPr="00D91CEB">
        <w:rPr>
          <w:rFonts w:ascii="Times New Roman" w:hAnsi="Times New Roman" w:cs="Times New Roman"/>
          <w:sz w:val="24"/>
          <w:szCs w:val="24"/>
        </w:rPr>
        <w:t xml:space="preserve"> become internalised</w:t>
      </w:r>
      <w:r w:rsidR="00572702">
        <w:rPr>
          <w:rFonts w:ascii="Times New Roman" w:hAnsi="Times New Roman" w:cs="Times New Roman"/>
          <w:sz w:val="24"/>
          <w:szCs w:val="24"/>
        </w:rPr>
        <w:t>,</w:t>
      </w:r>
      <w:r w:rsidR="00582CC4" w:rsidRPr="00D91CEB">
        <w:rPr>
          <w:rFonts w:ascii="Times New Roman" w:hAnsi="Times New Roman" w:cs="Times New Roman"/>
          <w:sz w:val="24"/>
          <w:szCs w:val="24"/>
        </w:rPr>
        <w:t xml:space="preserve"> and then behaviourally</w:t>
      </w:r>
      <w:r w:rsidR="00572702">
        <w:rPr>
          <w:rFonts w:ascii="Times New Roman" w:hAnsi="Times New Roman" w:cs="Times New Roman"/>
          <w:sz w:val="24"/>
          <w:szCs w:val="24"/>
        </w:rPr>
        <w:t>,</w:t>
      </w:r>
      <w:r w:rsidR="00582CC4" w:rsidRPr="00D91CEB">
        <w:rPr>
          <w:rFonts w:ascii="Times New Roman" w:hAnsi="Times New Roman" w:cs="Times New Roman"/>
          <w:sz w:val="24"/>
          <w:szCs w:val="24"/>
        </w:rPr>
        <w:t xml:space="preserve"> adopted as part of an accepted way of being. </w:t>
      </w:r>
      <w:r w:rsidR="00385A04" w:rsidRPr="00D91CEB">
        <w:rPr>
          <w:rFonts w:ascii="Times New Roman" w:hAnsi="Times New Roman" w:cs="Times New Roman"/>
          <w:sz w:val="24"/>
          <w:szCs w:val="24"/>
        </w:rPr>
        <w:t xml:space="preserve">In Bourdieu’s framework, </w:t>
      </w:r>
      <w:r w:rsidR="003909BD" w:rsidRPr="00D91CEB">
        <w:rPr>
          <w:rFonts w:ascii="Times New Roman" w:hAnsi="Times New Roman" w:cs="Times New Roman"/>
          <w:sz w:val="24"/>
          <w:szCs w:val="24"/>
        </w:rPr>
        <w:t xml:space="preserve">this is conceptualised as symbolic violence </w:t>
      </w:r>
      <w:r w:rsidR="00342449">
        <w:rPr>
          <w:rFonts w:ascii="Times New Roman" w:hAnsi="Times New Roman" w:cs="Times New Roman"/>
          <w:sz w:val="24"/>
          <w:szCs w:val="24"/>
        </w:rPr>
        <w:t>that</w:t>
      </w:r>
      <w:r w:rsidR="003909BD" w:rsidRPr="00D91CEB">
        <w:rPr>
          <w:rFonts w:ascii="Times New Roman" w:hAnsi="Times New Roman" w:cs="Times New Roman"/>
          <w:sz w:val="24"/>
          <w:szCs w:val="24"/>
        </w:rPr>
        <w:t xml:space="preserve"> is the imposition of specific modes of cultural and institutional practice by dominant cultural group</w:t>
      </w:r>
      <w:r w:rsidR="007F49CA" w:rsidRPr="00D91CEB">
        <w:rPr>
          <w:rFonts w:ascii="Times New Roman" w:hAnsi="Times New Roman" w:cs="Times New Roman"/>
          <w:sz w:val="24"/>
          <w:szCs w:val="24"/>
        </w:rPr>
        <w:t xml:space="preserve">s </w:t>
      </w:r>
      <w:r w:rsidR="00342449">
        <w:rPr>
          <w:rFonts w:ascii="Times New Roman" w:hAnsi="Times New Roman" w:cs="Times New Roman"/>
          <w:sz w:val="24"/>
          <w:szCs w:val="24"/>
        </w:rPr>
        <w:t>subsequently</w:t>
      </w:r>
      <w:r w:rsidR="003909BD" w:rsidRPr="00D91CEB">
        <w:rPr>
          <w:rFonts w:ascii="Times New Roman" w:hAnsi="Times New Roman" w:cs="Times New Roman"/>
          <w:sz w:val="24"/>
          <w:szCs w:val="24"/>
        </w:rPr>
        <w:t xml:space="preserve"> accepted by less dominant group</w:t>
      </w:r>
      <w:r w:rsidR="007F49CA" w:rsidRPr="00D91CEB">
        <w:rPr>
          <w:rFonts w:ascii="Times New Roman" w:hAnsi="Times New Roman" w:cs="Times New Roman"/>
          <w:sz w:val="24"/>
          <w:szCs w:val="24"/>
        </w:rPr>
        <w:t>s</w:t>
      </w:r>
      <w:r w:rsidR="003909BD" w:rsidRPr="00D91CEB">
        <w:rPr>
          <w:rFonts w:ascii="Times New Roman" w:hAnsi="Times New Roman" w:cs="Times New Roman"/>
          <w:sz w:val="24"/>
          <w:szCs w:val="24"/>
        </w:rPr>
        <w:t xml:space="preserve"> (Bourdieu, 1977; 1989). D</w:t>
      </w:r>
      <w:r w:rsidR="00385A04" w:rsidRPr="00D91CEB">
        <w:rPr>
          <w:rFonts w:ascii="Times New Roman" w:hAnsi="Times New Roman" w:cs="Times New Roman"/>
          <w:sz w:val="24"/>
          <w:szCs w:val="24"/>
        </w:rPr>
        <w:t xml:space="preserve">ominant field actors exercise symbolic violence to seemingly serve a confluence of interests, but in ways </w:t>
      </w:r>
      <w:r w:rsidR="00DE236C">
        <w:rPr>
          <w:rFonts w:ascii="Times New Roman" w:hAnsi="Times New Roman" w:cs="Times New Roman"/>
          <w:sz w:val="24"/>
          <w:szCs w:val="24"/>
        </w:rPr>
        <w:t>that</w:t>
      </w:r>
      <w:r w:rsidR="00385A04" w:rsidRPr="00D91CEB">
        <w:rPr>
          <w:rFonts w:ascii="Times New Roman" w:hAnsi="Times New Roman" w:cs="Times New Roman"/>
          <w:sz w:val="24"/>
          <w:szCs w:val="24"/>
        </w:rPr>
        <w:t xml:space="preserve"> legitimate the interests of those most closely aligned to a dominant mode of practice.</w:t>
      </w:r>
      <w:r w:rsidR="00015799" w:rsidRPr="00D91CEB">
        <w:t xml:space="preserve"> </w:t>
      </w:r>
      <w:r w:rsidR="00C73227" w:rsidRPr="00D91CEB">
        <w:rPr>
          <w:rFonts w:ascii="Times New Roman" w:hAnsi="Times New Roman" w:cs="Times New Roman"/>
          <w:sz w:val="24"/>
          <w:szCs w:val="24"/>
        </w:rPr>
        <w:t xml:space="preserve">One of the ways in which this is achieved is through a process of misrecognition </w:t>
      </w:r>
      <w:r w:rsidR="00DE236C">
        <w:rPr>
          <w:rFonts w:ascii="Times New Roman" w:hAnsi="Times New Roman" w:cs="Times New Roman"/>
          <w:sz w:val="24"/>
          <w:szCs w:val="24"/>
        </w:rPr>
        <w:t>that</w:t>
      </w:r>
      <w:r w:rsidR="00C73227" w:rsidRPr="00D91CEB">
        <w:rPr>
          <w:rFonts w:ascii="Times New Roman" w:hAnsi="Times New Roman" w:cs="Times New Roman"/>
          <w:sz w:val="24"/>
          <w:szCs w:val="24"/>
        </w:rPr>
        <w:t xml:space="preserve"> entails the occlusion of power motives and differences and allows for power relations to be normalised in discreet wa</w:t>
      </w:r>
      <w:r w:rsidR="003C1473" w:rsidRPr="00D91CEB">
        <w:rPr>
          <w:rFonts w:ascii="Times New Roman" w:hAnsi="Times New Roman" w:cs="Times New Roman"/>
          <w:sz w:val="24"/>
          <w:szCs w:val="24"/>
        </w:rPr>
        <w:t>ys</w:t>
      </w:r>
      <w:r w:rsidR="00090CAD" w:rsidRPr="00D91CEB">
        <w:rPr>
          <w:rFonts w:ascii="Times New Roman" w:hAnsi="Times New Roman" w:cs="Times New Roman"/>
          <w:sz w:val="24"/>
          <w:szCs w:val="24"/>
        </w:rPr>
        <w:t xml:space="preserve"> (James, 2015)</w:t>
      </w:r>
      <w:r w:rsidR="003C1473" w:rsidRPr="00D91CEB">
        <w:rPr>
          <w:rFonts w:ascii="Times New Roman" w:hAnsi="Times New Roman" w:cs="Times New Roman"/>
          <w:sz w:val="24"/>
          <w:szCs w:val="24"/>
        </w:rPr>
        <w:t xml:space="preserve">. </w:t>
      </w:r>
      <w:r w:rsidR="007F49CA" w:rsidRPr="00D91CEB">
        <w:rPr>
          <w:rFonts w:ascii="Times New Roman" w:hAnsi="Times New Roman" w:cs="Times New Roman"/>
          <w:sz w:val="24"/>
          <w:szCs w:val="24"/>
        </w:rPr>
        <w:t>Symbolic force is thus exercised through the incorporation and naturalisation of schemes of classification</w:t>
      </w:r>
      <w:r w:rsidR="00CE1E94">
        <w:rPr>
          <w:rFonts w:ascii="Times New Roman" w:hAnsi="Times New Roman" w:cs="Times New Roman"/>
          <w:sz w:val="24"/>
          <w:szCs w:val="24"/>
        </w:rPr>
        <w:t>,</w:t>
      </w:r>
      <w:r w:rsidR="007F49CA" w:rsidRPr="00D91CEB">
        <w:rPr>
          <w:rFonts w:ascii="Times New Roman" w:hAnsi="Times New Roman" w:cs="Times New Roman"/>
          <w:sz w:val="24"/>
          <w:szCs w:val="24"/>
        </w:rPr>
        <w:t xml:space="preserve"> </w:t>
      </w:r>
      <w:r w:rsidR="00CB08E1" w:rsidRPr="00D91CEB">
        <w:rPr>
          <w:rFonts w:ascii="Times New Roman" w:hAnsi="Times New Roman" w:cs="Times New Roman"/>
          <w:sz w:val="24"/>
          <w:szCs w:val="24"/>
        </w:rPr>
        <w:t xml:space="preserve">which lead to an unequal distribution of </w:t>
      </w:r>
      <w:r w:rsidR="008109F5" w:rsidRPr="00D91CEB">
        <w:rPr>
          <w:rFonts w:ascii="Times New Roman" w:hAnsi="Times New Roman" w:cs="Times New Roman"/>
          <w:sz w:val="24"/>
          <w:szCs w:val="24"/>
        </w:rPr>
        <w:t xml:space="preserve">power and </w:t>
      </w:r>
      <w:r w:rsidR="00CB08E1" w:rsidRPr="00D91CEB">
        <w:rPr>
          <w:rFonts w:ascii="Times New Roman" w:hAnsi="Times New Roman" w:cs="Times New Roman"/>
          <w:sz w:val="24"/>
          <w:szCs w:val="24"/>
        </w:rPr>
        <w:t>rewards but which by disguising its true nature</w:t>
      </w:r>
      <w:r w:rsidR="00CE1E94">
        <w:rPr>
          <w:rFonts w:ascii="Times New Roman" w:hAnsi="Times New Roman" w:cs="Times New Roman"/>
          <w:sz w:val="24"/>
          <w:szCs w:val="24"/>
        </w:rPr>
        <w:t>,</w:t>
      </w:r>
      <w:r w:rsidR="00CB08E1" w:rsidRPr="00D91CEB">
        <w:rPr>
          <w:rFonts w:ascii="Times New Roman" w:hAnsi="Times New Roman" w:cs="Times New Roman"/>
          <w:sz w:val="24"/>
          <w:szCs w:val="24"/>
        </w:rPr>
        <w:t xml:space="preserve"> is accepted by those who are actively disadvantaged. </w:t>
      </w:r>
    </w:p>
    <w:p w14:paraId="725649D3" w14:textId="0CEE21EA" w:rsidR="00F1583B" w:rsidRPr="00D91CEB" w:rsidRDefault="00AC0869" w:rsidP="001C1AAE">
      <w:pPr>
        <w:spacing w:line="360" w:lineRule="auto"/>
        <w:jc w:val="both"/>
      </w:pPr>
      <w:r w:rsidRPr="00D91CEB">
        <w:rPr>
          <w:rFonts w:ascii="Times New Roman" w:hAnsi="Times New Roman" w:cs="Times New Roman"/>
          <w:sz w:val="24"/>
          <w:szCs w:val="24"/>
        </w:rPr>
        <w:t xml:space="preserve">The concept of symbolic violence has been usefully applied to a range of different </w:t>
      </w:r>
      <w:r w:rsidR="00A71103">
        <w:rPr>
          <w:rFonts w:ascii="Times New Roman" w:hAnsi="Times New Roman" w:cs="Times New Roman"/>
          <w:sz w:val="24"/>
          <w:szCs w:val="24"/>
        </w:rPr>
        <w:t>fields</w:t>
      </w:r>
      <w:r w:rsidRPr="00D91CEB">
        <w:rPr>
          <w:rFonts w:ascii="Times New Roman" w:hAnsi="Times New Roman" w:cs="Times New Roman"/>
          <w:sz w:val="24"/>
          <w:szCs w:val="24"/>
        </w:rPr>
        <w:t xml:space="preserve">, including the field of formal education (Conway, 1997; Rowlands, 2015; </w:t>
      </w:r>
      <w:proofErr w:type="spellStart"/>
      <w:r w:rsidRPr="00D91CEB">
        <w:rPr>
          <w:rFonts w:ascii="Times New Roman" w:hAnsi="Times New Roman" w:cs="Times New Roman"/>
          <w:sz w:val="24"/>
          <w:szCs w:val="24"/>
        </w:rPr>
        <w:t>Toshalis</w:t>
      </w:r>
      <w:proofErr w:type="spellEnd"/>
      <w:r w:rsidRPr="00D91CEB">
        <w:rPr>
          <w:rFonts w:ascii="Times New Roman" w:hAnsi="Times New Roman" w:cs="Times New Roman"/>
          <w:sz w:val="24"/>
          <w:szCs w:val="24"/>
        </w:rPr>
        <w:t xml:space="preserve">, 2010). </w:t>
      </w:r>
      <w:r w:rsidR="00EE741D" w:rsidRPr="00D91CEB">
        <w:rPr>
          <w:rFonts w:ascii="Times New Roman" w:hAnsi="Times New Roman" w:cs="Times New Roman"/>
          <w:sz w:val="24"/>
          <w:szCs w:val="24"/>
        </w:rPr>
        <w:t>We use</w:t>
      </w:r>
      <w:r w:rsidR="003145A1" w:rsidRPr="00D91CEB">
        <w:rPr>
          <w:rFonts w:ascii="Times New Roman" w:hAnsi="Times New Roman" w:cs="Times New Roman"/>
          <w:sz w:val="24"/>
          <w:szCs w:val="24"/>
        </w:rPr>
        <w:t xml:space="preserve"> Bourdieu’s concept of symbolic violence to analyse how the TEF operates through potent acts of persuasion </w:t>
      </w:r>
      <w:r w:rsidR="00E37534" w:rsidRPr="00D91CEB">
        <w:rPr>
          <w:rFonts w:ascii="Times New Roman" w:hAnsi="Times New Roman" w:cs="Times New Roman"/>
          <w:sz w:val="24"/>
          <w:szCs w:val="24"/>
        </w:rPr>
        <w:t xml:space="preserve">which frame neoliberal agendas </w:t>
      </w:r>
      <w:r w:rsidR="003145A1" w:rsidRPr="00D91CEB">
        <w:rPr>
          <w:rFonts w:ascii="Times New Roman" w:hAnsi="Times New Roman" w:cs="Times New Roman"/>
          <w:sz w:val="24"/>
          <w:szCs w:val="24"/>
        </w:rPr>
        <w:t>as both inevitable and part of the natural order, or what Bourdieu refers to as a process of naturalisation</w:t>
      </w:r>
      <w:r w:rsidR="00AE7651" w:rsidRPr="00D91CEB">
        <w:rPr>
          <w:rFonts w:ascii="Times New Roman" w:hAnsi="Times New Roman" w:cs="Times New Roman"/>
          <w:sz w:val="24"/>
          <w:szCs w:val="24"/>
        </w:rPr>
        <w:t xml:space="preserve">. </w:t>
      </w:r>
      <w:r w:rsidR="003145A1" w:rsidRPr="00D91CEB">
        <w:rPr>
          <w:rFonts w:ascii="Times New Roman" w:hAnsi="Times New Roman" w:cs="Times New Roman"/>
          <w:sz w:val="24"/>
          <w:szCs w:val="24"/>
        </w:rPr>
        <w:t>We will analyse the key documents to focus on how</w:t>
      </w:r>
      <w:r w:rsidR="006A550E" w:rsidRPr="00D91CEB">
        <w:rPr>
          <w:rFonts w:ascii="Times New Roman" w:hAnsi="Times New Roman" w:cs="Times New Roman"/>
          <w:sz w:val="24"/>
          <w:szCs w:val="24"/>
        </w:rPr>
        <w:t xml:space="preserve"> new categorisations of thought, meaning and experience </w:t>
      </w:r>
      <w:r w:rsidR="003145A1" w:rsidRPr="00D91CEB">
        <w:rPr>
          <w:rFonts w:ascii="Times New Roman" w:hAnsi="Times New Roman" w:cs="Times New Roman"/>
          <w:sz w:val="24"/>
          <w:szCs w:val="24"/>
        </w:rPr>
        <w:t>are</w:t>
      </w:r>
      <w:r w:rsidR="00EE741D" w:rsidRPr="00D91CEB">
        <w:rPr>
          <w:rFonts w:ascii="Times New Roman" w:hAnsi="Times New Roman" w:cs="Times New Roman"/>
          <w:sz w:val="24"/>
          <w:szCs w:val="24"/>
        </w:rPr>
        <w:t xml:space="preserve"> </w:t>
      </w:r>
      <w:r w:rsidR="006A550E" w:rsidRPr="00D91CEB">
        <w:rPr>
          <w:rFonts w:ascii="Times New Roman" w:hAnsi="Times New Roman" w:cs="Times New Roman"/>
          <w:sz w:val="24"/>
          <w:szCs w:val="24"/>
        </w:rPr>
        <w:t>enacted in terms of what it is perceived to be legitimate and appropriate</w:t>
      </w:r>
      <w:r w:rsidR="00703B53" w:rsidRPr="00D91CEB">
        <w:rPr>
          <w:rFonts w:ascii="Times New Roman" w:hAnsi="Times New Roman" w:cs="Times New Roman"/>
          <w:sz w:val="24"/>
          <w:szCs w:val="24"/>
        </w:rPr>
        <w:t>.</w:t>
      </w:r>
      <w:r w:rsidR="004101A7" w:rsidRPr="00D91CEB">
        <w:rPr>
          <w:rFonts w:ascii="Times New Roman" w:hAnsi="Times New Roman" w:cs="Times New Roman"/>
          <w:sz w:val="24"/>
          <w:szCs w:val="24"/>
        </w:rPr>
        <w:t xml:space="preserve"> These</w:t>
      </w:r>
      <w:r w:rsidR="00385A04" w:rsidRPr="00D91CEB">
        <w:rPr>
          <w:rFonts w:ascii="Times New Roman" w:hAnsi="Times New Roman" w:cs="Times New Roman"/>
          <w:sz w:val="24"/>
          <w:szCs w:val="24"/>
        </w:rPr>
        <w:t xml:space="preserve"> also engender new forms of symb</w:t>
      </w:r>
      <w:r w:rsidR="004101A7" w:rsidRPr="00D91CEB">
        <w:rPr>
          <w:rFonts w:ascii="Times New Roman" w:hAnsi="Times New Roman" w:cs="Times New Roman"/>
          <w:sz w:val="24"/>
          <w:szCs w:val="24"/>
        </w:rPr>
        <w:t xml:space="preserve">olic classification in the dynamic </w:t>
      </w:r>
      <w:r w:rsidR="00385A04" w:rsidRPr="00D91CEB">
        <w:rPr>
          <w:rFonts w:ascii="Times New Roman" w:hAnsi="Times New Roman" w:cs="Times New Roman"/>
          <w:sz w:val="24"/>
          <w:szCs w:val="24"/>
        </w:rPr>
        <w:t>relationshi</w:t>
      </w:r>
      <w:r w:rsidR="004101A7" w:rsidRPr="00D91CEB">
        <w:rPr>
          <w:rFonts w:ascii="Times New Roman" w:hAnsi="Times New Roman" w:cs="Times New Roman"/>
          <w:sz w:val="24"/>
          <w:szCs w:val="24"/>
        </w:rPr>
        <w:t>ps between institutions, students and government along neo-liberal and highly transaction</w:t>
      </w:r>
      <w:r w:rsidR="003145A1" w:rsidRPr="00D91CEB">
        <w:rPr>
          <w:rFonts w:ascii="Times New Roman" w:hAnsi="Times New Roman" w:cs="Times New Roman"/>
          <w:sz w:val="24"/>
          <w:szCs w:val="24"/>
        </w:rPr>
        <w:t>al</w:t>
      </w:r>
      <w:r w:rsidR="004101A7" w:rsidRPr="00D91CEB">
        <w:rPr>
          <w:rFonts w:ascii="Times New Roman" w:hAnsi="Times New Roman" w:cs="Times New Roman"/>
          <w:sz w:val="24"/>
          <w:szCs w:val="24"/>
        </w:rPr>
        <w:t xml:space="preserve"> </w:t>
      </w:r>
      <w:r w:rsidR="00F604AD" w:rsidRPr="00D91CEB">
        <w:rPr>
          <w:rFonts w:ascii="Times New Roman" w:hAnsi="Times New Roman" w:cs="Times New Roman"/>
          <w:sz w:val="24"/>
          <w:szCs w:val="24"/>
        </w:rPr>
        <w:t>lines</w:t>
      </w:r>
      <w:r w:rsidR="004101A7" w:rsidRPr="00D91CEB">
        <w:rPr>
          <w:rFonts w:ascii="Times New Roman" w:hAnsi="Times New Roman" w:cs="Times New Roman"/>
          <w:sz w:val="24"/>
          <w:szCs w:val="24"/>
        </w:rPr>
        <w:t>. We will also explore the extent to which the</w:t>
      </w:r>
      <w:r w:rsidR="00385A04" w:rsidRPr="00D91CEB">
        <w:rPr>
          <w:rFonts w:ascii="Times New Roman" w:hAnsi="Times New Roman" w:cs="Times New Roman"/>
          <w:sz w:val="24"/>
          <w:szCs w:val="24"/>
        </w:rPr>
        <w:t xml:space="preserve"> misrecog</w:t>
      </w:r>
      <w:r w:rsidR="004101A7" w:rsidRPr="00D91CEB">
        <w:rPr>
          <w:rFonts w:ascii="Times New Roman" w:hAnsi="Times New Roman" w:cs="Times New Roman"/>
          <w:sz w:val="24"/>
          <w:szCs w:val="24"/>
        </w:rPr>
        <w:t xml:space="preserve">nition strategy in the TEF </w:t>
      </w:r>
      <w:r w:rsidR="00385A04" w:rsidRPr="00D91CEB">
        <w:rPr>
          <w:rFonts w:ascii="Times New Roman" w:hAnsi="Times New Roman" w:cs="Times New Roman"/>
          <w:sz w:val="24"/>
          <w:szCs w:val="24"/>
        </w:rPr>
        <w:t>is buil</w:t>
      </w:r>
      <w:r w:rsidR="00666746">
        <w:rPr>
          <w:rFonts w:ascii="Times New Roman" w:hAnsi="Times New Roman" w:cs="Times New Roman"/>
          <w:sz w:val="24"/>
          <w:szCs w:val="24"/>
        </w:rPr>
        <w:t>t</w:t>
      </w:r>
      <w:r w:rsidR="00385A04" w:rsidRPr="00D91CEB">
        <w:rPr>
          <w:rFonts w:ascii="Times New Roman" w:hAnsi="Times New Roman" w:cs="Times New Roman"/>
          <w:sz w:val="24"/>
          <w:szCs w:val="24"/>
        </w:rPr>
        <w:t xml:space="preserve"> on the</w:t>
      </w:r>
      <w:r w:rsidR="004101A7" w:rsidRPr="00D91CEB">
        <w:rPr>
          <w:rFonts w:ascii="Times New Roman" w:hAnsi="Times New Roman" w:cs="Times New Roman"/>
          <w:sz w:val="24"/>
          <w:szCs w:val="24"/>
        </w:rPr>
        <w:t xml:space="preserve"> notion of empowerment linked to a new market identity and a pr</w:t>
      </w:r>
      <w:r w:rsidR="00CB08E1" w:rsidRPr="00D91CEB">
        <w:rPr>
          <w:rFonts w:ascii="Times New Roman" w:hAnsi="Times New Roman" w:cs="Times New Roman"/>
          <w:sz w:val="24"/>
          <w:szCs w:val="24"/>
        </w:rPr>
        <w:t>omise</w:t>
      </w:r>
      <w:r w:rsidR="004101A7" w:rsidRPr="00D91CEB">
        <w:rPr>
          <w:rFonts w:ascii="Times New Roman" w:hAnsi="Times New Roman" w:cs="Times New Roman"/>
          <w:sz w:val="24"/>
          <w:szCs w:val="24"/>
        </w:rPr>
        <w:t xml:space="preserve"> that </w:t>
      </w:r>
      <w:r w:rsidR="00385A04" w:rsidRPr="00D91CEB">
        <w:rPr>
          <w:rFonts w:ascii="Times New Roman" w:hAnsi="Times New Roman" w:cs="Times New Roman"/>
          <w:sz w:val="24"/>
          <w:szCs w:val="24"/>
        </w:rPr>
        <w:t>both students and institutions stand to gain in strengthening their market positioning.</w:t>
      </w:r>
      <w:r w:rsidR="00F1583B" w:rsidRPr="00F1583B">
        <w:t xml:space="preserve"> </w:t>
      </w:r>
    </w:p>
    <w:p w14:paraId="3BE1E8A8" w14:textId="3683FD6F" w:rsidR="007D7ABA" w:rsidRPr="00D91CEB" w:rsidRDefault="007D7ABA" w:rsidP="001C1AAE">
      <w:pPr>
        <w:spacing w:line="360" w:lineRule="auto"/>
        <w:jc w:val="both"/>
        <w:rPr>
          <w:rFonts w:ascii="Times New Roman" w:hAnsi="Times New Roman" w:cs="Times New Roman"/>
          <w:b/>
          <w:bCs/>
          <w:sz w:val="24"/>
          <w:szCs w:val="24"/>
        </w:rPr>
      </w:pPr>
      <w:r w:rsidRPr="00D91CEB">
        <w:rPr>
          <w:rFonts w:ascii="Times New Roman" w:hAnsi="Times New Roman" w:cs="Times New Roman"/>
          <w:b/>
          <w:bCs/>
          <w:sz w:val="24"/>
          <w:szCs w:val="24"/>
        </w:rPr>
        <w:t xml:space="preserve">Policy framing as an analytical approach </w:t>
      </w:r>
    </w:p>
    <w:p w14:paraId="64A745A7" w14:textId="3C09BD7F" w:rsidR="007D7ABA" w:rsidRPr="00D91CEB" w:rsidRDefault="007D7ABA" w:rsidP="001C1AAE">
      <w:pPr>
        <w:spacing w:line="360" w:lineRule="auto"/>
        <w:jc w:val="both"/>
        <w:rPr>
          <w:rFonts w:ascii="Times New Roman" w:hAnsi="Times New Roman" w:cs="Times New Roman"/>
          <w:sz w:val="24"/>
          <w:szCs w:val="24"/>
        </w:rPr>
      </w:pPr>
      <w:r w:rsidRPr="00D91CEB">
        <w:rPr>
          <w:rFonts w:ascii="Times New Roman" w:hAnsi="Times New Roman" w:cs="Times New Roman"/>
          <w:bCs/>
          <w:sz w:val="24"/>
          <w:szCs w:val="24"/>
        </w:rPr>
        <w:t xml:space="preserve">Our </w:t>
      </w:r>
      <w:r w:rsidRPr="00DA17F0">
        <w:rPr>
          <w:rFonts w:ascii="Times New Roman" w:hAnsi="Times New Roman" w:cs="Times New Roman"/>
          <w:bCs/>
          <w:sz w:val="24"/>
          <w:szCs w:val="24"/>
        </w:rPr>
        <w:t xml:space="preserve">approach is informed by </w:t>
      </w:r>
      <w:r w:rsidR="00A50EA7" w:rsidRPr="00DA17F0">
        <w:rPr>
          <w:rFonts w:ascii="Times New Roman" w:hAnsi="Times New Roman" w:cs="Times New Roman"/>
          <w:bCs/>
          <w:sz w:val="24"/>
          <w:szCs w:val="24"/>
        </w:rPr>
        <w:t>policy</w:t>
      </w:r>
      <w:r w:rsidRPr="00961EC8">
        <w:rPr>
          <w:rFonts w:ascii="Times New Roman" w:hAnsi="Times New Roman" w:cs="Times New Roman"/>
          <w:bCs/>
          <w:sz w:val="24"/>
          <w:szCs w:val="24"/>
        </w:rPr>
        <w:t xml:space="preserve"> framing analysis (</w:t>
      </w:r>
      <w:proofErr w:type="spellStart"/>
      <w:r w:rsidRPr="00961EC8">
        <w:rPr>
          <w:rFonts w:ascii="Times New Roman" w:hAnsi="Times New Roman" w:cs="Times New Roman"/>
          <w:bCs/>
          <w:sz w:val="24"/>
          <w:szCs w:val="24"/>
        </w:rPr>
        <w:t>Entman</w:t>
      </w:r>
      <w:proofErr w:type="spellEnd"/>
      <w:r w:rsidRPr="00961EC8">
        <w:rPr>
          <w:rFonts w:ascii="Times New Roman" w:hAnsi="Times New Roman" w:cs="Times New Roman"/>
          <w:bCs/>
          <w:sz w:val="24"/>
          <w:szCs w:val="24"/>
        </w:rPr>
        <w:t xml:space="preserve">, 1993; Van </w:t>
      </w:r>
      <w:proofErr w:type="spellStart"/>
      <w:r w:rsidRPr="00961EC8">
        <w:rPr>
          <w:rFonts w:ascii="Times New Roman" w:hAnsi="Times New Roman" w:cs="Times New Roman"/>
          <w:bCs/>
          <w:sz w:val="24"/>
          <w:szCs w:val="24"/>
        </w:rPr>
        <w:t>Gorp</w:t>
      </w:r>
      <w:proofErr w:type="spellEnd"/>
      <w:r w:rsidRPr="00961EC8">
        <w:rPr>
          <w:rFonts w:ascii="Times New Roman" w:hAnsi="Times New Roman" w:cs="Times New Roman"/>
          <w:bCs/>
          <w:sz w:val="24"/>
          <w:szCs w:val="24"/>
        </w:rPr>
        <w:t xml:space="preserve">, 2005; Fischer </w:t>
      </w:r>
      <w:r w:rsidR="00205788">
        <w:rPr>
          <w:rFonts w:ascii="Times New Roman" w:hAnsi="Times New Roman" w:cs="Times New Roman"/>
          <w:bCs/>
          <w:sz w:val="24"/>
          <w:szCs w:val="24"/>
        </w:rPr>
        <w:t>&amp;</w:t>
      </w:r>
      <w:r w:rsidRPr="00961EC8">
        <w:rPr>
          <w:rFonts w:ascii="Times New Roman" w:hAnsi="Times New Roman" w:cs="Times New Roman"/>
          <w:bCs/>
          <w:sz w:val="24"/>
          <w:szCs w:val="24"/>
        </w:rPr>
        <w:t xml:space="preserve"> </w:t>
      </w:r>
      <w:proofErr w:type="spellStart"/>
      <w:r w:rsidRPr="00961EC8">
        <w:rPr>
          <w:rFonts w:ascii="Times New Roman" w:hAnsi="Times New Roman" w:cs="Times New Roman"/>
          <w:bCs/>
          <w:sz w:val="24"/>
          <w:szCs w:val="24"/>
        </w:rPr>
        <w:t>Gottweis</w:t>
      </w:r>
      <w:proofErr w:type="spellEnd"/>
      <w:r w:rsidRPr="00961EC8">
        <w:rPr>
          <w:rFonts w:ascii="Times New Roman" w:hAnsi="Times New Roman" w:cs="Times New Roman"/>
          <w:bCs/>
          <w:sz w:val="24"/>
          <w:szCs w:val="24"/>
        </w:rPr>
        <w:t xml:space="preserve">, 2010) in order to get beneath the inextricable connections between </w:t>
      </w:r>
      <w:r w:rsidR="00A50EA7" w:rsidRPr="004D551B">
        <w:rPr>
          <w:rFonts w:ascii="Times New Roman" w:hAnsi="Times New Roman" w:cs="Times New Roman"/>
          <w:bCs/>
          <w:sz w:val="24"/>
          <w:szCs w:val="24"/>
        </w:rPr>
        <w:t>policy as</w:t>
      </w:r>
      <w:r w:rsidRPr="001A18BD">
        <w:rPr>
          <w:rFonts w:ascii="Times New Roman" w:hAnsi="Times New Roman" w:cs="Times New Roman"/>
          <w:bCs/>
          <w:sz w:val="24"/>
          <w:szCs w:val="24"/>
        </w:rPr>
        <w:t xml:space="preserve"> text, policy formation and the working of symbolic power within a neoliberal HE context. As </w:t>
      </w:r>
      <w:proofErr w:type="spellStart"/>
      <w:r w:rsidRPr="001A18BD">
        <w:rPr>
          <w:rFonts w:ascii="Times New Roman" w:hAnsi="Times New Roman" w:cs="Times New Roman"/>
          <w:bCs/>
          <w:sz w:val="24"/>
          <w:szCs w:val="24"/>
        </w:rPr>
        <w:t>Entman</w:t>
      </w:r>
      <w:proofErr w:type="spellEnd"/>
      <w:r w:rsidRPr="001A18BD">
        <w:rPr>
          <w:rFonts w:ascii="Times New Roman" w:hAnsi="Times New Roman" w:cs="Times New Roman"/>
          <w:bCs/>
          <w:sz w:val="24"/>
          <w:szCs w:val="24"/>
        </w:rPr>
        <w:t xml:space="preserve"> (1993) conceptualises, i</w:t>
      </w:r>
      <w:r w:rsidRPr="007B21A1">
        <w:rPr>
          <w:rFonts w:ascii="Times New Roman" w:hAnsi="Times New Roman" w:cs="Times New Roman"/>
          <w:bCs/>
          <w:sz w:val="24"/>
          <w:szCs w:val="24"/>
        </w:rPr>
        <w:t xml:space="preserve">n the policy field textual framing helps establish the legitimacy </w:t>
      </w:r>
      <w:r w:rsidRPr="007B21A1">
        <w:rPr>
          <w:rFonts w:ascii="Times New Roman" w:hAnsi="Times New Roman" w:cs="Times New Roman"/>
          <w:bCs/>
          <w:sz w:val="24"/>
          <w:szCs w:val="24"/>
        </w:rPr>
        <w:lastRenderedPageBreak/>
        <w:t xml:space="preserve">of policy reform whilst also propagating a set of moral vocabularies </w:t>
      </w:r>
      <w:r w:rsidR="006F07CD">
        <w:rPr>
          <w:rFonts w:ascii="Times New Roman" w:hAnsi="Times New Roman" w:cs="Times New Roman"/>
          <w:bCs/>
          <w:sz w:val="24"/>
          <w:szCs w:val="24"/>
        </w:rPr>
        <w:t>that</w:t>
      </w:r>
      <w:r w:rsidRPr="006F07CD">
        <w:rPr>
          <w:rFonts w:ascii="Times New Roman" w:hAnsi="Times New Roman" w:cs="Times New Roman"/>
          <w:bCs/>
          <w:sz w:val="24"/>
          <w:szCs w:val="24"/>
        </w:rPr>
        <w:t xml:space="preserve"> anchor a reform’s necessity, direction and form.</w:t>
      </w:r>
      <w:r w:rsidRPr="006F07CD">
        <w:rPr>
          <w:rFonts w:ascii="Times New Roman" w:hAnsi="Times New Roman" w:cs="Times New Roman"/>
          <w:sz w:val="24"/>
          <w:szCs w:val="24"/>
        </w:rPr>
        <w:t xml:space="preserve"> </w:t>
      </w:r>
      <w:r w:rsidRPr="006F07CD">
        <w:rPr>
          <w:rFonts w:ascii="Times New Roman" w:hAnsi="Times New Roman" w:cs="Times New Roman"/>
          <w:bCs/>
          <w:sz w:val="24"/>
          <w:szCs w:val="24"/>
        </w:rPr>
        <w:t xml:space="preserve">Most importantly, they </w:t>
      </w:r>
      <w:r w:rsidRPr="00DA17F0">
        <w:rPr>
          <w:rFonts w:ascii="Times New Roman" w:hAnsi="Times New Roman" w:cs="Times New Roman"/>
          <w:bCs/>
          <w:sz w:val="24"/>
          <w:szCs w:val="24"/>
        </w:rPr>
        <w:t>serve to ‘register the identity of actors or interest that compete to dominate the text’ (</w:t>
      </w:r>
      <w:proofErr w:type="spellStart"/>
      <w:r w:rsidRPr="00DA17F0">
        <w:rPr>
          <w:rFonts w:ascii="Times New Roman" w:hAnsi="Times New Roman" w:cs="Times New Roman"/>
          <w:bCs/>
          <w:sz w:val="24"/>
          <w:szCs w:val="24"/>
        </w:rPr>
        <w:t>Entman</w:t>
      </w:r>
      <w:proofErr w:type="spellEnd"/>
      <w:r w:rsidRPr="00961EC8">
        <w:rPr>
          <w:rFonts w:ascii="Times New Roman" w:hAnsi="Times New Roman" w:cs="Times New Roman"/>
          <w:bCs/>
          <w:sz w:val="24"/>
          <w:szCs w:val="24"/>
        </w:rPr>
        <w:t>, 1993</w:t>
      </w:r>
      <w:r w:rsidRPr="004D551B">
        <w:rPr>
          <w:rFonts w:ascii="Times New Roman" w:hAnsi="Times New Roman" w:cs="Times New Roman"/>
          <w:bCs/>
          <w:sz w:val="24"/>
          <w:szCs w:val="24"/>
        </w:rPr>
        <w:t>: 55).</w:t>
      </w:r>
      <w:r w:rsidRPr="004D551B">
        <w:rPr>
          <w:rFonts w:ascii="Times New Roman" w:hAnsi="Times New Roman" w:cs="Times New Roman"/>
          <w:sz w:val="24"/>
          <w:szCs w:val="24"/>
        </w:rPr>
        <w:t xml:space="preserve"> In framing approaches, the selectiveness and salience of specific policy problems within text function</w:t>
      </w:r>
      <w:r w:rsidRPr="007B21A1">
        <w:rPr>
          <w:rFonts w:ascii="Times New Roman" w:hAnsi="Times New Roman" w:cs="Times New Roman"/>
          <w:sz w:val="24"/>
          <w:szCs w:val="24"/>
        </w:rPr>
        <w:t xml:space="preserve"> as a discursive strategy on the part of policy makers, as the main communicators and corroborators of policy texts, in establishing the need for reform and how its enactment will lead to desired system change. The four functions of framing - deﬁning a problem, diagnosing causes, making moral judgements and reaching possible solutions – are central to understanding how policy texts operate in communicating a dominant set of interests and agendas to which key institutional agents</w:t>
      </w:r>
      <w:r w:rsidR="00A50EA7" w:rsidRPr="00D91CEB">
        <w:rPr>
          <w:rFonts w:ascii="Times New Roman" w:hAnsi="Times New Roman" w:cs="Times New Roman"/>
          <w:sz w:val="24"/>
          <w:szCs w:val="24"/>
        </w:rPr>
        <w:t xml:space="preserve"> are expected to</w:t>
      </w:r>
      <w:r w:rsidRPr="00D91CEB">
        <w:rPr>
          <w:rFonts w:ascii="Times New Roman" w:hAnsi="Times New Roman" w:cs="Times New Roman"/>
          <w:sz w:val="24"/>
          <w:szCs w:val="24"/>
        </w:rPr>
        <w:t xml:space="preserve"> respond.</w:t>
      </w:r>
    </w:p>
    <w:p w14:paraId="00280298" w14:textId="04547B84" w:rsidR="007D7ABA" w:rsidRPr="00DA17F0" w:rsidRDefault="007D7ABA" w:rsidP="001C1AAE">
      <w:pPr>
        <w:spacing w:line="360" w:lineRule="auto"/>
        <w:jc w:val="both"/>
        <w:rPr>
          <w:rFonts w:ascii="Times New Roman" w:hAnsi="Times New Roman" w:cs="Times New Roman"/>
          <w:sz w:val="24"/>
          <w:szCs w:val="24"/>
        </w:rPr>
      </w:pPr>
      <w:r w:rsidRPr="00D91CEB">
        <w:rPr>
          <w:rFonts w:ascii="Times New Roman" w:hAnsi="Times New Roman" w:cs="Times New Roman"/>
          <w:sz w:val="24"/>
          <w:szCs w:val="24"/>
        </w:rPr>
        <w:t>Our present analysis use</w:t>
      </w:r>
      <w:r w:rsidR="00A50EA7" w:rsidRPr="00D91CEB">
        <w:rPr>
          <w:rFonts w:ascii="Times New Roman" w:hAnsi="Times New Roman" w:cs="Times New Roman"/>
          <w:sz w:val="24"/>
          <w:szCs w:val="24"/>
        </w:rPr>
        <w:t>s</w:t>
      </w:r>
      <w:r w:rsidRPr="00D91CEB">
        <w:rPr>
          <w:rFonts w:ascii="Times New Roman" w:hAnsi="Times New Roman" w:cs="Times New Roman"/>
          <w:sz w:val="24"/>
          <w:szCs w:val="24"/>
        </w:rPr>
        <w:t xml:space="preserve"> this approach as the basis for examining two key policy texts in the development of the T</w:t>
      </w:r>
      <w:r w:rsidR="00A50EA7" w:rsidRPr="00D91CEB">
        <w:rPr>
          <w:rFonts w:ascii="Times New Roman" w:hAnsi="Times New Roman" w:cs="Times New Roman"/>
          <w:sz w:val="24"/>
          <w:szCs w:val="24"/>
        </w:rPr>
        <w:t>EF</w:t>
      </w:r>
      <w:r w:rsidRPr="00D91CEB">
        <w:rPr>
          <w:rFonts w:ascii="Times New Roman" w:hAnsi="Times New Roman" w:cs="Times New Roman"/>
          <w:sz w:val="24"/>
          <w:szCs w:val="24"/>
        </w:rPr>
        <w:t>, namely the Green Paper and White Papers. It examine</w:t>
      </w:r>
      <w:r w:rsidR="00A50EA7" w:rsidRPr="00D91CEB">
        <w:rPr>
          <w:rFonts w:ascii="Times New Roman" w:hAnsi="Times New Roman" w:cs="Times New Roman"/>
          <w:sz w:val="24"/>
          <w:szCs w:val="24"/>
        </w:rPr>
        <w:t>s</w:t>
      </w:r>
      <w:r w:rsidRPr="00D91CEB">
        <w:rPr>
          <w:rFonts w:ascii="Times New Roman" w:hAnsi="Times New Roman" w:cs="Times New Roman"/>
          <w:sz w:val="24"/>
          <w:szCs w:val="24"/>
        </w:rPr>
        <w:t xml:space="preserve"> these framing principles in relation to both the ways in which the TEF policy framework ha</w:t>
      </w:r>
      <w:r w:rsidR="00A50EA7" w:rsidRPr="00D91CEB">
        <w:rPr>
          <w:rFonts w:ascii="Times New Roman" w:hAnsi="Times New Roman" w:cs="Times New Roman"/>
          <w:sz w:val="24"/>
          <w:szCs w:val="24"/>
        </w:rPr>
        <w:t>s</w:t>
      </w:r>
      <w:r w:rsidRPr="00D91CEB">
        <w:rPr>
          <w:rFonts w:ascii="Times New Roman" w:hAnsi="Times New Roman" w:cs="Times New Roman"/>
          <w:sz w:val="24"/>
          <w:szCs w:val="24"/>
        </w:rPr>
        <w:t xml:space="preserve"> been enacted as central to the wider neoliberal project and works as a form of symbol</w:t>
      </w:r>
      <w:r w:rsidR="00A50EA7" w:rsidRPr="00D91CEB">
        <w:rPr>
          <w:rFonts w:ascii="Times New Roman" w:hAnsi="Times New Roman" w:cs="Times New Roman"/>
          <w:sz w:val="24"/>
          <w:szCs w:val="24"/>
        </w:rPr>
        <w:t>ic</w:t>
      </w:r>
      <w:r w:rsidRPr="00D91CEB">
        <w:rPr>
          <w:rFonts w:ascii="Times New Roman" w:hAnsi="Times New Roman" w:cs="Times New Roman"/>
          <w:sz w:val="24"/>
          <w:szCs w:val="24"/>
        </w:rPr>
        <w:t xml:space="preserve"> power and control in legitimating its implementation, future trajectory and implications for key institutional actors. The first concern</w:t>
      </w:r>
      <w:r w:rsidR="00A50EA7" w:rsidRPr="00D91CEB">
        <w:rPr>
          <w:rFonts w:ascii="Times New Roman" w:hAnsi="Times New Roman" w:cs="Times New Roman"/>
          <w:sz w:val="24"/>
          <w:szCs w:val="24"/>
        </w:rPr>
        <w:t>s</w:t>
      </w:r>
      <w:r w:rsidRPr="00D91CEB">
        <w:rPr>
          <w:rFonts w:ascii="Times New Roman" w:hAnsi="Times New Roman" w:cs="Times New Roman"/>
          <w:sz w:val="24"/>
          <w:szCs w:val="24"/>
        </w:rPr>
        <w:t xml:space="preserve"> the problem framing of present HE provision and its relationship to new market imperatives</w:t>
      </w:r>
      <w:r w:rsidR="00D91CEB" w:rsidRPr="00D91CEB">
        <w:rPr>
          <w:rFonts w:ascii="Times New Roman" w:hAnsi="Times New Roman" w:cs="Times New Roman"/>
          <w:sz w:val="24"/>
          <w:szCs w:val="24"/>
        </w:rPr>
        <w:t>,</w:t>
      </w:r>
      <w:r w:rsidRPr="00D91CEB">
        <w:rPr>
          <w:rFonts w:ascii="Times New Roman" w:hAnsi="Times New Roman" w:cs="Times New Roman"/>
          <w:sz w:val="24"/>
          <w:szCs w:val="24"/>
        </w:rPr>
        <w:t xml:space="preserve"> </w:t>
      </w:r>
      <w:r w:rsidR="00D91CEB" w:rsidRPr="00D91CEB">
        <w:rPr>
          <w:rFonts w:ascii="Times New Roman" w:hAnsi="Times New Roman" w:cs="Times New Roman"/>
          <w:sz w:val="24"/>
          <w:szCs w:val="24"/>
        </w:rPr>
        <w:t>s</w:t>
      </w:r>
      <w:r w:rsidRPr="00D91CEB">
        <w:rPr>
          <w:rFonts w:ascii="Times New Roman" w:hAnsi="Times New Roman" w:cs="Times New Roman"/>
          <w:sz w:val="24"/>
          <w:szCs w:val="24"/>
        </w:rPr>
        <w:t xml:space="preserve">pecifically, how existing provision, and its cultural basis, </w:t>
      </w:r>
      <w:r w:rsidR="00D91CEB" w:rsidRPr="00D91CEB">
        <w:rPr>
          <w:rFonts w:ascii="Times New Roman" w:hAnsi="Times New Roman" w:cs="Times New Roman"/>
          <w:sz w:val="24"/>
          <w:szCs w:val="24"/>
        </w:rPr>
        <w:t>are</w:t>
      </w:r>
      <w:r w:rsidRPr="00D91CEB">
        <w:rPr>
          <w:rFonts w:ascii="Times New Roman" w:hAnsi="Times New Roman" w:cs="Times New Roman"/>
          <w:sz w:val="24"/>
          <w:szCs w:val="24"/>
        </w:rPr>
        <w:t xml:space="preserve"> problemati</w:t>
      </w:r>
      <w:r w:rsidR="00D91CEB">
        <w:rPr>
          <w:rFonts w:ascii="Times New Roman" w:hAnsi="Times New Roman" w:cs="Times New Roman"/>
          <w:sz w:val="24"/>
          <w:szCs w:val="24"/>
        </w:rPr>
        <w:t>z</w:t>
      </w:r>
      <w:r w:rsidRPr="00D91CEB">
        <w:rPr>
          <w:rFonts w:ascii="Times New Roman" w:hAnsi="Times New Roman" w:cs="Times New Roman"/>
          <w:sz w:val="24"/>
          <w:szCs w:val="24"/>
        </w:rPr>
        <w:t>ed to be in tension with new realities of a market-driven HE system where institutional relations ha</w:t>
      </w:r>
      <w:r w:rsidR="00D91CEB" w:rsidRPr="00D91CEB">
        <w:rPr>
          <w:rFonts w:ascii="Times New Roman" w:hAnsi="Times New Roman" w:cs="Times New Roman"/>
          <w:sz w:val="24"/>
          <w:szCs w:val="24"/>
        </w:rPr>
        <w:t>ve</w:t>
      </w:r>
      <w:r w:rsidRPr="00D91CEB">
        <w:rPr>
          <w:rFonts w:ascii="Times New Roman" w:hAnsi="Times New Roman" w:cs="Times New Roman"/>
          <w:sz w:val="24"/>
          <w:szCs w:val="24"/>
        </w:rPr>
        <w:t xml:space="preserve"> transformed. Within problem framing, there i</w:t>
      </w:r>
      <w:r w:rsidRPr="00DA17F0">
        <w:rPr>
          <w:rFonts w:ascii="Times New Roman" w:hAnsi="Times New Roman" w:cs="Times New Roman"/>
          <w:sz w:val="24"/>
          <w:szCs w:val="24"/>
        </w:rPr>
        <w:t>s significant attendance to purported problems within current provision and institutional functioning which necessitate reform and system change (for example, failures, vested interests, out-</w:t>
      </w:r>
      <w:proofErr w:type="spellStart"/>
      <w:r w:rsidRPr="00DA17F0">
        <w:rPr>
          <w:rFonts w:ascii="Times New Roman" w:hAnsi="Times New Roman" w:cs="Times New Roman"/>
          <w:sz w:val="24"/>
          <w:szCs w:val="24"/>
        </w:rPr>
        <w:t>moded</w:t>
      </w:r>
      <w:proofErr w:type="spellEnd"/>
      <w:r w:rsidRPr="00DA17F0">
        <w:rPr>
          <w:rFonts w:ascii="Times New Roman" w:hAnsi="Times New Roman" w:cs="Times New Roman"/>
          <w:sz w:val="24"/>
          <w:szCs w:val="24"/>
        </w:rPr>
        <w:t xml:space="preserve"> practice, unaccountability). This also elides other realiti</w:t>
      </w:r>
      <w:r w:rsidRPr="00961EC8">
        <w:rPr>
          <w:rFonts w:ascii="Times New Roman" w:hAnsi="Times New Roman" w:cs="Times New Roman"/>
          <w:sz w:val="24"/>
          <w:szCs w:val="24"/>
        </w:rPr>
        <w:t xml:space="preserve">es or facts related to system processes and outcomes (past success, current good practice, </w:t>
      </w:r>
      <w:r w:rsidR="006F07CD">
        <w:rPr>
          <w:rFonts w:ascii="Times New Roman" w:hAnsi="Times New Roman" w:cs="Times New Roman"/>
          <w:sz w:val="24"/>
          <w:szCs w:val="24"/>
        </w:rPr>
        <w:t xml:space="preserve">and </w:t>
      </w:r>
      <w:r w:rsidRPr="006F07CD">
        <w:rPr>
          <w:rFonts w:ascii="Times New Roman" w:hAnsi="Times New Roman" w:cs="Times New Roman"/>
          <w:sz w:val="24"/>
          <w:szCs w:val="24"/>
        </w:rPr>
        <w:t>historical value</w:t>
      </w:r>
      <w:r w:rsidRPr="00DA17F0">
        <w:rPr>
          <w:rFonts w:ascii="Times New Roman" w:hAnsi="Times New Roman" w:cs="Times New Roman"/>
          <w:sz w:val="24"/>
          <w:szCs w:val="24"/>
        </w:rPr>
        <w:t xml:space="preserve">). </w:t>
      </w:r>
    </w:p>
    <w:p w14:paraId="19F83C6A" w14:textId="1E181F12" w:rsidR="007D7ABA" w:rsidRPr="00D91CEB" w:rsidRDefault="007D7ABA" w:rsidP="001C1AAE">
      <w:pPr>
        <w:spacing w:line="360" w:lineRule="auto"/>
        <w:jc w:val="both"/>
        <w:rPr>
          <w:rFonts w:ascii="Times New Roman" w:hAnsi="Times New Roman" w:cs="Times New Roman"/>
          <w:sz w:val="24"/>
          <w:szCs w:val="24"/>
        </w:rPr>
      </w:pPr>
      <w:r w:rsidRPr="00961EC8">
        <w:rPr>
          <w:rFonts w:ascii="Times New Roman" w:hAnsi="Times New Roman" w:cs="Times New Roman"/>
          <w:sz w:val="24"/>
          <w:szCs w:val="24"/>
        </w:rPr>
        <w:t>The attribution of causality is connected to the overarching problem frame in terms of locating patterns within current provision and practice (e</w:t>
      </w:r>
      <w:r w:rsidRPr="004D551B">
        <w:rPr>
          <w:rFonts w:ascii="Times New Roman" w:hAnsi="Times New Roman" w:cs="Times New Roman"/>
          <w:sz w:val="24"/>
          <w:szCs w:val="24"/>
        </w:rPr>
        <w:t>.g. institutions’ and actors’ levels of responsiveness</w:t>
      </w:r>
      <w:r w:rsidR="00D91CEB">
        <w:rPr>
          <w:rFonts w:ascii="Times New Roman" w:hAnsi="Times New Roman" w:cs="Times New Roman"/>
          <w:sz w:val="24"/>
          <w:szCs w:val="24"/>
        </w:rPr>
        <w:t xml:space="preserve"> and self-</w:t>
      </w:r>
      <w:r w:rsidRPr="00D91CEB">
        <w:rPr>
          <w:rFonts w:ascii="Times New Roman" w:hAnsi="Times New Roman" w:cs="Times New Roman"/>
          <w:sz w:val="24"/>
          <w:szCs w:val="24"/>
        </w:rPr>
        <w:t xml:space="preserve">interest, adherence to the status quo), </w:t>
      </w:r>
      <w:r w:rsidR="00D91CEB">
        <w:rPr>
          <w:rFonts w:ascii="Times New Roman" w:hAnsi="Times New Roman" w:cs="Times New Roman"/>
          <w:sz w:val="24"/>
          <w:szCs w:val="24"/>
        </w:rPr>
        <w:t xml:space="preserve">that cause problems identified </w:t>
      </w:r>
      <w:r w:rsidRPr="00D91CEB">
        <w:rPr>
          <w:rFonts w:ascii="Times New Roman" w:hAnsi="Times New Roman" w:cs="Times New Roman"/>
          <w:sz w:val="24"/>
          <w:szCs w:val="24"/>
        </w:rPr>
        <w:t>and how they may be addressed by a new policy. In our present analysis, we identif</w:t>
      </w:r>
      <w:r w:rsidR="00D91CEB">
        <w:rPr>
          <w:rFonts w:ascii="Times New Roman" w:hAnsi="Times New Roman" w:cs="Times New Roman"/>
          <w:sz w:val="24"/>
          <w:szCs w:val="24"/>
        </w:rPr>
        <w:t>y</w:t>
      </w:r>
      <w:r w:rsidRPr="00D91CEB">
        <w:rPr>
          <w:rFonts w:ascii="Times New Roman" w:hAnsi="Times New Roman" w:cs="Times New Roman"/>
          <w:sz w:val="24"/>
          <w:szCs w:val="24"/>
        </w:rPr>
        <w:t xml:space="preserve"> how the policy papers ha</w:t>
      </w:r>
      <w:r w:rsidR="00D91CEB">
        <w:rPr>
          <w:rFonts w:ascii="Times New Roman" w:hAnsi="Times New Roman" w:cs="Times New Roman"/>
          <w:sz w:val="24"/>
          <w:szCs w:val="24"/>
        </w:rPr>
        <w:t>ve</w:t>
      </w:r>
      <w:r w:rsidRPr="00D91CEB">
        <w:rPr>
          <w:rFonts w:ascii="Times New Roman" w:hAnsi="Times New Roman" w:cs="Times New Roman"/>
          <w:sz w:val="24"/>
          <w:szCs w:val="24"/>
        </w:rPr>
        <w:t xml:space="preserve"> assigned some level responsibility onto key institutional actors towards fulfilling market imperatives and behaving in ways </w:t>
      </w:r>
      <w:r w:rsidR="00D91CEB">
        <w:rPr>
          <w:rFonts w:ascii="Times New Roman" w:hAnsi="Times New Roman" w:cs="Times New Roman"/>
          <w:sz w:val="24"/>
          <w:szCs w:val="24"/>
        </w:rPr>
        <w:t>that</w:t>
      </w:r>
      <w:r w:rsidRPr="00D91CEB">
        <w:rPr>
          <w:rFonts w:ascii="Times New Roman" w:hAnsi="Times New Roman" w:cs="Times New Roman"/>
          <w:sz w:val="24"/>
          <w:szCs w:val="24"/>
        </w:rPr>
        <w:t xml:space="preserve"> enable the effective execution and maintenance of a competitive HE marketplace. This </w:t>
      </w:r>
      <w:r w:rsidR="00D91CEB">
        <w:rPr>
          <w:rFonts w:ascii="Times New Roman" w:hAnsi="Times New Roman" w:cs="Times New Roman"/>
          <w:sz w:val="24"/>
          <w:szCs w:val="24"/>
        </w:rPr>
        <w:t>i</w:t>
      </w:r>
      <w:r w:rsidRPr="00D91CEB">
        <w:rPr>
          <w:rFonts w:ascii="Times New Roman" w:hAnsi="Times New Roman" w:cs="Times New Roman"/>
          <w:sz w:val="24"/>
          <w:szCs w:val="24"/>
        </w:rPr>
        <w:t>s further connected to the framing of moral judgements within the institutional context, including</w:t>
      </w:r>
      <w:r w:rsidR="002840FF" w:rsidRPr="00D91CEB">
        <w:rPr>
          <w:rFonts w:ascii="Times New Roman" w:hAnsi="Times New Roman" w:cs="Times New Roman"/>
          <w:sz w:val="24"/>
          <w:szCs w:val="24"/>
        </w:rPr>
        <w:t xml:space="preserve"> </w:t>
      </w:r>
      <w:r w:rsidRPr="00D91CEB">
        <w:rPr>
          <w:rFonts w:ascii="Times New Roman" w:hAnsi="Times New Roman" w:cs="Times New Roman"/>
          <w:sz w:val="24"/>
          <w:szCs w:val="24"/>
        </w:rPr>
        <w:t xml:space="preserve">how the texts depict institutions’ responsibility for fulfilling new socio-political and economic demands and the purported of activities which positively influence these. These involve a strong element of evaluative </w:t>
      </w:r>
      <w:r w:rsidRPr="00D91CEB">
        <w:rPr>
          <w:rFonts w:ascii="Times New Roman" w:hAnsi="Times New Roman" w:cs="Times New Roman"/>
          <w:sz w:val="24"/>
          <w:szCs w:val="24"/>
        </w:rPr>
        <w:lastRenderedPageBreak/>
        <w:t>framings of the behaviours of institutional agents in potentially perpetuating or resolving the identified problems.</w:t>
      </w:r>
    </w:p>
    <w:p w14:paraId="63327504" w14:textId="1E6CB48E" w:rsidR="007D7ABA" w:rsidRPr="00DA17F0" w:rsidRDefault="007D7ABA" w:rsidP="001C1AAE">
      <w:pPr>
        <w:spacing w:line="360" w:lineRule="auto"/>
        <w:jc w:val="both"/>
        <w:rPr>
          <w:rFonts w:ascii="Times New Roman" w:hAnsi="Times New Roman" w:cs="Times New Roman"/>
          <w:sz w:val="24"/>
          <w:szCs w:val="24"/>
        </w:rPr>
      </w:pPr>
      <w:r w:rsidRPr="00DA17F0">
        <w:rPr>
          <w:rFonts w:ascii="Times New Roman" w:hAnsi="Times New Roman" w:cs="Times New Roman"/>
          <w:sz w:val="24"/>
          <w:szCs w:val="24"/>
        </w:rPr>
        <w:t>Crucially, the solutions presented within policy text are the most salient to the intended direction and fo</w:t>
      </w:r>
      <w:r w:rsidRPr="00961EC8">
        <w:rPr>
          <w:rFonts w:ascii="Times New Roman" w:hAnsi="Times New Roman" w:cs="Times New Roman"/>
          <w:sz w:val="24"/>
          <w:szCs w:val="24"/>
        </w:rPr>
        <w:t xml:space="preserve">rm of the policy and, most significantly, how their implementation can address the identified problems. </w:t>
      </w:r>
      <w:r w:rsidRPr="004D551B">
        <w:rPr>
          <w:rFonts w:ascii="Times New Roman" w:hAnsi="Times New Roman" w:cs="Times New Roman"/>
          <w:sz w:val="24"/>
          <w:szCs w:val="24"/>
        </w:rPr>
        <w:t>In this case, we explore</w:t>
      </w:r>
      <w:r w:rsidRPr="007B21A1">
        <w:rPr>
          <w:rFonts w:ascii="Times New Roman" w:hAnsi="Times New Roman" w:cs="Times New Roman"/>
          <w:sz w:val="24"/>
          <w:szCs w:val="24"/>
        </w:rPr>
        <w:t xml:space="preserve"> how the TEF </w:t>
      </w:r>
      <w:r w:rsidR="00D91CEB">
        <w:rPr>
          <w:rFonts w:ascii="Times New Roman" w:hAnsi="Times New Roman" w:cs="Times New Roman"/>
          <w:sz w:val="24"/>
          <w:szCs w:val="24"/>
        </w:rPr>
        <w:t>i</w:t>
      </w:r>
      <w:r w:rsidRPr="00D91CEB">
        <w:rPr>
          <w:rFonts w:ascii="Times New Roman" w:hAnsi="Times New Roman" w:cs="Times New Roman"/>
          <w:sz w:val="24"/>
          <w:szCs w:val="24"/>
        </w:rPr>
        <w:t xml:space="preserve">s presented </w:t>
      </w:r>
      <w:r w:rsidR="00D91CEB">
        <w:rPr>
          <w:rFonts w:ascii="Times New Roman" w:hAnsi="Times New Roman" w:cs="Times New Roman"/>
          <w:sz w:val="24"/>
          <w:szCs w:val="24"/>
        </w:rPr>
        <w:t xml:space="preserve">as </w:t>
      </w:r>
      <w:r w:rsidRPr="00D91CEB">
        <w:rPr>
          <w:rFonts w:ascii="Times New Roman" w:hAnsi="Times New Roman" w:cs="Times New Roman"/>
          <w:sz w:val="24"/>
          <w:szCs w:val="24"/>
        </w:rPr>
        <w:t xml:space="preserve">an innovative policy technology which further meets the demand of </w:t>
      </w:r>
      <w:r w:rsidR="00D91CEB">
        <w:rPr>
          <w:rFonts w:ascii="Times New Roman" w:hAnsi="Times New Roman" w:cs="Times New Roman"/>
          <w:sz w:val="24"/>
          <w:szCs w:val="24"/>
        </w:rPr>
        <w:t>all key stakeholders</w:t>
      </w:r>
      <w:r w:rsidRPr="00D91CEB">
        <w:rPr>
          <w:rFonts w:ascii="Times New Roman" w:hAnsi="Times New Roman" w:cs="Times New Roman"/>
          <w:sz w:val="24"/>
          <w:szCs w:val="24"/>
        </w:rPr>
        <w:t>. The presence of an ‘excellence’ framework, with a strong focus on maximising students’ an</w:t>
      </w:r>
      <w:r w:rsidRPr="00DA17F0">
        <w:rPr>
          <w:rFonts w:ascii="Times New Roman" w:hAnsi="Times New Roman" w:cs="Times New Roman"/>
          <w:sz w:val="24"/>
          <w:szCs w:val="24"/>
        </w:rPr>
        <w:t>d institutions’ market value (satisfaction, employability, choice information, league table positioning etc</w:t>
      </w:r>
      <w:r w:rsidR="00D91CEB">
        <w:rPr>
          <w:rFonts w:ascii="Times New Roman" w:hAnsi="Times New Roman" w:cs="Times New Roman"/>
          <w:sz w:val="24"/>
          <w:szCs w:val="24"/>
        </w:rPr>
        <w:t>.</w:t>
      </w:r>
      <w:r w:rsidRPr="00D91CEB">
        <w:rPr>
          <w:rFonts w:ascii="Times New Roman" w:hAnsi="Times New Roman" w:cs="Times New Roman"/>
          <w:sz w:val="24"/>
          <w:szCs w:val="24"/>
        </w:rPr>
        <w:t>) is a way of co-ordinating core activities, namely teaching and learning, towards such ends.</w:t>
      </w:r>
    </w:p>
    <w:p w14:paraId="69BE1AB0" w14:textId="4DF33AB0" w:rsidR="00D91CEB" w:rsidRDefault="00D91CEB" w:rsidP="001C1A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further reveals the operation of symbolic power through discourses that establish dominant categorisations of thought, practices and institutional behaviours and present these as endemic to the </w:t>
      </w:r>
      <w:r w:rsidR="00CE1E94">
        <w:rPr>
          <w:rFonts w:ascii="Times New Roman" w:hAnsi="Times New Roman" w:cs="Times New Roman"/>
          <w:sz w:val="24"/>
          <w:szCs w:val="24"/>
        </w:rPr>
        <w:t>marketis</w:t>
      </w:r>
      <w:r>
        <w:rPr>
          <w:rFonts w:ascii="Times New Roman" w:hAnsi="Times New Roman" w:cs="Times New Roman"/>
          <w:sz w:val="24"/>
          <w:szCs w:val="24"/>
        </w:rPr>
        <w:t>ation project.</w:t>
      </w:r>
      <w:r w:rsidRPr="00CA35BF">
        <w:rPr>
          <w:rFonts w:ascii="Times New Roman" w:hAnsi="Times New Roman" w:cs="Times New Roman"/>
          <w:bCs/>
          <w:sz w:val="24"/>
          <w:szCs w:val="24"/>
        </w:rPr>
        <w:t xml:space="preserve"> </w:t>
      </w:r>
      <w:r w:rsidRPr="00BC3B86">
        <w:rPr>
          <w:rFonts w:ascii="Times New Roman" w:hAnsi="Times New Roman" w:cs="Times New Roman"/>
          <w:bCs/>
          <w:sz w:val="24"/>
          <w:szCs w:val="24"/>
        </w:rPr>
        <w:t xml:space="preserve">Most significantly, </w:t>
      </w:r>
      <w:r>
        <w:rPr>
          <w:rFonts w:ascii="Times New Roman" w:hAnsi="Times New Roman" w:cs="Times New Roman"/>
          <w:bCs/>
          <w:sz w:val="24"/>
          <w:szCs w:val="24"/>
        </w:rPr>
        <w:t xml:space="preserve">we empirically </w:t>
      </w:r>
      <w:r w:rsidRPr="00BC3B86">
        <w:rPr>
          <w:rFonts w:ascii="Times New Roman" w:hAnsi="Times New Roman" w:cs="Times New Roman"/>
          <w:bCs/>
          <w:sz w:val="24"/>
          <w:szCs w:val="24"/>
        </w:rPr>
        <w:t>expos</w:t>
      </w:r>
      <w:r>
        <w:rPr>
          <w:rFonts w:ascii="Times New Roman" w:hAnsi="Times New Roman" w:cs="Times New Roman"/>
          <w:bCs/>
          <w:sz w:val="24"/>
          <w:szCs w:val="24"/>
        </w:rPr>
        <w:t>e</w:t>
      </w:r>
      <w:r w:rsidRPr="00BC3B86">
        <w:rPr>
          <w:rFonts w:ascii="Times New Roman" w:hAnsi="Times New Roman" w:cs="Times New Roman"/>
          <w:bCs/>
          <w:sz w:val="24"/>
          <w:szCs w:val="24"/>
        </w:rPr>
        <w:t xml:space="preserve"> the workings of symbolic power through allied levers </w:t>
      </w:r>
      <w:r>
        <w:rPr>
          <w:rFonts w:ascii="Times New Roman" w:hAnsi="Times New Roman" w:cs="Times New Roman"/>
          <w:bCs/>
          <w:sz w:val="24"/>
          <w:szCs w:val="24"/>
        </w:rPr>
        <w:t>of misrecognition that</w:t>
      </w:r>
      <w:r w:rsidRPr="00BC3B86">
        <w:rPr>
          <w:rFonts w:ascii="Times New Roman" w:hAnsi="Times New Roman" w:cs="Times New Roman"/>
          <w:bCs/>
          <w:sz w:val="24"/>
          <w:szCs w:val="24"/>
        </w:rPr>
        <w:t xml:space="preserve"> valorise a set of market relations and rationalities as fundamentally in the interests of </w:t>
      </w:r>
      <w:r>
        <w:rPr>
          <w:rFonts w:ascii="Times New Roman" w:hAnsi="Times New Roman" w:cs="Times New Roman"/>
          <w:bCs/>
          <w:sz w:val="24"/>
          <w:szCs w:val="24"/>
        </w:rPr>
        <w:t>all</w:t>
      </w:r>
      <w:r w:rsidRPr="00BC3B86">
        <w:rPr>
          <w:rFonts w:ascii="Times New Roman" w:hAnsi="Times New Roman" w:cs="Times New Roman"/>
          <w:bCs/>
          <w:sz w:val="24"/>
          <w:szCs w:val="24"/>
        </w:rPr>
        <w:t xml:space="preserve"> main </w:t>
      </w:r>
      <w:r>
        <w:rPr>
          <w:rFonts w:ascii="Times New Roman" w:hAnsi="Times New Roman" w:cs="Times New Roman"/>
          <w:bCs/>
          <w:sz w:val="24"/>
          <w:szCs w:val="24"/>
        </w:rPr>
        <w:t>stakeholders</w:t>
      </w:r>
      <w:r w:rsidRPr="00BC3B86">
        <w:rPr>
          <w:rFonts w:ascii="Times New Roman" w:hAnsi="Times New Roman" w:cs="Times New Roman"/>
          <w:bCs/>
          <w:sz w:val="24"/>
          <w:szCs w:val="24"/>
        </w:rPr>
        <w:t>.</w:t>
      </w:r>
    </w:p>
    <w:p w14:paraId="21BFFFBD" w14:textId="46555D0A" w:rsidR="007D7ABA" w:rsidRPr="006F07CD" w:rsidRDefault="007D7ABA" w:rsidP="001C1AAE">
      <w:pPr>
        <w:spacing w:line="360" w:lineRule="auto"/>
        <w:jc w:val="both"/>
        <w:rPr>
          <w:rFonts w:ascii="Times New Roman" w:hAnsi="Times New Roman" w:cs="Times New Roman"/>
          <w:sz w:val="24"/>
          <w:szCs w:val="24"/>
        </w:rPr>
      </w:pPr>
      <w:r w:rsidRPr="00D91CEB">
        <w:rPr>
          <w:rFonts w:ascii="Times New Roman" w:hAnsi="Times New Roman" w:cs="Times New Roman"/>
          <w:sz w:val="24"/>
          <w:szCs w:val="24"/>
        </w:rPr>
        <w:t>In summary, our analysis focuse</w:t>
      </w:r>
      <w:r w:rsidR="00EB1C26" w:rsidRPr="00D91CEB">
        <w:rPr>
          <w:rFonts w:ascii="Times New Roman" w:hAnsi="Times New Roman" w:cs="Times New Roman"/>
          <w:sz w:val="24"/>
          <w:szCs w:val="24"/>
        </w:rPr>
        <w:t>s</w:t>
      </w:r>
      <w:r w:rsidRPr="00D91CEB">
        <w:rPr>
          <w:rFonts w:ascii="Times New Roman" w:hAnsi="Times New Roman" w:cs="Times New Roman"/>
          <w:sz w:val="24"/>
          <w:szCs w:val="24"/>
        </w:rPr>
        <w:t xml:space="preserve"> on how the policy fra</w:t>
      </w:r>
      <w:r w:rsidRPr="006F07CD">
        <w:rPr>
          <w:rFonts w:ascii="Times New Roman" w:hAnsi="Times New Roman" w:cs="Times New Roman"/>
          <w:sz w:val="24"/>
          <w:szCs w:val="24"/>
        </w:rPr>
        <w:t xml:space="preserve">mes within the Green and White Papers presented a dominant narrative of the </w:t>
      </w:r>
      <w:r w:rsidRPr="00DA17F0">
        <w:rPr>
          <w:rFonts w:ascii="Times New Roman" w:hAnsi="Times New Roman" w:cs="Times New Roman"/>
          <w:sz w:val="24"/>
          <w:szCs w:val="24"/>
        </w:rPr>
        <w:t xml:space="preserve">TEF as a central and necessary innovation in the augmentation of neoliberal market goals and conditions. </w:t>
      </w:r>
      <w:r w:rsidRPr="007B21A1">
        <w:rPr>
          <w:rFonts w:ascii="Times New Roman" w:hAnsi="Times New Roman" w:cs="Times New Roman"/>
          <w:sz w:val="24"/>
          <w:szCs w:val="24"/>
        </w:rPr>
        <w:t xml:space="preserve">Using the above framing principles, we organised our </w:t>
      </w:r>
      <w:r w:rsidR="001061F3">
        <w:rPr>
          <w:rFonts w:ascii="Times New Roman" w:hAnsi="Times New Roman" w:cs="Times New Roman"/>
          <w:sz w:val="24"/>
          <w:szCs w:val="24"/>
        </w:rPr>
        <w:t>empirical</w:t>
      </w:r>
      <w:r w:rsidRPr="007B21A1">
        <w:rPr>
          <w:rFonts w:ascii="Times New Roman" w:hAnsi="Times New Roman" w:cs="Times New Roman"/>
          <w:sz w:val="24"/>
          <w:szCs w:val="24"/>
        </w:rPr>
        <w:t xml:space="preserve"> focus around three dominant thematic pillars which emerged as central to the </w:t>
      </w:r>
      <w:r w:rsidR="00CE1E94">
        <w:rPr>
          <w:rFonts w:ascii="Times New Roman" w:hAnsi="Times New Roman" w:cs="Times New Roman"/>
          <w:sz w:val="24"/>
          <w:szCs w:val="24"/>
        </w:rPr>
        <w:t>marketis</w:t>
      </w:r>
      <w:r w:rsidRPr="007B21A1">
        <w:rPr>
          <w:rFonts w:ascii="Times New Roman" w:hAnsi="Times New Roman" w:cs="Times New Roman"/>
          <w:sz w:val="24"/>
          <w:szCs w:val="24"/>
        </w:rPr>
        <w:t xml:space="preserve">ation project with these policy texts – the student-as-consumer, graduate employability and formal ranked measurements. These themes were not only organising principles of the TEF framework and a basis for appraising institutions’ market performance, but also contained a set of framings on the institutional-cultural conditions that best service </w:t>
      </w:r>
      <w:r w:rsidR="006F07CD">
        <w:rPr>
          <w:rFonts w:ascii="Times New Roman" w:hAnsi="Times New Roman" w:cs="Times New Roman"/>
          <w:sz w:val="24"/>
          <w:szCs w:val="24"/>
        </w:rPr>
        <w:t>stakeholder</w:t>
      </w:r>
      <w:r w:rsidRPr="006F07CD">
        <w:rPr>
          <w:rFonts w:ascii="Times New Roman" w:hAnsi="Times New Roman" w:cs="Times New Roman"/>
          <w:sz w:val="24"/>
          <w:szCs w:val="24"/>
        </w:rPr>
        <w:t>s’ interests within this reform project.</w:t>
      </w:r>
    </w:p>
    <w:p w14:paraId="0C69FFBF" w14:textId="77777777" w:rsidR="001A083E" w:rsidRPr="004D551B" w:rsidRDefault="001A083E" w:rsidP="001C1AAE">
      <w:pPr>
        <w:spacing w:after="120" w:line="360" w:lineRule="auto"/>
        <w:jc w:val="both"/>
        <w:rPr>
          <w:rFonts w:ascii="Times New Roman" w:hAnsi="Times New Roman" w:cs="Times New Roman"/>
          <w:b/>
          <w:sz w:val="24"/>
          <w:szCs w:val="24"/>
        </w:rPr>
      </w:pPr>
      <w:r w:rsidRPr="00961EC8">
        <w:rPr>
          <w:rFonts w:ascii="Times New Roman" w:hAnsi="Times New Roman" w:cs="Times New Roman"/>
          <w:b/>
          <w:sz w:val="24"/>
          <w:szCs w:val="24"/>
        </w:rPr>
        <w:t xml:space="preserve">The </w:t>
      </w:r>
      <w:r w:rsidRPr="004D551B">
        <w:rPr>
          <w:rFonts w:ascii="Times New Roman" w:hAnsi="Times New Roman" w:cs="Times New Roman"/>
          <w:b/>
          <w:sz w:val="24"/>
          <w:szCs w:val="24"/>
        </w:rPr>
        <w:t>Student Consumer in a Competitive Marketplace</w:t>
      </w:r>
    </w:p>
    <w:p w14:paraId="09DCEC4B" w14:textId="17D40E1F" w:rsidR="009F6512" w:rsidRPr="00D91CEB" w:rsidRDefault="00281520" w:rsidP="001C1AAE">
      <w:pPr>
        <w:spacing w:after="120" w:line="360" w:lineRule="auto"/>
        <w:jc w:val="both"/>
        <w:rPr>
          <w:rFonts w:ascii="Times New Roman" w:hAnsi="Times New Roman" w:cs="Times New Roman"/>
          <w:sz w:val="24"/>
          <w:szCs w:val="24"/>
        </w:rPr>
      </w:pPr>
      <w:r w:rsidRPr="007B21A1">
        <w:rPr>
          <w:rFonts w:ascii="Times New Roman" w:hAnsi="Times New Roman" w:cs="Times New Roman"/>
          <w:sz w:val="24"/>
          <w:szCs w:val="24"/>
        </w:rPr>
        <w:t xml:space="preserve">The </w:t>
      </w:r>
      <w:r w:rsidR="006A550E" w:rsidRPr="007B21A1">
        <w:rPr>
          <w:rFonts w:ascii="Times New Roman" w:hAnsi="Times New Roman" w:cs="Times New Roman"/>
          <w:sz w:val="24"/>
          <w:szCs w:val="24"/>
        </w:rPr>
        <w:t>conceptualisation of the stu</w:t>
      </w:r>
      <w:r w:rsidR="00EA3D5A" w:rsidRPr="007B21A1">
        <w:rPr>
          <w:rFonts w:ascii="Times New Roman" w:hAnsi="Times New Roman" w:cs="Times New Roman"/>
          <w:sz w:val="24"/>
          <w:szCs w:val="24"/>
        </w:rPr>
        <w:t xml:space="preserve">dent as an active market agent </w:t>
      </w:r>
      <w:r w:rsidR="006A550E" w:rsidRPr="007B21A1">
        <w:rPr>
          <w:rFonts w:ascii="Times New Roman" w:hAnsi="Times New Roman" w:cs="Times New Roman"/>
          <w:sz w:val="24"/>
          <w:szCs w:val="24"/>
        </w:rPr>
        <w:t>introduced in policy documents</w:t>
      </w:r>
      <w:r w:rsidR="00EA3D5A" w:rsidRPr="008111E4">
        <w:rPr>
          <w:rFonts w:ascii="Times New Roman" w:hAnsi="Times New Roman" w:cs="Times New Roman"/>
          <w:sz w:val="24"/>
          <w:szCs w:val="24"/>
        </w:rPr>
        <w:t xml:space="preserve"> two decades ago is </w:t>
      </w:r>
      <w:r w:rsidR="006A550E" w:rsidRPr="00D91CEB">
        <w:rPr>
          <w:rFonts w:ascii="Times New Roman" w:hAnsi="Times New Roman" w:cs="Times New Roman"/>
          <w:sz w:val="24"/>
          <w:szCs w:val="24"/>
        </w:rPr>
        <w:t xml:space="preserve">elevated to a central position in the TEF. </w:t>
      </w:r>
      <w:r w:rsidR="00680282" w:rsidRPr="00D91CEB">
        <w:rPr>
          <w:rFonts w:ascii="Times New Roman" w:hAnsi="Times New Roman" w:cs="Times New Roman"/>
          <w:sz w:val="24"/>
          <w:szCs w:val="24"/>
        </w:rPr>
        <w:t>Various emanations of the statement that ‘</w:t>
      </w:r>
      <w:r w:rsidR="00680282" w:rsidRPr="00D91CEB">
        <w:rPr>
          <w:rFonts w:ascii="Times New Roman" w:hAnsi="Times New Roman" w:cs="Times New Roman"/>
          <w:i/>
          <w:sz w:val="24"/>
          <w:szCs w:val="24"/>
        </w:rPr>
        <w:t>choice for students</w:t>
      </w:r>
      <w:r w:rsidR="00680282" w:rsidRPr="00D91CEB">
        <w:rPr>
          <w:rFonts w:ascii="Times New Roman" w:hAnsi="Times New Roman" w:cs="Times New Roman"/>
          <w:sz w:val="24"/>
          <w:szCs w:val="24"/>
        </w:rPr>
        <w:t>’ is ‘</w:t>
      </w:r>
      <w:r w:rsidR="00680282" w:rsidRPr="00D91CEB">
        <w:rPr>
          <w:rFonts w:ascii="Times New Roman" w:hAnsi="Times New Roman" w:cs="Times New Roman"/>
          <w:i/>
          <w:sz w:val="24"/>
          <w:szCs w:val="24"/>
        </w:rPr>
        <w:t>at the heart of</w:t>
      </w:r>
      <w:r w:rsidRPr="00D91CEB">
        <w:rPr>
          <w:rFonts w:ascii="Times New Roman" w:hAnsi="Times New Roman" w:cs="Times New Roman"/>
          <w:sz w:val="24"/>
          <w:szCs w:val="24"/>
        </w:rPr>
        <w:t xml:space="preserve">’ </w:t>
      </w:r>
      <w:r w:rsidR="00172A97" w:rsidRPr="00D91CEB">
        <w:rPr>
          <w:rFonts w:ascii="Times New Roman" w:hAnsi="Times New Roman" w:cs="Times New Roman"/>
          <w:sz w:val="24"/>
          <w:szCs w:val="24"/>
        </w:rPr>
        <w:t xml:space="preserve">HE </w:t>
      </w:r>
      <w:r w:rsidRPr="00D91CEB">
        <w:rPr>
          <w:rFonts w:ascii="Times New Roman" w:hAnsi="Times New Roman" w:cs="Times New Roman"/>
          <w:sz w:val="24"/>
          <w:szCs w:val="24"/>
        </w:rPr>
        <w:t xml:space="preserve">reform </w:t>
      </w:r>
      <w:r w:rsidR="00566162" w:rsidRPr="00D91CEB">
        <w:rPr>
          <w:rFonts w:ascii="Times New Roman" w:hAnsi="Times New Roman" w:cs="Times New Roman"/>
          <w:sz w:val="24"/>
          <w:szCs w:val="24"/>
        </w:rPr>
        <w:t>(for example BIS</w:t>
      </w:r>
      <w:r w:rsidR="00784E7C" w:rsidRPr="00D91CEB">
        <w:rPr>
          <w:rFonts w:ascii="Times New Roman" w:hAnsi="Times New Roman" w:cs="Times New Roman"/>
          <w:sz w:val="24"/>
          <w:szCs w:val="24"/>
        </w:rPr>
        <w:t>,</w:t>
      </w:r>
      <w:r w:rsidR="00566162" w:rsidRPr="00D91CEB">
        <w:rPr>
          <w:rFonts w:ascii="Times New Roman" w:hAnsi="Times New Roman" w:cs="Times New Roman"/>
          <w:sz w:val="24"/>
          <w:szCs w:val="24"/>
        </w:rPr>
        <w:t xml:space="preserve"> 2016</w:t>
      </w:r>
      <w:r w:rsidR="00734F67" w:rsidRPr="00D91CEB">
        <w:rPr>
          <w:rFonts w:ascii="Times New Roman" w:hAnsi="Times New Roman" w:cs="Times New Roman"/>
          <w:sz w:val="24"/>
          <w:szCs w:val="24"/>
        </w:rPr>
        <w:t>a</w:t>
      </w:r>
      <w:r w:rsidR="00845A54">
        <w:rPr>
          <w:rFonts w:ascii="Times New Roman" w:hAnsi="Times New Roman" w:cs="Times New Roman"/>
          <w:sz w:val="24"/>
          <w:szCs w:val="24"/>
        </w:rPr>
        <w:t>,</w:t>
      </w:r>
      <w:r w:rsidR="004B5CDC" w:rsidRPr="00CE1E94">
        <w:rPr>
          <w:rFonts w:ascii="Times New Roman" w:hAnsi="Times New Roman" w:cs="Times New Roman"/>
          <w:sz w:val="24"/>
          <w:szCs w:val="24"/>
        </w:rPr>
        <w:t xml:space="preserve"> p.</w:t>
      </w:r>
      <w:r w:rsidR="00205788">
        <w:rPr>
          <w:rFonts w:ascii="Times New Roman" w:hAnsi="Times New Roman" w:cs="Times New Roman"/>
          <w:sz w:val="24"/>
          <w:szCs w:val="24"/>
        </w:rPr>
        <w:t xml:space="preserve"> </w:t>
      </w:r>
      <w:r w:rsidR="00566162" w:rsidRPr="00205788">
        <w:rPr>
          <w:rFonts w:ascii="Times New Roman" w:hAnsi="Times New Roman" w:cs="Times New Roman"/>
          <w:sz w:val="24"/>
          <w:szCs w:val="24"/>
        </w:rPr>
        <w:t>11</w:t>
      </w:r>
      <w:r w:rsidR="00680282" w:rsidRPr="00205788">
        <w:rPr>
          <w:rFonts w:ascii="Times New Roman" w:hAnsi="Times New Roman" w:cs="Times New Roman"/>
          <w:sz w:val="24"/>
          <w:szCs w:val="24"/>
        </w:rPr>
        <w:t>) recur throughout both documents.</w:t>
      </w:r>
      <w:r w:rsidR="00FA536C" w:rsidRPr="00205788">
        <w:rPr>
          <w:rFonts w:ascii="Times New Roman" w:hAnsi="Times New Roman" w:cs="Times New Roman"/>
          <w:sz w:val="24"/>
          <w:szCs w:val="24"/>
        </w:rPr>
        <w:t xml:space="preserve"> </w:t>
      </w:r>
      <w:r w:rsidR="00F43B5A" w:rsidRPr="00205788">
        <w:rPr>
          <w:rFonts w:ascii="Times New Roman" w:hAnsi="Times New Roman" w:cs="Times New Roman"/>
          <w:sz w:val="24"/>
          <w:szCs w:val="24"/>
        </w:rPr>
        <w:t xml:space="preserve">The reconceptualization of students as consumers is legitimated by narratives </w:t>
      </w:r>
      <w:r w:rsidR="00CE1E94">
        <w:rPr>
          <w:rFonts w:ascii="Times New Roman" w:hAnsi="Times New Roman" w:cs="Times New Roman"/>
          <w:sz w:val="24"/>
          <w:szCs w:val="24"/>
        </w:rPr>
        <w:t>that</w:t>
      </w:r>
      <w:r w:rsidR="00F43B5A" w:rsidRPr="00CE1E94">
        <w:rPr>
          <w:rFonts w:ascii="Times New Roman" w:hAnsi="Times New Roman" w:cs="Times New Roman"/>
          <w:sz w:val="24"/>
          <w:szCs w:val="24"/>
        </w:rPr>
        <w:t xml:space="preserve"> construct</w:t>
      </w:r>
      <w:r w:rsidR="0070490B" w:rsidRPr="00CE1E94">
        <w:rPr>
          <w:rFonts w:ascii="Times New Roman" w:hAnsi="Times New Roman" w:cs="Times New Roman"/>
          <w:sz w:val="24"/>
          <w:szCs w:val="24"/>
        </w:rPr>
        <w:t xml:space="preserve"> </w:t>
      </w:r>
      <w:r w:rsidR="00F43B5A" w:rsidRPr="00CE1E94">
        <w:rPr>
          <w:rFonts w:ascii="Times New Roman" w:hAnsi="Times New Roman" w:cs="Times New Roman"/>
          <w:sz w:val="24"/>
          <w:szCs w:val="24"/>
        </w:rPr>
        <w:t>particular diagnoses of the prob</w:t>
      </w:r>
      <w:r w:rsidR="009366F7" w:rsidRPr="00CE1E94">
        <w:rPr>
          <w:rFonts w:ascii="Times New Roman" w:hAnsi="Times New Roman" w:cs="Times New Roman"/>
          <w:sz w:val="24"/>
          <w:szCs w:val="24"/>
        </w:rPr>
        <w:t xml:space="preserve">lems </w:t>
      </w:r>
      <w:proofErr w:type="gramStart"/>
      <w:r w:rsidR="00AE7651" w:rsidRPr="00CE1E94">
        <w:rPr>
          <w:rFonts w:ascii="Times New Roman" w:hAnsi="Times New Roman" w:cs="Times New Roman"/>
          <w:sz w:val="24"/>
          <w:szCs w:val="24"/>
        </w:rPr>
        <w:t>plaguing</w:t>
      </w:r>
      <w:proofErr w:type="gramEnd"/>
      <w:r w:rsidR="009366F7" w:rsidRPr="00CE1E94">
        <w:rPr>
          <w:rFonts w:ascii="Times New Roman" w:hAnsi="Times New Roman" w:cs="Times New Roman"/>
          <w:sz w:val="24"/>
          <w:szCs w:val="24"/>
        </w:rPr>
        <w:t xml:space="preserve"> HE</w:t>
      </w:r>
      <w:r w:rsidR="00AB3240" w:rsidRPr="00D91CEB">
        <w:rPr>
          <w:rFonts w:ascii="Times New Roman" w:hAnsi="Times New Roman" w:cs="Times New Roman"/>
          <w:sz w:val="24"/>
          <w:szCs w:val="24"/>
        </w:rPr>
        <w:t xml:space="preserve"> </w:t>
      </w:r>
      <w:r w:rsidR="00F05707" w:rsidRPr="00D91CEB">
        <w:rPr>
          <w:rFonts w:ascii="Times New Roman" w:hAnsi="Times New Roman" w:cs="Times New Roman"/>
          <w:sz w:val="24"/>
          <w:szCs w:val="24"/>
        </w:rPr>
        <w:t xml:space="preserve">including low </w:t>
      </w:r>
      <w:r w:rsidR="00FA536C" w:rsidRPr="00D91CEB">
        <w:rPr>
          <w:rFonts w:ascii="Times New Roman" w:hAnsi="Times New Roman" w:cs="Times New Roman"/>
          <w:sz w:val="24"/>
          <w:szCs w:val="24"/>
        </w:rPr>
        <w:t>teaching</w:t>
      </w:r>
      <w:r w:rsidR="00E603DE" w:rsidRPr="00D91CEB">
        <w:rPr>
          <w:rFonts w:ascii="Times New Roman" w:hAnsi="Times New Roman" w:cs="Times New Roman"/>
          <w:sz w:val="24"/>
          <w:szCs w:val="24"/>
        </w:rPr>
        <w:t xml:space="preserve"> quality</w:t>
      </w:r>
      <w:r w:rsidR="00851024" w:rsidRPr="00D91CEB">
        <w:rPr>
          <w:rFonts w:ascii="Times New Roman" w:hAnsi="Times New Roman" w:cs="Times New Roman"/>
          <w:sz w:val="24"/>
          <w:szCs w:val="24"/>
        </w:rPr>
        <w:t xml:space="preserve">, </w:t>
      </w:r>
      <w:r w:rsidR="0027579F" w:rsidRPr="00D91CEB">
        <w:rPr>
          <w:rFonts w:ascii="Times New Roman" w:hAnsi="Times New Roman" w:cs="Times New Roman"/>
          <w:sz w:val="24"/>
          <w:szCs w:val="24"/>
        </w:rPr>
        <w:t>elitism</w:t>
      </w:r>
      <w:r w:rsidR="00F05707" w:rsidRPr="00D91CEB">
        <w:rPr>
          <w:rFonts w:ascii="Times New Roman" w:hAnsi="Times New Roman" w:cs="Times New Roman"/>
          <w:sz w:val="24"/>
          <w:szCs w:val="24"/>
        </w:rPr>
        <w:t xml:space="preserve"> and the lack of</w:t>
      </w:r>
      <w:r w:rsidR="001A083E" w:rsidRPr="00D91CEB">
        <w:rPr>
          <w:rFonts w:ascii="Times New Roman" w:hAnsi="Times New Roman" w:cs="Times New Roman"/>
          <w:sz w:val="24"/>
          <w:szCs w:val="24"/>
        </w:rPr>
        <w:t xml:space="preserve"> student choice</w:t>
      </w:r>
      <w:r w:rsidR="009F6512" w:rsidRPr="00D91CEB">
        <w:rPr>
          <w:rFonts w:ascii="Times New Roman" w:hAnsi="Times New Roman" w:cs="Times New Roman"/>
          <w:sz w:val="24"/>
          <w:szCs w:val="24"/>
        </w:rPr>
        <w:t xml:space="preserve">. </w:t>
      </w:r>
    </w:p>
    <w:p w14:paraId="4488FB54" w14:textId="3508ED4C" w:rsidR="00AB3240" w:rsidRPr="00345210" w:rsidRDefault="001A083E"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lastRenderedPageBreak/>
        <w:t>In order to v</w:t>
      </w:r>
      <w:r w:rsidR="006F66E4" w:rsidRPr="00D91CEB">
        <w:rPr>
          <w:rFonts w:ascii="Times New Roman" w:hAnsi="Times New Roman" w:cs="Times New Roman"/>
          <w:sz w:val="24"/>
          <w:szCs w:val="24"/>
        </w:rPr>
        <w:t>alorise</w:t>
      </w:r>
      <w:r w:rsidRPr="00D91CEB">
        <w:rPr>
          <w:rFonts w:ascii="Times New Roman" w:hAnsi="Times New Roman" w:cs="Times New Roman"/>
          <w:sz w:val="24"/>
          <w:szCs w:val="24"/>
        </w:rPr>
        <w:t xml:space="preserve"> and natur</w:t>
      </w:r>
      <w:r w:rsidR="006F66E4" w:rsidRPr="00D91CEB">
        <w:rPr>
          <w:rFonts w:ascii="Times New Roman" w:hAnsi="Times New Roman" w:cs="Times New Roman"/>
          <w:sz w:val="24"/>
          <w:szCs w:val="24"/>
        </w:rPr>
        <w:t xml:space="preserve">alise the market as a </w:t>
      </w:r>
      <w:r w:rsidRPr="00D91CEB">
        <w:rPr>
          <w:rFonts w:ascii="Times New Roman" w:hAnsi="Times New Roman" w:cs="Times New Roman"/>
          <w:sz w:val="24"/>
          <w:szCs w:val="24"/>
        </w:rPr>
        <w:t>necessary condition to remedy such problems, powerful actors and instituti</w:t>
      </w:r>
      <w:r w:rsidR="00A700ED" w:rsidRPr="00D91CEB">
        <w:rPr>
          <w:rFonts w:ascii="Times New Roman" w:hAnsi="Times New Roman" w:cs="Times New Roman"/>
          <w:sz w:val="24"/>
          <w:szCs w:val="24"/>
        </w:rPr>
        <w:t xml:space="preserve">ons with the potential to </w:t>
      </w:r>
      <w:r w:rsidRPr="00D91CEB">
        <w:rPr>
          <w:rFonts w:ascii="Times New Roman" w:hAnsi="Times New Roman" w:cs="Times New Roman"/>
          <w:sz w:val="24"/>
          <w:szCs w:val="24"/>
        </w:rPr>
        <w:t>oppose market forces are</w:t>
      </w:r>
      <w:r w:rsidR="00A700ED" w:rsidRPr="00D91CEB">
        <w:rPr>
          <w:rFonts w:ascii="Times New Roman" w:hAnsi="Times New Roman" w:cs="Times New Roman"/>
          <w:sz w:val="24"/>
          <w:szCs w:val="24"/>
        </w:rPr>
        <w:t xml:space="preserve"> delegitimised through strong</w:t>
      </w:r>
      <w:r w:rsidR="006F66E4" w:rsidRPr="00D91CEB">
        <w:rPr>
          <w:rFonts w:ascii="Times New Roman" w:hAnsi="Times New Roman" w:cs="Times New Roman"/>
          <w:sz w:val="24"/>
          <w:szCs w:val="24"/>
        </w:rPr>
        <w:t xml:space="preserve"> moral vocabularies and</w:t>
      </w:r>
      <w:r w:rsidRPr="00D91CEB">
        <w:rPr>
          <w:rFonts w:ascii="Times New Roman" w:hAnsi="Times New Roman" w:cs="Times New Roman"/>
          <w:sz w:val="24"/>
          <w:szCs w:val="24"/>
        </w:rPr>
        <w:t xml:space="preserve"> </w:t>
      </w:r>
      <w:r w:rsidR="006F66E4" w:rsidRPr="00D91CEB">
        <w:rPr>
          <w:rFonts w:ascii="Times New Roman" w:hAnsi="Times New Roman" w:cs="Times New Roman"/>
          <w:sz w:val="24"/>
          <w:szCs w:val="24"/>
        </w:rPr>
        <w:t xml:space="preserve">positioned as the cause of such problems. </w:t>
      </w:r>
      <w:r w:rsidR="000716D3" w:rsidRPr="00D91CEB">
        <w:rPr>
          <w:rFonts w:ascii="Times New Roman" w:hAnsi="Times New Roman" w:cs="Times New Roman"/>
          <w:sz w:val="24"/>
          <w:szCs w:val="24"/>
        </w:rPr>
        <w:t>Public univ</w:t>
      </w:r>
      <w:r w:rsidR="00A2565C" w:rsidRPr="00D91CEB">
        <w:rPr>
          <w:rFonts w:ascii="Times New Roman" w:hAnsi="Times New Roman" w:cs="Times New Roman"/>
          <w:sz w:val="24"/>
          <w:szCs w:val="24"/>
        </w:rPr>
        <w:t xml:space="preserve">ersities are described negatively as </w:t>
      </w:r>
      <w:r w:rsidR="000716D3" w:rsidRPr="00D91CEB">
        <w:rPr>
          <w:rFonts w:ascii="Times New Roman" w:hAnsi="Times New Roman" w:cs="Times New Roman"/>
          <w:sz w:val="24"/>
          <w:szCs w:val="24"/>
        </w:rPr>
        <w:t>‘</w:t>
      </w:r>
      <w:r w:rsidR="000716D3" w:rsidRPr="00611481">
        <w:rPr>
          <w:rFonts w:ascii="Times New Roman" w:hAnsi="Times New Roman" w:cs="Times New Roman"/>
          <w:i/>
          <w:sz w:val="24"/>
          <w:szCs w:val="24"/>
        </w:rPr>
        <w:t>incumbent</w:t>
      </w:r>
      <w:r w:rsidR="00A2565C" w:rsidRPr="00611481">
        <w:rPr>
          <w:rFonts w:ascii="Times New Roman" w:hAnsi="Times New Roman" w:cs="Times New Roman"/>
          <w:i/>
          <w:sz w:val="24"/>
          <w:szCs w:val="24"/>
        </w:rPr>
        <w:t>s</w:t>
      </w:r>
      <w:r w:rsidR="000716D3" w:rsidRPr="00D91CEB">
        <w:rPr>
          <w:rFonts w:ascii="Times New Roman" w:hAnsi="Times New Roman" w:cs="Times New Roman"/>
          <w:sz w:val="24"/>
          <w:szCs w:val="24"/>
        </w:rPr>
        <w:t xml:space="preserve">’ </w:t>
      </w:r>
      <w:r w:rsidR="00F05707" w:rsidRPr="00D91CEB">
        <w:rPr>
          <w:rFonts w:ascii="Times New Roman" w:hAnsi="Times New Roman" w:cs="Times New Roman"/>
          <w:sz w:val="24"/>
          <w:szCs w:val="24"/>
        </w:rPr>
        <w:t>who use their</w:t>
      </w:r>
      <w:r w:rsidR="003167AC" w:rsidRPr="00D91CEB">
        <w:rPr>
          <w:rFonts w:ascii="Times New Roman" w:hAnsi="Times New Roman" w:cs="Times New Roman"/>
          <w:sz w:val="24"/>
          <w:szCs w:val="24"/>
        </w:rPr>
        <w:t xml:space="preserve"> privi</w:t>
      </w:r>
      <w:r w:rsidR="00F05707" w:rsidRPr="00D91CEB">
        <w:rPr>
          <w:rFonts w:ascii="Times New Roman" w:hAnsi="Times New Roman" w:cs="Times New Roman"/>
          <w:sz w:val="24"/>
          <w:szCs w:val="24"/>
        </w:rPr>
        <w:t xml:space="preserve">lege to </w:t>
      </w:r>
      <w:r w:rsidR="008F2778" w:rsidRPr="00D91CEB">
        <w:rPr>
          <w:rFonts w:ascii="Times New Roman" w:hAnsi="Times New Roman" w:cs="Times New Roman"/>
          <w:sz w:val="24"/>
          <w:szCs w:val="24"/>
        </w:rPr>
        <w:t>block change</w:t>
      </w:r>
      <w:r w:rsidR="000F1F6A" w:rsidRPr="00D91CEB">
        <w:rPr>
          <w:rFonts w:ascii="Times New Roman" w:hAnsi="Times New Roman" w:cs="Times New Roman"/>
          <w:sz w:val="24"/>
          <w:szCs w:val="24"/>
        </w:rPr>
        <w:t xml:space="preserve"> </w:t>
      </w:r>
      <w:r w:rsidR="003167AC" w:rsidRPr="00D91CEB">
        <w:rPr>
          <w:rFonts w:ascii="Times New Roman" w:hAnsi="Times New Roman" w:cs="Times New Roman"/>
          <w:sz w:val="24"/>
          <w:szCs w:val="24"/>
        </w:rPr>
        <w:t>(BIS, 2016</w:t>
      </w:r>
      <w:r w:rsidR="007A770D">
        <w:rPr>
          <w:rFonts w:ascii="Times New Roman" w:hAnsi="Times New Roman" w:cs="Times New Roman"/>
          <w:sz w:val="24"/>
          <w:szCs w:val="24"/>
        </w:rPr>
        <w:t>a</w:t>
      </w:r>
      <w:r w:rsidR="00845A54">
        <w:rPr>
          <w:rFonts w:ascii="Times New Roman" w:hAnsi="Times New Roman" w:cs="Times New Roman"/>
          <w:sz w:val="24"/>
          <w:szCs w:val="24"/>
        </w:rPr>
        <w:t>,</w:t>
      </w:r>
      <w:r w:rsidR="003167AC" w:rsidRPr="00845A54">
        <w:rPr>
          <w:rFonts w:ascii="Times New Roman" w:hAnsi="Times New Roman" w:cs="Times New Roman"/>
          <w:sz w:val="24"/>
          <w:szCs w:val="24"/>
        </w:rPr>
        <w:t xml:space="preserve"> </w:t>
      </w:r>
      <w:r w:rsidR="00845A54">
        <w:rPr>
          <w:rFonts w:ascii="Times New Roman" w:hAnsi="Times New Roman" w:cs="Times New Roman"/>
          <w:sz w:val="24"/>
          <w:szCs w:val="24"/>
        </w:rPr>
        <w:t>p.</w:t>
      </w:r>
      <w:r w:rsidR="00205788">
        <w:rPr>
          <w:rFonts w:ascii="Times New Roman" w:hAnsi="Times New Roman" w:cs="Times New Roman"/>
          <w:sz w:val="24"/>
          <w:szCs w:val="24"/>
        </w:rPr>
        <w:t xml:space="preserve"> </w:t>
      </w:r>
      <w:r w:rsidR="007A770D">
        <w:rPr>
          <w:rFonts w:ascii="Times New Roman" w:hAnsi="Times New Roman" w:cs="Times New Roman"/>
          <w:sz w:val="24"/>
          <w:szCs w:val="24"/>
        </w:rPr>
        <w:t>8</w:t>
      </w:r>
      <w:r w:rsidR="003167AC" w:rsidRPr="00845A54">
        <w:rPr>
          <w:rFonts w:ascii="Times New Roman" w:hAnsi="Times New Roman" w:cs="Times New Roman"/>
          <w:sz w:val="24"/>
          <w:szCs w:val="24"/>
        </w:rPr>
        <w:t>).</w:t>
      </w:r>
      <w:r w:rsidR="00A2565C" w:rsidRPr="00845A54">
        <w:rPr>
          <w:rFonts w:ascii="Times New Roman" w:hAnsi="Times New Roman" w:cs="Times New Roman"/>
          <w:sz w:val="24"/>
          <w:szCs w:val="24"/>
        </w:rPr>
        <w:t xml:space="preserve"> </w:t>
      </w:r>
      <w:r w:rsidR="003167AC" w:rsidRPr="00845A54">
        <w:rPr>
          <w:rFonts w:ascii="Times New Roman" w:hAnsi="Times New Roman" w:cs="Times New Roman"/>
          <w:sz w:val="24"/>
          <w:szCs w:val="24"/>
        </w:rPr>
        <w:t xml:space="preserve">They are accused of </w:t>
      </w:r>
      <w:r w:rsidR="000716D3" w:rsidRPr="00845A54">
        <w:rPr>
          <w:rFonts w:ascii="Times New Roman" w:hAnsi="Times New Roman" w:cs="Times New Roman"/>
          <w:sz w:val="24"/>
          <w:szCs w:val="24"/>
        </w:rPr>
        <w:t>disempower</w:t>
      </w:r>
      <w:r w:rsidR="003167AC" w:rsidRPr="00845A54">
        <w:rPr>
          <w:rFonts w:ascii="Times New Roman" w:hAnsi="Times New Roman" w:cs="Times New Roman"/>
          <w:sz w:val="24"/>
          <w:szCs w:val="24"/>
        </w:rPr>
        <w:t>ing students by providing</w:t>
      </w:r>
      <w:r w:rsidR="000716D3" w:rsidRPr="00845A54">
        <w:rPr>
          <w:rFonts w:ascii="Times New Roman" w:hAnsi="Times New Roman" w:cs="Times New Roman"/>
          <w:sz w:val="24"/>
          <w:szCs w:val="24"/>
        </w:rPr>
        <w:t xml:space="preserve"> inadequate information</w:t>
      </w:r>
      <w:r w:rsidR="003167AC" w:rsidRPr="00D91CEB">
        <w:rPr>
          <w:rFonts w:ascii="Times New Roman" w:hAnsi="Times New Roman" w:cs="Times New Roman"/>
          <w:sz w:val="24"/>
          <w:szCs w:val="24"/>
        </w:rPr>
        <w:t xml:space="preserve"> and little choice</w:t>
      </w:r>
      <w:r w:rsidR="000716D3" w:rsidRPr="00D91CEB">
        <w:rPr>
          <w:rFonts w:ascii="Times New Roman" w:hAnsi="Times New Roman" w:cs="Times New Roman"/>
          <w:sz w:val="24"/>
          <w:szCs w:val="24"/>
        </w:rPr>
        <w:t>.</w:t>
      </w:r>
      <w:r w:rsidR="003167AC" w:rsidRPr="00D91CEB">
        <w:rPr>
          <w:rFonts w:ascii="Times New Roman" w:hAnsi="Times New Roman" w:cs="Times New Roman"/>
          <w:sz w:val="24"/>
          <w:szCs w:val="24"/>
        </w:rPr>
        <w:t xml:space="preserve"> D</w:t>
      </w:r>
      <w:r w:rsidR="00A2565C" w:rsidRPr="00D91CEB">
        <w:rPr>
          <w:rFonts w:ascii="Times New Roman" w:hAnsi="Times New Roman" w:cs="Times New Roman"/>
          <w:sz w:val="24"/>
          <w:szCs w:val="24"/>
        </w:rPr>
        <w:t>iscourses of distr</w:t>
      </w:r>
      <w:r w:rsidR="003167AC" w:rsidRPr="00D91CEB">
        <w:rPr>
          <w:rFonts w:ascii="Times New Roman" w:hAnsi="Times New Roman" w:cs="Times New Roman"/>
          <w:sz w:val="24"/>
          <w:szCs w:val="24"/>
        </w:rPr>
        <w:t>ust</w:t>
      </w:r>
      <w:r w:rsidR="00A700ED" w:rsidRPr="00D91CEB">
        <w:rPr>
          <w:rFonts w:ascii="Times New Roman" w:hAnsi="Times New Roman" w:cs="Times New Roman"/>
          <w:sz w:val="24"/>
          <w:szCs w:val="24"/>
        </w:rPr>
        <w:t xml:space="preserve"> position academics </w:t>
      </w:r>
      <w:r w:rsidR="003167AC" w:rsidRPr="00D91CEB">
        <w:rPr>
          <w:rFonts w:ascii="Times New Roman" w:hAnsi="Times New Roman" w:cs="Times New Roman"/>
          <w:sz w:val="24"/>
          <w:szCs w:val="24"/>
        </w:rPr>
        <w:t xml:space="preserve">as </w:t>
      </w:r>
      <w:r w:rsidR="00A2565C" w:rsidRPr="00D91CEB">
        <w:rPr>
          <w:rFonts w:ascii="Times New Roman" w:hAnsi="Times New Roman" w:cs="Times New Roman"/>
          <w:sz w:val="24"/>
          <w:szCs w:val="24"/>
        </w:rPr>
        <w:t>resisters of change who wo</w:t>
      </w:r>
      <w:r w:rsidR="00A700ED" w:rsidRPr="00D91CEB">
        <w:rPr>
          <w:rFonts w:ascii="Times New Roman" w:hAnsi="Times New Roman" w:cs="Times New Roman"/>
          <w:sz w:val="24"/>
          <w:szCs w:val="24"/>
        </w:rPr>
        <w:t>rk against the interests of students and employers</w:t>
      </w:r>
      <w:r w:rsidR="00A2565C" w:rsidRPr="00D91CEB">
        <w:rPr>
          <w:rFonts w:ascii="Times New Roman" w:hAnsi="Times New Roman" w:cs="Times New Roman"/>
          <w:sz w:val="24"/>
          <w:szCs w:val="24"/>
        </w:rPr>
        <w:t>. In add</w:t>
      </w:r>
      <w:r w:rsidR="00F05707" w:rsidRPr="00D91CEB">
        <w:rPr>
          <w:rFonts w:ascii="Times New Roman" w:hAnsi="Times New Roman" w:cs="Times New Roman"/>
          <w:sz w:val="24"/>
          <w:szCs w:val="24"/>
        </w:rPr>
        <w:t>ition, there is a negative slur</w:t>
      </w:r>
      <w:r w:rsidR="00A2565C" w:rsidRPr="00D91CEB">
        <w:rPr>
          <w:rFonts w:ascii="Times New Roman" w:hAnsi="Times New Roman" w:cs="Times New Roman"/>
          <w:sz w:val="24"/>
          <w:szCs w:val="24"/>
        </w:rPr>
        <w:t xml:space="preserve"> on research intensive universities as incentiv</w:t>
      </w:r>
      <w:r w:rsidR="00F05707" w:rsidRPr="00D91CEB">
        <w:rPr>
          <w:rFonts w:ascii="Times New Roman" w:hAnsi="Times New Roman" w:cs="Times New Roman"/>
          <w:sz w:val="24"/>
          <w:szCs w:val="24"/>
        </w:rPr>
        <w:t>es for research are described as</w:t>
      </w:r>
      <w:r w:rsidR="00A2565C" w:rsidRPr="00D91CEB">
        <w:rPr>
          <w:rFonts w:ascii="Times New Roman" w:hAnsi="Times New Roman" w:cs="Times New Roman"/>
          <w:sz w:val="24"/>
          <w:szCs w:val="24"/>
        </w:rPr>
        <w:t xml:space="preserve"> ‘</w:t>
      </w:r>
      <w:r w:rsidR="00A2565C" w:rsidRPr="000F0B65">
        <w:rPr>
          <w:rFonts w:ascii="Times New Roman" w:hAnsi="Times New Roman" w:cs="Times New Roman"/>
          <w:i/>
          <w:sz w:val="24"/>
          <w:szCs w:val="24"/>
        </w:rPr>
        <w:t>skewed</w:t>
      </w:r>
      <w:r w:rsidR="00A2565C" w:rsidRPr="00345210">
        <w:rPr>
          <w:rFonts w:ascii="Times New Roman" w:hAnsi="Times New Roman" w:cs="Times New Roman"/>
          <w:sz w:val="24"/>
          <w:szCs w:val="24"/>
        </w:rPr>
        <w:t>’ (BIS, 2016a</w:t>
      </w:r>
      <w:r w:rsidR="00845A54">
        <w:rPr>
          <w:rFonts w:ascii="Times New Roman" w:hAnsi="Times New Roman" w:cs="Times New Roman"/>
          <w:sz w:val="24"/>
          <w:szCs w:val="24"/>
        </w:rPr>
        <w:t>,</w:t>
      </w:r>
      <w:r w:rsidR="00A2565C" w:rsidRPr="00345210">
        <w:rPr>
          <w:rFonts w:ascii="Times New Roman" w:hAnsi="Times New Roman" w:cs="Times New Roman"/>
          <w:sz w:val="24"/>
          <w:szCs w:val="24"/>
        </w:rPr>
        <w:t xml:space="preserve"> p.</w:t>
      </w:r>
      <w:r w:rsidR="00205788">
        <w:rPr>
          <w:rFonts w:ascii="Times New Roman" w:hAnsi="Times New Roman" w:cs="Times New Roman"/>
          <w:sz w:val="24"/>
          <w:szCs w:val="24"/>
        </w:rPr>
        <w:t xml:space="preserve"> </w:t>
      </w:r>
      <w:r w:rsidR="00A2565C" w:rsidRPr="00345210">
        <w:rPr>
          <w:rFonts w:ascii="Times New Roman" w:hAnsi="Times New Roman" w:cs="Times New Roman"/>
          <w:sz w:val="24"/>
          <w:szCs w:val="24"/>
        </w:rPr>
        <w:t>12)</w:t>
      </w:r>
      <w:r w:rsidR="003167AC" w:rsidRPr="00345210">
        <w:rPr>
          <w:rFonts w:ascii="Times New Roman" w:hAnsi="Times New Roman" w:cs="Times New Roman"/>
          <w:sz w:val="24"/>
          <w:szCs w:val="24"/>
        </w:rPr>
        <w:t>.</w:t>
      </w:r>
      <w:r w:rsidR="00F05707" w:rsidRPr="00345210">
        <w:rPr>
          <w:rFonts w:ascii="Times New Roman" w:hAnsi="Times New Roman" w:cs="Times New Roman"/>
          <w:sz w:val="24"/>
          <w:szCs w:val="24"/>
        </w:rPr>
        <w:t xml:space="preserve"> </w:t>
      </w:r>
      <w:r w:rsidR="003167AC" w:rsidRPr="00345210">
        <w:rPr>
          <w:rFonts w:ascii="Times New Roman" w:hAnsi="Times New Roman" w:cs="Times New Roman"/>
          <w:sz w:val="24"/>
          <w:szCs w:val="24"/>
        </w:rPr>
        <w:t xml:space="preserve">These factors are brought together in both documents to establish a causal link to </w:t>
      </w:r>
      <w:r w:rsidR="00B44831" w:rsidRPr="00D91CEB">
        <w:rPr>
          <w:rFonts w:ascii="Times New Roman" w:hAnsi="Times New Roman" w:cs="Times New Roman"/>
          <w:sz w:val="24"/>
          <w:szCs w:val="24"/>
        </w:rPr>
        <w:t>concerns over quality</w:t>
      </w:r>
      <w:r w:rsidR="00A245E1" w:rsidRPr="00D91CEB">
        <w:rPr>
          <w:rFonts w:ascii="Times New Roman" w:hAnsi="Times New Roman" w:cs="Times New Roman"/>
          <w:sz w:val="24"/>
          <w:szCs w:val="24"/>
        </w:rPr>
        <w:t xml:space="preserve"> and wide</w:t>
      </w:r>
      <w:r w:rsidR="00A245E1" w:rsidRPr="00205788">
        <w:rPr>
          <w:rFonts w:ascii="Times New Roman" w:hAnsi="Times New Roman" w:cs="Times New Roman"/>
          <w:sz w:val="24"/>
          <w:szCs w:val="24"/>
        </w:rPr>
        <w:t>ning participation</w:t>
      </w:r>
      <w:r w:rsidR="00B44831" w:rsidRPr="00205788">
        <w:rPr>
          <w:rFonts w:ascii="Times New Roman" w:hAnsi="Times New Roman" w:cs="Times New Roman"/>
          <w:sz w:val="24"/>
          <w:szCs w:val="24"/>
        </w:rPr>
        <w:t>. The Green Paper for example links poor information to poor decisions by students</w:t>
      </w:r>
      <w:r w:rsidR="00851024" w:rsidRPr="00205788">
        <w:rPr>
          <w:rFonts w:ascii="Times New Roman" w:hAnsi="Times New Roman" w:cs="Times New Roman"/>
          <w:sz w:val="24"/>
          <w:szCs w:val="24"/>
        </w:rPr>
        <w:t xml:space="preserve"> which result in low quality in teaching and life chances</w:t>
      </w:r>
      <w:r w:rsidR="00A245E1" w:rsidRPr="00205788">
        <w:rPr>
          <w:rFonts w:ascii="Times New Roman" w:hAnsi="Times New Roman" w:cs="Times New Roman"/>
          <w:sz w:val="24"/>
          <w:szCs w:val="24"/>
        </w:rPr>
        <w:t xml:space="preserve"> ‘</w:t>
      </w:r>
      <w:r w:rsidR="00A245E1" w:rsidRPr="00205788">
        <w:rPr>
          <w:rFonts w:ascii="Times New Roman" w:hAnsi="Times New Roman" w:cs="Times New Roman"/>
          <w:i/>
          <w:sz w:val="24"/>
          <w:szCs w:val="24"/>
        </w:rPr>
        <w:t xml:space="preserve">Thousands of life opportunities </w:t>
      </w:r>
      <w:r w:rsidR="00FA4E7A">
        <w:rPr>
          <w:rFonts w:ascii="Times New Roman" w:hAnsi="Times New Roman" w:cs="Times New Roman"/>
          <w:i/>
          <w:sz w:val="24"/>
          <w:szCs w:val="24"/>
        </w:rPr>
        <w:t>[</w:t>
      </w:r>
      <w:r w:rsidR="00A245E1" w:rsidRPr="00205788">
        <w:rPr>
          <w:rFonts w:ascii="Times New Roman" w:hAnsi="Times New Roman" w:cs="Times New Roman"/>
          <w:i/>
          <w:sz w:val="24"/>
          <w:szCs w:val="24"/>
        </w:rPr>
        <w:t>have</w:t>
      </w:r>
      <w:r w:rsidR="00FA4E7A">
        <w:rPr>
          <w:rFonts w:ascii="Times New Roman" w:hAnsi="Times New Roman" w:cs="Times New Roman"/>
          <w:i/>
          <w:sz w:val="24"/>
          <w:szCs w:val="24"/>
        </w:rPr>
        <w:t>]</w:t>
      </w:r>
      <w:r w:rsidR="00A245E1" w:rsidRPr="00205788">
        <w:rPr>
          <w:rFonts w:ascii="Times New Roman" w:hAnsi="Times New Roman" w:cs="Times New Roman"/>
          <w:i/>
          <w:sz w:val="24"/>
          <w:szCs w:val="24"/>
        </w:rPr>
        <w:t xml:space="preserve"> been wasted</w:t>
      </w:r>
      <w:r w:rsidR="00205788">
        <w:rPr>
          <w:rFonts w:ascii="Times New Roman" w:hAnsi="Times New Roman" w:cs="Times New Roman"/>
          <w:i/>
          <w:sz w:val="24"/>
          <w:szCs w:val="24"/>
        </w:rPr>
        <w:t xml:space="preserve"> </w:t>
      </w:r>
      <w:r w:rsidR="00A245E1" w:rsidRPr="00205788">
        <w:rPr>
          <w:rFonts w:ascii="Times New Roman" w:hAnsi="Times New Roman" w:cs="Times New Roman"/>
          <w:i/>
          <w:sz w:val="24"/>
          <w:szCs w:val="24"/>
        </w:rPr>
        <w:t>.</w:t>
      </w:r>
      <w:r w:rsidR="00205788">
        <w:rPr>
          <w:rFonts w:ascii="Times New Roman" w:hAnsi="Times New Roman" w:cs="Times New Roman"/>
          <w:i/>
          <w:sz w:val="24"/>
          <w:szCs w:val="24"/>
        </w:rPr>
        <w:t xml:space="preserve"> </w:t>
      </w:r>
      <w:r w:rsidR="00A245E1" w:rsidRPr="00205788">
        <w:rPr>
          <w:rFonts w:ascii="Times New Roman" w:hAnsi="Times New Roman" w:cs="Times New Roman"/>
          <w:i/>
          <w:sz w:val="24"/>
          <w:szCs w:val="24"/>
        </w:rPr>
        <w:t>.</w:t>
      </w:r>
      <w:r w:rsidR="00205788">
        <w:rPr>
          <w:rFonts w:ascii="Times New Roman" w:hAnsi="Times New Roman" w:cs="Times New Roman"/>
          <w:i/>
          <w:sz w:val="24"/>
          <w:szCs w:val="24"/>
        </w:rPr>
        <w:t xml:space="preserve"> . </w:t>
      </w:r>
      <w:r w:rsidR="00A245E1" w:rsidRPr="00205788">
        <w:rPr>
          <w:rFonts w:ascii="Times New Roman" w:hAnsi="Times New Roman" w:cs="Times New Roman"/>
          <w:i/>
          <w:sz w:val="24"/>
          <w:szCs w:val="24"/>
        </w:rPr>
        <w:t>because of teaching that was not as good as it should have been</w:t>
      </w:r>
      <w:r w:rsidR="00A245E1" w:rsidRPr="00205788">
        <w:rPr>
          <w:rFonts w:ascii="Times New Roman" w:hAnsi="Times New Roman" w:cs="Times New Roman"/>
          <w:sz w:val="24"/>
          <w:szCs w:val="24"/>
        </w:rPr>
        <w:t xml:space="preserve"> (BIS 2016a</w:t>
      </w:r>
      <w:r w:rsidR="00845A54">
        <w:rPr>
          <w:rFonts w:ascii="Times New Roman" w:hAnsi="Times New Roman" w:cs="Times New Roman"/>
          <w:sz w:val="24"/>
          <w:szCs w:val="24"/>
        </w:rPr>
        <w:t>,</w:t>
      </w:r>
      <w:r w:rsidR="00A245E1" w:rsidRPr="00345210">
        <w:rPr>
          <w:rFonts w:ascii="Times New Roman" w:hAnsi="Times New Roman" w:cs="Times New Roman"/>
          <w:sz w:val="24"/>
          <w:szCs w:val="24"/>
        </w:rPr>
        <w:t xml:space="preserve"> p. 46).</w:t>
      </w:r>
    </w:p>
    <w:p w14:paraId="4EC0F67E" w14:textId="21996E3F" w:rsidR="00784D1A" w:rsidRPr="00D91CEB" w:rsidRDefault="00F05707" w:rsidP="001C1AAE">
      <w:pPr>
        <w:spacing w:line="360" w:lineRule="auto"/>
        <w:jc w:val="both"/>
        <w:rPr>
          <w:rFonts w:ascii="Times New Roman" w:hAnsi="Times New Roman" w:cs="Times New Roman"/>
          <w:sz w:val="24"/>
          <w:szCs w:val="24"/>
        </w:rPr>
      </w:pPr>
      <w:r w:rsidRPr="00345210">
        <w:rPr>
          <w:rFonts w:ascii="Times New Roman" w:hAnsi="Times New Roman" w:cs="Times New Roman"/>
          <w:sz w:val="24"/>
          <w:szCs w:val="24"/>
        </w:rPr>
        <w:t xml:space="preserve">The discursive strategy of </w:t>
      </w:r>
      <w:r w:rsidR="00BF28B4" w:rsidRPr="00345210">
        <w:rPr>
          <w:rFonts w:ascii="Times New Roman" w:hAnsi="Times New Roman" w:cs="Times New Roman"/>
          <w:sz w:val="24"/>
          <w:szCs w:val="24"/>
        </w:rPr>
        <w:t xml:space="preserve">framing policy problems and </w:t>
      </w:r>
      <w:r w:rsidRPr="00345210">
        <w:rPr>
          <w:rFonts w:ascii="Times New Roman" w:hAnsi="Times New Roman" w:cs="Times New Roman"/>
          <w:sz w:val="24"/>
          <w:szCs w:val="24"/>
        </w:rPr>
        <w:t>delegitimising public universities</w:t>
      </w:r>
      <w:r w:rsidR="002840FF" w:rsidRPr="00345210">
        <w:rPr>
          <w:rFonts w:ascii="Times New Roman" w:hAnsi="Times New Roman" w:cs="Times New Roman"/>
          <w:sz w:val="24"/>
          <w:szCs w:val="24"/>
        </w:rPr>
        <w:t xml:space="preserve"> </w:t>
      </w:r>
      <w:r w:rsidR="00FD516D" w:rsidRPr="00345210">
        <w:rPr>
          <w:rFonts w:ascii="Times New Roman" w:hAnsi="Times New Roman" w:cs="Times New Roman"/>
          <w:sz w:val="24"/>
          <w:szCs w:val="24"/>
        </w:rPr>
        <w:t xml:space="preserve">paves </w:t>
      </w:r>
      <w:r w:rsidR="008F2778" w:rsidRPr="00345210">
        <w:rPr>
          <w:rFonts w:ascii="Times New Roman" w:hAnsi="Times New Roman" w:cs="Times New Roman"/>
          <w:sz w:val="24"/>
          <w:szCs w:val="24"/>
        </w:rPr>
        <w:t>the w</w:t>
      </w:r>
      <w:r w:rsidR="00656C71" w:rsidRPr="00345210">
        <w:rPr>
          <w:rFonts w:ascii="Times New Roman" w:hAnsi="Times New Roman" w:cs="Times New Roman"/>
          <w:sz w:val="24"/>
          <w:szCs w:val="24"/>
        </w:rPr>
        <w:t>ay for</w:t>
      </w:r>
      <w:r w:rsidR="00FD516D" w:rsidRPr="00345210">
        <w:rPr>
          <w:rFonts w:ascii="Times New Roman" w:hAnsi="Times New Roman" w:cs="Times New Roman"/>
          <w:sz w:val="24"/>
          <w:szCs w:val="24"/>
        </w:rPr>
        <w:t xml:space="preserve"> market</w:t>
      </w:r>
      <w:r w:rsidR="008F2778" w:rsidRPr="00345210">
        <w:rPr>
          <w:rFonts w:ascii="Times New Roman" w:hAnsi="Times New Roman" w:cs="Times New Roman"/>
          <w:sz w:val="24"/>
          <w:szCs w:val="24"/>
        </w:rPr>
        <w:t xml:space="preserve"> compet</w:t>
      </w:r>
      <w:r w:rsidR="00BF28B4" w:rsidRPr="00345210">
        <w:rPr>
          <w:rFonts w:ascii="Times New Roman" w:hAnsi="Times New Roman" w:cs="Times New Roman"/>
          <w:sz w:val="24"/>
          <w:szCs w:val="24"/>
        </w:rPr>
        <w:t xml:space="preserve">ition </w:t>
      </w:r>
      <w:r w:rsidR="00F01E90" w:rsidRPr="00345210">
        <w:rPr>
          <w:rFonts w:ascii="Times New Roman" w:hAnsi="Times New Roman" w:cs="Times New Roman"/>
          <w:sz w:val="24"/>
          <w:szCs w:val="24"/>
        </w:rPr>
        <w:t xml:space="preserve">to be portrayed as </w:t>
      </w:r>
      <w:r w:rsidR="00656C71" w:rsidRPr="00345210">
        <w:rPr>
          <w:rFonts w:ascii="Times New Roman" w:hAnsi="Times New Roman" w:cs="Times New Roman"/>
          <w:sz w:val="24"/>
          <w:szCs w:val="24"/>
        </w:rPr>
        <w:t xml:space="preserve">a ‘silver bullet‘ solution </w:t>
      </w:r>
      <w:r w:rsidR="00BF28B4" w:rsidRPr="00345210">
        <w:rPr>
          <w:rFonts w:ascii="Times New Roman" w:hAnsi="Times New Roman" w:cs="Times New Roman"/>
          <w:sz w:val="24"/>
          <w:szCs w:val="24"/>
        </w:rPr>
        <w:t>with the rationale that c</w:t>
      </w:r>
      <w:r w:rsidR="008F2778" w:rsidRPr="00345210">
        <w:rPr>
          <w:rFonts w:ascii="Times New Roman" w:hAnsi="Times New Roman" w:cs="Times New Roman"/>
          <w:sz w:val="24"/>
          <w:szCs w:val="24"/>
        </w:rPr>
        <w:t>ompetition incentivises</w:t>
      </w:r>
      <w:r w:rsidR="00BF28B4" w:rsidRPr="00345210">
        <w:rPr>
          <w:rFonts w:ascii="Times New Roman" w:hAnsi="Times New Roman" w:cs="Times New Roman"/>
          <w:sz w:val="24"/>
          <w:szCs w:val="24"/>
        </w:rPr>
        <w:t xml:space="preserve"> ‘</w:t>
      </w:r>
      <w:r w:rsidR="008F2778" w:rsidRPr="00345210">
        <w:rPr>
          <w:rFonts w:ascii="Times New Roman" w:hAnsi="Times New Roman" w:cs="Times New Roman"/>
          <w:i/>
          <w:sz w:val="24"/>
          <w:szCs w:val="24"/>
        </w:rPr>
        <w:t>gr</w:t>
      </w:r>
      <w:r w:rsidR="00FD516D" w:rsidRPr="00345210">
        <w:rPr>
          <w:rFonts w:ascii="Times New Roman" w:hAnsi="Times New Roman" w:cs="Times New Roman"/>
          <w:i/>
          <w:sz w:val="24"/>
          <w:szCs w:val="24"/>
        </w:rPr>
        <w:t>eater choice</w:t>
      </w:r>
      <w:r w:rsidR="00BF28B4" w:rsidRPr="00345210">
        <w:rPr>
          <w:rFonts w:ascii="Times New Roman" w:hAnsi="Times New Roman" w:cs="Times New Roman"/>
          <w:i/>
          <w:sz w:val="24"/>
          <w:szCs w:val="24"/>
        </w:rPr>
        <w:t>’</w:t>
      </w:r>
      <w:r w:rsidR="00345210">
        <w:rPr>
          <w:rFonts w:ascii="Times New Roman" w:hAnsi="Times New Roman" w:cs="Times New Roman"/>
          <w:i/>
          <w:sz w:val="24"/>
          <w:szCs w:val="24"/>
        </w:rPr>
        <w:t xml:space="preserve"> </w:t>
      </w:r>
      <w:r w:rsidR="00BF28B4" w:rsidRPr="00345210">
        <w:rPr>
          <w:rFonts w:ascii="Times New Roman" w:hAnsi="Times New Roman" w:cs="Times New Roman"/>
          <w:sz w:val="24"/>
          <w:szCs w:val="24"/>
        </w:rPr>
        <w:t>and</w:t>
      </w:r>
      <w:r w:rsidR="00FD516D" w:rsidRPr="00345210">
        <w:rPr>
          <w:rFonts w:ascii="Times New Roman" w:hAnsi="Times New Roman" w:cs="Times New Roman"/>
          <w:sz w:val="24"/>
          <w:szCs w:val="24"/>
        </w:rPr>
        <w:t xml:space="preserve"> </w:t>
      </w:r>
      <w:r w:rsidR="00BF28B4" w:rsidRPr="00345210">
        <w:rPr>
          <w:rFonts w:ascii="Times New Roman" w:hAnsi="Times New Roman" w:cs="Times New Roman"/>
          <w:sz w:val="24"/>
          <w:szCs w:val="24"/>
        </w:rPr>
        <w:t>‘</w:t>
      </w:r>
      <w:r w:rsidR="008F2778" w:rsidRPr="00345210">
        <w:rPr>
          <w:rFonts w:ascii="Times New Roman" w:hAnsi="Times New Roman" w:cs="Times New Roman"/>
          <w:i/>
          <w:sz w:val="24"/>
          <w:szCs w:val="24"/>
        </w:rPr>
        <w:t>bett</w:t>
      </w:r>
      <w:r w:rsidR="00FD516D" w:rsidRPr="00345210">
        <w:rPr>
          <w:rFonts w:ascii="Times New Roman" w:hAnsi="Times New Roman" w:cs="Times New Roman"/>
          <w:i/>
          <w:sz w:val="24"/>
          <w:szCs w:val="24"/>
        </w:rPr>
        <w:t>er quality products</w:t>
      </w:r>
      <w:r w:rsidR="00BF28B4" w:rsidRPr="00345210">
        <w:rPr>
          <w:rFonts w:ascii="Times New Roman" w:hAnsi="Times New Roman" w:cs="Times New Roman"/>
          <w:i/>
          <w:sz w:val="24"/>
          <w:szCs w:val="24"/>
        </w:rPr>
        <w:t>’</w:t>
      </w:r>
      <w:r w:rsidR="00BF28B4" w:rsidRPr="00345210">
        <w:rPr>
          <w:rFonts w:ascii="Times New Roman" w:hAnsi="Times New Roman" w:cs="Times New Roman"/>
          <w:sz w:val="24"/>
          <w:szCs w:val="24"/>
        </w:rPr>
        <w:t xml:space="preserve"> </w:t>
      </w:r>
      <w:r w:rsidR="008F2778" w:rsidRPr="00345210">
        <w:rPr>
          <w:rFonts w:ascii="Times New Roman" w:hAnsi="Times New Roman" w:cs="Times New Roman"/>
          <w:sz w:val="24"/>
          <w:szCs w:val="24"/>
        </w:rPr>
        <w:t xml:space="preserve">at </w:t>
      </w:r>
      <w:r w:rsidR="00BF28B4" w:rsidRPr="00345210">
        <w:rPr>
          <w:rFonts w:ascii="Times New Roman" w:hAnsi="Times New Roman" w:cs="Times New Roman"/>
          <w:sz w:val="24"/>
          <w:szCs w:val="24"/>
        </w:rPr>
        <w:t>‘</w:t>
      </w:r>
      <w:r w:rsidR="00656C71" w:rsidRPr="000F0B65">
        <w:rPr>
          <w:rFonts w:ascii="Times New Roman" w:hAnsi="Times New Roman" w:cs="Times New Roman"/>
          <w:i/>
          <w:sz w:val="24"/>
          <w:szCs w:val="24"/>
        </w:rPr>
        <w:t>l</w:t>
      </w:r>
      <w:r w:rsidR="00656C71" w:rsidRPr="00345210">
        <w:rPr>
          <w:rFonts w:ascii="Times New Roman" w:hAnsi="Times New Roman" w:cs="Times New Roman"/>
          <w:i/>
          <w:sz w:val="24"/>
          <w:szCs w:val="24"/>
        </w:rPr>
        <w:t>ower cost.</w:t>
      </w:r>
      <w:r w:rsidR="00656C71" w:rsidRPr="00345210">
        <w:rPr>
          <w:rFonts w:ascii="Times New Roman" w:hAnsi="Times New Roman" w:cs="Times New Roman"/>
          <w:sz w:val="24"/>
          <w:szCs w:val="24"/>
        </w:rPr>
        <w:t>’ (BIS, 2016a</w:t>
      </w:r>
      <w:r w:rsidR="00345210">
        <w:rPr>
          <w:rFonts w:ascii="Times New Roman" w:hAnsi="Times New Roman" w:cs="Times New Roman"/>
          <w:sz w:val="24"/>
          <w:szCs w:val="24"/>
        </w:rPr>
        <w:t>:</w:t>
      </w:r>
      <w:r w:rsidR="00656C71" w:rsidRPr="00345210">
        <w:rPr>
          <w:rFonts w:ascii="Times New Roman" w:hAnsi="Times New Roman" w:cs="Times New Roman"/>
          <w:sz w:val="24"/>
          <w:szCs w:val="24"/>
        </w:rPr>
        <w:t xml:space="preserve"> p.</w:t>
      </w:r>
      <w:r w:rsidR="00345210">
        <w:rPr>
          <w:rFonts w:ascii="Times New Roman" w:hAnsi="Times New Roman" w:cs="Times New Roman"/>
          <w:sz w:val="24"/>
          <w:szCs w:val="24"/>
        </w:rPr>
        <w:t xml:space="preserve"> </w:t>
      </w:r>
      <w:r w:rsidR="00656C71" w:rsidRPr="00345210">
        <w:rPr>
          <w:rFonts w:ascii="Times New Roman" w:hAnsi="Times New Roman" w:cs="Times New Roman"/>
          <w:sz w:val="24"/>
          <w:szCs w:val="24"/>
        </w:rPr>
        <w:t>8).</w:t>
      </w:r>
      <w:r w:rsidR="000F1F6A" w:rsidRPr="00345210">
        <w:rPr>
          <w:rFonts w:ascii="Times New Roman" w:hAnsi="Times New Roman" w:cs="Times New Roman"/>
          <w:sz w:val="24"/>
          <w:szCs w:val="24"/>
        </w:rPr>
        <w:t xml:space="preserve"> The creation of a single market regulator, the Office for Students is ‘</w:t>
      </w:r>
      <w:r w:rsidR="000F1F6A" w:rsidRPr="00845A54">
        <w:rPr>
          <w:rFonts w:ascii="Times New Roman" w:hAnsi="Times New Roman" w:cs="Times New Roman"/>
          <w:i/>
          <w:sz w:val="24"/>
          <w:szCs w:val="24"/>
        </w:rPr>
        <w:t>explicitly pro-competition and pro-student choice’</w:t>
      </w:r>
      <w:r w:rsidR="000F1F6A" w:rsidRPr="00845A54">
        <w:rPr>
          <w:rFonts w:ascii="Times New Roman" w:hAnsi="Times New Roman" w:cs="Times New Roman"/>
          <w:sz w:val="24"/>
          <w:szCs w:val="24"/>
        </w:rPr>
        <w:t xml:space="preserve"> (BIS, 2016</w:t>
      </w:r>
      <w:r w:rsidR="00FA4E7A">
        <w:rPr>
          <w:rFonts w:ascii="Times New Roman" w:hAnsi="Times New Roman" w:cs="Times New Roman"/>
          <w:sz w:val="24"/>
          <w:szCs w:val="24"/>
        </w:rPr>
        <w:t>a</w:t>
      </w:r>
      <w:r w:rsidR="00845A54">
        <w:rPr>
          <w:rFonts w:ascii="Times New Roman" w:hAnsi="Times New Roman" w:cs="Times New Roman"/>
          <w:sz w:val="24"/>
          <w:szCs w:val="24"/>
        </w:rPr>
        <w:t>,</w:t>
      </w:r>
      <w:r w:rsidR="000F1F6A" w:rsidRPr="00845A54">
        <w:rPr>
          <w:rFonts w:ascii="Times New Roman" w:hAnsi="Times New Roman" w:cs="Times New Roman"/>
          <w:sz w:val="24"/>
          <w:szCs w:val="24"/>
        </w:rPr>
        <w:t xml:space="preserve"> </w:t>
      </w:r>
      <w:r w:rsidR="00205788">
        <w:rPr>
          <w:rFonts w:ascii="Times New Roman" w:hAnsi="Times New Roman" w:cs="Times New Roman"/>
          <w:sz w:val="24"/>
          <w:szCs w:val="24"/>
        </w:rPr>
        <w:t xml:space="preserve">p. </w:t>
      </w:r>
      <w:r w:rsidR="000F1F6A" w:rsidRPr="00845A54">
        <w:rPr>
          <w:rFonts w:ascii="Times New Roman" w:hAnsi="Times New Roman" w:cs="Times New Roman"/>
          <w:sz w:val="24"/>
          <w:szCs w:val="24"/>
        </w:rPr>
        <w:t>15).</w:t>
      </w:r>
      <w:r w:rsidR="00AC3A39" w:rsidRPr="00845A54">
        <w:rPr>
          <w:rFonts w:ascii="Times New Roman" w:hAnsi="Times New Roman" w:cs="Times New Roman"/>
          <w:sz w:val="24"/>
          <w:szCs w:val="24"/>
        </w:rPr>
        <w:t>The student-consumer is presented as a crucial driver of quality and is</w:t>
      </w:r>
      <w:r w:rsidR="00784D1A" w:rsidRPr="00845A54">
        <w:rPr>
          <w:rFonts w:ascii="Times New Roman" w:hAnsi="Times New Roman" w:cs="Times New Roman"/>
          <w:sz w:val="24"/>
          <w:szCs w:val="24"/>
        </w:rPr>
        <w:t xml:space="preserve"> expected to </w:t>
      </w:r>
      <w:r w:rsidR="00851024" w:rsidRPr="00845A54">
        <w:rPr>
          <w:rFonts w:ascii="Times New Roman" w:hAnsi="Times New Roman" w:cs="Times New Roman"/>
          <w:sz w:val="24"/>
          <w:szCs w:val="24"/>
        </w:rPr>
        <w:t>‘</w:t>
      </w:r>
      <w:r w:rsidR="00784D1A" w:rsidRPr="00205788">
        <w:rPr>
          <w:rFonts w:ascii="Times New Roman" w:hAnsi="Times New Roman" w:cs="Times New Roman"/>
          <w:i/>
          <w:sz w:val="24"/>
          <w:szCs w:val="24"/>
        </w:rPr>
        <w:t>challenge universities to provide teaching</w:t>
      </w:r>
      <w:r w:rsidR="00833065">
        <w:rPr>
          <w:rFonts w:ascii="Times New Roman" w:hAnsi="Times New Roman" w:cs="Times New Roman"/>
          <w:i/>
          <w:sz w:val="24"/>
          <w:szCs w:val="24"/>
        </w:rPr>
        <w:t xml:space="preserve"> excellence’ (</w:t>
      </w:r>
      <w:r w:rsidR="00833065" w:rsidRPr="00611481">
        <w:rPr>
          <w:rFonts w:ascii="Times New Roman" w:hAnsi="Times New Roman" w:cs="Times New Roman"/>
          <w:sz w:val="24"/>
          <w:szCs w:val="24"/>
        </w:rPr>
        <w:t>BIS, 2016a, p.</w:t>
      </w:r>
      <w:r w:rsidR="00611481">
        <w:rPr>
          <w:rFonts w:ascii="Times New Roman" w:hAnsi="Times New Roman" w:cs="Times New Roman"/>
          <w:sz w:val="24"/>
          <w:szCs w:val="24"/>
        </w:rPr>
        <w:t xml:space="preserve"> </w:t>
      </w:r>
      <w:r w:rsidR="00833065" w:rsidRPr="00611481">
        <w:rPr>
          <w:rFonts w:ascii="Times New Roman" w:hAnsi="Times New Roman" w:cs="Times New Roman"/>
          <w:sz w:val="24"/>
          <w:szCs w:val="24"/>
        </w:rPr>
        <w:t>53</w:t>
      </w:r>
      <w:r w:rsidR="00833065">
        <w:rPr>
          <w:rFonts w:ascii="Times New Roman" w:hAnsi="Times New Roman" w:cs="Times New Roman"/>
          <w:sz w:val="24"/>
          <w:szCs w:val="24"/>
        </w:rPr>
        <w:t>)</w:t>
      </w:r>
      <w:r w:rsidR="00611481">
        <w:rPr>
          <w:rFonts w:ascii="Times New Roman" w:hAnsi="Times New Roman" w:cs="Times New Roman"/>
          <w:sz w:val="24"/>
          <w:szCs w:val="24"/>
        </w:rPr>
        <w:t>.</w:t>
      </w:r>
      <w:r w:rsidR="00784D1A" w:rsidRPr="00345210">
        <w:t xml:space="preserve"> </w:t>
      </w:r>
      <w:r w:rsidR="00784D1A" w:rsidRPr="00345210">
        <w:rPr>
          <w:rFonts w:ascii="Times New Roman" w:hAnsi="Times New Roman" w:cs="Times New Roman"/>
          <w:sz w:val="24"/>
          <w:szCs w:val="24"/>
        </w:rPr>
        <w:t>The shift of responsibility for quality from academics to students</w:t>
      </w:r>
      <w:r w:rsidR="005A0E01" w:rsidRPr="00345210">
        <w:rPr>
          <w:rFonts w:ascii="Times New Roman" w:hAnsi="Times New Roman" w:cs="Times New Roman"/>
          <w:sz w:val="24"/>
          <w:szCs w:val="24"/>
        </w:rPr>
        <w:t xml:space="preserve"> (Sabri</w:t>
      </w:r>
      <w:r w:rsidR="00345210">
        <w:rPr>
          <w:rFonts w:ascii="Times New Roman" w:hAnsi="Times New Roman" w:cs="Times New Roman"/>
          <w:sz w:val="24"/>
          <w:szCs w:val="24"/>
        </w:rPr>
        <w:t>,</w:t>
      </w:r>
      <w:r w:rsidR="005A0E01" w:rsidRPr="00345210">
        <w:rPr>
          <w:rFonts w:ascii="Times New Roman" w:hAnsi="Times New Roman" w:cs="Times New Roman"/>
          <w:sz w:val="24"/>
          <w:szCs w:val="24"/>
        </w:rPr>
        <w:t xml:space="preserve"> 2010)</w:t>
      </w:r>
      <w:r w:rsidR="005A0E01" w:rsidRPr="00345210">
        <w:t xml:space="preserve"> </w:t>
      </w:r>
      <w:r w:rsidR="00784D1A" w:rsidRPr="00345210">
        <w:rPr>
          <w:rFonts w:ascii="Times New Roman" w:hAnsi="Times New Roman" w:cs="Times New Roman"/>
          <w:sz w:val="24"/>
          <w:szCs w:val="24"/>
        </w:rPr>
        <w:t xml:space="preserve">is accompanied by elision in relation to what is meant by quality. The White Paper states that quality has </w:t>
      </w:r>
      <w:r w:rsidR="00784D1A" w:rsidRPr="00356420">
        <w:rPr>
          <w:rFonts w:ascii="Times New Roman" w:hAnsi="Times New Roman" w:cs="Times New Roman"/>
          <w:sz w:val="24"/>
          <w:szCs w:val="24"/>
        </w:rPr>
        <w:t>‘</w:t>
      </w:r>
      <w:r w:rsidR="00784D1A" w:rsidRPr="00356420">
        <w:rPr>
          <w:rFonts w:ascii="Times New Roman" w:hAnsi="Times New Roman" w:cs="Times New Roman"/>
          <w:i/>
          <w:sz w:val="24"/>
          <w:szCs w:val="24"/>
        </w:rPr>
        <w:t>many interpretations</w:t>
      </w:r>
      <w:r w:rsidR="00784D1A" w:rsidRPr="00356420">
        <w:rPr>
          <w:rFonts w:ascii="Times New Roman" w:hAnsi="Times New Roman" w:cs="Times New Roman"/>
          <w:sz w:val="24"/>
          <w:szCs w:val="24"/>
        </w:rPr>
        <w:t xml:space="preserve"> … [and] … </w:t>
      </w:r>
      <w:r w:rsidR="00784D1A" w:rsidRPr="00356420">
        <w:rPr>
          <w:rFonts w:ascii="Times New Roman" w:hAnsi="Times New Roman" w:cs="Times New Roman"/>
          <w:i/>
          <w:sz w:val="24"/>
          <w:szCs w:val="24"/>
        </w:rPr>
        <w:t>different ways of measuring it</w:t>
      </w:r>
      <w:r w:rsidR="00784D1A" w:rsidRPr="00356420">
        <w:rPr>
          <w:rFonts w:ascii="Times New Roman" w:hAnsi="Times New Roman" w:cs="Times New Roman"/>
          <w:sz w:val="24"/>
          <w:szCs w:val="24"/>
        </w:rPr>
        <w:t>’</w:t>
      </w:r>
      <w:r w:rsidR="00784D1A" w:rsidRPr="00345210">
        <w:rPr>
          <w:rFonts w:ascii="Times New Roman" w:hAnsi="Times New Roman" w:cs="Times New Roman"/>
          <w:sz w:val="24"/>
          <w:szCs w:val="24"/>
        </w:rPr>
        <w:t xml:space="preserve"> (BIS, 2015, p</w:t>
      </w:r>
      <w:r w:rsidR="00845A54">
        <w:rPr>
          <w:rFonts w:ascii="Times New Roman" w:hAnsi="Times New Roman" w:cs="Times New Roman"/>
          <w:sz w:val="24"/>
          <w:szCs w:val="24"/>
        </w:rPr>
        <w:t>.</w:t>
      </w:r>
      <w:r w:rsidR="00205788">
        <w:rPr>
          <w:rFonts w:ascii="Times New Roman" w:hAnsi="Times New Roman" w:cs="Times New Roman"/>
          <w:sz w:val="24"/>
          <w:szCs w:val="24"/>
        </w:rPr>
        <w:t xml:space="preserve"> </w:t>
      </w:r>
      <w:r w:rsidR="00784D1A" w:rsidRPr="00345210">
        <w:rPr>
          <w:rFonts w:ascii="Times New Roman" w:hAnsi="Times New Roman" w:cs="Times New Roman"/>
          <w:sz w:val="24"/>
          <w:szCs w:val="24"/>
        </w:rPr>
        <w:t>21). Nevertheless, the assumption is that mechanisms such as the National Student Survey through which students publicl</w:t>
      </w:r>
      <w:r w:rsidR="00784D1A" w:rsidRPr="00D91CEB">
        <w:rPr>
          <w:rFonts w:ascii="Times New Roman" w:hAnsi="Times New Roman" w:cs="Times New Roman"/>
          <w:sz w:val="24"/>
          <w:szCs w:val="24"/>
        </w:rPr>
        <w:t>y evaluate their courses and student choice will</w:t>
      </w:r>
      <w:r w:rsidR="000F1F6A" w:rsidRPr="00D91CEB">
        <w:rPr>
          <w:rFonts w:ascii="Times New Roman" w:hAnsi="Times New Roman" w:cs="Times New Roman"/>
          <w:sz w:val="24"/>
          <w:szCs w:val="24"/>
        </w:rPr>
        <w:t xml:space="preserve"> automatically and </w:t>
      </w:r>
      <w:r w:rsidR="00851024" w:rsidRPr="00D91CEB">
        <w:rPr>
          <w:rFonts w:ascii="Times New Roman" w:hAnsi="Times New Roman" w:cs="Times New Roman"/>
          <w:sz w:val="24"/>
          <w:szCs w:val="24"/>
        </w:rPr>
        <w:t xml:space="preserve">unproblematic </w:t>
      </w:r>
      <w:r w:rsidR="000F1F6A" w:rsidRPr="00D91CEB">
        <w:rPr>
          <w:rFonts w:ascii="Times New Roman" w:hAnsi="Times New Roman" w:cs="Times New Roman"/>
          <w:sz w:val="24"/>
          <w:szCs w:val="24"/>
        </w:rPr>
        <w:t xml:space="preserve">apply </w:t>
      </w:r>
      <w:r w:rsidR="00851024" w:rsidRPr="00D91CEB">
        <w:rPr>
          <w:rFonts w:ascii="Times New Roman" w:hAnsi="Times New Roman" w:cs="Times New Roman"/>
          <w:sz w:val="24"/>
          <w:szCs w:val="24"/>
        </w:rPr>
        <w:t>p</w:t>
      </w:r>
      <w:r w:rsidR="00784D1A" w:rsidRPr="00D91CEB">
        <w:rPr>
          <w:rFonts w:ascii="Times New Roman" w:hAnsi="Times New Roman" w:cs="Times New Roman"/>
          <w:sz w:val="24"/>
          <w:szCs w:val="24"/>
        </w:rPr>
        <w:t xml:space="preserve">ressure on institutions to enhance quality. </w:t>
      </w:r>
    </w:p>
    <w:p w14:paraId="5522FAD3" w14:textId="3D1D6F28" w:rsidR="000F1F6A" w:rsidRPr="00345210" w:rsidRDefault="000F1F6A" w:rsidP="001C1AAE">
      <w:pPr>
        <w:spacing w:line="360" w:lineRule="auto"/>
        <w:jc w:val="both"/>
        <w:rPr>
          <w:rFonts w:ascii="Times New Roman" w:hAnsi="Times New Roman" w:cs="Times New Roman"/>
          <w:sz w:val="24"/>
          <w:szCs w:val="24"/>
        </w:rPr>
      </w:pPr>
      <w:r w:rsidRPr="00D91CEB">
        <w:rPr>
          <w:rFonts w:ascii="Times New Roman" w:hAnsi="Times New Roman" w:cs="Times New Roman"/>
          <w:sz w:val="24"/>
          <w:szCs w:val="24"/>
        </w:rPr>
        <w:t>The</w:t>
      </w:r>
      <w:r w:rsidR="003F788C" w:rsidRPr="00D91CEB">
        <w:rPr>
          <w:rFonts w:ascii="Times New Roman" w:hAnsi="Times New Roman" w:cs="Times New Roman"/>
          <w:sz w:val="24"/>
          <w:szCs w:val="24"/>
        </w:rPr>
        <w:t xml:space="preserve"> solu</w:t>
      </w:r>
      <w:r w:rsidRPr="00D91CEB">
        <w:rPr>
          <w:rFonts w:ascii="Times New Roman" w:hAnsi="Times New Roman" w:cs="Times New Roman"/>
          <w:sz w:val="24"/>
          <w:szCs w:val="24"/>
        </w:rPr>
        <w:t xml:space="preserve">tion to elitism </w:t>
      </w:r>
      <w:r w:rsidR="003F788C" w:rsidRPr="00D91CEB">
        <w:rPr>
          <w:rFonts w:ascii="Times New Roman" w:hAnsi="Times New Roman" w:cs="Times New Roman"/>
          <w:sz w:val="24"/>
          <w:szCs w:val="24"/>
        </w:rPr>
        <w:t xml:space="preserve">is to </w:t>
      </w:r>
      <w:r w:rsidR="00F33B50" w:rsidRPr="00D91CEB">
        <w:rPr>
          <w:rFonts w:ascii="Times New Roman" w:hAnsi="Times New Roman" w:cs="Times New Roman"/>
          <w:sz w:val="24"/>
          <w:szCs w:val="24"/>
        </w:rPr>
        <w:t>create optimum</w:t>
      </w:r>
      <w:r w:rsidRPr="00D91CEB">
        <w:rPr>
          <w:rFonts w:ascii="Times New Roman" w:hAnsi="Times New Roman" w:cs="Times New Roman"/>
          <w:sz w:val="24"/>
          <w:szCs w:val="24"/>
        </w:rPr>
        <w:t xml:space="preserve"> conditions for the student-consumer to act as an engine for widening participation. </w:t>
      </w:r>
      <w:r w:rsidR="00170F52" w:rsidRPr="00D91CEB">
        <w:rPr>
          <w:rFonts w:ascii="Times New Roman" w:hAnsi="Times New Roman" w:cs="Times New Roman"/>
          <w:sz w:val="24"/>
          <w:szCs w:val="24"/>
        </w:rPr>
        <w:t>The TEF purports to equalise opportunities for students who have been traditionally excluded from HE as indicated by ‘</w:t>
      </w:r>
      <w:r w:rsidR="00170F52" w:rsidRPr="00D91CEB">
        <w:rPr>
          <w:rFonts w:ascii="Times New Roman" w:hAnsi="Times New Roman" w:cs="Times New Roman"/>
          <w:i/>
          <w:sz w:val="24"/>
          <w:szCs w:val="24"/>
        </w:rPr>
        <w:t>Teaching excellence matters, not only for students and taxpayers, but also for those who care about social mobility</w:t>
      </w:r>
      <w:r w:rsidR="00170F52" w:rsidRPr="00D91CEB">
        <w:rPr>
          <w:rFonts w:ascii="Times New Roman" w:hAnsi="Times New Roman" w:cs="Times New Roman"/>
          <w:sz w:val="24"/>
          <w:szCs w:val="24"/>
        </w:rPr>
        <w:t xml:space="preserve"> (BIS</w:t>
      </w:r>
      <w:r w:rsidR="00345210">
        <w:rPr>
          <w:rFonts w:ascii="Times New Roman" w:hAnsi="Times New Roman" w:cs="Times New Roman"/>
          <w:sz w:val="24"/>
          <w:szCs w:val="24"/>
        </w:rPr>
        <w:t>,</w:t>
      </w:r>
      <w:r w:rsidR="00170F52" w:rsidRPr="00345210">
        <w:rPr>
          <w:rFonts w:ascii="Times New Roman" w:hAnsi="Times New Roman" w:cs="Times New Roman"/>
          <w:sz w:val="24"/>
          <w:szCs w:val="24"/>
        </w:rPr>
        <w:t xml:space="preserve"> 2016</w:t>
      </w:r>
      <w:r w:rsidR="00F74588">
        <w:rPr>
          <w:rFonts w:ascii="Times New Roman" w:hAnsi="Times New Roman" w:cs="Times New Roman"/>
          <w:sz w:val="24"/>
          <w:szCs w:val="24"/>
        </w:rPr>
        <w:t>a</w:t>
      </w:r>
      <w:r w:rsidR="00845A54">
        <w:rPr>
          <w:rFonts w:ascii="Times New Roman" w:hAnsi="Times New Roman" w:cs="Times New Roman"/>
          <w:sz w:val="24"/>
          <w:szCs w:val="24"/>
        </w:rPr>
        <w:t>,</w:t>
      </w:r>
      <w:r w:rsidR="00170F52" w:rsidRPr="00345210">
        <w:rPr>
          <w:rFonts w:ascii="Times New Roman" w:hAnsi="Times New Roman" w:cs="Times New Roman"/>
          <w:sz w:val="24"/>
          <w:szCs w:val="24"/>
        </w:rPr>
        <w:t xml:space="preserve"> </w:t>
      </w:r>
      <w:r w:rsidR="00345210">
        <w:rPr>
          <w:rFonts w:ascii="Times New Roman" w:hAnsi="Times New Roman" w:cs="Times New Roman"/>
          <w:sz w:val="24"/>
          <w:szCs w:val="24"/>
        </w:rPr>
        <w:t>p.</w:t>
      </w:r>
      <w:r w:rsidR="00205788">
        <w:rPr>
          <w:rFonts w:ascii="Times New Roman" w:hAnsi="Times New Roman" w:cs="Times New Roman"/>
          <w:sz w:val="24"/>
          <w:szCs w:val="24"/>
        </w:rPr>
        <w:t xml:space="preserve"> </w:t>
      </w:r>
      <w:r w:rsidR="00170F52" w:rsidRPr="00345210">
        <w:rPr>
          <w:rFonts w:ascii="Times New Roman" w:hAnsi="Times New Roman" w:cs="Times New Roman"/>
          <w:sz w:val="24"/>
          <w:szCs w:val="24"/>
        </w:rPr>
        <w:t xml:space="preserve">13). The cap on </w:t>
      </w:r>
      <w:r w:rsidRPr="00345210">
        <w:rPr>
          <w:rFonts w:ascii="Times New Roman" w:hAnsi="Times New Roman" w:cs="Times New Roman"/>
          <w:sz w:val="24"/>
          <w:szCs w:val="24"/>
        </w:rPr>
        <w:t>student numbers is presented as an artificial restriction to student aspiration. Removing th</w:t>
      </w:r>
      <w:r w:rsidR="00345210">
        <w:rPr>
          <w:rFonts w:ascii="Times New Roman" w:hAnsi="Times New Roman" w:cs="Times New Roman"/>
          <w:sz w:val="24"/>
          <w:szCs w:val="24"/>
        </w:rPr>
        <w:t>is cap</w:t>
      </w:r>
      <w:r w:rsidRPr="00345210">
        <w:rPr>
          <w:rFonts w:ascii="Times New Roman" w:hAnsi="Times New Roman" w:cs="Times New Roman"/>
          <w:sz w:val="24"/>
          <w:szCs w:val="24"/>
        </w:rPr>
        <w:t xml:space="preserve"> thus becomes linked to enhancing social equity to ensure that </w:t>
      </w:r>
      <w:r w:rsidR="005F4E09">
        <w:rPr>
          <w:rFonts w:ascii="Times New Roman" w:hAnsi="Times New Roman" w:cs="Times New Roman"/>
          <w:sz w:val="24"/>
          <w:szCs w:val="24"/>
        </w:rPr>
        <w:t>‘</w:t>
      </w:r>
      <w:r w:rsidR="005F4E09" w:rsidRPr="00611481">
        <w:rPr>
          <w:rFonts w:ascii="Times New Roman" w:hAnsi="Times New Roman" w:cs="Times New Roman"/>
          <w:i/>
          <w:sz w:val="24"/>
          <w:szCs w:val="24"/>
        </w:rPr>
        <w:t>As a One Nation Government, we believe that anyone with the talent and potential should be able to benefit from higher education</w:t>
      </w:r>
      <w:r w:rsidR="00611481">
        <w:rPr>
          <w:rFonts w:ascii="Times New Roman" w:hAnsi="Times New Roman" w:cs="Times New Roman"/>
          <w:sz w:val="24"/>
          <w:szCs w:val="24"/>
        </w:rPr>
        <w:t xml:space="preserve">’ </w:t>
      </w:r>
      <w:r w:rsidRPr="00345210">
        <w:rPr>
          <w:rFonts w:ascii="Times New Roman" w:hAnsi="Times New Roman" w:cs="Times New Roman"/>
          <w:sz w:val="24"/>
          <w:szCs w:val="24"/>
        </w:rPr>
        <w:t>(BIS, 201</w:t>
      </w:r>
      <w:r w:rsidR="005F4E09">
        <w:rPr>
          <w:rFonts w:ascii="Times New Roman" w:hAnsi="Times New Roman" w:cs="Times New Roman"/>
          <w:sz w:val="24"/>
          <w:szCs w:val="24"/>
        </w:rPr>
        <w:t>5</w:t>
      </w:r>
      <w:r w:rsidR="00845A54">
        <w:rPr>
          <w:rFonts w:ascii="Times New Roman" w:hAnsi="Times New Roman" w:cs="Times New Roman"/>
          <w:sz w:val="24"/>
          <w:szCs w:val="24"/>
        </w:rPr>
        <w:t>,</w:t>
      </w:r>
      <w:r w:rsidRPr="00345210">
        <w:rPr>
          <w:rFonts w:ascii="Times New Roman" w:hAnsi="Times New Roman" w:cs="Times New Roman"/>
          <w:sz w:val="24"/>
          <w:szCs w:val="24"/>
        </w:rPr>
        <w:t xml:space="preserve"> p.</w:t>
      </w:r>
      <w:r w:rsidR="00205788">
        <w:rPr>
          <w:rFonts w:ascii="Times New Roman" w:hAnsi="Times New Roman" w:cs="Times New Roman"/>
          <w:sz w:val="24"/>
          <w:szCs w:val="24"/>
        </w:rPr>
        <w:t xml:space="preserve"> </w:t>
      </w:r>
      <w:r w:rsidR="005F4E09">
        <w:rPr>
          <w:rFonts w:ascii="Times New Roman" w:hAnsi="Times New Roman" w:cs="Times New Roman"/>
          <w:sz w:val="24"/>
          <w:szCs w:val="24"/>
        </w:rPr>
        <w:t>13</w:t>
      </w:r>
      <w:r w:rsidRPr="00345210">
        <w:rPr>
          <w:rFonts w:ascii="Times New Roman" w:hAnsi="Times New Roman" w:cs="Times New Roman"/>
          <w:sz w:val="24"/>
          <w:szCs w:val="24"/>
        </w:rPr>
        <w:t xml:space="preserve">). The White Paper goes further to state that </w:t>
      </w:r>
      <w:r w:rsidRPr="00345210">
        <w:rPr>
          <w:rFonts w:ascii="Times New Roman" w:hAnsi="Times New Roman" w:cs="Times New Roman"/>
          <w:sz w:val="24"/>
          <w:szCs w:val="24"/>
        </w:rPr>
        <w:lastRenderedPageBreak/>
        <w:t>‘</w:t>
      </w:r>
      <w:r w:rsidRPr="00345210">
        <w:rPr>
          <w:rFonts w:ascii="Times New Roman" w:hAnsi="Times New Roman" w:cs="Times New Roman"/>
          <w:i/>
          <w:sz w:val="24"/>
          <w:szCs w:val="24"/>
        </w:rPr>
        <w:t>by ending student number controls, we have made the possibility of participation in it a reality for more people than ever before</w:t>
      </w:r>
      <w:r w:rsidRPr="00345210">
        <w:rPr>
          <w:rFonts w:ascii="Times New Roman" w:hAnsi="Times New Roman" w:cs="Times New Roman"/>
          <w:sz w:val="24"/>
          <w:szCs w:val="24"/>
        </w:rPr>
        <w:t xml:space="preserve"> (BIS, 2016a</w:t>
      </w:r>
      <w:r w:rsidR="00845A54">
        <w:rPr>
          <w:rFonts w:ascii="Times New Roman" w:hAnsi="Times New Roman" w:cs="Times New Roman"/>
          <w:sz w:val="24"/>
          <w:szCs w:val="24"/>
        </w:rPr>
        <w:t>,</w:t>
      </w:r>
      <w:r w:rsidRPr="00345210">
        <w:rPr>
          <w:rFonts w:ascii="Times New Roman" w:hAnsi="Times New Roman" w:cs="Times New Roman"/>
          <w:sz w:val="24"/>
          <w:szCs w:val="24"/>
        </w:rPr>
        <w:t xml:space="preserve"> p</w:t>
      </w:r>
      <w:r w:rsidR="00845A54">
        <w:rPr>
          <w:rFonts w:ascii="Times New Roman" w:hAnsi="Times New Roman" w:cs="Times New Roman"/>
          <w:sz w:val="24"/>
          <w:szCs w:val="24"/>
        </w:rPr>
        <w:t>.</w:t>
      </w:r>
      <w:r w:rsidR="00205788">
        <w:rPr>
          <w:rFonts w:ascii="Times New Roman" w:hAnsi="Times New Roman" w:cs="Times New Roman"/>
          <w:sz w:val="24"/>
          <w:szCs w:val="24"/>
        </w:rPr>
        <w:t xml:space="preserve"> </w:t>
      </w:r>
      <w:r w:rsidRPr="00345210">
        <w:rPr>
          <w:rFonts w:ascii="Times New Roman" w:hAnsi="Times New Roman" w:cs="Times New Roman"/>
          <w:sz w:val="24"/>
          <w:szCs w:val="24"/>
        </w:rPr>
        <w:t>5).</w:t>
      </w:r>
    </w:p>
    <w:p w14:paraId="28B46349" w14:textId="7E53D07E" w:rsidR="001A083E" w:rsidRPr="00345210" w:rsidRDefault="00AD4CED"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A</w:t>
      </w:r>
      <w:r w:rsidR="00F33B50" w:rsidRPr="00D91CEB">
        <w:rPr>
          <w:rFonts w:ascii="Times New Roman" w:hAnsi="Times New Roman" w:cs="Times New Roman"/>
          <w:sz w:val="24"/>
          <w:szCs w:val="24"/>
        </w:rPr>
        <w:t xml:space="preserve"> further important solution posed in both papers is to de-regulate HE and</w:t>
      </w:r>
      <w:r w:rsidRPr="00D91CEB">
        <w:rPr>
          <w:rFonts w:ascii="Times New Roman" w:hAnsi="Times New Roman" w:cs="Times New Roman"/>
          <w:sz w:val="24"/>
          <w:szCs w:val="24"/>
        </w:rPr>
        <w:t xml:space="preserve"> to attribute enhanced value to for</w:t>
      </w:r>
      <w:r w:rsidR="00095A0B" w:rsidRPr="00D91CEB">
        <w:rPr>
          <w:rFonts w:ascii="Times New Roman" w:hAnsi="Times New Roman" w:cs="Times New Roman"/>
          <w:sz w:val="24"/>
          <w:szCs w:val="24"/>
        </w:rPr>
        <w:t>-</w:t>
      </w:r>
      <w:r w:rsidRPr="00D91CEB">
        <w:rPr>
          <w:rFonts w:ascii="Times New Roman" w:hAnsi="Times New Roman" w:cs="Times New Roman"/>
          <w:sz w:val="24"/>
          <w:szCs w:val="24"/>
        </w:rPr>
        <w:t>profit institutions. The word ‘quality’ is used positively only in relation to the new providers and not in a single case to publically funded universities. Given the evidence of quality issues related to some for-profit providers (see for example</w:t>
      </w:r>
      <w:r w:rsidR="00345210">
        <w:rPr>
          <w:rFonts w:ascii="Times New Roman" w:hAnsi="Times New Roman" w:cs="Times New Roman"/>
          <w:sz w:val="24"/>
          <w:szCs w:val="24"/>
        </w:rPr>
        <w:t>,</w:t>
      </w:r>
      <w:r w:rsidRPr="00345210">
        <w:rPr>
          <w:rFonts w:ascii="Times New Roman" w:hAnsi="Times New Roman" w:cs="Times New Roman"/>
          <w:sz w:val="24"/>
          <w:szCs w:val="24"/>
        </w:rPr>
        <w:t xml:space="preserve"> </w:t>
      </w:r>
      <w:proofErr w:type="spellStart"/>
      <w:r w:rsidRPr="00345210">
        <w:rPr>
          <w:rFonts w:ascii="Times New Roman" w:hAnsi="Times New Roman" w:cs="Times New Roman"/>
          <w:sz w:val="24"/>
          <w:szCs w:val="24"/>
        </w:rPr>
        <w:t>Fielden</w:t>
      </w:r>
      <w:proofErr w:type="spellEnd"/>
      <w:r w:rsidRPr="00345210">
        <w:rPr>
          <w:rFonts w:ascii="Times New Roman" w:hAnsi="Times New Roman" w:cs="Times New Roman"/>
          <w:sz w:val="24"/>
          <w:szCs w:val="24"/>
        </w:rPr>
        <w:t xml:space="preserve"> and Middlehurst, 2017), this overwhelming positive endorsement is remarkable. The new providers are expected to ‘</w:t>
      </w:r>
      <w:r w:rsidRPr="00345210">
        <w:rPr>
          <w:rFonts w:ascii="Times New Roman" w:hAnsi="Times New Roman" w:cs="Times New Roman"/>
          <w:i/>
          <w:sz w:val="24"/>
          <w:szCs w:val="24"/>
        </w:rPr>
        <w:t>help drive up teaching standards overall’</w:t>
      </w:r>
      <w:r w:rsidRPr="00345210">
        <w:rPr>
          <w:rFonts w:ascii="Times New Roman" w:hAnsi="Times New Roman" w:cs="Times New Roman"/>
          <w:sz w:val="24"/>
          <w:szCs w:val="24"/>
        </w:rPr>
        <w:t xml:space="preserve"> (BIS</w:t>
      </w:r>
      <w:r w:rsidR="00345210">
        <w:rPr>
          <w:rFonts w:ascii="Times New Roman" w:hAnsi="Times New Roman" w:cs="Times New Roman"/>
          <w:sz w:val="24"/>
          <w:szCs w:val="24"/>
        </w:rPr>
        <w:t>,</w:t>
      </w:r>
      <w:r w:rsidRPr="00345210">
        <w:rPr>
          <w:rFonts w:ascii="Times New Roman" w:hAnsi="Times New Roman" w:cs="Times New Roman"/>
          <w:sz w:val="24"/>
          <w:szCs w:val="24"/>
        </w:rPr>
        <w:t xml:space="preserve"> 2016</w:t>
      </w:r>
      <w:r w:rsidR="00845A54">
        <w:rPr>
          <w:rFonts w:ascii="Times New Roman" w:hAnsi="Times New Roman" w:cs="Times New Roman"/>
          <w:sz w:val="24"/>
          <w:szCs w:val="24"/>
        </w:rPr>
        <w:t>,</w:t>
      </w:r>
      <w:r w:rsidRPr="00345210">
        <w:rPr>
          <w:rFonts w:ascii="Times New Roman" w:hAnsi="Times New Roman" w:cs="Times New Roman"/>
          <w:sz w:val="24"/>
          <w:szCs w:val="24"/>
        </w:rPr>
        <w:t xml:space="preserve"> </w:t>
      </w:r>
      <w:r w:rsidR="00345210">
        <w:rPr>
          <w:rFonts w:ascii="Times New Roman" w:hAnsi="Times New Roman" w:cs="Times New Roman"/>
          <w:sz w:val="24"/>
          <w:szCs w:val="24"/>
        </w:rPr>
        <w:t>p.</w:t>
      </w:r>
      <w:r w:rsidR="00205788">
        <w:rPr>
          <w:rFonts w:ascii="Times New Roman" w:hAnsi="Times New Roman" w:cs="Times New Roman"/>
          <w:sz w:val="24"/>
          <w:szCs w:val="24"/>
        </w:rPr>
        <w:t xml:space="preserve"> </w:t>
      </w:r>
      <w:r w:rsidRPr="00345210">
        <w:rPr>
          <w:rFonts w:ascii="Times New Roman" w:hAnsi="Times New Roman" w:cs="Times New Roman"/>
          <w:sz w:val="24"/>
          <w:szCs w:val="24"/>
        </w:rPr>
        <w:t>9</w:t>
      </w:r>
      <w:r w:rsidR="00F33B50" w:rsidRPr="00345210">
        <w:rPr>
          <w:rFonts w:ascii="Times New Roman" w:hAnsi="Times New Roman" w:cs="Times New Roman"/>
          <w:sz w:val="24"/>
          <w:szCs w:val="24"/>
        </w:rPr>
        <w:t xml:space="preserve">) and </w:t>
      </w:r>
      <w:r w:rsidRPr="00345210">
        <w:rPr>
          <w:rFonts w:ascii="Times New Roman" w:hAnsi="Times New Roman" w:cs="Times New Roman"/>
          <w:sz w:val="24"/>
          <w:szCs w:val="24"/>
        </w:rPr>
        <w:t>to be ‘</w:t>
      </w:r>
      <w:r w:rsidRPr="00345210">
        <w:rPr>
          <w:rFonts w:ascii="Times New Roman" w:hAnsi="Times New Roman" w:cs="Times New Roman"/>
          <w:i/>
          <w:sz w:val="24"/>
          <w:szCs w:val="24"/>
        </w:rPr>
        <w:t>a catalyst for social mobility’</w:t>
      </w:r>
      <w:r w:rsidRPr="00345210">
        <w:rPr>
          <w:rFonts w:ascii="Times New Roman" w:hAnsi="Times New Roman" w:cs="Times New Roman"/>
          <w:sz w:val="24"/>
          <w:szCs w:val="24"/>
        </w:rPr>
        <w:t xml:space="preserve"> (BIS, 2016</w:t>
      </w:r>
      <w:r w:rsidR="00845A54">
        <w:rPr>
          <w:rFonts w:ascii="Times New Roman" w:hAnsi="Times New Roman" w:cs="Times New Roman"/>
          <w:sz w:val="24"/>
          <w:szCs w:val="24"/>
        </w:rPr>
        <w:t>,</w:t>
      </w:r>
      <w:r w:rsidRPr="00345210">
        <w:rPr>
          <w:rFonts w:ascii="Times New Roman" w:hAnsi="Times New Roman" w:cs="Times New Roman"/>
          <w:sz w:val="24"/>
          <w:szCs w:val="24"/>
        </w:rPr>
        <w:t xml:space="preserve"> p.</w:t>
      </w:r>
      <w:r w:rsidR="00205788">
        <w:rPr>
          <w:rFonts w:ascii="Times New Roman" w:hAnsi="Times New Roman" w:cs="Times New Roman"/>
          <w:sz w:val="24"/>
          <w:szCs w:val="24"/>
        </w:rPr>
        <w:t xml:space="preserve"> </w:t>
      </w:r>
      <w:r w:rsidRPr="00345210">
        <w:rPr>
          <w:rFonts w:ascii="Times New Roman" w:hAnsi="Times New Roman" w:cs="Times New Roman"/>
          <w:sz w:val="24"/>
          <w:szCs w:val="24"/>
        </w:rPr>
        <w:t xml:space="preserve">9). </w:t>
      </w:r>
      <w:r w:rsidR="00F33B50" w:rsidRPr="00345210">
        <w:rPr>
          <w:rFonts w:ascii="Times New Roman" w:hAnsi="Times New Roman" w:cs="Times New Roman"/>
          <w:sz w:val="24"/>
          <w:szCs w:val="24"/>
        </w:rPr>
        <w:t xml:space="preserve">Space will be created for the new for profit institutions because some </w:t>
      </w:r>
      <w:r w:rsidR="00851024" w:rsidRPr="00845A54">
        <w:rPr>
          <w:rFonts w:ascii="Times New Roman" w:hAnsi="Times New Roman" w:cs="Times New Roman"/>
          <w:sz w:val="24"/>
          <w:szCs w:val="24"/>
        </w:rPr>
        <w:t>‘</w:t>
      </w:r>
      <w:r w:rsidR="00F33B50" w:rsidRPr="00845A54">
        <w:rPr>
          <w:rFonts w:ascii="Times New Roman" w:hAnsi="Times New Roman" w:cs="Times New Roman"/>
          <w:i/>
          <w:sz w:val="24"/>
          <w:szCs w:val="24"/>
        </w:rPr>
        <w:t>lower quality providers will be withdraw</w:t>
      </w:r>
      <w:r w:rsidR="00854125" w:rsidRPr="00845A54">
        <w:rPr>
          <w:rFonts w:ascii="Times New Roman" w:hAnsi="Times New Roman" w:cs="Times New Roman"/>
          <w:i/>
          <w:sz w:val="24"/>
          <w:szCs w:val="24"/>
        </w:rPr>
        <w:t>n</w:t>
      </w:r>
      <w:r w:rsidR="00F33B50" w:rsidRPr="00845A54">
        <w:rPr>
          <w:rFonts w:ascii="Times New Roman" w:hAnsi="Times New Roman" w:cs="Times New Roman"/>
          <w:i/>
          <w:sz w:val="24"/>
          <w:szCs w:val="24"/>
        </w:rPr>
        <w:t>, leaving space for new entrants, and raising quality overall</w:t>
      </w:r>
      <w:r w:rsidR="00851024" w:rsidRPr="00845A54">
        <w:rPr>
          <w:rFonts w:ascii="Times New Roman" w:hAnsi="Times New Roman" w:cs="Times New Roman"/>
          <w:i/>
          <w:sz w:val="24"/>
          <w:szCs w:val="24"/>
        </w:rPr>
        <w:t>’</w:t>
      </w:r>
      <w:r w:rsidR="00F33B50" w:rsidRPr="00845A54">
        <w:rPr>
          <w:rFonts w:ascii="Times New Roman" w:hAnsi="Times New Roman" w:cs="Times New Roman"/>
          <w:sz w:val="24"/>
          <w:szCs w:val="24"/>
        </w:rPr>
        <w:t xml:space="preserve"> (BIS, 2015</w:t>
      </w:r>
      <w:r w:rsidR="00845A54">
        <w:rPr>
          <w:rFonts w:ascii="Times New Roman" w:hAnsi="Times New Roman" w:cs="Times New Roman"/>
          <w:sz w:val="24"/>
          <w:szCs w:val="24"/>
        </w:rPr>
        <w:t>,</w:t>
      </w:r>
      <w:r w:rsidR="00F33B50" w:rsidRPr="00345210">
        <w:rPr>
          <w:rFonts w:ascii="Times New Roman" w:hAnsi="Times New Roman" w:cs="Times New Roman"/>
          <w:sz w:val="24"/>
          <w:szCs w:val="24"/>
        </w:rPr>
        <w:t xml:space="preserve"> p.</w:t>
      </w:r>
      <w:r w:rsidR="00205788">
        <w:rPr>
          <w:rFonts w:ascii="Times New Roman" w:hAnsi="Times New Roman" w:cs="Times New Roman"/>
          <w:sz w:val="24"/>
          <w:szCs w:val="24"/>
        </w:rPr>
        <w:t xml:space="preserve"> </w:t>
      </w:r>
      <w:r w:rsidR="00F33B50" w:rsidRPr="00345210">
        <w:rPr>
          <w:rFonts w:ascii="Times New Roman" w:hAnsi="Times New Roman" w:cs="Times New Roman"/>
          <w:sz w:val="24"/>
          <w:szCs w:val="24"/>
        </w:rPr>
        <w:t>19)</w:t>
      </w:r>
    </w:p>
    <w:p w14:paraId="267549AB" w14:textId="126787E6" w:rsidR="00854125" w:rsidRPr="00ED4884" w:rsidRDefault="00D81DA9" w:rsidP="001C1AAE">
      <w:pPr>
        <w:spacing w:after="120" w:line="360" w:lineRule="auto"/>
        <w:jc w:val="both"/>
        <w:rPr>
          <w:rFonts w:ascii="Times New Roman" w:hAnsi="Times New Roman" w:cs="Times New Roman"/>
          <w:sz w:val="24"/>
          <w:szCs w:val="24"/>
        </w:rPr>
      </w:pPr>
      <w:r w:rsidRPr="00345210">
        <w:rPr>
          <w:rFonts w:ascii="Times New Roman" w:hAnsi="Times New Roman" w:cs="Times New Roman"/>
          <w:sz w:val="24"/>
          <w:szCs w:val="24"/>
        </w:rPr>
        <w:t>As we see from the above, t</w:t>
      </w:r>
      <w:r w:rsidR="00854125" w:rsidRPr="00345210">
        <w:rPr>
          <w:rFonts w:ascii="Times New Roman" w:hAnsi="Times New Roman" w:cs="Times New Roman"/>
          <w:sz w:val="24"/>
          <w:szCs w:val="24"/>
        </w:rPr>
        <w:t>he misrecognition strategy in the TEF is buil</w:t>
      </w:r>
      <w:r w:rsidR="00854125" w:rsidRPr="00ED4884">
        <w:rPr>
          <w:rFonts w:ascii="Times New Roman" w:hAnsi="Times New Roman" w:cs="Times New Roman"/>
          <w:sz w:val="24"/>
          <w:szCs w:val="24"/>
        </w:rPr>
        <w:t>t on the notion of empowerment linked to a new market identity</w:t>
      </w:r>
      <w:r w:rsidRPr="00D91CEB">
        <w:rPr>
          <w:rFonts w:ascii="Times New Roman" w:hAnsi="Times New Roman" w:cs="Times New Roman"/>
          <w:sz w:val="24"/>
          <w:szCs w:val="24"/>
        </w:rPr>
        <w:t xml:space="preserve"> for both institutions and actors.</w:t>
      </w:r>
      <w:r w:rsidR="00C67D74" w:rsidRPr="00D91CEB">
        <w:rPr>
          <w:rFonts w:ascii="Times New Roman" w:hAnsi="Times New Roman" w:cs="Times New Roman"/>
          <w:sz w:val="24"/>
          <w:szCs w:val="24"/>
        </w:rPr>
        <w:t xml:space="preserve"> The </w:t>
      </w:r>
      <w:r w:rsidR="000C0921" w:rsidRPr="00D91CEB">
        <w:rPr>
          <w:rFonts w:ascii="Times New Roman" w:hAnsi="Times New Roman" w:cs="Times New Roman"/>
          <w:sz w:val="24"/>
          <w:szCs w:val="24"/>
        </w:rPr>
        <w:t>government prescribes</w:t>
      </w:r>
      <w:r w:rsidR="00C67D74" w:rsidRPr="00D91CEB">
        <w:rPr>
          <w:rFonts w:ascii="Times New Roman" w:hAnsi="Times New Roman" w:cs="Times New Roman"/>
          <w:sz w:val="24"/>
          <w:szCs w:val="24"/>
        </w:rPr>
        <w:t xml:space="preserve"> indicators such as student satisfaction as a proxy for quality and in so doing renders</w:t>
      </w:r>
      <w:r w:rsidR="000C0921" w:rsidRPr="00D91CEB">
        <w:rPr>
          <w:rFonts w:ascii="Times New Roman" w:hAnsi="Times New Roman" w:cs="Times New Roman"/>
          <w:sz w:val="24"/>
          <w:szCs w:val="24"/>
        </w:rPr>
        <w:t xml:space="preserve"> other qualities of teaching such as criticality and research-led teaching </w:t>
      </w:r>
      <w:r w:rsidR="00ED4884">
        <w:rPr>
          <w:rFonts w:ascii="Times New Roman" w:hAnsi="Times New Roman" w:cs="Times New Roman"/>
          <w:sz w:val="24"/>
          <w:szCs w:val="24"/>
        </w:rPr>
        <w:t>that</w:t>
      </w:r>
      <w:r w:rsidR="000C0921" w:rsidRPr="00ED4884">
        <w:rPr>
          <w:rFonts w:ascii="Times New Roman" w:hAnsi="Times New Roman" w:cs="Times New Roman"/>
          <w:sz w:val="24"/>
          <w:szCs w:val="24"/>
        </w:rPr>
        <w:t xml:space="preserve"> valorise academic and scientific capital as illegitimate. </w:t>
      </w:r>
      <w:r w:rsidR="00ED4884">
        <w:rPr>
          <w:rFonts w:ascii="Times New Roman" w:hAnsi="Times New Roman" w:cs="Times New Roman"/>
          <w:sz w:val="24"/>
          <w:szCs w:val="24"/>
        </w:rPr>
        <w:t>P</w:t>
      </w:r>
      <w:r w:rsidR="00D7078F" w:rsidRPr="00ED4884">
        <w:rPr>
          <w:rFonts w:ascii="Times New Roman" w:hAnsi="Times New Roman" w:cs="Times New Roman"/>
          <w:sz w:val="24"/>
          <w:szCs w:val="24"/>
        </w:rPr>
        <w:t>ublically funded universities are required to submit to the symbolic</w:t>
      </w:r>
      <w:r w:rsidR="00170F52" w:rsidRPr="00ED4884">
        <w:rPr>
          <w:rFonts w:ascii="Times New Roman" w:hAnsi="Times New Roman" w:cs="Times New Roman"/>
          <w:sz w:val="24"/>
          <w:szCs w:val="24"/>
        </w:rPr>
        <w:t xml:space="preserve"> capital which benefits</w:t>
      </w:r>
      <w:r w:rsidR="00D7078F" w:rsidRPr="00ED4884">
        <w:rPr>
          <w:rFonts w:ascii="Times New Roman" w:hAnsi="Times New Roman" w:cs="Times New Roman"/>
          <w:sz w:val="24"/>
          <w:szCs w:val="24"/>
        </w:rPr>
        <w:t xml:space="preserve"> n</w:t>
      </w:r>
      <w:r w:rsidR="00170F52" w:rsidRPr="00ED4884">
        <w:rPr>
          <w:rFonts w:ascii="Times New Roman" w:hAnsi="Times New Roman" w:cs="Times New Roman"/>
          <w:sz w:val="24"/>
          <w:szCs w:val="24"/>
        </w:rPr>
        <w:t>e</w:t>
      </w:r>
      <w:r w:rsidR="00D7078F" w:rsidRPr="00ED4884">
        <w:rPr>
          <w:rFonts w:ascii="Times New Roman" w:hAnsi="Times New Roman" w:cs="Times New Roman"/>
          <w:sz w:val="24"/>
          <w:szCs w:val="24"/>
        </w:rPr>
        <w:t>w market actors or to face market sanctions and forced exit</w:t>
      </w:r>
      <w:r w:rsidR="00C67D74" w:rsidRPr="00ED4884">
        <w:rPr>
          <w:rFonts w:ascii="Times New Roman" w:hAnsi="Times New Roman" w:cs="Times New Roman"/>
          <w:sz w:val="24"/>
          <w:szCs w:val="24"/>
        </w:rPr>
        <w:t>. Student-consumers</w:t>
      </w:r>
      <w:r w:rsidR="00170F52" w:rsidRPr="00ED4884">
        <w:rPr>
          <w:rFonts w:ascii="Times New Roman" w:hAnsi="Times New Roman" w:cs="Times New Roman"/>
          <w:sz w:val="24"/>
          <w:szCs w:val="24"/>
        </w:rPr>
        <w:t>,</w:t>
      </w:r>
      <w:r w:rsidR="00C67D74" w:rsidRPr="00ED4884">
        <w:rPr>
          <w:rFonts w:ascii="Times New Roman" w:hAnsi="Times New Roman" w:cs="Times New Roman"/>
          <w:sz w:val="24"/>
          <w:szCs w:val="24"/>
        </w:rPr>
        <w:t xml:space="preserve"> as investors in their own education</w:t>
      </w:r>
      <w:r w:rsidR="00851024" w:rsidRPr="00ED4884">
        <w:rPr>
          <w:rFonts w:ascii="Times New Roman" w:hAnsi="Times New Roman" w:cs="Times New Roman"/>
          <w:sz w:val="24"/>
          <w:szCs w:val="24"/>
        </w:rPr>
        <w:t xml:space="preserve"> have the responsibility</w:t>
      </w:r>
      <w:r w:rsidR="00C67D74" w:rsidRPr="00D91CEB">
        <w:rPr>
          <w:rFonts w:ascii="Times New Roman" w:hAnsi="Times New Roman" w:cs="Times New Roman"/>
          <w:sz w:val="24"/>
          <w:szCs w:val="24"/>
        </w:rPr>
        <w:t xml:space="preserve"> to make good choices as ‘</w:t>
      </w:r>
      <w:r w:rsidR="00C67D74" w:rsidRPr="00D91CEB">
        <w:rPr>
          <w:rFonts w:ascii="Times New Roman" w:hAnsi="Times New Roman" w:cs="Times New Roman"/>
          <w:i/>
          <w:sz w:val="24"/>
          <w:szCs w:val="24"/>
        </w:rPr>
        <w:t>these decisions are significant factors in determining a student’s future life and career</w:t>
      </w:r>
      <w:r w:rsidR="00ED4884">
        <w:rPr>
          <w:rFonts w:ascii="Times New Roman" w:hAnsi="Times New Roman" w:cs="Times New Roman"/>
          <w:i/>
          <w:sz w:val="24"/>
          <w:szCs w:val="24"/>
        </w:rPr>
        <w:t>’</w:t>
      </w:r>
      <w:r w:rsidR="00C67D74" w:rsidRPr="00ED4884">
        <w:rPr>
          <w:rFonts w:ascii="Times New Roman" w:hAnsi="Times New Roman" w:cs="Times New Roman"/>
          <w:sz w:val="24"/>
          <w:szCs w:val="24"/>
        </w:rPr>
        <w:t xml:space="preserve"> (BIS, 2016a</w:t>
      </w:r>
      <w:r w:rsidR="00ED4884">
        <w:rPr>
          <w:rFonts w:ascii="Times New Roman" w:hAnsi="Times New Roman" w:cs="Times New Roman"/>
          <w:sz w:val="24"/>
          <w:szCs w:val="24"/>
        </w:rPr>
        <w:t>:</w:t>
      </w:r>
      <w:r w:rsidR="00C67D74" w:rsidRPr="00ED4884">
        <w:rPr>
          <w:rFonts w:ascii="Times New Roman" w:hAnsi="Times New Roman" w:cs="Times New Roman"/>
          <w:sz w:val="24"/>
          <w:szCs w:val="24"/>
        </w:rPr>
        <w:t xml:space="preserve"> p.</w:t>
      </w:r>
      <w:r w:rsidR="00ED4884">
        <w:rPr>
          <w:rFonts w:ascii="Times New Roman" w:hAnsi="Times New Roman" w:cs="Times New Roman"/>
          <w:sz w:val="24"/>
          <w:szCs w:val="24"/>
        </w:rPr>
        <w:t xml:space="preserve"> </w:t>
      </w:r>
      <w:r w:rsidR="00C67D74" w:rsidRPr="00ED4884">
        <w:rPr>
          <w:rFonts w:ascii="Times New Roman" w:hAnsi="Times New Roman" w:cs="Times New Roman"/>
          <w:sz w:val="24"/>
          <w:szCs w:val="24"/>
        </w:rPr>
        <w:t>43).</w:t>
      </w:r>
      <w:r w:rsidR="000C0921" w:rsidRPr="00ED4884">
        <w:t xml:space="preserve"> </w:t>
      </w:r>
      <w:r w:rsidR="00ED4884" w:rsidRPr="006E3C4F">
        <w:rPr>
          <w:rFonts w:ascii="Times New Roman" w:hAnsi="Times New Roman" w:cs="Times New Roman"/>
          <w:sz w:val="24"/>
          <w:szCs w:val="24"/>
        </w:rPr>
        <w:t>T</w:t>
      </w:r>
      <w:r w:rsidR="000C0921" w:rsidRPr="006E3C4F">
        <w:rPr>
          <w:rFonts w:ascii="Times New Roman" w:hAnsi="Times New Roman" w:cs="Times New Roman"/>
          <w:sz w:val="24"/>
          <w:szCs w:val="24"/>
        </w:rPr>
        <w:t xml:space="preserve">he student-consumer discourse is presented as </w:t>
      </w:r>
      <w:r w:rsidR="000C0921" w:rsidRPr="00ED4884">
        <w:rPr>
          <w:rFonts w:ascii="Times New Roman" w:hAnsi="Times New Roman" w:cs="Times New Roman"/>
          <w:sz w:val="24"/>
          <w:szCs w:val="24"/>
        </w:rPr>
        <w:t xml:space="preserve">an empowering </w:t>
      </w:r>
      <w:r w:rsidR="00ED4884">
        <w:rPr>
          <w:rFonts w:ascii="Times New Roman" w:hAnsi="Times New Roman" w:cs="Times New Roman"/>
          <w:sz w:val="24"/>
          <w:szCs w:val="24"/>
        </w:rPr>
        <w:t>narrative</w:t>
      </w:r>
      <w:r w:rsidR="000C0921" w:rsidRPr="00ED4884">
        <w:rPr>
          <w:rFonts w:ascii="Times New Roman" w:hAnsi="Times New Roman" w:cs="Times New Roman"/>
          <w:sz w:val="24"/>
          <w:szCs w:val="24"/>
        </w:rPr>
        <w:t xml:space="preserve"> that extends student</w:t>
      </w:r>
      <w:r w:rsidR="00ED4884">
        <w:rPr>
          <w:rFonts w:ascii="Times New Roman" w:hAnsi="Times New Roman" w:cs="Times New Roman"/>
          <w:sz w:val="24"/>
          <w:szCs w:val="24"/>
        </w:rPr>
        <w:t>s</w:t>
      </w:r>
      <w:r w:rsidR="000C0921" w:rsidRPr="00ED4884">
        <w:rPr>
          <w:rFonts w:ascii="Times New Roman" w:hAnsi="Times New Roman" w:cs="Times New Roman"/>
          <w:sz w:val="24"/>
          <w:szCs w:val="24"/>
        </w:rPr>
        <w:t>’ market freedoms and autonomy in their own interests</w:t>
      </w:r>
      <w:r w:rsidR="00ED4884">
        <w:rPr>
          <w:rFonts w:ascii="Times New Roman" w:hAnsi="Times New Roman" w:cs="Times New Roman"/>
          <w:sz w:val="24"/>
          <w:szCs w:val="24"/>
        </w:rPr>
        <w:t>. T</w:t>
      </w:r>
      <w:r w:rsidR="00851024" w:rsidRPr="00ED4884">
        <w:rPr>
          <w:rFonts w:ascii="Times New Roman" w:hAnsi="Times New Roman" w:cs="Times New Roman"/>
          <w:sz w:val="24"/>
          <w:szCs w:val="24"/>
        </w:rPr>
        <w:t>he potential disempowerment caused by a consumer mentality such as the creation of</w:t>
      </w:r>
      <w:r w:rsidR="000C0921" w:rsidRPr="00ED4884">
        <w:rPr>
          <w:rFonts w:ascii="Times New Roman" w:hAnsi="Times New Roman" w:cs="Times New Roman"/>
          <w:sz w:val="24"/>
          <w:szCs w:val="24"/>
        </w:rPr>
        <w:t xml:space="preserve"> passive learners who feel entitled to g</w:t>
      </w:r>
      <w:r w:rsidR="00851024" w:rsidRPr="00ED4884">
        <w:rPr>
          <w:rFonts w:ascii="Times New Roman" w:hAnsi="Times New Roman" w:cs="Times New Roman"/>
          <w:sz w:val="24"/>
          <w:szCs w:val="24"/>
        </w:rPr>
        <w:t>ood grades is obscured (Naidoo</w:t>
      </w:r>
      <w:r w:rsidR="00ED4884">
        <w:rPr>
          <w:rFonts w:ascii="Times New Roman" w:hAnsi="Times New Roman" w:cs="Times New Roman"/>
          <w:sz w:val="24"/>
          <w:szCs w:val="24"/>
        </w:rPr>
        <w:t xml:space="preserve"> &amp;</w:t>
      </w:r>
      <w:r w:rsidR="000F0B65">
        <w:rPr>
          <w:rFonts w:ascii="Times New Roman" w:hAnsi="Times New Roman" w:cs="Times New Roman"/>
          <w:sz w:val="24"/>
          <w:szCs w:val="24"/>
        </w:rPr>
        <w:t xml:space="preserve"> W</w:t>
      </w:r>
      <w:r w:rsidR="00851024" w:rsidRPr="00ED4884">
        <w:rPr>
          <w:rFonts w:ascii="Times New Roman" w:hAnsi="Times New Roman" w:cs="Times New Roman"/>
          <w:sz w:val="24"/>
          <w:szCs w:val="24"/>
        </w:rPr>
        <w:t>illiams</w:t>
      </w:r>
      <w:r w:rsidR="00ED4884">
        <w:rPr>
          <w:rFonts w:ascii="Times New Roman" w:hAnsi="Times New Roman" w:cs="Times New Roman"/>
          <w:sz w:val="24"/>
          <w:szCs w:val="24"/>
        </w:rPr>
        <w:t>, 201</w:t>
      </w:r>
      <w:r w:rsidR="009E4E62">
        <w:rPr>
          <w:rFonts w:ascii="Times New Roman" w:hAnsi="Times New Roman" w:cs="Times New Roman"/>
          <w:sz w:val="24"/>
          <w:szCs w:val="24"/>
        </w:rPr>
        <w:t>5</w:t>
      </w:r>
      <w:r w:rsidR="000C0921" w:rsidRPr="00ED4884">
        <w:rPr>
          <w:rFonts w:ascii="Times New Roman" w:hAnsi="Times New Roman" w:cs="Times New Roman"/>
          <w:sz w:val="24"/>
          <w:szCs w:val="24"/>
        </w:rPr>
        <w:t>).</w:t>
      </w:r>
      <w:r w:rsidR="00ED4884">
        <w:rPr>
          <w:rFonts w:ascii="Times New Roman" w:hAnsi="Times New Roman" w:cs="Times New Roman"/>
          <w:sz w:val="24"/>
          <w:szCs w:val="24"/>
        </w:rPr>
        <w:t xml:space="preserve"> </w:t>
      </w:r>
      <w:r w:rsidR="00854125" w:rsidRPr="00ED4884">
        <w:rPr>
          <w:rFonts w:ascii="Times New Roman" w:hAnsi="Times New Roman" w:cs="Times New Roman"/>
          <w:sz w:val="24"/>
          <w:szCs w:val="24"/>
        </w:rPr>
        <w:t>Symbolic violence is also utilised to portray market practices as beneficial to a</w:t>
      </w:r>
      <w:r w:rsidR="00170F52" w:rsidRPr="00ED4884">
        <w:rPr>
          <w:rFonts w:ascii="Times New Roman" w:hAnsi="Times New Roman" w:cs="Times New Roman"/>
          <w:sz w:val="24"/>
          <w:szCs w:val="24"/>
        </w:rPr>
        <w:t>l</w:t>
      </w:r>
      <w:r w:rsidR="00851024" w:rsidRPr="00ED4884">
        <w:rPr>
          <w:rFonts w:ascii="Times New Roman" w:hAnsi="Times New Roman" w:cs="Times New Roman"/>
          <w:sz w:val="24"/>
          <w:szCs w:val="24"/>
        </w:rPr>
        <w:t>l including disadvantaged students</w:t>
      </w:r>
      <w:r w:rsidR="00854125" w:rsidRPr="00ED4884">
        <w:rPr>
          <w:rFonts w:ascii="Times New Roman" w:hAnsi="Times New Roman" w:cs="Times New Roman"/>
          <w:sz w:val="24"/>
          <w:szCs w:val="24"/>
        </w:rPr>
        <w:t>. Individualised attributions for success and failure are naturalised in both documents as ‘</w:t>
      </w:r>
      <w:r w:rsidR="00854125" w:rsidRPr="00ED4884">
        <w:rPr>
          <w:rFonts w:ascii="Times New Roman" w:hAnsi="Times New Roman" w:cs="Times New Roman"/>
          <w:i/>
          <w:sz w:val="24"/>
          <w:szCs w:val="24"/>
        </w:rPr>
        <w:t xml:space="preserve">we will not truly begin to reduce inequality unless more students fulfil their aspirations’ </w:t>
      </w:r>
      <w:r w:rsidR="00854125" w:rsidRPr="00ED4884">
        <w:rPr>
          <w:rFonts w:ascii="Times New Roman" w:hAnsi="Times New Roman" w:cs="Times New Roman"/>
          <w:sz w:val="24"/>
          <w:szCs w:val="24"/>
        </w:rPr>
        <w:t>(BIS 2016a</w:t>
      </w:r>
      <w:r w:rsidR="000F0B65">
        <w:rPr>
          <w:rFonts w:ascii="Times New Roman" w:hAnsi="Times New Roman" w:cs="Times New Roman"/>
          <w:sz w:val="24"/>
          <w:szCs w:val="24"/>
        </w:rPr>
        <w:t>,</w:t>
      </w:r>
      <w:r w:rsidR="00854125" w:rsidRPr="00ED4884">
        <w:rPr>
          <w:rFonts w:ascii="Times New Roman" w:hAnsi="Times New Roman" w:cs="Times New Roman"/>
          <w:sz w:val="24"/>
          <w:szCs w:val="24"/>
        </w:rPr>
        <w:t xml:space="preserve"> p.</w:t>
      </w:r>
      <w:r w:rsidR="00205788">
        <w:rPr>
          <w:rFonts w:ascii="Times New Roman" w:hAnsi="Times New Roman" w:cs="Times New Roman"/>
          <w:sz w:val="24"/>
          <w:szCs w:val="24"/>
        </w:rPr>
        <w:t xml:space="preserve"> </w:t>
      </w:r>
      <w:r w:rsidR="00854125" w:rsidRPr="00ED4884">
        <w:rPr>
          <w:rFonts w:ascii="Times New Roman" w:hAnsi="Times New Roman" w:cs="Times New Roman"/>
          <w:sz w:val="24"/>
          <w:szCs w:val="24"/>
        </w:rPr>
        <w:t>13)</w:t>
      </w:r>
      <w:r w:rsidR="00ED4884">
        <w:rPr>
          <w:rFonts w:ascii="Times New Roman" w:hAnsi="Times New Roman" w:cs="Times New Roman"/>
          <w:sz w:val="24"/>
          <w:szCs w:val="24"/>
        </w:rPr>
        <w:t>. It is the students</w:t>
      </w:r>
      <w:r w:rsidR="00854125" w:rsidRPr="00ED4884">
        <w:rPr>
          <w:rFonts w:ascii="Times New Roman" w:hAnsi="Times New Roman" w:cs="Times New Roman"/>
          <w:sz w:val="24"/>
          <w:szCs w:val="24"/>
        </w:rPr>
        <w:t xml:space="preserve">, not their social or economic circumstances, that </w:t>
      </w:r>
      <w:r w:rsidR="00ED4884">
        <w:rPr>
          <w:rFonts w:ascii="Times New Roman" w:hAnsi="Times New Roman" w:cs="Times New Roman"/>
          <w:sz w:val="24"/>
          <w:szCs w:val="24"/>
        </w:rPr>
        <w:t>are</w:t>
      </w:r>
      <w:r w:rsidR="00854125" w:rsidRPr="00ED4884">
        <w:rPr>
          <w:rFonts w:ascii="Times New Roman" w:hAnsi="Times New Roman" w:cs="Times New Roman"/>
          <w:sz w:val="24"/>
          <w:szCs w:val="24"/>
        </w:rPr>
        <w:t xml:space="preserve"> seen to be responsib</w:t>
      </w:r>
      <w:r w:rsidR="007A2168" w:rsidRPr="00ED4884">
        <w:rPr>
          <w:rFonts w:ascii="Times New Roman" w:hAnsi="Times New Roman" w:cs="Times New Roman"/>
          <w:sz w:val="24"/>
          <w:szCs w:val="24"/>
        </w:rPr>
        <w:t xml:space="preserve">le for success or failure in HE. In this way, </w:t>
      </w:r>
      <w:r w:rsidR="00854125" w:rsidRPr="00ED4884">
        <w:rPr>
          <w:rFonts w:ascii="Times New Roman" w:hAnsi="Times New Roman" w:cs="Times New Roman"/>
          <w:sz w:val="24"/>
          <w:szCs w:val="24"/>
        </w:rPr>
        <w:t xml:space="preserve">disadvantaged students are </w:t>
      </w:r>
      <w:r w:rsidR="007A2168" w:rsidRPr="00ED4884">
        <w:rPr>
          <w:rFonts w:ascii="Times New Roman" w:hAnsi="Times New Roman" w:cs="Times New Roman"/>
          <w:sz w:val="24"/>
          <w:szCs w:val="24"/>
        </w:rPr>
        <w:t>re</w:t>
      </w:r>
      <w:r w:rsidR="00854125" w:rsidRPr="00ED4884">
        <w:rPr>
          <w:rFonts w:ascii="Times New Roman" w:hAnsi="Times New Roman" w:cs="Times New Roman"/>
          <w:sz w:val="24"/>
          <w:szCs w:val="24"/>
        </w:rPr>
        <w:t xml:space="preserve">presented as responsible for their own failures while those who have succeeded </w:t>
      </w:r>
      <w:r w:rsidR="00ED4884">
        <w:rPr>
          <w:rFonts w:ascii="Times New Roman" w:hAnsi="Times New Roman" w:cs="Times New Roman"/>
          <w:sz w:val="24"/>
          <w:szCs w:val="24"/>
        </w:rPr>
        <w:t>supported by their</w:t>
      </w:r>
      <w:r w:rsidR="00854125" w:rsidRPr="00ED4884">
        <w:rPr>
          <w:rFonts w:ascii="Times New Roman" w:hAnsi="Times New Roman" w:cs="Times New Roman"/>
          <w:sz w:val="24"/>
          <w:szCs w:val="24"/>
        </w:rPr>
        <w:t xml:space="preserve"> inherited cultural</w:t>
      </w:r>
      <w:r w:rsidR="00ED4884">
        <w:rPr>
          <w:rFonts w:ascii="Times New Roman" w:hAnsi="Times New Roman" w:cs="Times New Roman"/>
          <w:sz w:val="24"/>
          <w:szCs w:val="24"/>
        </w:rPr>
        <w:t>,</w:t>
      </w:r>
      <w:r w:rsidR="00854125" w:rsidRPr="00ED4884">
        <w:rPr>
          <w:rFonts w:ascii="Times New Roman" w:hAnsi="Times New Roman" w:cs="Times New Roman"/>
          <w:sz w:val="24"/>
          <w:szCs w:val="24"/>
        </w:rPr>
        <w:t xml:space="preserve"> economic</w:t>
      </w:r>
      <w:r w:rsidR="00ED4884">
        <w:rPr>
          <w:rFonts w:ascii="Times New Roman" w:hAnsi="Times New Roman" w:cs="Times New Roman"/>
          <w:sz w:val="24"/>
          <w:szCs w:val="24"/>
        </w:rPr>
        <w:t>, and social</w:t>
      </w:r>
      <w:r w:rsidR="00854125" w:rsidRPr="00ED4884">
        <w:rPr>
          <w:rFonts w:ascii="Times New Roman" w:hAnsi="Times New Roman" w:cs="Times New Roman"/>
          <w:sz w:val="24"/>
          <w:szCs w:val="24"/>
        </w:rPr>
        <w:t xml:space="preserve"> capital have their advantage legitimised.</w:t>
      </w:r>
    </w:p>
    <w:p w14:paraId="5438704E" w14:textId="77777777" w:rsidR="00572702" w:rsidRDefault="00572702" w:rsidP="001C1AAE">
      <w:pPr>
        <w:spacing w:after="120" w:line="360" w:lineRule="auto"/>
        <w:jc w:val="both"/>
        <w:rPr>
          <w:rFonts w:ascii="Times New Roman" w:hAnsi="Times New Roman" w:cs="Times New Roman"/>
          <w:b/>
          <w:bCs/>
          <w:sz w:val="24"/>
          <w:szCs w:val="24"/>
        </w:rPr>
      </w:pPr>
    </w:p>
    <w:p w14:paraId="5695667D" w14:textId="77777777" w:rsidR="00572702" w:rsidRDefault="00572702" w:rsidP="001C1AAE">
      <w:pPr>
        <w:spacing w:after="120" w:line="360" w:lineRule="auto"/>
        <w:jc w:val="both"/>
        <w:rPr>
          <w:rFonts w:ascii="Times New Roman" w:hAnsi="Times New Roman" w:cs="Times New Roman"/>
          <w:b/>
          <w:bCs/>
          <w:sz w:val="24"/>
          <w:szCs w:val="24"/>
        </w:rPr>
      </w:pPr>
    </w:p>
    <w:p w14:paraId="5B7891F8" w14:textId="002640ED" w:rsidR="00260EA3" w:rsidRPr="00D91CEB" w:rsidRDefault="00260EA3" w:rsidP="001C1AAE">
      <w:pPr>
        <w:spacing w:after="120" w:line="360" w:lineRule="auto"/>
        <w:jc w:val="both"/>
        <w:rPr>
          <w:rFonts w:ascii="Times New Roman" w:hAnsi="Times New Roman" w:cs="Times New Roman"/>
          <w:b/>
          <w:bCs/>
          <w:sz w:val="24"/>
          <w:szCs w:val="24"/>
        </w:rPr>
      </w:pPr>
      <w:r w:rsidRPr="00D91CEB">
        <w:rPr>
          <w:rFonts w:ascii="Times New Roman" w:hAnsi="Times New Roman" w:cs="Times New Roman"/>
          <w:b/>
          <w:bCs/>
          <w:sz w:val="24"/>
          <w:szCs w:val="24"/>
        </w:rPr>
        <w:lastRenderedPageBreak/>
        <w:t>Employability and the enhancement of graduates’ economic agency and success</w:t>
      </w:r>
    </w:p>
    <w:p w14:paraId="3B84CCCF" w14:textId="486CC84B" w:rsidR="00260EA3" w:rsidRPr="009945A9" w:rsidRDefault="00260EA3"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 xml:space="preserve">The student-consumer movement is significantly related to another dominant policy agenda in </w:t>
      </w:r>
      <w:proofErr w:type="spellStart"/>
      <w:r w:rsidR="00CE1E94">
        <w:rPr>
          <w:rFonts w:ascii="Times New Roman" w:hAnsi="Times New Roman" w:cs="Times New Roman"/>
          <w:sz w:val="24"/>
          <w:szCs w:val="24"/>
        </w:rPr>
        <w:t>marketis</w:t>
      </w:r>
      <w:r w:rsidRPr="00CE1E94">
        <w:rPr>
          <w:rFonts w:ascii="Times New Roman" w:hAnsi="Times New Roman" w:cs="Times New Roman"/>
          <w:sz w:val="24"/>
          <w:szCs w:val="24"/>
        </w:rPr>
        <w:t>ed</w:t>
      </w:r>
      <w:proofErr w:type="spellEnd"/>
      <w:r w:rsidRPr="00CE1E94">
        <w:rPr>
          <w:rFonts w:ascii="Times New Roman" w:hAnsi="Times New Roman" w:cs="Times New Roman"/>
          <w:sz w:val="24"/>
          <w:szCs w:val="24"/>
        </w:rPr>
        <w:t xml:space="preserve"> HE: graduates’ employability. HE</w:t>
      </w:r>
      <w:r w:rsidR="009945A9">
        <w:rPr>
          <w:rFonts w:ascii="Times New Roman" w:hAnsi="Times New Roman" w:cs="Times New Roman"/>
          <w:sz w:val="24"/>
          <w:szCs w:val="24"/>
        </w:rPr>
        <w:t>’</w:t>
      </w:r>
      <w:r w:rsidRPr="00CE1E94">
        <w:rPr>
          <w:rFonts w:ascii="Times New Roman" w:hAnsi="Times New Roman" w:cs="Times New Roman"/>
          <w:sz w:val="24"/>
          <w:szCs w:val="24"/>
        </w:rPr>
        <w:t xml:space="preserve"> responsiveness to the demands of the economy is given significant primacy in a market context where the ‘success’ of universities becomes contingent on how well they meet economic needs at both a private and public level. Graduates’ future e</w:t>
      </w:r>
      <w:r w:rsidRPr="00345210">
        <w:rPr>
          <w:rFonts w:ascii="Times New Roman" w:hAnsi="Times New Roman" w:cs="Times New Roman"/>
          <w:sz w:val="24"/>
          <w:szCs w:val="24"/>
        </w:rPr>
        <w:t xml:space="preserve">mployability emerges as a significant marker of teaching excellence within the Green and White Papers. This is strongly referenced against a variety of interrelated motifs; namely graduate ‘skills’, return on ‘investment’ and employer ‘satisfaction’. Successful future employment outcomes become a central organising principle on which the value that universities generate is understood and formally evaluated. </w:t>
      </w:r>
      <w:r w:rsidR="00572702">
        <w:rPr>
          <w:rFonts w:ascii="Times New Roman" w:hAnsi="Times New Roman" w:cs="Times New Roman"/>
          <w:sz w:val="24"/>
          <w:szCs w:val="24"/>
        </w:rPr>
        <w:t>This</w:t>
      </w:r>
      <w:r w:rsidRPr="00345210">
        <w:rPr>
          <w:rFonts w:ascii="Times New Roman" w:hAnsi="Times New Roman" w:cs="Times New Roman"/>
          <w:sz w:val="24"/>
          <w:szCs w:val="24"/>
        </w:rPr>
        <w:t xml:space="preserve"> principal imperative </w:t>
      </w:r>
      <w:r w:rsidR="009945A9">
        <w:rPr>
          <w:rFonts w:ascii="Times New Roman" w:hAnsi="Times New Roman" w:cs="Times New Roman"/>
          <w:sz w:val="24"/>
          <w:szCs w:val="24"/>
        </w:rPr>
        <w:t>expects</w:t>
      </w:r>
      <w:r w:rsidRPr="00345210">
        <w:rPr>
          <w:rFonts w:ascii="Times New Roman" w:hAnsi="Times New Roman" w:cs="Times New Roman"/>
          <w:sz w:val="24"/>
          <w:szCs w:val="24"/>
        </w:rPr>
        <w:t xml:space="preserve"> institutions </w:t>
      </w:r>
      <w:r w:rsidR="009945A9">
        <w:rPr>
          <w:rFonts w:ascii="Times New Roman" w:hAnsi="Times New Roman" w:cs="Times New Roman"/>
          <w:sz w:val="24"/>
          <w:szCs w:val="24"/>
        </w:rPr>
        <w:t xml:space="preserve">to </w:t>
      </w:r>
      <w:r w:rsidRPr="00345210">
        <w:rPr>
          <w:rFonts w:ascii="Times New Roman" w:hAnsi="Times New Roman" w:cs="Times New Roman"/>
          <w:sz w:val="24"/>
          <w:szCs w:val="24"/>
        </w:rPr>
        <w:t xml:space="preserve">implement effective measures towards </w:t>
      </w:r>
      <w:r w:rsidRPr="009945A9">
        <w:rPr>
          <w:rFonts w:ascii="Times New Roman" w:hAnsi="Times New Roman" w:cs="Times New Roman"/>
          <w:sz w:val="24"/>
          <w:szCs w:val="24"/>
        </w:rPr>
        <w:t xml:space="preserve">maximising graduates’ future returns. Wider macro-economic factors </w:t>
      </w:r>
      <w:r w:rsidR="009945A9">
        <w:rPr>
          <w:rFonts w:ascii="Times New Roman" w:hAnsi="Times New Roman" w:cs="Times New Roman"/>
          <w:sz w:val="24"/>
          <w:szCs w:val="24"/>
        </w:rPr>
        <w:t>that</w:t>
      </w:r>
      <w:r w:rsidRPr="009945A9">
        <w:rPr>
          <w:rFonts w:ascii="Times New Roman" w:hAnsi="Times New Roman" w:cs="Times New Roman"/>
          <w:sz w:val="24"/>
          <w:szCs w:val="24"/>
        </w:rPr>
        <w:t xml:space="preserve"> may ultimately mediate the link between formal education and employment outcomes are not acknowledged. Instead, much of emphasis is on the supply-side factors (Keep </w:t>
      </w:r>
      <w:r w:rsidR="00205788">
        <w:rPr>
          <w:rFonts w:ascii="Times New Roman" w:hAnsi="Times New Roman" w:cs="Times New Roman"/>
          <w:sz w:val="24"/>
          <w:szCs w:val="24"/>
        </w:rPr>
        <w:t>&amp;</w:t>
      </w:r>
      <w:r w:rsidRPr="009945A9">
        <w:rPr>
          <w:rFonts w:ascii="Times New Roman" w:hAnsi="Times New Roman" w:cs="Times New Roman"/>
          <w:sz w:val="24"/>
          <w:szCs w:val="24"/>
        </w:rPr>
        <w:t xml:space="preserve"> Mayhew, 2014) relating to both institutional provision and individuals’ proactivity in shaping employment outcomes.</w:t>
      </w:r>
    </w:p>
    <w:p w14:paraId="70B1E262" w14:textId="40504A1B" w:rsidR="00260EA3" w:rsidRPr="00A473B1" w:rsidRDefault="00260EA3"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 xml:space="preserve">The two policy texts establish a clear problem frame around the employability agenda in terms of a functional misalignment between HE and the economy, manifest in continued skills mismatches and employer dissatisfaction with existing provision. The title of </w:t>
      </w:r>
      <w:r w:rsidR="00A473B1">
        <w:rPr>
          <w:rFonts w:ascii="Times New Roman" w:hAnsi="Times New Roman" w:cs="Times New Roman"/>
          <w:sz w:val="24"/>
          <w:szCs w:val="24"/>
        </w:rPr>
        <w:t xml:space="preserve">the </w:t>
      </w:r>
      <w:r w:rsidRPr="00A473B1">
        <w:rPr>
          <w:rFonts w:ascii="Times New Roman" w:hAnsi="Times New Roman" w:cs="Times New Roman"/>
          <w:sz w:val="24"/>
          <w:szCs w:val="24"/>
        </w:rPr>
        <w:t xml:space="preserve">White Paper </w:t>
      </w:r>
      <w:r w:rsidR="00277B31">
        <w:rPr>
          <w:rFonts w:ascii="Times New Roman" w:hAnsi="Times New Roman" w:cs="Times New Roman"/>
          <w:sz w:val="24"/>
          <w:szCs w:val="24"/>
        </w:rPr>
        <w:t>employs</w:t>
      </w:r>
      <w:r w:rsidRPr="00A473B1">
        <w:rPr>
          <w:rFonts w:ascii="Times New Roman" w:hAnsi="Times New Roman" w:cs="Times New Roman"/>
          <w:sz w:val="24"/>
          <w:szCs w:val="24"/>
        </w:rPr>
        <w:t xml:space="preserve"> the populist policy shibboleth of the ‘knowledge economy’, </w:t>
      </w:r>
      <w:r w:rsidR="00277B31">
        <w:rPr>
          <w:rFonts w:ascii="Times New Roman" w:hAnsi="Times New Roman" w:cs="Times New Roman"/>
          <w:sz w:val="24"/>
          <w:szCs w:val="24"/>
        </w:rPr>
        <w:t xml:space="preserve">invoking </w:t>
      </w:r>
      <w:r w:rsidRPr="00A473B1">
        <w:rPr>
          <w:rFonts w:ascii="Times New Roman" w:hAnsi="Times New Roman" w:cs="Times New Roman"/>
          <w:sz w:val="24"/>
          <w:szCs w:val="24"/>
        </w:rPr>
        <w:t>a social imaginary of raised skills demands, meritocratic glo</w:t>
      </w:r>
      <w:r w:rsidRPr="00205788">
        <w:rPr>
          <w:rFonts w:ascii="Times New Roman" w:hAnsi="Times New Roman" w:cs="Times New Roman"/>
          <w:sz w:val="24"/>
          <w:szCs w:val="24"/>
        </w:rPr>
        <w:t xml:space="preserve">bal competition and empowered economic agents </w:t>
      </w:r>
      <w:r w:rsidR="00A71103">
        <w:rPr>
          <w:rFonts w:ascii="Times New Roman" w:hAnsi="Times New Roman" w:cs="Times New Roman"/>
          <w:sz w:val="24"/>
          <w:szCs w:val="24"/>
        </w:rPr>
        <w:t>(</w:t>
      </w:r>
      <w:r w:rsidRPr="00205788">
        <w:rPr>
          <w:rFonts w:ascii="Times New Roman" w:hAnsi="Times New Roman" w:cs="Times New Roman"/>
          <w:sz w:val="24"/>
          <w:szCs w:val="24"/>
        </w:rPr>
        <w:t xml:space="preserve">Lauder </w:t>
      </w:r>
      <w:r w:rsidRPr="00205788">
        <w:rPr>
          <w:rFonts w:ascii="Times New Roman" w:hAnsi="Times New Roman" w:cs="Times New Roman"/>
          <w:i/>
          <w:sz w:val="24"/>
          <w:szCs w:val="24"/>
        </w:rPr>
        <w:t>et al.</w:t>
      </w:r>
      <w:r w:rsidRPr="00A71103">
        <w:rPr>
          <w:rFonts w:ascii="Times New Roman" w:hAnsi="Times New Roman" w:cs="Times New Roman"/>
          <w:sz w:val="24"/>
          <w:szCs w:val="24"/>
        </w:rPr>
        <w:t>,</w:t>
      </w:r>
      <w:r w:rsidR="00A71103">
        <w:rPr>
          <w:rFonts w:ascii="Times New Roman" w:hAnsi="Times New Roman" w:cs="Times New Roman"/>
          <w:i/>
          <w:sz w:val="24"/>
          <w:szCs w:val="24"/>
        </w:rPr>
        <w:t xml:space="preserve"> </w:t>
      </w:r>
      <w:r w:rsidR="00D7232A">
        <w:rPr>
          <w:rFonts w:ascii="Times New Roman" w:hAnsi="Times New Roman" w:cs="Times New Roman"/>
          <w:sz w:val="24"/>
          <w:szCs w:val="24"/>
        </w:rPr>
        <w:t>2012</w:t>
      </w:r>
      <w:r w:rsidRPr="00205788">
        <w:rPr>
          <w:rFonts w:ascii="Times New Roman" w:hAnsi="Times New Roman" w:cs="Times New Roman"/>
          <w:sz w:val="24"/>
          <w:szCs w:val="24"/>
        </w:rPr>
        <w:t>). The Green and White Papers are unequivocal in their charge against HE</w:t>
      </w:r>
      <w:r w:rsidRPr="00D91CEB">
        <w:rPr>
          <w:rFonts w:ascii="Times New Roman" w:hAnsi="Times New Roman" w:cs="Times New Roman"/>
          <w:sz w:val="24"/>
          <w:szCs w:val="24"/>
        </w:rPr>
        <w:t xml:space="preserve"> not being sufficiently attuned to broader economic demands</w:t>
      </w:r>
      <w:r w:rsidR="00A473B1">
        <w:rPr>
          <w:rFonts w:ascii="Times New Roman" w:hAnsi="Times New Roman" w:cs="Times New Roman"/>
          <w:sz w:val="24"/>
          <w:szCs w:val="24"/>
        </w:rPr>
        <w:t>. They</w:t>
      </w:r>
      <w:r w:rsidRPr="00A473B1">
        <w:rPr>
          <w:rFonts w:ascii="Times New Roman" w:hAnsi="Times New Roman" w:cs="Times New Roman"/>
          <w:sz w:val="24"/>
          <w:szCs w:val="24"/>
        </w:rPr>
        <w:t xml:space="preserve"> utilise a selective evidential framing of purported skills deficits and lack of demand-responsiveness: </w:t>
      </w:r>
      <w:r w:rsidR="00A473B1">
        <w:rPr>
          <w:rFonts w:ascii="Times New Roman" w:hAnsi="Times New Roman" w:cs="Times New Roman"/>
          <w:sz w:val="24"/>
          <w:szCs w:val="24"/>
        </w:rPr>
        <w:t>‘</w:t>
      </w:r>
      <w:r w:rsidRPr="00A473B1">
        <w:rPr>
          <w:rFonts w:ascii="Times New Roman" w:hAnsi="Times New Roman" w:cs="Times New Roman"/>
          <w:i/>
          <w:sz w:val="24"/>
          <w:szCs w:val="24"/>
        </w:rPr>
        <w:t>Employers are suffering skills shortages, especially in high skilled STEM areas; at the same time around 20% of employed graduates are in non-professional roles three and a half years after graduating</w:t>
      </w:r>
      <w:r w:rsidR="00A473B1">
        <w:rPr>
          <w:rFonts w:ascii="Times New Roman" w:hAnsi="Times New Roman" w:cs="Times New Roman"/>
          <w:i/>
          <w:sz w:val="24"/>
          <w:szCs w:val="24"/>
        </w:rPr>
        <w:t>’</w:t>
      </w:r>
      <w:r w:rsidRPr="00A473B1">
        <w:rPr>
          <w:rFonts w:ascii="Times New Roman" w:hAnsi="Times New Roman" w:cs="Times New Roman"/>
          <w:i/>
          <w:sz w:val="24"/>
          <w:szCs w:val="24"/>
        </w:rPr>
        <w:t xml:space="preserve"> </w:t>
      </w:r>
      <w:r w:rsidRPr="00A473B1">
        <w:rPr>
          <w:rFonts w:ascii="Times New Roman" w:hAnsi="Times New Roman" w:cs="Times New Roman"/>
          <w:sz w:val="24"/>
          <w:szCs w:val="24"/>
        </w:rPr>
        <w:t>(BIS, 2015</w:t>
      </w:r>
      <w:r w:rsidR="00205788">
        <w:rPr>
          <w:rFonts w:ascii="Times New Roman" w:hAnsi="Times New Roman" w:cs="Times New Roman"/>
          <w:sz w:val="24"/>
          <w:szCs w:val="24"/>
        </w:rPr>
        <w:t>,</w:t>
      </w:r>
      <w:r w:rsidRPr="00A473B1">
        <w:rPr>
          <w:rFonts w:ascii="Times New Roman" w:hAnsi="Times New Roman" w:cs="Times New Roman"/>
          <w:sz w:val="24"/>
          <w:szCs w:val="24"/>
        </w:rPr>
        <w:t xml:space="preserve"> p</w:t>
      </w:r>
      <w:r w:rsidR="00205788">
        <w:rPr>
          <w:rFonts w:ascii="Times New Roman" w:hAnsi="Times New Roman" w:cs="Times New Roman"/>
          <w:sz w:val="24"/>
          <w:szCs w:val="24"/>
        </w:rPr>
        <w:t xml:space="preserve">. </w:t>
      </w:r>
      <w:r w:rsidRPr="00A473B1">
        <w:rPr>
          <w:rFonts w:ascii="Times New Roman" w:hAnsi="Times New Roman" w:cs="Times New Roman"/>
          <w:sz w:val="24"/>
          <w:szCs w:val="24"/>
        </w:rPr>
        <w:t>18).</w:t>
      </w:r>
    </w:p>
    <w:p w14:paraId="7346CADA" w14:textId="531092D6" w:rsidR="00260EA3" w:rsidRPr="00A473B1" w:rsidRDefault="00260EA3"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 xml:space="preserve">The texts diagnose causal attribution of this misalignment to a variety of supply-side issues, not least ineffective teaching provision and related measurements of institutional performance and accountabilities towards this end: </w:t>
      </w:r>
      <w:r w:rsidR="00A473B1">
        <w:rPr>
          <w:rFonts w:ascii="Times New Roman" w:hAnsi="Times New Roman" w:cs="Times New Roman"/>
          <w:sz w:val="24"/>
          <w:szCs w:val="24"/>
        </w:rPr>
        <w:t>’</w:t>
      </w:r>
      <w:r w:rsidRPr="00A473B1">
        <w:rPr>
          <w:rFonts w:ascii="Times New Roman" w:hAnsi="Times New Roman" w:cs="Times New Roman"/>
          <w:i/>
          <w:color w:val="1B1A17"/>
          <w:sz w:val="24"/>
          <w:szCs w:val="24"/>
        </w:rPr>
        <w:t>For too long, teaching has been the poor cousin of research. Skewed incentives have led to a progressive decline in the relative status of teaching as an activity</w:t>
      </w:r>
      <w:r w:rsidR="00A473B1">
        <w:rPr>
          <w:rFonts w:ascii="Times New Roman" w:hAnsi="Times New Roman" w:cs="Times New Roman"/>
          <w:i/>
          <w:color w:val="1B1A17"/>
          <w:sz w:val="24"/>
          <w:szCs w:val="24"/>
        </w:rPr>
        <w:t>’</w:t>
      </w:r>
      <w:r w:rsidRPr="00A473B1">
        <w:rPr>
          <w:color w:val="1B1A17"/>
          <w:sz w:val="23"/>
          <w:szCs w:val="23"/>
        </w:rPr>
        <w:t xml:space="preserve"> (</w:t>
      </w:r>
      <w:r w:rsidRPr="00A473B1">
        <w:rPr>
          <w:rFonts w:ascii="Times New Roman" w:hAnsi="Times New Roman" w:cs="Times New Roman"/>
          <w:color w:val="1B1A17"/>
          <w:sz w:val="23"/>
          <w:szCs w:val="23"/>
        </w:rPr>
        <w:t>BIS, 2016</w:t>
      </w:r>
      <w:r w:rsidR="00D83F13">
        <w:rPr>
          <w:rFonts w:ascii="Times New Roman" w:hAnsi="Times New Roman" w:cs="Times New Roman"/>
          <w:color w:val="1B1A17"/>
          <w:sz w:val="23"/>
          <w:szCs w:val="23"/>
        </w:rPr>
        <w:t>a</w:t>
      </w:r>
      <w:r w:rsidR="00205788">
        <w:rPr>
          <w:rFonts w:ascii="Times New Roman" w:hAnsi="Times New Roman" w:cs="Times New Roman"/>
          <w:color w:val="1B1A17"/>
          <w:sz w:val="23"/>
          <w:szCs w:val="23"/>
        </w:rPr>
        <w:t>,</w:t>
      </w:r>
      <w:r w:rsidRPr="00A473B1">
        <w:rPr>
          <w:rFonts w:ascii="Times New Roman" w:hAnsi="Times New Roman" w:cs="Times New Roman"/>
          <w:color w:val="1B1A17"/>
          <w:sz w:val="23"/>
          <w:szCs w:val="23"/>
        </w:rPr>
        <w:t xml:space="preserve"> p</w:t>
      </w:r>
      <w:r w:rsidR="00A473B1">
        <w:rPr>
          <w:rFonts w:ascii="Times New Roman" w:hAnsi="Times New Roman" w:cs="Times New Roman"/>
          <w:color w:val="1B1A17"/>
          <w:sz w:val="23"/>
          <w:szCs w:val="23"/>
        </w:rPr>
        <w:t>.</w:t>
      </w:r>
      <w:r w:rsidR="00205788">
        <w:rPr>
          <w:rFonts w:ascii="Times New Roman" w:hAnsi="Times New Roman" w:cs="Times New Roman"/>
          <w:color w:val="1B1A17"/>
          <w:sz w:val="23"/>
          <w:szCs w:val="23"/>
        </w:rPr>
        <w:t xml:space="preserve"> </w:t>
      </w:r>
      <w:r w:rsidRPr="00A473B1">
        <w:rPr>
          <w:rFonts w:ascii="Times New Roman" w:hAnsi="Times New Roman" w:cs="Times New Roman"/>
          <w:color w:val="1B1A17"/>
          <w:sz w:val="23"/>
          <w:szCs w:val="23"/>
        </w:rPr>
        <w:t>12</w:t>
      </w:r>
      <w:r w:rsidRPr="00A473B1">
        <w:rPr>
          <w:color w:val="1B1A17"/>
          <w:sz w:val="23"/>
          <w:szCs w:val="23"/>
        </w:rPr>
        <w:t>)</w:t>
      </w:r>
      <w:r w:rsidRPr="00A473B1">
        <w:rPr>
          <w:rFonts w:ascii="Times New Roman" w:hAnsi="Times New Roman" w:cs="Times New Roman"/>
          <w:sz w:val="24"/>
          <w:szCs w:val="24"/>
        </w:rPr>
        <w:t xml:space="preserve">. A strong framing is evident on the relationship between inadequate provision and students’ labour market outcomes; the underlying logic being that teaching excellence is both a corrective to graduates’ potentially unfavourable economic </w:t>
      </w:r>
      <w:r w:rsidRPr="00A473B1">
        <w:rPr>
          <w:rFonts w:ascii="Times New Roman" w:hAnsi="Times New Roman" w:cs="Times New Roman"/>
          <w:sz w:val="24"/>
          <w:szCs w:val="24"/>
        </w:rPr>
        <w:lastRenderedPageBreak/>
        <w:t>experiences and outcomes, and also an effective means b</w:t>
      </w:r>
      <w:r w:rsidRPr="00D91CEB">
        <w:rPr>
          <w:rFonts w:ascii="Times New Roman" w:hAnsi="Times New Roman" w:cs="Times New Roman"/>
          <w:sz w:val="24"/>
          <w:szCs w:val="24"/>
        </w:rPr>
        <w:t xml:space="preserve">y which they may be propelled to successful economic outcomes. Relatedly, there is a clear charge for institutions to engage in pedagogic and curricula pursuits </w:t>
      </w:r>
      <w:r w:rsidR="00A473B1">
        <w:rPr>
          <w:rFonts w:ascii="Times New Roman" w:hAnsi="Times New Roman" w:cs="Times New Roman"/>
          <w:sz w:val="24"/>
          <w:szCs w:val="24"/>
        </w:rPr>
        <w:t>that</w:t>
      </w:r>
      <w:r w:rsidRPr="00A473B1">
        <w:rPr>
          <w:rFonts w:ascii="Times New Roman" w:hAnsi="Times New Roman" w:cs="Times New Roman"/>
          <w:sz w:val="24"/>
          <w:szCs w:val="24"/>
        </w:rPr>
        <w:t xml:space="preserve"> best meet these demands, ideally boosting the </w:t>
      </w:r>
      <w:r w:rsidR="00A473B1">
        <w:rPr>
          <w:rFonts w:ascii="Times New Roman" w:hAnsi="Times New Roman" w:cs="Times New Roman"/>
          <w:i/>
          <w:sz w:val="24"/>
          <w:szCs w:val="24"/>
        </w:rPr>
        <w:t>’</w:t>
      </w:r>
      <w:r w:rsidRPr="00A473B1">
        <w:rPr>
          <w:rFonts w:ascii="Times New Roman" w:hAnsi="Times New Roman" w:cs="Times New Roman"/>
          <w:i/>
          <w:sz w:val="24"/>
          <w:szCs w:val="24"/>
        </w:rPr>
        <w:t>industry-relevance of their offerings</w:t>
      </w:r>
      <w:r w:rsidR="00A473B1">
        <w:rPr>
          <w:rFonts w:ascii="Times New Roman" w:hAnsi="Times New Roman" w:cs="Times New Roman"/>
          <w:i/>
          <w:sz w:val="24"/>
          <w:szCs w:val="24"/>
        </w:rPr>
        <w:t>’</w:t>
      </w:r>
      <w:r w:rsidRPr="00A473B1">
        <w:rPr>
          <w:rFonts w:ascii="Times New Roman" w:hAnsi="Times New Roman" w:cs="Times New Roman"/>
          <w:sz w:val="24"/>
          <w:szCs w:val="24"/>
        </w:rPr>
        <w:t xml:space="preserve"> (BIS, 2016</w:t>
      </w:r>
      <w:r w:rsidR="00D83F13">
        <w:rPr>
          <w:rFonts w:ascii="Times New Roman" w:hAnsi="Times New Roman" w:cs="Times New Roman"/>
          <w:sz w:val="24"/>
          <w:szCs w:val="24"/>
        </w:rPr>
        <w:t>a</w:t>
      </w:r>
      <w:r w:rsidR="00205788">
        <w:rPr>
          <w:rFonts w:ascii="Times New Roman" w:hAnsi="Times New Roman" w:cs="Times New Roman"/>
          <w:sz w:val="24"/>
          <w:szCs w:val="24"/>
        </w:rPr>
        <w:t>,</w:t>
      </w:r>
      <w:r w:rsidRPr="00A473B1">
        <w:rPr>
          <w:rFonts w:ascii="Times New Roman" w:hAnsi="Times New Roman" w:cs="Times New Roman"/>
          <w:sz w:val="24"/>
          <w:szCs w:val="24"/>
        </w:rPr>
        <w:t xml:space="preserve"> p</w:t>
      </w:r>
      <w:r w:rsidR="00A473B1">
        <w:rPr>
          <w:rFonts w:ascii="Times New Roman" w:hAnsi="Times New Roman" w:cs="Times New Roman"/>
          <w:sz w:val="24"/>
          <w:szCs w:val="24"/>
        </w:rPr>
        <w:t>.</w:t>
      </w:r>
      <w:r w:rsidR="00205788">
        <w:rPr>
          <w:rFonts w:ascii="Times New Roman" w:hAnsi="Times New Roman" w:cs="Times New Roman"/>
          <w:sz w:val="24"/>
          <w:szCs w:val="24"/>
        </w:rPr>
        <w:t xml:space="preserve"> </w:t>
      </w:r>
      <w:r w:rsidRPr="00A473B1">
        <w:rPr>
          <w:rFonts w:ascii="Times New Roman" w:hAnsi="Times New Roman" w:cs="Times New Roman"/>
          <w:sz w:val="24"/>
          <w:szCs w:val="24"/>
        </w:rPr>
        <w:t>46). The implicit frame here is that traditional modes of teaching are not sufficiently demand-responsive to economic needs.</w:t>
      </w:r>
    </w:p>
    <w:p w14:paraId="7DE0F3C5" w14:textId="5AF016C6" w:rsidR="00260EA3" w:rsidRPr="001A18BD" w:rsidRDefault="00260EA3"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A related moral judgement is developed on the need for effective employability enhancement through teaching excellence, premised on universities’ obligation to fulfil the fiscal demands of its key stakeholders. In abdicating this responsibility through maintaining the status quo, English universities compromise their status as both part-publically and part-priv</w:t>
      </w:r>
      <w:r w:rsidR="008B674B">
        <w:rPr>
          <w:rFonts w:ascii="Times New Roman" w:hAnsi="Times New Roman" w:cs="Times New Roman"/>
          <w:sz w:val="24"/>
          <w:szCs w:val="24"/>
        </w:rPr>
        <w:t xml:space="preserve">ately financed institutions </w:t>
      </w:r>
      <w:r w:rsidRPr="00D91CEB">
        <w:rPr>
          <w:rFonts w:ascii="Times New Roman" w:hAnsi="Times New Roman" w:cs="Times New Roman"/>
          <w:sz w:val="24"/>
          <w:szCs w:val="24"/>
        </w:rPr>
        <w:t xml:space="preserve">whose existential status is conditioned by the enhancement of individuals’ human capital. The moral judgement-framing extends to </w:t>
      </w:r>
      <w:proofErr w:type="spellStart"/>
      <w:r w:rsidRPr="00D91CEB">
        <w:rPr>
          <w:rFonts w:ascii="Times New Roman" w:hAnsi="Times New Roman" w:cs="Times New Roman"/>
          <w:sz w:val="24"/>
          <w:szCs w:val="24"/>
        </w:rPr>
        <w:t>pathologising</w:t>
      </w:r>
      <w:proofErr w:type="spellEnd"/>
      <w:r w:rsidRPr="00D91CEB">
        <w:rPr>
          <w:rFonts w:ascii="Times New Roman" w:hAnsi="Times New Roman" w:cs="Times New Roman"/>
          <w:sz w:val="24"/>
          <w:szCs w:val="24"/>
        </w:rPr>
        <w:t xml:space="preserve"> inadequate practice as symptomatic of institutions, and their professionals, operating as ‘closed systems</w:t>
      </w:r>
      <w:r w:rsidRPr="00A473B1">
        <w:rPr>
          <w:rFonts w:ascii="Times New Roman" w:hAnsi="Times New Roman" w:cs="Times New Roman"/>
          <w:sz w:val="24"/>
          <w:szCs w:val="24"/>
        </w:rPr>
        <w:t>’</w:t>
      </w:r>
      <w:r w:rsidR="000439B7">
        <w:rPr>
          <w:rFonts w:ascii="Times New Roman" w:hAnsi="Times New Roman" w:cs="Times New Roman"/>
          <w:sz w:val="24"/>
          <w:szCs w:val="24"/>
        </w:rPr>
        <w:t xml:space="preserve"> (</w:t>
      </w:r>
      <w:proofErr w:type="spellStart"/>
      <w:r w:rsidR="000439B7">
        <w:rPr>
          <w:rFonts w:ascii="Times New Roman" w:hAnsi="Times New Roman" w:cs="Times New Roman"/>
          <w:sz w:val="24"/>
          <w:szCs w:val="24"/>
        </w:rPr>
        <w:t>Sch</w:t>
      </w:r>
      <w:r w:rsidR="00FB245A">
        <w:rPr>
          <w:rFonts w:ascii="Times New Roman" w:hAnsi="Times New Roman" w:cs="Times New Roman"/>
          <w:sz w:val="24"/>
          <w:szCs w:val="24"/>
        </w:rPr>
        <w:t>i</w:t>
      </w:r>
      <w:r w:rsidR="000439B7">
        <w:rPr>
          <w:rFonts w:ascii="Times New Roman" w:hAnsi="Times New Roman" w:cs="Times New Roman"/>
          <w:sz w:val="24"/>
          <w:szCs w:val="24"/>
        </w:rPr>
        <w:t>mank</w:t>
      </w:r>
      <w:proofErr w:type="spellEnd"/>
      <w:r w:rsidR="000439B7">
        <w:rPr>
          <w:rFonts w:ascii="Times New Roman" w:hAnsi="Times New Roman" w:cs="Times New Roman"/>
          <w:sz w:val="24"/>
          <w:szCs w:val="24"/>
        </w:rPr>
        <w:t>, 2005)</w:t>
      </w:r>
      <w:r w:rsidRPr="00A473B1">
        <w:rPr>
          <w:rFonts w:ascii="Times New Roman" w:hAnsi="Times New Roman" w:cs="Times New Roman"/>
          <w:sz w:val="24"/>
          <w:szCs w:val="24"/>
        </w:rPr>
        <w:t xml:space="preserve"> that are detached from the prevailing stakeholder demands. </w:t>
      </w:r>
      <w:r w:rsidR="00A473B1">
        <w:rPr>
          <w:rFonts w:ascii="Times New Roman" w:hAnsi="Times New Roman" w:cs="Times New Roman"/>
          <w:sz w:val="24"/>
          <w:szCs w:val="24"/>
        </w:rPr>
        <w:t>V</w:t>
      </w:r>
      <w:r w:rsidRPr="00A473B1">
        <w:rPr>
          <w:rFonts w:ascii="Times New Roman" w:hAnsi="Times New Roman" w:cs="Times New Roman"/>
          <w:sz w:val="24"/>
          <w:szCs w:val="24"/>
        </w:rPr>
        <w:t xml:space="preserve">alue for money is not only to be appraised at the immediate point of experience, but also as measurable future returns for individuals and </w:t>
      </w:r>
      <w:r w:rsidR="00A473B1">
        <w:rPr>
          <w:rFonts w:ascii="Times New Roman" w:hAnsi="Times New Roman" w:cs="Times New Roman"/>
          <w:sz w:val="24"/>
          <w:szCs w:val="24"/>
        </w:rPr>
        <w:t xml:space="preserve">the </w:t>
      </w:r>
      <w:r w:rsidRPr="00A473B1">
        <w:rPr>
          <w:rFonts w:ascii="Times New Roman" w:hAnsi="Times New Roman" w:cs="Times New Roman"/>
          <w:sz w:val="24"/>
          <w:szCs w:val="24"/>
        </w:rPr>
        <w:t>wider economy:</w:t>
      </w:r>
      <w:r w:rsidRPr="00A473B1">
        <w:rPr>
          <w:rFonts w:eastAsiaTheme="minorEastAsia"/>
          <w:i/>
          <w:color w:val="000000" w:themeColor="text1"/>
          <w:kern w:val="24"/>
        </w:rPr>
        <w:t xml:space="preserve"> </w:t>
      </w:r>
      <w:r w:rsidR="00A473B1">
        <w:rPr>
          <w:rFonts w:eastAsiaTheme="minorEastAsia"/>
          <w:i/>
          <w:color w:val="000000" w:themeColor="text1"/>
          <w:kern w:val="24"/>
        </w:rPr>
        <w:t>‘</w:t>
      </w:r>
      <w:r w:rsidRPr="00A473B1">
        <w:rPr>
          <w:rFonts w:ascii="Times New Roman" w:eastAsiaTheme="minorEastAsia" w:hAnsi="Times New Roman" w:cs="Times New Roman"/>
          <w:i/>
          <w:color w:val="000000" w:themeColor="text1"/>
          <w:kern w:val="24"/>
          <w:sz w:val="24"/>
          <w:szCs w:val="24"/>
        </w:rPr>
        <w:t xml:space="preserve">Students expect better value for money; employers need access to a pipeline of graduates with the skills they need; and the taxpayer needs to see a broad range of economic and social benefits generated by the public investment in our </w:t>
      </w:r>
      <w:r w:rsidRPr="00D91CEB">
        <w:rPr>
          <w:rFonts w:ascii="Times New Roman" w:eastAsiaTheme="minorEastAsia" w:hAnsi="Times New Roman" w:cs="Times New Roman"/>
          <w:i/>
          <w:color w:val="000000" w:themeColor="text1"/>
          <w:kern w:val="24"/>
          <w:sz w:val="24"/>
          <w:szCs w:val="24"/>
        </w:rPr>
        <w:t>higher education system</w:t>
      </w:r>
      <w:r w:rsidR="00A473B1">
        <w:rPr>
          <w:rFonts w:ascii="Times New Roman" w:eastAsiaTheme="minorEastAsia" w:hAnsi="Times New Roman" w:cs="Times New Roman"/>
          <w:i/>
          <w:color w:val="000000" w:themeColor="text1"/>
          <w:kern w:val="24"/>
          <w:sz w:val="24"/>
          <w:szCs w:val="24"/>
        </w:rPr>
        <w:t>’</w:t>
      </w:r>
      <w:r w:rsidRPr="00A473B1">
        <w:rPr>
          <w:rFonts w:ascii="Times New Roman" w:eastAsiaTheme="minorEastAsia" w:hAnsi="Times New Roman" w:cs="Times New Roman"/>
          <w:i/>
          <w:color w:val="000000" w:themeColor="text1"/>
          <w:kern w:val="24"/>
          <w:sz w:val="24"/>
          <w:szCs w:val="24"/>
        </w:rPr>
        <w:t xml:space="preserve"> </w:t>
      </w:r>
      <w:r w:rsidRPr="001A18BD">
        <w:rPr>
          <w:rFonts w:ascii="Times New Roman" w:eastAsiaTheme="minorEastAsia" w:hAnsi="Times New Roman" w:cs="Times New Roman"/>
          <w:color w:val="000000" w:themeColor="text1"/>
          <w:kern w:val="24"/>
          <w:sz w:val="24"/>
          <w:szCs w:val="24"/>
        </w:rPr>
        <w:t>(BIS, 2015</w:t>
      </w:r>
      <w:r w:rsidR="00F74588">
        <w:rPr>
          <w:rFonts w:ascii="Times New Roman" w:eastAsiaTheme="minorEastAsia" w:hAnsi="Times New Roman" w:cs="Times New Roman"/>
          <w:color w:val="000000" w:themeColor="text1"/>
          <w:kern w:val="24"/>
          <w:sz w:val="24"/>
          <w:szCs w:val="24"/>
        </w:rPr>
        <w:t>,</w:t>
      </w:r>
      <w:r w:rsidRPr="001A18BD">
        <w:rPr>
          <w:rFonts w:ascii="Times New Roman" w:eastAsiaTheme="minorEastAsia" w:hAnsi="Times New Roman" w:cs="Times New Roman"/>
          <w:color w:val="000000" w:themeColor="text1"/>
          <w:kern w:val="24"/>
          <w:sz w:val="24"/>
          <w:szCs w:val="24"/>
        </w:rPr>
        <w:t xml:space="preserve"> p.</w:t>
      </w:r>
      <w:r w:rsidR="00205788">
        <w:rPr>
          <w:rFonts w:ascii="Times New Roman" w:eastAsiaTheme="minorEastAsia" w:hAnsi="Times New Roman" w:cs="Times New Roman"/>
          <w:color w:val="000000" w:themeColor="text1"/>
          <w:kern w:val="24"/>
          <w:sz w:val="24"/>
          <w:szCs w:val="24"/>
        </w:rPr>
        <w:t xml:space="preserve"> </w:t>
      </w:r>
      <w:r w:rsidRPr="001A18BD">
        <w:rPr>
          <w:rFonts w:ascii="Times New Roman" w:eastAsiaTheme="minorEastAsia" w:hAnsi="Times New Roman" w:cs="Times New Roman"/>
          <w:color w:val="000000" w:themeColor="text1"/>
          <w:kern w:val="24"/>
          <w:sz w:val="24"/>
          <w:szCs w:val="24"/>
        </w:rPr>
        <w:t>18)</w:t>
      </w:r>
      <w:r w:rsidRPr="001A18BD">
        <w:rPr>
          <w:rFonts w:ascii="Times New Roman" w:eastAsiaTheme="minorEastAsia" w:hAnsi="Times New Roman" w:cs="Times New Roman"/>
          <w:i/>
          <w:color w:val="000000" w:themeColor="text1"/>
          <w:kern w:val="24"/>
          <w:sz w:val="24"/>
          <w:szCs w:val="24"/>
        </w:rPr>
        <w:t>.</w:t>
      </w:r>
    </w:p>
    <w:p w14:paraId="39F4C008" w14:textId="0F20B75E" w:rsidR="00260EA3" w:rsidRPr="00345210" w:rsidRDefault="00260EA3" w:rsidP="001C1AAE">
      <w:pPr>
        <w:spacing w:after="120" w:line="360" w:lineRule="auto"/>
        <w:jc w:val="both"/>
        <w:rPr>
          <w:rFonts w:ascii="Times New Roman" w:hAnsi="Times New Roman" w:cs="Times New Roman"/>
          <w:sz w:val="24"/>
          <w:szCs w:val="24"/>
        </w:rPr>
      </w:pPr>
      <w:r w:rsidRPr="007B21A1">
        <w:rPr>
          <w:rFonts w:ascii="Times New Roman" w:hAnsi="Times New Roman" w:cs="Times New Roman"/>
          <w:sz w:val="24"/>
          <w:szCs w:val="24"/>
        </w:rPr>
        <w:t>As a policy solution to these problems and their underlying institutional causes, the TEF therefore works through a number of key levers that are designed to maximise graduates’ employability and future returns. The formal measurement of graduate outcomes as a proxy for institutional efficacy affirms performative practice-orientations that equate quality teaching and learning with the enhancement of economic capital. Employers are salient stakeholder</w:t>
      </w:r>
      <w:r w:rsidR="00A473B1">
        <w:rPr>
          <w:rFonts w:ascii="Times New Roman" w:hAnsi="Times New Roman" w:cs="Times New Roman"/>
          <w:sz w:val="24"/>
          <w:szCs w:val="24"/>
        </w:rPr>
        <w:t>s</w:t>
      </w:r>
      <w:r w:rsidRPr="007B21A1">
        <w:rPr>
          <w:rFonts w:ascii="Times New Roman" w:hAnsi="Times New Roman" w:cs="Times New Roman"/>
          <w:sz w:val="24"/>
          <w:szCs w:val="24"/>
        </w:rPr>
        <w:t xml:space="preserve"> in the policy texts, not just a set of powerful field actors who sit outside of institutions, institutional responsiveness towards a set of utilitarian outcomes:</w:t>
      </w:r>
      <w:r w:rsidRPr="007B21A1">
        <w:rPr>
          <w:rFonts w:ascii="Times New Roman" w:hAnsi="Times New Roman" w:cs="Times New Roman"/>
          <w:i/>
          <w:sz w:val="24"/>
          <w:szCs w:val="24"/>
        </w:rPr>
        <w:t xml:space="preserve"> ‘We hope this </w:t>
      </w:r>
      <w:r w:rsidR="00F74588" w:rsidRPr="00F74588">
        <w:rPr>
          <w:rFonts w:ascii="Times New Roman" w:hAnsi="Times New Roman" w:cs="Times New Roman"/>
          <w:sz w:val="24"/>
          <w:szCs w:val="24"/>
        </w:rPr>
        <w:t xml:space="preserve">[the </w:t>
      </w:r>
      <w:r w:rsidRPr="00F74588">
        <w:rPr>
          <w:rFonts w:ascii="Times New Roman" w:hAnsi="Times New Roman" w:cs="Times New Roman"/>
          <w:sz w:val="24"/>
          <w:szCs w:val="24"/>
        </w:rPr>
        <w:t>TEF framework</w:t>
      </w:r>
      <w:r w:rsidR="00F74588" w:rsidRPr="00F74588">
        <w:rPr>
          <w:rFonts w:ascii="Times New Roman" w:hAnsi="Times New Roman" w:cs="Times New Roman"/>
          <w:sz w:val="24"/>
          <w:szCs w:val="24"/>
        </w:rPr>
        <w:t>]</w:t>
      </w:r>
      <w:r w:rsidRPr="007B21A1">
        <w:rPr>
          <w:rFonts w:ascii="Times New Roman" w:hAnsi="Times New Roman" w:cs="Times New Roman"/>
          <w:i/>
          <w:sz w:val="24"/>
          <w:szCs w:val="24"/>
        </w:rPr>
        <w:t xml:space="preserve"> will also be used by providers evaluating their provision and considering how they can tailor it </w:t>
      </w:r>
      <w:r w:rsidRPr="00345210">
        <w:rPr>
          <w:rFonts w:ascii="Times New Roman" w:hAnsi="Times New Roman" w:cs="Times New Roman"/>
          <w:i/>
          <w:sz w:val="24"/>
          <w:szCs w:val="24"/>
        </w:rPr>
        <w:t xml:space="preserve">to better deliver relevant skills for the labour market’ </w:t>
      </w:r>
      <w:r w:rsidRPr="00345210">
        <w:rPr>
          <w:rFonts w:ascii="Times New Roman" w:hAnsi="Times New Roman" w:cs="Times New Roman"/>
          <w:sz w:val="24"/>
          <w:szCs w:val="24"/>
        </w:rPr>
        <w:t>(BIS, 2016</w:t>
      </w:r>
      <w:r w:rsidR="00D83F13">
        <w:rPr>
          <w:rFonts w:ascii="Times New Roman" w:hAnsi="Times New Roman" w:cs="Times New Roman"/>
          <w:sz w:val="24"/>
          <w:szCs w:val="24"/>
        </w:rPr>
        <w:t>a</w:t>
      </w:r>
      <w:r w:rsidR="00F74588">
        <w:rPr>
          <w:rFonts w:ascii="Times New Roman" w:hAnsi="Times New Roman" w:cs="Times New Roman"/>
          <w:sz w:val="24"/>
          <w:szCs w:val="24"/>
        </w:rPr>
        <w:t>,</w:t>
      </w:r>
      <w:r w:rsidRPr="00345210">
        <w:rPr>
          <w:rFonts w:ascii="Times New Roman" w:hAnsi="Times New Roman" w:cs="Times New Roman"/>
          <w:sz w:val="24"/>
          <w:szCs w:val="24"/>
        </w:rPr>
        <w:t xml:space="preserve"> p.</w:t>
      </w:r>
      <w:r w:rsidR="00D83F13">
        <w:rPr>
          <w:rFonts w:ascii="Times New Roman" w:hAnsi="Times New Roman" w:cs="Times New Roman"/>
          <w:sz w:val="24"/>
          <w:szCs w:val="24"/>
        </w:rPr>
        <w:t xml:space="preserve"> </w:t>
      </w:r>
      <w:r w:rsidRPr="00345210">
        <w:rPr>
          <w:rFonts w:ascii="Times New Roman" w:hAnsi="Times New Roman" w:cs="Times New Roman"/>
          <w:sz w:val="24"/>
          <w:szCs w:val="24"/>
        </w:rPr>
        <w:t>58).</w:t>
      </w:r>
    </w:p>
    <w:p w14:paraId="7D77C94C" w14:textId="37DF7F02" w:rsidR="00260EA3" w:rsidRPr="00345210" w:rsidRDefault="00260EA3" w:rsidP="001C1AAE">
      <w:pPr>
        <w:spacing w:after="120" w:line="360" w:lineRule="auto"/>
        <w:jc w:val="both"/>
        <w:rPr>
          <w:rFonts w:ascii="Times New Roman" w:hAnsi="Times New Roman" w:cs="Times New Roman"/>
          <w:sz w:val="24"/>
          <w:szCs w:val="24"/>
        </w:rPr>
      </w:pPr>
      <w:r w:rsidRPr="00A473B1">
        <w:rPr>
          <w:rFonts w:ascii="Times New Roman" w:hAnsi="Times New Roman" w:cs="Times New Roman"/>
          <w:sz w:val="24"/>
          <w:szCs w:val="24"/>
        </w:rPr>
        <w:t xml:space="preserve">The TEF operates a sleight of hand in augmenting the employability agenda so that it becomes central to institutions’ activities and core goals; and in doing so, it serves toward reproducing dominant interests of policy makers and employers. It employs a variety of misrecognition strategies </w:t>
      </w:r>
      <w:r w:rsidR="00A473B1">
        <w:rPr>
          <w:rFonts w:ascii="Times New Roman" w:hAnsi="Times New Roman" w:cs="Times New Roman"/>
          <w:sz w:val="24"/>
          <w:szCs w:val="24"/>
        </w:rPr>
        <w:t>that</w:t>
      </w:r>
      <w:r w:rsidRPr="00A473B1">
        <w:rPr>
          <w:rFonts w:ascii="Times New Roman" w:hAnsi="Times New Roman" w:cs="Times New Roman"/>
          <w:sz w:val="24"/>
          <w:szCs w:val="24"/>
        </w:rPr>
        <w:t xml:space="preserve"> enable this agenda to become </w:t>
      </w:r>
      <w:r w:rsidR="00A473B1">
        <w:rPr>
          <w:rFonts w:ascii="Times New Roman" w:hAnsi="Times New Roman" w:cs="Times New Roman"/>
          <w:sz w:val="24"/>
          <w:szCs w:val="24"/>
        </w:rPr>
        <w:t xml:space="preserve">legitimated and </w:t>
      </w:r>
      <w:r w:rsidRPr="00A473B1">
        <w:rPr>
          <w:rFonts w:ascii="Times New Roman" w:hAnsi="Times New Roman" w:cs="Times New Roman"/>
          <w:sz w:val="24"/>
          <w:szCs w:val="24"/>
        </w:rPr>
        <w:t xml:space="preserve">naturalised as a central priority within the current institutional field dynamics of </w:t>
      </w:r>
      <w:proofErr w:type="spellStart"/>
      <w:r w:rsidR="00CE1E94">
        <w:rPr>
          <w:rFonts w:ascii="Times New Roman" w:hAnsi="Times New Roman" w:cs="Times New Roman"/>
          <w:sz w:val="24"/>
          <w:szCs w:val="24"/>
        </w:rPr>
        <w:t>marketis</w:t>
      </w:r>
      <w:r w:rsidRPr="00CE1E94">
        <w:rPr>
          <w:rFonts w:ascii="Times New Roman" w:hAnsi="Times New Roman" w:cs="Times New Roman"/>
          <w:sz w:val="24"/>
          <w:szCs w:val="24"/>
        </w:rPr>
        <w:t>ed</w:t>
      </w:r>
      <w:proofErr w:type="spellEnd"/>
      <w:r w:rsidRPr="00CE1E94">
        <w:rPr>
          <w:rFonts w:ascii="Times New Roman" w:hAnsi="Times New Roman" w:cs="Times New Roman"/>
          <w:sz w:val="24"/>
          <w:szCs w:val="24"/>
        </w:rPr>
        <w:t xml:space="preserve"> HE. These strategies play into a range of key stakeholders’ needs – in particular, students and senior managers – to maximise </w:t>
      </w:r>
      <w:r w:rsidRPr="00CE1E94">
        <w:rPr>
          <w:rFonts w:ascii="Times New Roman" w:hAnsi="Times New Roman" w:cs="Times New Roman"/>
          <w:sz w:val="24"/>
          <w:szCs w:val="24"/>
        </w:rPr>
        <w:lastRenderedPageBreak/>
        <w:t>the market value of university credentials and ensure return-on-investment and future economic success. One strategy is the empowering of students as active labour market agents whose agency is channelled towards self-optimising pursuits that strengthen their field advantage in a more competitive labour market. The Green and White Papers strongly endorse an ethic of instrum</w:t>
      </w:r>
      <w:r w:rsidRPr="00345210">
        <w:rPr>
          <w:rFonts w:ascii="Times New Roman" w:hAnsi="Times New Roman" w:cs="Times New Roman"/>
          <w:sz w:val="24"/>
          <w:szCs w:val="24"/>
        </w:rPr>
        <w:t xml:space="preserve">ental individualism and competition amongst students with the ultimate goal of maximising the commodity value of their university credentials. </w:t>
      </w:r>
    </w:p>
    <w:p w14:paraId="77725301" w14:textId="7CCF349E" w:rsidR="00260EA3" w:rsidRPr="00D83F13" w:rsidRDefault="00260EA3" w:rsidP="001C1AAE">
      <w:pPr>
        <w:spacing w:after="120" w:line="360" w:lineRule="auto"/>
        <w:jc w:val="both"/>
        <w:rPr>
          <w:rFonts w:ascii="Times New Roman" w:hAnsi="Times New Roman" w:cs="Times New Roman"/>
          <w:sz w:val="24"/>
          <w:szCs w:val="24"/>
        </w:rPr>
      </w:pPr>
      <w:r w:rsidRPr="00A473B1">
        <w:rPr>
          <w:rFonts w:ascii="Times New Roman" w:hAnsi="Times New Roman" w:cs="Times New Roman"/>
          <w:sz w:val="24"/>
          <w:szCs w:val="24"/>
        </w:rPr>
        <w:t xml:space="preserve">The employability agenda, actively propagated in the policy papers and used in the TEF as </w:t>
      </w:r>
      <w:r w:rsidR="00D83F13">
        <w:rPr>
          <w:rFonts w:ascii="Times New Roman" w:hAnsi="Times New Roman" w:cs="Times New Roman"/>
          <w:sz w:val="24"/>
          <w:szCs w:val="24"/>
        </w:rPr>
        <w:t xml:space="preserve">a </w:t>
      </w:r>
      <w:r w:rsidRPr="00A473B1">
        <w:rPr>
          <w:rFonts w:ascii="Times New Roman" w:hAnsi="Times New Roman" w:cs="Times New Roman"/>
          <w:sz w:val="24"/>
          <w:szCs w:val="24"/>
        </w:rPr>
        <w:t>key lever for appraising institutions’ quality, effectively conditions institutional actors’ behaviours, whether they actively subscribe to this agenda or not. The retooling of disciplinary learning as a mode of vocationally-orientated praxis with codified sets of learning outc</w:t>
      </w:r>
      <w:r w:rsidRPr="00D83F13">
        <w:rPr>
          <w:rFonts w:ascii="Times New Roman" w:hAnsi="Times New Roman" w:cs="Times New Roman"/>
          <w:sz w:val="24"/>
          <w:szCs w:val="24"/>
        </w:rPr>
        <w:t xml:space="preserve">omes is pivotal to how students appraise the nature and value of their formal learning. In combining discourses of individual and institutional responsibility, the TEF inculcates a set of field behaviours </w:t>
      </w:r>
      <w:r w:rsidR="00D83F13">
        <w:rPr>
          <w:rFonts w:ascii="Times New Roman" w:hAnsi="Times New Roman" w:cs="Times New Roman"/>
          <w:sz w:val="24"/>
          <w:szCs w:val="24"/>
        </w:rPr>
        <w:t>that</w:t>
      </w:r>
      <w:r w:rsidRPr="00D83F13">
        <w:rPr>
          <w:rFonts w:ascii="Times New Roman" w:hAnsi="Times New Roman" w:cs="Times New Roman"/>
          <w:sz w:val="24"/>
          <w:szCs w:val="24"/>
        </w:rPr>
        <w:t xml:space="preserve"> are channelled towards the enhancement of field advantage. Institutional efforts towards enabling this pursuit help add value to students’ extant credentials and are understood to signify institutions’ value-added. Senior managers, and to lesser extent, academics, are co-opted into this agenda as it significantly raises the stakes for their own reputational capital and, therefore, market positioning. The global competition dimension, continually referred to, adds a further incentive for institutions to </w:t>
      </w:r>
      <w:r w:rsidR="00D83F13">
        <w:rPr>
          <w:rFonts w:ascii="Times New Roman" w:hAnsi="Times New Roman" w:cs="Times New Roman"/>
          <w:sz w:val="24"/>
          <w:szCs w:val="24"/>
        </w:rPr>
        <w:t>‘</w:t>
      </w:r>
      <w:r w:rsidRPr="00D83F13">
        <w:rPr>
          <w:rFonts w:ascii="Times New Roman" w:hAnsi="Times New Roman" w:cs="Times New Roman"/>
          <w:i/>
          <w:sz w:val="24"/>
          <w:szCs w:val="24"/>
        </w:rPr>
        <w:t>enhance the world class reputation of the sect</w:t>
      </w:r>
      <w:r w:rsidR="00D83F13">
        <w:rPr>
          <w:rFonts w:ascii="Times New Roman" w:hAnsi="Times New Roman" w:cs="Times New Roman"/>
          <w:i/>
          <w:sz w:val="24"/>
          <w:szCs w:val="24"/>
        </w:rPr>
        <w:t>or’</w:t>
      </w:r>
      <w:r w:rsidRPr="00D83F13">
        <w:rPr>
          <w:rFonts w:ascii="Times New Roman" w:hAnsi="Times New Roman" w:cs="Times New Roman"/>
          <w:sz w:val="24"/>
          <w:szCs w:val="24"/>
        </w:rPr>
        <w:t xml:space="preserve"> (BIS, 2016</w:t>
      </w:r>
      <w:r w:rsidR="00D83F13">
        <w:rPr>
          <w:rFonts w:ascii="Times New Roman" w:hAnsi="Times New Roman" w:cs="Times New Roman"/>
          <w:sz w:val="24"/>
          <w:szCs w:val="24"/>
        </w:rPr>
        <w:t>a:</w:t>
      </w:r>
      <w:r w:rsidRPr="00D83F13">
        <w:rPr>
          <w:rFonts w:ascii="Times New Roman" w:hAnsi="Times New Roman" w:cs="Times New Roman"/>
          <w:sz w:val="24"/>
          <w:szCs w:val="24"/>
        </w:rPr>
        <w:t xml:space="preserve"> p</w:t>
      </w:r>
      <w:r w:rsidR="00D83F13">
        <w:rPr>
          <w:rFonts w:ascii="Times New Roman" w:hAnsi="Times New Roman" w:cs="Times New Roman"/>
          <w:sz w:val="24"/>
          <w:szCs w:val="24"/>
        </w:rPr>
        <w:t xml:space="preserve">. </w:t>
      </w:r>
      <w:r w:rsidRPr="00D83F13">
        <w:rPr>
          <w:rFonts w:ascii="Times New Roman" w:hAnsi="Times New Roman" w:cs="Times New Roman"/>
          <w:sz w:val="24"/>
          <w:szCs w:val="24"/>
        </w:rPr>
        <w:t>29) and therefore ensure an attractive competitive offering for both home and international students.</w:t>
      </w:r>
    </w:p>
    <w:p w14:paraId="77E74ADD" w14:textId="3B7B8018" w:rsidR="00260EA3" w:rsidRPr="00A473B1" w:rsidRDefault="00260EA3" w:rsidP="001C1AAE">
      <w:pPr>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 xml:space="preserve">Another related strategy is developing closer synergies between institutions and employers so that employers are accorded one of the most significant field positions within the new university-economy nexus. As influential actors in the </w:t>
      </w:r>
      <w:proofErr w:type="spellStart"/>
      <w:r w:rsidR="00CE1E94">
        <w:rPr>
          <w:rFonts w:ascii="Times New Roman" w:hAnsi="Times New Roman" w:cs="Times New Roman"/>
          <w:sz w:val="24"/>
          <w:szCs w:val="24"/>
        </w:rPr>
        <w:t>marketis</w:t>
      </w:r>
      <w:r w:rsidRPr="00CE1E94">
        <w:rPr>
          <w:rFonts w:ascii="Times New Roman" w:hAnsi="Times New Roman" w:cs="Times New Roman"/>
          <w:sz w:val="24"/>
          <w:szCs w:val="24"/>
        </w:rPr>
        <w:t>ed</w:t>
      </w:r>
      <w:proofErr w:type="spellEnd"/>
      <w:r w:rsidRPr="00CE1E94">
        <w:rPr>
          <w:rFonts w:ascii="Times New Roman" w:hAnsi="Times New Roman" w:cs="Times New Roman"/>
          <w:sz w:val="24"/>
          <w:szCs w:val="24"/>
        </w:rPr>
        <w:t xml:space="preserve"> HE field, employers are in a strong position to leverage closer links with universities, as well as to encourage students to engage in forms of work experience and early professional socialisation. One of the immediate links is through structured work experience and internships </w:t>
      </w:r>
      <w:r w:rsidR="003546D0">
        <w:rPr>
          <w:rFonts w:ascii="Times New Roman" w:hAnsi="Times New Roman" w:cs="Times New Roman"/>
          <w:sz w:val="24"/>
          <w:szCs w:val="24"/>
        </w:rPr>
        <w:t>that</w:t>
      </w:r>
      <w:r w:rsidRPr="00CE1E94">
        <w:rPr>
          <w:rFonts w:ascii="Times New Roman" w:hAnsi="Times New Roman" w:cs="Times New Roman"/>
          <w:sz w:val="24"/>
          <w:szCs w:val="24"/>
        </w:rPr>
        <w:t xml:space="preserve"> are increasingly offered to students as a vehicle towards enhancing future opportunities. Such experi</w:t>
      </w:r>
      <w:r w:rsidRPr="00345210">
        <w:rPr>
          <w:rFonts w:ascii="Times New Roman" w:hAnsi="Times New Roman" w:cs="Times New Roman"/>
          <w:sz w:val="24"/>
          <w:szCs w:val="24"/>
        </w:rPr>
        <w:t>ences become an attractive draw for students seeking to develop stronger ties with employers. Added to related pressures to build an employability profile, including extra-</w:t>
      </w:r>
      <w:proofErr w:type="spellStart"/>
      <w:r w:rsidRPr="00345210">
        <w:rPr>
          <w:rFonts w:ascii="Times New Roman" w:hAnsi="Times New Roman" w:cs="Times New Roman"/>
          <w:sz w:val="24"/>
          <w:szCs w:val="24"/>
        </w:rPr>
        <w:t>curricula</w:t>
      </w:r>
      <w:proofErr w:type="spellEnd"/>
      <w:r w:rsidRPr="00345210">
        <w:rPr>
          <w:rFonts w:ascii="Times New Roman" w:hAnsi="Times New Roman" w:cs="Times New Roman"/>
          <w:sz w:val="24"/>
          <w:szCs w:val="24"/>
        </w:rPr>
        <w:t xml:space="preserve"> pursuits, participation in work experience and work-related learning potentially generates a competitive advantage for graduates, whilst allowing employers to identify and screen-out future talent. In order to improve their stock of job-related capitals, students have to increasingly self-commodify their university achievements </w:t>
      </w:r>
      <w:r w:rsidRPr="00A473B1">
        <w:rPr>
          <w:rFonts w:ascii="Times New Roman" w:hAnsi="Times New Roman" w:cs="Times New Roman"/>
          <w:sz w:val="24"/>
          <w:szCs w:val="24"/>
        </w:rPr>
        <w:t xml:space="preserve">and institutions have to demonstrably facilitate this process. </w:t>
      </w:r>
    </w:p>
    <w:p w14:paraId="21A27895" w14:textId="77777777" w:rsidR="00726CB8" w:rsidRPr="00D91CEB" w:rsidRDefault="00726CB8" w:rsidP="001C1AAE">
      <w:pPr>
        <w:spacing w:after="120" w:line="360" w:lineRule="auto"/>
        <w:rPr>
          <w:rFonts w:ascii="Times New Roman" w:hAnsi="Times New Roman" w:cs="Times New Roman"/>
          <w:b/>
          <w:sz w:val="24"/>
          <w:szCs w:val="24"/>
        </w:rPr>
      </w:pPr>
      <w:r w:rsidRPr="00D91CEB">
        <w:rPr>
          <w:rFonts w:ascii="Times New Roman" w:hAnsi="Times New Roman" w:cs="Times New Roman"/>
          <w:b/>
          <w:sz w:val="24"/>
          <w:szCs w:val="24"/>
        </w:rPr>
        <w:lastRenderedPageBreak/>
        <w:t>The measured market</w:t>
      </w:r>
    </w:p>
    <w:p w14:paraId="70F8C0F2" w14:textId="451324B2" w:rsidR="00726CB8" w:rsidRPr="00A473B1" w:rsidRDefault="00726CB8" w:rsidP="001C1AAE">
      <w:pPr>
        <w:autoSpaceDE w:val="0"/>
        <w:autoSpaceDN w:val="0"/>
        <w:adjustRightInd w:val="0"/>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 xml:space="preserve">The consumerist framework and the employability agenda that underpin the political push for further </w:t>
      </w:r>
      <w:r w:rsidR="00CE1E94">
        <w:rPr>
          <w:rFonts w:ascii="Times New Roman" w:hAnsi="Times New Roman" w:cs="Times New Roman"/>
          <w:sz w:val="24"/>
          <w:szCs w:val="24"/>
        </w:rPr>
        <w:t>marketis</w:t>
      </w:r>
      <w:r w:rsidRPr="00CE1E94">
        <w:rPr>
          <w:rFonts w:ascii="Times New Roman" w:hAnsi="Times New Roman" w:cs="Times New Roman"/>
          <w:sz w:val="24"/>
          <w:szCs w:val="24"/>
        </w:rPr>
        <w:t xml:space="preserve">ation in HE are strongly related to another dominant political </w:t>
      </w:r>
      <w:r w:rsidRPr="00345210">
        <w:rPr>
          <w:rFonts w:ascii="Times New Roman" w:hAnsi="Times New Roman" w:cs="Times New Roman"/>
          <w:sz w:val="24"/>
          <w:szCs w:val="24"/>
        </w:rPr>
        <w:t>narrative: the measured market. Data, information and measures are at the heart of the political agenda and proposed to become ‘</w:t>
      </w:r>
      <w:r w:rsidRPr="00345210">
        <w:rPr>
          <w:rFonts w:ascii="Times New Roman" w:hAnsi="Times New Roman" w:cs="Times New Roman"/>
          <w:i/>
          <w:sz w:val="24"/>
          <w:szCs w:val="24"/>
        </w:rPr>
        <w:t>ever more fundamental to driving policy and regulation in higher education</w:t>
      </w:r>
      <w:r w:rsidRPr="00A473B1">
        <w:rPr>
          <w:rFonts w:ascii="Times New Roman" w:hAnsi="Times New Roman" w:cs="Times New Roman"/>
          <w:sz w:val="24"/>
          <w:szCs w:val="24"/>
        </w:rPr>
        <w:t>’ (BIS, 2016a</w:t>
      </w:r>
      <w:r w:rsidR="003D1C42">
        <w:rPr>
          <w:rFonts w:ascii="Times New Roman" w:hAnsi="Times New Roman" w:cs="Times New Roman"/>
          <w:sz w:val="24"/>
          <w:szCs w:val="24"/>
        </w:rPr>
        <w:t>, p.</w:t>
      </w:r>
      <w:r w:rsidRPr="00A473B1">
        <w:rPr>
          <w:rFonts w:ascii="Times New Roman" w:hAnsi="Times New Roman" w:cs="Times New Roman"/>
          <w:sz w:val="24"/>
          <w:szCs w:val="24"/>
        </w:rPr>
        <w:t xml:space="preserve"> 66). </w:t>
      </w:r>
    </w:p>
    <w:p w14:paraId="120EF56F" w14:textId="752DB8BD" w:rsidR="00726CB8" w:rsidRPr="003546D0" w:rsidRDefault="00726CB8" w:rsidP="001C1AAE">
      <w:pPr>
        <w:autoSpaceDE w:val="0"/>
        <w:autoSpaceDN w:val="0"/>
        <w:adjustRightInd w:val="0"/>
        <w:spacing w:after="120" w:line="360" w:lineRule="auto"/>
        <w:jc w:val="both"/>
        <w:rPr>
          <w:rFonts w:ascii="Times New Roman" w:hAnsi="Times New Roman" w:cs="Times New Roman"/>
          <w:color w:val="000000"/>
          <w:sz w:val="24"/>
          <w:szCs w:val="24"/>
        </w:rPr>
      </w:pPr>
      <w:r w:rsidRPr="00D91CEB">
        <w:rPr>
          <w:rFonts w:ascii="Times New Roman" w:hAnsi="Times New Roman" w:cs="Times New Roman"/>
          <w:sz w:val="24"/>
          <w:szCs w:val="24"/>
        </w:rPr>
        <w:t>Since more than a decade, a political project has been at work to install instruments for informing the market by an increasing range of measures of provision and consumption according to the logics of market competition and economic value. With the TEF, ‘governance by numbers’ (</w:t>
      </w:r>
      <w:proofErr w:type="spellStart"/>
      <w:r w:rsidRPr="00D91CEB">
        <w:rPr>
          <w:rFonts w:ascii="Times New Roman" w:hAnsi="Times New Roman" w:cs="Times New Roman"/>
          <w:sz w:val="24"/>
          <w:szCs w:val="24"/>
        </w:rPr>
        <w:t>Sellar</w:t>
      </w:r>
      <w:proofErr w:type="spellEnd"/>
      <w:r w:rsidRPr="00D91CEB">
        <w:rPr>
          <w:rFonts w:ascii="Times New Roman" w:hAnsi="Times New Roman" w:cs="Times New Roman"/>
          <w:sz w:val="24"/>
          <w:szCs w:val="24"/>
        </w:rPr>
        <w:t xml:space="preserve"> &amp; Lingard, 2013; Ball, 2015) is gathering significant momentum to finally cure market imperfections, most namely ‘</w:t>
      </w:r>
      <w:r w:rsidRPr="00D91CEB">
        <w:rPr>
          <w:rFonts w:ascii="Times New Roman" w:hAnsi="Times New Roman" w:cs="Times New Roman"/>
          <w:i/>
          <w:sz w:val="24"/>
          <w:szCs w:val="24"/>
        </w:rPr>
        <w:t>insufficient competition and a lack of informed choice</w:t>
      </w:r>
      <w:r w:rsidRPr="00D91CEB">
        <w:rPr>
          <w:rFonts w:ascii="Times New Roman" w:hAnsi="Times New Roman" w:cs="Times New Roman"/>
          <w:sz w:val="24"/>
          <w:szCs w:val="24"/>
        </w:rPr>
        <w:t>’ (BIS, 2016a, p.</w:t>
      </w:r>
      <w:r w:rsidR="000F0B65">
        <w:rPr>
          <w:rFonts w:ascii="Times New Roman" w:hAnsi="Times New Roman" w:cs="Times New Roman"/>
          <w:sz w:val="24"/>
          <w:szCs w:val="24"/>
        </w:rPr>
        <w:t xml:space="preserve"> </w:t>
      </w:r>
      <w:r w:rsidRPr="00D91CEB">
        <w:rPr>
          <w:rFonts w:ascii="Times New Roman" w:hAnsi="Times New Roman" w:cs="Times New Roman"/>
          <w:sz w:val="24"/>
          <w:szCs w:val="24"/>
        </w:rPr>
        <w:t>8</w:t>
      </w:r>
      <w:r w:rsidRPr="003D1C42">
        <w:rPr>
          <w:rFonts w:ascii="Times New Roman" w:hAnsi="Times New Roman" w:cs="Times New Roman"/>
          <w:sz w:val="24"/>
          <w:szCs w:val="24"/>
        </w:rPr>
        <w:t xml:space="preserve">). </w:t>
      </w:r>
      <w:r w:rsidRPr="003D1C42">
        <w:rPr>
          <w:rFonts w:ascii="Times New Roman" w:hAnsi="Times New Roman" w:cs="Times New Roman"/>
          <w:color w:val="000000"/>
          <w:sz w:val="24"/>
          <w:szCs w:val="24"/>
        </w:rPr>
        <w:t>In the past, the dominant practice has been to pile up one government</w:t>
      </w:r>
      <w:r w:rsidRPr="00D91CEB">
        <w:rPr>
          <w:rFonts w:ascii="Times New Roman" w:hAnsi="Times New Roman" w:cs="Times New Roman"/>
          <w:color w:val="000000"/>
          <w:sz w:val="24"/>
          <w:szCs w:val="24"/>
        </w:rPr>
        <w:t>al and institutional data system after the other to inform stakeholders</w:t>
      </w:r>
      <w:r w:rsidR="003546D0">
        <w:rPr>
          <w:rFonts w:ascii="Times New Roman" w:hAnsi="Times New Roman" w:cs="Times New Roman"/>
          <w:color w:val="000000"/>
          <w:sz w:val="24"/>
          <w:szCs w:val="24"/>
        </w:rPr>
        <w:t xml:space="preserve">. This </w:t>
      </w:r>
      <w:r w:rsidRPr="003546D0">
        <w:rPr>
          <w:rFonts w:ascii="Times New Roman" w:hAnsi="Times New Roman" w:cs="Times New Roman"/>
          <w:color w:val="000000"/>
          <w:sz w:val="24"/>
          <w:szCs w:val="24"/>
        </w:rPr>
        <w:t>creat</w:t>
      </w:r>
      <w:r w:rsidR="003546D0">
        <w:rPr>
          <w:rFonts w:ascii="Times New Roman" w:hAnsi="Times New Roman" w:cs="Times New Roman"/>
          <w:color w:val="000000"/>
          <w:sz w:val="24"/>
          <w:szCs w:val="24"/>
        </w:rPr>
        <w:t>ed</w:t>
      </w:r>
      <w:r w:rsidRPr="003546D0">
        <w:rPr>
          <w:rFonts w:ascii="Times New Roman" w:hAnsi="Times New Roman" w:cs="Times New Roman"/>
          <w:color w:val="000000"/>
          <w:sz w:val="24"/>
          <w:szCs w:val="24"/>
        </w:rPr>
        <w:t xml:space="preserve"> over-complexities of data provision, most notably for student information and choice. The new rating system of the TEF is also expected to </w:t>
      </w:r>
      <w:r w:rsidR="003546D0">
        <w:rPr>
          <w:rFonts w:ascii="Times New Roman" w:hAnsi="Times New Roman" w:cs="Times New Roman"/>
          <w:color w:val="000000"/>
          <w:sz w:val="24"/>
          <w:szCs w:val="24"/>
        </w:rPr>
        <w:t>address</w:t>
      </w:r>
      <w:r w:rsidRPr="003546D0">
        <w:rPr>
          <w:rFonts w:ascii="Times New Roman" w:hAnsi="Times New Roman" w:cs="Times New Roman"/>
          <w:color w:val="000000"/>
          <w:sz w:val="24"/>
          <w:szCs w:val="24"/>
        </w:rPr>
        <w:t xml:space="preserve"> problems of entry of private for-profit providers who will strengthen the logic of the market against the interests of publically funded universities who need ‘</w:t>
      </w:r>
      <w:r w:rsidRPr="003546D0">
        <w:rPr>
          <w:rFonts w:ascii="Times New Roman" w:hAnsi="Times New Roman" w:cs="Times New Roman"/>
          <w:i/>
          <w:color w:val="000000"/>
          <w:sz w:val="24"/>
          <w:szCs w:val="24"/>
        </w:rPr>
        <w:t>to do more to promote competition</w:t>
      </w:r>
      <w:r w:rsidRPr="003546D0">
        <w:rPr>
          <w:rFonts w:ascii="Times New Roman" w:hAnsi="Times New Roman" w:cs="Times New Roman"/>
          <w:color w:val="000000"/>
          <w:sz w:val="24"/>
          <w:szCs w:val="24"/>
        </w:rPr>
        <w:t>’ (BIS, 2016a, p. 22).</w:t>
      </w:r>
    </w:p>
    <w:p w14:paraId="62EA5DFE" w14:textId="562DC858" w:rsidR="00726CB8" w:rsidRPr="00D91CEB" w:rsidRDefault="00726CB8" w:rsidP="001C1AAE">
      <w:pPr>
        <w:autoSpaceDE w:val="0"/>
        <w:autoSpaceDN w:val="0"/>
        <w:adjustRightInd w:val="0"/>
        <w:spacing w:after="120" w:line="360" w:lineRule="auto"/>
        <w:jc w:val="both"/>
        <w:rPr>
          <w:rFonts w:ascii="Times New Roman" w:hAnsi="Times New Roman" w:cs="Times New Roman"/>
          <w:color w:val="000000"/>
          <w:sz w:val="24"/>
          <w:szCs w:val="24"/>
        </w:rPr>
      </w:pPr>
      <w:r w:rsidRPr="00D91CEB">
        <w:rPr>
          <w:rFonts w:ascii="Times New Roman" w:hAnsi="Times New Roman" w:cs="Times New Roman"/>
          <w:color w:val="000000"/>
          <w:sz w:val="24"/>
          <w:szCs w:val="24"/>
        </w:rPr>
        <w:t xml:space="preserve">With the TEF, the market signalling of stratified valorisation of teaching follows the logic of more simple sound bites via two channels: </w:t>
      </w:r>
      <w:r w:rsidR="00F62A8F">
        <w:rPr>
          <w:rFonts w:ascii="Times New Roman" w:hAnsi="Times New Roman" w:cs="Times New Roman"/>
          <w:color w:val="000000"/>
          <w:sz w:val="24"/>
          <w:szCs w:val="24"/>
        </w:rPr>
        <w:t>F</w:t>
      </w:r>
      <w:r w:rsidR="003546D0">
        <w:rPr>
          <w:rFonts w:ascii="Times New Roman" w:hAnsi="Times New Roman" w:cs="Times New Roman"/>
          <w:color w:val="000000"/>
          <w:sz w:val="24"/>
          <w:szCs w:val="24"/>
        </w:rPr>
        <w:t xml:space="preserve">irst, </w:t>
      </w:r>
      <w:r w:rsidRPr="003546D0">
        <w:rPr>
          <w:rFonts w:ascii="Times New Roman" w:hAnsi="Times New Roman" w:cs="Times New Roman"/>
          <w:color w:val="000000"/>
          <w:sz w:val="24"/>
          <w:szCs w:val="24"/>
        </w:rPr>
        <w:t xml:space="preserve">the </w:t>
      </w:r>
      <w:r w:rsidRPr="003546D0">
        <w:rPr>
          <w:rFonts w:ascii="Times New Roman" w:hAnsi="Times New Roman" w:cs="Times New Roman"/>
          <w:sz w:val="24"/>
          <w:szCs w:val="24"/>
        </w:rPr>
        <w:t xml:space="preserve">government itself </w:t>
      </w:r>
      <w:r w:rsidR="003546D0">
        <w:rPr>
          <w:rFonts w:ascii="Times New Roman" w:hAnsi="Times New Roman" w:cs="Times New Roman"/>
          <w:sz w:val="24"/>
          <w:szCs w:val="24"/>
        </w:rPr>
        <w:t xml:space="preserve">is </w:t>
      </w:r>
      <w:r w:rsidRPr="003546D0">
        <w:rPr>
          <w:rFonts w:ascii="Times New Roman" w:hAnsi="Times New Roman" w:cs="Times New Roman"/>
          <w:sz w:val="24"/>
          <w:szCs w:val="24"/>
        </w:rPr>
        <w:t xml:space="preserve">acting </w:t>
      </w:r>
      <w:r w:rsidRPr="003546D0">
        <w:rPr>
          <w:rFonts w:ascii="Times New Roman" w:hAnsi="Times New Roman" w:cs="Times New Roman"/>
          <w:color w:val="000000"/>
          <w:sz w:val="24"/>
          <w:szCs w:val="24"/>
        </w:rPr>
        <w:t xml:space="preserve">as a rating agency of its public and private providers in a quasi-Olympic competition for gold, silver, and bronze; and </w:t>
      </w:r>
      <w:r w:rsidR="003546D0">
        <w:rPr>
          <w:rFonts w:ascii="Times New Roman" w:hAnsi="Times New Roman" w:cs="Times New Roman"/>
          <w:color w:val="000000"/>
          <w:sz w:val="24"/>
          <w:szCs w:val="24"/>
        </w:rPr>
        <w:t xml:space="preserve">second, </w:t>
      </w:r>
      <w:r w:rsidRPr="003546D0">
        <w:rPr>
          <w:rFonts w:ascii="Times New Roman" w:hAnsi="Times New Roman" w:cs="Times New Roman"/>
          <w:sz w:val="24"/>
          <w:szCs w:val="24"/>
        </w:rPr>
        <w:t xml:space="preserve">third party data providers </w:t>
      </w:r>
      <w:r w:rsidR="003546D0">
        <w:rPr>
          <w:rFonts w:ascii="Times New Roman" w:hAnsi="Times New Roman" w:cs="Times New Roman"/>
          <w:sz w:val="24"/>
          <w:szCs w:val="24"/>
        </w:rPr>
        <w:t xml:space="preserve">are encouraged </w:t>
      </w:r>
      <w:r w:rsidRPr="003546D0">
        <w:rPr>
          <w:rFonts w:ascii="Times New Roman" w:hAnsi="Times New Roman" w:cs="Times New Roman"/>
          <w:sz w:val="24"/>
          <w:szCs w:val="24"/>
        </w:rPr>
        <w:t>‘</w:t>
      </w:r>
      <w:r w:rsidRPr="003546D0">
        <w:rPr>
          <w:rFonts w:ascii="Times New Roman" w:hAnsi="Times New Roman" w:cs="Times New Roman"/>
          <w:i/>
          <w:sz w:val="24"/>
          <w:szCs w:val="24"/>
        </w:rPr>
        <w:t>to develop engaging and easy to understand information tools</w:t>
      </w:r>
      <w:r w:rsidRPr="003546D0">
        <w:rPr>
          <w:rFonts w:ascii="Times New Roman" w:hAnsi="Times New Roman" w:cs="Times New Roman"/>
          <w:sz w:val="24"/>
          <w:szCs w:val="24"/>
        </w:rPr>
        <w:t>’ (BIS, 2016a</w:t>
      </w:r>
      <w:r w:rsidR="003D1C42">
        <w:rPr>
          <w:rFonts w:ascii="Times New Roman" w:hAnsi="Times New Roman" w:cs="Times New Roman"/>
          <w:sz w:val="24"/>
          <w:szCs w:val="24"/>
        </w:rPr>
        <w:t>,</w:t>
      </w:r>
      <w:r w:rsidRPr="003546D0">
        <w:rPr>
          <w:rFonts w:ascii="Times New Roman" w:hAnsi="Times New Roman" w:cs="Times New Roman"/>
          <w:sz w:val="24"/>
          <w:szCs w:val="24"/>
        </w:rPr>
        <w:t xml:space="preserve"> p.</w:t>
      </w:r>
      <w:r w:rsidR="003D1C42">
        <w:rPr>
          <w:rFonts w:ascii="Times New Roman" w:hAnsi="Times New Roman" w:cs="Times New Roman"/>
          <w:sz w:val="24"/>
          <w:szCs w:val="24"/>
        </w:rPr>
        <w:t xml:space="preserve"> </w:t>
      </w:r>
      <w:r w:rsidRPr="003546D0">
        <w:rPr>
          <w:rFonts w:ascii="Times New Roman" w:hAnsi="Times New Roman" w:cs="Times New Roman"/>
          <w:sz w:val="24"/>
          <w:szCs w:val="24"/>
        </w:rPr>
        <w:t>66), i.e. ranking systems. This process makes it easier to access and digest information, as has, for example, been shown for the use of the NSS that primarily operates through its use in league tables (Gibbons</w:t>
      </w:r>
      <w:r w:rsidR="00F74588">
        <w:rPr>
          <w:rFonts w:ascii="Times New Roman" w:hAnsi="Times New Roman" w:cs="Times New Roman"/>
          <w:sz w:val="24"/>
          <w:szCs w:val="24"/>
        </w:rPr>
        <w:t xml:space="preserve"> </w:t>
      </w:r>
      <w:r w:rsidR="00F74588" w:rsidRPr="00A71103">
        <w:rPr>
          <w:rFonts w:ascii="Times New Roman" w:hAnsi="Times New Roman" w:cs="Times New Roman"/>
          <w:i/>
          <w:sz w:val="24"/>
          <w:szCs w:val="24"/>
        </w:rPr>
        <w:t>et</w:t>
      </w:r>
      <w:r w:rsidR="00F74588">
        <w:rPr>
          <w:rFonts w:ascii="Times New Roman" w:hAnsi="Times New Roman" w:cs="Times New Roman"/>
          <w:sz w:val="24"/>
          <w:szCs w:val="24"/>
        </w:rPr>
        <w:t xml:space="preserve"> </w:t>
      </w:r>
      <w:r w:rsidR="00F74588" w:rsidRPr="00F74588">
        <w:rPr>
          <w:rFonts w:ascii="Times New Roman" w:hAnsi="Times New Roman" w:cs="Times New Roman"/>
          <w:i/>
          <w:sz w:val="24"/>
          <w:szCs w:val="24"/>
        </w:rPr>
        <w:t>al</w:t>
      </w:r>
      <w:r w:rsidR="00F74588">
        <w:rPr>
          <w:rFonts w:ascii="Times New Roman" w:hAnsi="Times New Roman" w:cs="Times New Roman"/>
          <w:sz w:val="24"/>
          <w:szCs w:val="24"/>
        </w:rPr>
        <w:t>.</w:t>
      </w:r>
      <w:r w:rsidRPr="003546D0">
        <w:rPr>
          <w:rFonts w:ascii="Times New Roman" w:eastAsia="MAGDB B+ MTSY" w:hAnsi="Times New Roman" w:cs="Times New Roman"/>
          <w:sz w:val="24"/>
          <w:szCs w:val="24"/>
        </w:rPr>
        <w:t xml:space="preserve">, 2015). Simplification also makes data seem more authoritative obscuring the discretion, assumptions, and arbitrariness that unavoidably infuse such lists (see the findings of </w:t>
      </w:r>
      <w:r w:rsidRPr="003546D0">
        <w:rPr>
          <w:rFonts w:ascii="Times New Roman" w:hAnsi="Times New Roman" w:cs="Times New Roman"/>
          <w:sz w:val="24"/>
          <w:szCs w:val="24"/>
        </w:rPr>
        <w:t>Cheng &amp; Marsh, 2010, that d</w:t>
      </w:r>
      <w:r w:rsidRPr="003546D0">
        <w:rPr>
          <w:rFonts w:ascii="Times New Roman" w:hAnsi="Times New Roman" w:cs="Times New Roman"/>
          <w:color w:val="292526"/>
          <w:sz w:val="24"/>
          <w:szCs w:val="24"/>
        </w:rPr>
        <w:t xml:space="preserve">ifferences in NSS data between </w:t>
      </w:r>
      <w:r w:rsidRPr="003546D0">
        <w:rPr>
          <w:rFonts w:ascii="Times New Roman" w:hAnsi="Times New Roman" w:cs="Times New Roman"/>
          <w:sz w:val="24"/>
          <w:szCs w:val="24"/>
        </w:rPr>
        <w:t>universities – frequently used for league tables - explained only about 3% of the variance in individual student responses</w:t>
      </w:r>
      <w:r w:rsidRPr="00D91CEB">
        <w:rPr>
          <w:rFonts w:ascii="Times New Roman" w:eastAsia="MAGDB B+ MTSY" w:hAnsi="Times New Roman" w:cs="Times New Roman"/>
          <w:sz w:val="24"/>
          <w:szCs w:val="24"/>
        </w:rPr>
        <w:t>.) Consequently, uncertainty and contingency get absorbed and data appear more robust and definitive than it would if presented in more complicated forms.</w:t>
      </w:r>
      <w:r w:rsidRPr="00D91CEB">
        <w:rPr>
          <w:rFonts w:ascii="Times New Roman" w:hAnsi="Times New Roman" w:cs="Times New Roman"/>
          <w:color w:val="000000"/>
          <w:sz w:val="24"/>
          <w:szCs w:val="24"/>
        </w:rPr>
        <w:t xml:space="preserve"> </w:t>
      </w:r>
    </w:p>
    <w:p w14:paraId="5424BBBA" w14:textId="4AE838DA" w:rsidR="00726CB8" w:rsidRPr="00D91CEB" w:rsidRDefault="00726CB8" w:rsidP="001C1AAE">
      <w:pPr>
        <w:autoSpaceDE w:val="0"/>
        <w:autoSpaceDN w:val="0"/>
        <w:adjustRightInd w:val="0"/>
        <w:spacing w:after="120" w:line="360" w:lineRule="auto"/>
        <w:jc w:val="both"/>
        <w:rPr>
          <w:rFonts w:ascii="Times New Roman" w:hAnsi="Times New Roman" w:cs="Times New Roman"/>
          <w:color w:val="000000"/>
          <w:sz w:val="24"/>
          <w:szCs w:val="24"/>
        </w:rPr>
      </w:pPr>
      <w:r w:rsidRPr="00D91CEB">
        <w:rPr>
          <w:rFonts w:ascii="Times New Roman" w:hAnsi="Times New Roman" w:cs="Times New Roman"/>
          <w:color w:val="000000"/>
          <w:sz w:val="24"/>
          <w:szCs w:val="24"/>
        </w:rPr>
        <w:t xml:space="preserve">As all rating and ranking systems, the new rating system of the TEF will do Aristotelian science: measuring the objects under consideration, comparing them and ordering them </w:t>
      </w:r>
      <w:r w:rsidRPr="00D91CEB">
        <w:rPr>
          <w:rFonts w:ascii="Times New Roman" w:hAnsi="Times New Roman" w:cs="Times New Roman"/>
          <w:color w:val="000000"/>
          <w:sz w:val="24"/>
          <w:szCs w:val="24"/>
        </w:rPr>
        <w:lastRenderedPageBreak/>
        <w:t>vertically. Such a system of commensuration turns qualities into quantities within a metric that allows for the production of a hierarchy of universities with a simple and clear order. Differences between universities become a matter of better or worse within a pre-defined space of performance, a value statement that excludes non-hierarchical alternatives. Qualities that do not align to the logic of the competitive market ordering of HE or that cannot be expressed in quantities disappear, are marginalised and become de-valued (</w:t>
      </w:r>
      <w:r w:rsidR="00F74588">
        <w:rPr>
          <w:rFonts w:ascii="Times New Roman" w:hAnsi="Times New Roman" w:cs="Times New Roman"/>
          <w:color w:val="000000"/>
          <w:sz w:val="24"/>
          <w:szCs w:val="24"/>
        </w:rPr>
        <w:t>Enders</w:t>
      </w:r>
      <w:r w:rsidRPr="00D91CEB">
        <w:rPr>
          <w:rFonts w:ascii="Times New Roman" w:hAnsi="Times New Roman" w:cs="Times New Roman"/>
          <w:color w:val="000000"/>
          <w:sz w:val="24"/>
          <w:szCs w:val="24"/>
        </w:rPr>
        <w:t>, 201</w:t>
      </w:r>
      <w:r w:rsidR="00F74588">
        <w:rPr>
          <w:rFonts w:ascii="Times New Roman" w:hAnsi="Times New Roman" w:cs="Times New Roman"/>
          <w:color w:val="000000"/>
          <w:sz w:val="24"/>
          <w:szCs w:val="24"/>
        </w:rPr>
        <w:t>5</w:t>
      </w:r>
      <w:r w:rsidRPr="00D91CEB">
        <w:rPr>
          <w:rFonts w:ascii="Times New Roman" w:hAnsi="Times New Roman" w:cs="Times New Roman"/>
          <w:color w:val="000000"/>
          <w:sz w:val="24"/>
          <w:szCs w:val="24"/>
        </w:rPr>
        <w:t xml:space="preserve">). </w:t>
      </w:r>
    </w:p>
    <w:p w14:paraId="2042C256" w14:textId="7599C57D" w:rsidR="00726CB8" w:rsidRPr="007E0AD6" w:rsidRDefault="00726CB8" w:rsidP="001C1AAE">
      <w:pPr>
        <w:autoSpaceDE w:val="0"/>
        <w:autoSpaceDN w:val="0"/>
        <w:adjustRightInd w:val="0"/>
        <w:spacing w:after="120" w:line="360" w:lineRule="auto"/>
        <w:jc w:val="both"/>
        <w:rPr>
          <w:rFonts w:ascii="Times New Roman" w:hAnsi="Times New Roman" w:cs="Times New Roman"/>
          <w:color w:val="000000"/>
          <w:sz w:val="24"/>
          <w:szCs w:val="24"/>
        </w:rPr>
      </w:pPr>
      <w:r w:rsidRPr="00D91CEB">
        <w:rPr>
          <w:rFonts w:ascii="Times New Roman" w:hAnsi="Times New Roman" w:cs="Times New Roman"/>
          <w:color w:val="000000"/>
          <w:sz w:val="24"/>
          <w:szCs w:val="24"/>
        </w:rPr>
        <w:t xml:space="preserve">The TEF thus plays a key role in defining the legitimate areas of practice, i.e. those </w:t>
      </w:r>
      <w:r w:rsidR="00AA7442">
        <w:rPr>
          <w:rFonts w:ascii="Times New Roman" w:hAnsi="Times New Roman" w:cs="Times New Roman"/>
          <w:color w:val="000000"/>
          <w:sz w:val="24"/>
          <w:szCs w:val="24"/>
        </w:rPr>
        <w:t>that</w:t>
      </w:r>
      <w:r w:rsidRPr="00AA7442">
        <w:rPr>
          <w:rFonts w:ascii="Times New Roman" w:hAnsi="Times New Roman" w:cs="Times New Roman"/>
          <w:color w:val="000000"/>
          <w:sz w:val="24"/>
          <w:szCs w:val="24"/>
        </w:rPr>
        <w:t xml:space="preserve"> have measurable value leading to desired sets of outcomes and the marginalisation of others. </w:t>
      </w:r>
      <w:r w:rsidRPr="00D91CEB">
        <w:rPr>
          <w:rFonts w:ascii="Times New Roman" w:hAnsi="Times New Roman" w:cs="Times New Roman"/>
          <w:color w:val="000000"/>
          <w:sz w:val="24"/>
          <w:szCs w:val="24"/>
        </w:rPr>
        <w:t xml:space="preserve">The notion of value itself is reframed in principally utilitarian ways and HE’s key stakeholders are encouraged to inculcate the values and rationales of the </w:t>
      </w:r>
      <w:r w:rsidRPr="00D91CEB">
        <w:rPr>
          <w:rFonts w:ascii="Times New Roman" w:hAnsi="Times New Roman" w:cs="Times New Roman"/>
          <w:i/>
          <w:color w:val="000000"/>
          <w:sz w:val="24"/>
          <w:szCs w:val="24"/>
        </w:rPr>
        <w:t xml:space="preserve">homo </w:t>
      </w:r>
      <w:proofErr w:type="spellStart"/>
      <w:r w:rsidRPr="00D91CEB">
        <w:rPr>
          <w:rFonts w:ascii="Times New Roman" w:hAnsi="Times New Roman" w:cs="Times New Roman"/>
          <w:i/>
          <w:color w:val="000000"/>
          <w:sz w:val="24"/>
          <w:szCs w:val="24"/>
        </w:rPr>
        <w:t>economicus</w:t>
      </w:r>
      <w:proofErr w:type="spellEnd"/>
      <w:r w:rsidRPr="00D91CEB">
        <w:rPr>
          <w:rFonts w:ascii="Times New Roman" w:hAnsi="Times New Roman" w:cs="Times New Roman"/>
          <w:color w:val="000000"/>
          <w:sz w:val="24"/>
          <w:szCs w:val="24"/>
        </w:rPr>
        <w:t xml:space="preserve">. </w:t>
      </w:r>
      <w:r w:rsidRPr="00D91CEB">
        <w:rPr>
          <w:rFonts w:ascii="Times New Roman" w:hAnsi="Times New Roman" w:cs="Times New Roman"/>
          <w:sz w:val="24"/>
          <w:szCs w:val="24"/>
        </w:rPr>
        <w:t>The TEF is the new key organising tool by which effective and less effective institutions will be assessed in meeting specified outcomes to serve ‘</w:t>
      </w:r>
      <w:r w:rsidRPr="00D91CEB">
        <w:rPr>
          <w:rFonts w:ascii="Times New Roman" w:hAnsi="Times New Roman" w:cs="Times New Roman"/>
          <w:i/>
          <w:sz w:val="24"/>
          <w:szCs w:val="24"/>
        </w:rPr>
        <w:t>consumer information</w:t>
      </w:r>
      <w:r w:rsidRPr="00D91CEB">
        <w:rPr>
          <w:rFonts w:ascii="Times New Roman" w:hAnsi="Times New Roman" w:cs="Times New Roman"/>
          <w:sz w:val="24"/>
          <w:szCs w:val="24"/>
        </w:rPr>
        <w:t>’ and ‘</w:t>
      </w:r>
      <w:r w:rsidRPr="00D91CEB">
        <w:rPr>
          <w:rFonts w:ascii="Times New Roman" w:hAnsi="Times New Roman" w:cs="Times New Roman"/>
          <w:i/>
          <w:sz w:val="24"/>
          <w:szCs w:val="24"/>
        </w:rPr>
        <w:t>employers expectations</w:t>
      </w:r>
      <w:r w:rsidRPr="00D91CEB">
        <w:rPr>
          <w:rFonts w:ascii="Times New Roman" w:hAnsi="Times New Roman" w:cs="Times New Roman"/>
          <w:sz w:val="24"/>
          <w:szCs w:val="24"/>
        </w:rPr>
        <w:t>’ and to produce ‘</w:t>
      </w:r>
      <w:r w:rsidRPr="00D91CEB">
        <w:rPr>
          <w:rFonts w:ascii="Times New Roman" w:hAnsi="Times New Roman" w:cs="Times New Roman"/>
          <w:i/>
          <w:sz w:val="24"/>
          <w:szCs w:val="24"/>
        </w:rPr>
        <w:t>value for money</w:t>
      </w:r>
      <w:r w:rsidRPr="00D91CEB">
        <w:rPr>
          <w:rFonts w:ascii="Times New Roman" w:hAnsi="Times New Roman" w:cs="Times New Roman"/>
          <w:sz w:val="24"/>
          <w:szCs w:val="24"/>
        </w:rPr>
        <w:t>’</w:t>
      </w:r>
      <w:r w:rsidR="007E0AD6">
        <w:rPr>
          <w:rFonts w:ascii="Times New Roman" w:hAnsi="Times New Roman" w:cs="Times New Roman"/>
          <w:sz w:val="24"/>
          <w:szCs w:val="24"/>
        </w:rPr>
        <w:t xml:space="preserve"> (BIS, 2016a, p. 23)</w:t>
      </w:r>
      <w:r w:rsidRPr="007E0AD6">
        <w:rPr>
          <w:rFonts w:ascii="Times New Roman" w:hAnsi="Times New Roman" w:cs="Times New Roman"/>
          <w:sz w:val="24"/>
          <w:szCs w:val="24"/>
        </w:rPr>
        <w:t xml:space="preserve">. </w:t>
      </w:r>
      <w:r w:rsidRPr="007E0AD6">
        <w:rPr>
          <w:rFonts w:ascii="Times New Roman" w:hAnsi="Times New Roman" w:cs="Times New Roman"/>
          <w:color w:val="000000"/>
          <w:sz w:val="24"/>
          <w:szCs w:val="24"/>
        </w:rPr>
        <w:t xml:space="preserve">It is based on a moral vocabulary that presents HE as responsive to multiple stakeholders of the market, with the perceived success of such responsiveness determining their field position and potential accumulation of advantageous forms of capital as a result. </w:t>
      </w:r>
    </w:p>
    <w:p w14:paraId="3C262912" w14:textId="1170F12D" w:rsidR="00726CB8" w:rsidRPr="00D91CEB" w:rsidRDefault="00726CB8" w:rsidP="001C1AAE">
      <w:pPr>
        <w:autoSpaceDE w:val="0"/>
        <w:autoSpaceDN w:val="0"/>
        <w:adjustRightInd w:val="0"/>
        <w:spacing w:after="120" w:line="360" w:lineRule="auto"/>
        <w:jc w:val="both"/>
        <w:rPr>
          <w:rFonts w:ascii="Times New Roman" w:hAnsi="Times New Roman" w:cs="Times New Roman"/>
          <w:color w:val="000000"/>
          <w:sz w:val="24"/>
          <w:szCs w:val="24"/>
        </w:rPr>
      </w:pPr>
      <w:r w:rsidRPr="00D91CEB">
        <w:rPr>
          <w:rFonts w:ascii="Times New Roman" w:hAnsi="Times New Roman" w:cs="Times New Roman"/>
          <w:sz w:val="24"/>
          <w:szCs w:val="24"/>
        </w:rPr>
        <w:t>Such ‘trust in numbers’ (Porter, 1995) has a strong appeal in advocating the new political framework and in mobilising the cultural and political meanings of objectivity to legitimate future action and to exert acts of persuasion towards relevant others. Symbolic violence works through various acts that frame the market agenda and its instrumentation as both inevitable and part of the natural order. At one level, market-driving policies are legitimated by making reference to past experiences of what is framed as an objective ordering of universities based on performance measures. Reference is made to the introduction of the Research Assessment Exercise in the 1980s, the predecessor to the current Research Excellence Framework (REF): ‘</w:t>
      </w:r>
      <w:r w:rsidRPr="00D91CEB">
        <w:rPr>
          <w:rFonts w:ascii="Times New Roman" w:hAnsi="Times New Roman" w:cs="Times New Roman"/>
          <w:i/>
          <w:sz w:val="24"/>
          <w:szCs w:val="24"/>
        </w:rPr>
        <w:t>We have long accepted the principle of funding research on the basis of quality. We will now extend this to teaching</w:t>
      </w:r>
      <w:r w:rsidRPr="00D91CEB">
        <w:rPr>
          <w:rFonts w:ascii="Times New Roman" w:hAnsi="Times New Roman" w:cs="Times New Roman"/>
          <w:sz w:val="24"/>
          <w:szCs w:val="24"/>
        </w:rPr>
        <w:t>’ (BIS, 2016a, p.</w:t>
      </w:r>
      <w:r w:rsidR="003D1C42">
        <w:rPr>
          <w:rFonts w:ascii="Times New Roman" w:hAnsi="Times New Roman" w:cs="Times New Roman"/>
          <w:sz w:val="24"/>
          <w:szCs w:val="24"/>
        </w:rPr>
        <w:t xml:space="preserve"> </w:t>
      </w:r>
      <w:r w:rsidRPr="003D1C42">
        <w:rPr>
          <w:rFonts w:ascii="Times New Roman" w:hAnsi="Times New Roman" w:cs="Times New Roman"/>
          <w:sz w:val="24"/>
          <w:szCs w:val="24"/>
        </w:rPr>
        <w:t>13). The TEF thus appears as the natural extension and counterpart to the ‘long accepted’ REF. Instrumenting the TEF by datasets that have already become part of the natural order of the reporting cycle in HE (the National Student</w:t>
      </w:r>
      <w:r w:rsidRPr="00D91CEB">
        <w:rPr>
          <w:rFonts w:ascii="Times New Roman" w:hAnsi="Times New Roman" w:cs="Times New Roman"/>
          <w:sz w:val="24"/>
          <w:szCs w:val="24"/>
        </w:rPr>
        <w:t xml:space="preserve"> Survey; retention data; data on graduate employment) adds another element of familiarity of supposedly accepted practices</w:t>
      </w:r>
      <w:r w:rsidR="00F74588">
        <w:rPr>
          <w:rFonts w:ascii="Times New Roman" w:hAnsi="Times New Roman" w:cs="Times New Roman"/>
          <w:sz w:val="24"/>
          <w:szCs w:val="24"/>
        </w:rPr>
        <w:t>.</w:t>
      </w:r>
    </w:p>
    <w:p w14:paraId="1F026A7D" w14:textId="6DE676D5" w:rsidR="00726CB8" w:rsidRPr="00D91CEB" w:rsidRDefault="00726CB8" w:rsidP="001C1AAE">
      <w:pPr>
        <w:autoSpaceDE w:val="0"/>
        <w:autoSpaceDN w:val="0"/>
        <w:adjustRightInd w:val="0"/>
        <w:spacing w:after="120" w:line="360" w:lineRule="auto"/>
        <w:jc w:val="both"/>
        <w:rPr>
          <w:rFonts w:ascii="Times New Roman" w:hAnsi="Times New Roman" w:cs="Times New Roman"/>
          <w:sz w:val="24"/>
          <w:szCs w:val="24"/>
        </w:rPr>
      </w:pPr>
      <w:r w:rsidRPr="00D91CEB">
        <w:rPr>
          <w:rFonts w:ascii="Times New Roman" w:hAnsi="Times New Roman" w:cs="Times New Roman"/>
          <w:sz w:val="24"/>
          <w:szCs w:val="24"/>
        </w:rPr>
        <w:t>On another level, the performative conceptualisation of teaching excellence is underpinned by discursive practices that point at the inevitable success of the new policy that will serve a confluence of interests. The ‘</w:t>
      </w:r>
      <w:r w:rsidRPr="00D91CEB">
        <w:rPr>
          <w:rFonts w:ascii="Times New Roman" w:hAnsi="Times New Roman" w:cs="Times New Roman"/>
          <w:i/>
          <w:sz w:val="24"/>
          <w:szCs w:val="24"/>
        </w:rPr>
        <w:t>rich new data source</w:t>
      </w:r>
      <w:r w:rsidRPr="00D91CEB">
        <w:rPr>
          <w:rFonts w:ascii="Times New Roman" w:hAnsi="Times New Roman" w:cs="Times New Roman"/>
          <w:sz w:val="24"/>
          <w:szCs w:val="24"/>
        </w:rPr>
        <w:t>’ will deliver the ‘</w:t>
      </w:r>
      <w:r w:rsidRPr="00D91CEB">
        <w:rPr>
          <w:rFonts w:ascii="Times New Roman" w:hAnsi="Times New Roman" w:cs="Times New Roman"/>
          <w:i/>
          <w:sz w:val="24"/>
          <w:szCs w:val="24"/>
        </w:rPr>
        <w:t xml:space="preserve">reform agenda ambitions: </w:t>
      </w:r>
      <w:r w:rsidRPr="00D91CEB">
        <w:rPr>
          <w:rFonts w:ascii="Times New Roman" w:hAnsi="Times New Roman" w:cs="Times New Roman"/>
          <w:i/>
          <w:sz w:val="24"/>
          <w:szCs w:val="24"/>
        </w:rPr>
        <w:lastRenderedPageBreak/>
        <w:t>improving choice, competition and outcomes for students, the taxpayer and the economy</w:t>
      </w:r>
      <w:r w:rsidRPr="00D91CEB">
        <w:rPr>
          <w:rFonts w:ascii="Times New Roman" w:hAnsi="Times New Roman" w:cs="Times New Roman"/>
          <w:sz w:val="24"/>
          <w:szCs w:val="24"/>
        </w:rPr>
        <w:t>.’ (BIS, 2016a, p.</w:t>
      </w:r>
      <w:r w:rsidR="003D1C42">
        <w:rPr>
          <w:rFonts w:ascii="Times New Roman" w:hAnsi="Times New Roman" w:cs="Times New Roman"/>
          <w:sz w:val="24"/>
          <w:szCs w:val="24"/>
        </w:rPr>
        <w:t xml:space="preserve"> </w:t>
      </w:r>
      <w:r w:rsidRPr="003D1C42">
        <w:rPr>
          <w:rFonts w:ascii="Times New Roman" w:hAnsi="Times New Roman" w:cs="Times New Roman"/>
          <w:sz w:val="24"/>
          <w:szCs w:val="24"/>
        </w:rPr>
        <w:t>14). The new measures will deliver ‘</w:t>
      </w:r>
      <w:r w:rsidRPr="003D1C42">
        <w:rPr>
          <w:rFonts w:ascii="Times New Roman" w:hAnsi="Times New Roman" w:cs="Times New Roman"/>
          <w:i/>
          <w:sz w:val="24"/>
          <w:szCs w:val="24"/>
        </w:rPr>
        <w:t>benefit</w:t>
      </w:r>
      <w:r w:rsidRPr="003D1C42">
        <w:rPr>
          <w:rFonts w:ascii="Times New Roman" w:hAnsi="Times New Roman" w:cs="Times New Roman"/>
          <w:sz w:val="24"/>
          <w:szCs w:val="24"/>
        </w:rPr>
        <w:t>’, ‘</w:t>
      </w:r>
      <w:r w:rsidRPr="003D1C42">
        <w:rPr>
          <w:rFonts w:ascii="Times New Roman" w:hAnsi="Times New Roman" w:cs="Times New Roman"/>
          <w:i/>
          <w:sz w:val="24"/>
          <w:szCs w:val="24"/>
        </w:rPr>
        <w:t>right choices</w:t>
      </w:r>
      <w:r w:rsidRPr="003D1C42">
        <w:rPr>
          <w:rFonts w:ascii="Times New Roman" w:hAnsi="Times New Roman" w:cs="Times New Roman"/>
          <w:sz w:val="24"/>
          <w:szCs w:val="24"/>
        </w:rPr>
        <w:t>’, ‘</w:t>
      </w:r>
      <w:r w:rsidRPr="003D1C42">
        <w:rPr>
          <w:rFonts w:ascii="Times New Roman" w:hAnsi="Times New Roman" w:cs="Times New Roman"/>
          <w:i/>
          <w:sz w:val="24"/>
          <w:szCs w:val="24"/>
        </w:rPr>
        <w:t>high quality</w:t>
      </w:r>
      <w:r w:rsidRPr="003D1C42">
        <w:rPr>
          <w:rFonts w:ascii="Times New Roman" w:hAnsi="Times New Roman" w:cs="Times New Roman"/>
          <w:sz w:val="24"/>
          <w:szCs w:val="24"/>
        </w:rPr>
        <w:t>’, ‘</w:t>
      </w:r>
      <w:r w:rsidRPr="003D1C42">
        <w:rPr>
          <w:rFonts w:ascii="Times New Roman" w:hAnsi="Times New Roman" w:cs="Times New Roman"/>
          <w:i/>
          <w:sz w:val="24"/>
          <w:szCs w:val="24"/>
        </w:rPr>
        <w:t>future productivity</w:t>
      </w:r>
      <w:r w:rsidRPr="003D1C42">
        <w:rPr>
          <w:rFonts w:ascii="Times New Roman" w:hAnsi="Times New Roman" w:cs="Times New Roman"/>
          <w:sz w:val="24"/>
          <w:szCs w:val="24"/>
        </w:rPr>
        <w:t>, ‘</w:t>
      </w:r>
      <w:r w:rsidRPr="003D1C42">
        <w:rPr>
          <w:rFonts w:ascii="Times New Roman" w:hAnsi="Times New Roman" w:cs="Times New Roman"/>
          <w:i/>
          <w:sz w:val="24"/>
          <w:szCs w:val="24"/>
        </w:rPr>
        <w:t>better outcomes</w:t>
      </w:r>
      <w:r w:rsidRPr="003D1C42">
        <w:rPr>
          <w:rFonts w:ascii="Times New Roman" w:hAnsi="Times New Roman" w:cs="Times New Roman"/>
          <w:sz w:val="24"/>
          <w:szCs w:val="24"/>
        </w:rPr>
        <w:t>’ and ‘</w:t>
      </w:r>
      <w:r w:rsidRPr="003D1C42">
        <w:rPr>
          <w:rFonts w:ascii="Times New Roman" w:hAnsi="Times New Roman" w:cs="Times New Roman"/>
          <w:i/>
          <w:sz w:val="24"/>
          <w:szCs w:val="24"/>
        </w:rPr>
        <w:t>value for money</w:t>
      </w:r>
      <w:r w:rsidRPr="003D1C42">
        <w:rPr>
          <w:rFonts w:ascii="Times New Roman" w:hAnsi="Times New Roman" w:cs="Times New Roman"/>
          <w:sz w:val="24"/>
          <w:szCs w:val="24"/>
        </w:rPr>
        <w:t>’ (BIS, 2016a</w:t>
      </w:r>
      <w:r w:rsidR="003D1C42">
        <w:rPr>
          <w:rFonts w:ascii="Times New Roman" w:hAnsi="Times New Roman" w:cs="Times New Roman"/>
          <w:sz w:val="24"/>
          <w:szCs w:val="24"/>
        </w:rPr>
        <w:t>, p.</w:t>
      </w:r>
      <w:r w:rsidRPr="003D1C42">
        <w:rPr>
          <w:rFonts w:ascii="Times New Roman" w:hAnsi="Times New Roman" w:cs="Times New Roman"/>
          <w:sz w:val="24"/>
          <w:szCs w:val="24"/>
        </w:rPr>
        <w:t xml:space="preserve"> 8), and make an end with institutional practices that are ‘</w:t>
      </w:r>
      <w:r w:rsidRPr="007E0AD6">
        <w:rPr>
          <w:rFonts w:ascii="Times New Roman" w:hAnsi="Times New Roman" w:cs="Times New Roman"/>
          <w:i/>
          <w:sz w:val="24"/>
          <w:szCs w:val="24"/>
        </w:rPr>
        <w:t>squandering of taxpayers’ money</w:t>
      </w:r>
      <w:r w:rsidRPr="007E0AD6">
        <w:rPr>
          <w:rFonts w:ascii="Times New Roman" w:hAnsi="Times New Roman" w:cs="Times New Roman"/>
          <w:sz w:val="24"/>
          <w:szCs w:val="24"/>
        </w:rPr>
        <w:t>’ (BIS, 2016a, p.</w:t>
      </w:r>
      <w:r w:rsidR="003D1C42">
        <w:rPr>
          <w:rFonts w:ascii="Times New Roman" w:hAnsi="Times New Roman" w:cs="Times New Roman"/>
          <w:sz w:val="24"/>
          <w:szCs w:val="24"/>
        </w:rPr>
        <w:t xml:space="preserve"> </w:t>
      </w:r>
      <w:r w:rsidRPr="003D1C42">
        <w:rPr>
          <w:rFonts w:ascii="Times New Roman" w:hAnsi="Times New Roman" w:cs="Times New Roman"/>
          <w:sz w:val="24"/>
          <w:szCs w:val="24"/>
        </w:rPr>
        <w:t>46). The issue of misrecognition is central here, namely the acts of persu</w:t>
      </w:r>
      <w:r w:rsidRPr="00D91CEB">
        <w:rPr>
          <w:rFonts w:ascii="Times New Roman" w:hAnsi="Times New Roman" w:cs="Times New Roman"/>
          <w:sz w:val="24"/>
          <w:szCs w:val="24"/>
        </w:rPr>
        <w:t>asion that political intentions are necessarily in stakeholders’ own interests, most importantly for ‘</w:t>
      </w:r>
      <w:r w:rsidRPr="00D91CEB">
        <w:rPr>
          <w:rFonts w:ascii="Times New Roman" w:hAnsi="Times New Roman" w:cs="Times New Roman"/>
          <w:i/>
          <w:sz w:val="24"/>
          <w:szCs w:val="24"/>
        </w:rPr>
        <w:t>students, employers and the taxpayers who underwrite the system</w:t>
      </w:r>
      <w:r w:rsidRPr="00D91CEB">
        <w:rPr>
          <w:rFonts w:ascii="Times New Roman" w:hAnsi="Times New Roman" w:cs="Times New Roman"/>
          <w:sz w:val="24"/>
          <w:szCs w:val="24"/>
        </w:rPr>
        <w:t>’ (BIS, 2016a, p.</w:t>
      </w:r>
      <w:r w:rsidR="003D1C42">
        <w:rPr>
          <w:rFonts w:ascii="Times New Roman" w:hAnsi="Times New Roman" w:cs="Times New Roman"/>
          <w:sz w:val="24"/>
          <w:szCs w:val="24"/>
        </w:rPr>
        <w:t xml:space="preserve"> </w:t>
      </w:r>
      <w:r w:rsidRPr="003D1C42">
        <w:rPr>
          <w:rFonts w:ascii="Times New Roman" w:hAnsi="Times New Roman" w:cs="Times New Roman"/>
          <w:sz w:val="24"/>
          <w:szCs w:val="24"/>
        </w:rPr>
        <w:t>8). It is beneficial to all parties to embrace the agenda, and conversely,</w:t>
      </w:r>
      <w:r w:rsidRPr="00D91CEB">
        <w:rPr>
          <w:rFonts w:ascii="Times New Roman" w:hAnsi="Times New Roman" w:cs="Times New Roman"/>
          <w:sz w:val="24"/>
          <w:szCs w:val="24"/>
        </w:rPr>
        <w:t xml:space="preserve"> deleterious if they do not. </w:t>
      </w:r>
    </w:p>
    <w:p w14:paraId="3ABBF3CF" w14:textId="0CCAAF97" w:rsidR="00726CB8" w:rsidRPr="003D1C42" w:rsidRDefault="00726CB8" w:rsidP="001C1AAE">
      <w:pPr>
        <w:autoSpaceDE w:val="0"/>
        <w:autoSpaceDN w:val="0"/>
        <w:adjustRightInd w:val="0"/>
        <w:spacing w:after="120" w:line="360" w:lineRule="auto"/>
        <w:jc w:val="both"/>
        <w:rPr>
          <w:rFonts w:ascii="Times New Roman" w:hAnsi="Times New Roman" w:cs="Times New Roman"/>
          <w:color w:val="000000"/>
          <w:sz w:val="24"/>
          <w:szCs w:val="24"/>
        </w:rPr>
      </w:pPr>
      <w:r w:rsidRPr="00D91CEB">
        <w:rPr>
          <w:rFonts w:ascii="Times New Roman" w:hAnsi="Times New Roman" w:cs="Times New Roman"/>
          <w:sz w:val="24"/>
          <w:szCs w:val="24"/>
        </w:rPr>
        <w:t>Rhetorical devices change when stakeholders are addressed who used the consultation process towards the White paper to express major concerns as regards the agenda for re-reform in HE (most namely, certain university mission groups, the Student Unions and the Trade Unions, see BIS, 2016b). As regards Student Unions, which advocated a student boycott of the NSS, questions are raised ‘</w:t>
      </w:r>
      <w:r w:rsidRPr="00D91CEB">
        <w:rPr>
          <w:rFonts w:ascii="Times New Roman" w:hAnsi="Times New Roman" w:cs="Times New Roman"/>
          <w:i/>
          <w:color w:val="000000"/>
          <w:sz w:val="24"/>
          <w:szCs w:val="24"/>
        </w:rPr>
        <w:t>what more could be done to improve transparency and accountability to students as members</w:t>
      </w:r>
      <w:r w:rsidRPr="00D91CEB">
        <w:rPr>
          <w:rFonts w:ascii="Times New Roman" w:hAnsi="Times New Roman" w:cs="Times New Roman"/>
          <w:color w:val="000000"/>
          <w:sz w:val="24"/>
          <w:szCs w:val="24"/>
        </w:rPr>
        <w:t>’ and to establish ‘</w:t>
      </w:r>
      <w:r w:rsidRPr="00D91CEB">
        <w:rPr>
          <w:rFonts w:ascii="Times New Roman" w:hAnsi="Times New Roman" w:cs="Times New Roman"/>
          <w:i/>
          <w:color w:val="000000"/>
          <w:sz w:val="24"/>
          <w:szCs w:val="24"/>
        </w:rPr>
        <w:t>robust scrutiny and transparency</w:t>
      </w:r>
      <w:r w:rsidRPr="00D91CEB">
        <w:rPr>
          <w:rFonts w:ascii="Times New Roman" w:hAnsi="Times New Roman" w:cs="Times New Roman"/>
          <w:color w:val="000000"/>
          <w:sz w:val="24"/>
          <w:szCs w:val="24"/>
        </w:rPr>
        <w:t>’ (BIS, 2016a, p.</w:t>
      </w:r>
      <w:r w:rsidR="003D1C42">
        <w:rPr>
          <w:rFonts w:ascii="Times New Roman" w:hAnsi="Times New Roman" w:cs="Times New Roman"/>
          <w:color w:val="000000"/>
          <w:sz w:val="24"/>
          <w:szCs w:val="24"/>
        </w:rPr>
        <w:t xml:space="preserve"> </w:t>
      </w:r>
      <w:r w:rsidRPr="003D1C42">
        <w:rPr>
          <w:rFonts w:ascii="Times New Roman" w:hAnsi="Times New Roman" w:cs="Times New Roman"/>
          <w:color w:val="000000"/>
          <w:sz w:val="24"/>
          <w:szCs w:val="24"/>
        </w:rPr>
        <w:t>60) as regards the Unions’ use of taxpayers’ money.</w:t>
      </w:r>
    </w:p>
    <w:p w14:paraId="57852118" w14:textId="273A4785" w:rsidR="00726CB8" w:rsidRPr="00AA7442" w:rsidRDefault="00726CB8" w:rsidP="001C1AAE">
      <w:pPr>
        <w:autoSpaceDE w:val="0"/>
        <w:autoSpaceDN w:val="0"/>
        <w:adjustRightInd w:val="0"/>
        <w:spacing w:after="120" w:line="360" w:lineRule="auto"/>
        <w:jc w:val="both"/>
        <w:rPr>
          <w:rFonts w:ascii="Times New Roman" w:hAnsi="Times New Roman" w:cs="Times New Roman"/>
          <w:color w:val="000000"/>
          <w:sz w:val="24"/>
          <w:szCs w:val="24"/>
        </w:rPr>
      </w:pPr>
      <w:r w:rsidRPr="007E0AD6">
        <w:rPr>
          <w:rFonts w:ascii="Times New Roman" w:hAnsi="Times New Roman" w:cs="Times New Roman"/>
          <w:color w:val="000000"/>
          <w:sz w:val="24"/>
          <w:szCs w:val="24"/>
        </w:rPr>
        <w:t>The rewards and sanctions associated with fulfilling (or otherwise) the expected performance of the metrics is intended to frame the values an</w:t>
      </w:r>
      <w:r w:rsidRPr="00D91CEB">
        <w:rPr>
          <w:rFonts w:ascii="Times New Roman" w:hAnsi="Times New Roman" w:cs="Times New Roman"/>
          <w:color w:val="000000"/>
          <w:sz w:val="24"/>
          <w:szCs w:val="24"/>
        </w:rPr>
        <w:t xml:space="preserve">d responsiveness of universities as providers and to help to channel students’ values and behaviour accordingly. From a governmental point of view, such a strategy of constructing the measured market will have an additional political appeal due to its </w:t>
      </w:r>
      <w:proofErr w:type="spellStart"/>
      <w:r w:rsidRPr="00D91CEB">
        <w:rPr>
          <w:rFonts w:ascii="Times New Roman" w:hAnsi="Times New Roman" w:cs="Times New Roman"/>
          <w:color w:val="000000"/>
          <w:sz w:val="24"/>
          <w:szCs w:val="24"/>
        </w:rPr>
        <w:t>incalculated</w:t>
      </w:r>
      <w:proofErr w:type="spellEnd"/>
      <w:r w:rsidRPr="00D91CEB">
        <w:rPr>
          <w:rFonts w:ascii="Times New Roman" w:hAnsi="Times New Roman" w:cs="Times New Roman"/>
          <w:color w:val="000000"/>
          <w:sz w:val="24"/>
          <w:szCs w:val="24"/>
        </w:rPr>
        <w:t xml:space="preserve"> ‘blame avoidance’ (Weaver, 1986), </w:t>
      </w:r>
      <w:r w:rsidR="00F62A8F">
        <w:rPr>
          <w:rFonts w:ascii="Times New Roman" w:hAnsi="Times New Roman" w:cs="Times New Roman"/>
          <w:color w:val="000000"/>
          <w:sz w:val="24"/>
          <w:szCs w:val="24"/>
        </w:rPr>
        <w:t>shifting the blame</w:t>
      </w:r>
      <w:r w:rsidRPr="00D91CEB">
        <w:rPr>
          <w:rFonts w:ascii="Times New Roman" w:hAnsi="Times New Roman" w:cs="Times New Roman"/>
          <w:color w:val="000000"/>
          <w:sz w:val="24"/>
          <w:szCs w:val="24"/>
        </w:rPr>
        <w:t xml:space="preserve"> to the consumers and producers in the HE market place. Rhetorical devices mobilised to legitimate the use of </w:t>
      </w:r>
      <w:r w:rsidRPr="00D91CEB">
        <w:rPr>
          <w:rFonts w:ascii="Times New Roman" w:hAnsi="Times New Roman" w:cs="Times New Roman"/>
          <w:sz w:val="24"/>
          <w:szCs w:val="24"/>
        </w:rPr>
        <w:t xml:space="preserve">‘magical numbers’ (March, 1996) and to make the </w:t>
      </w:r>
      <w:r w:rsidRPr="00D91CEB">
        <w:rPr>
          <w:rFonts w:ascii="Times New Roman" w:hAnsi="Times New Roman" w:cs="Times New Roman"/>
          <w:color w:val="000000"/>
          <w:sz w:val="24"/>
          <w:szCs w:val="24"/>
        </w:rPr>
        <w:t xml:space="preserve">miracle of the market finally happen work as a smoke screen to avoid recognition that responsibility and risk in HE are further transferred </w:t>
      </w:r>
      <w:r w:rsidR="00AA7442">
        <w:rPr>
          <w:rFonts w:ascii="Times New Roman" w:hAnsi="Times New Roman" w:cs="Times New Roman"/>
          <w:color w:val="000000"/>
          <w:sz w:val="24"/>
          <w:szCs w:val="24"/>
        </w:rPr>
        <w:t xml:space="preserve">from the government </w:t>
      </w:r>
      <w:r w:rsidRPr="00AA7442">
        <w:rPr>
          <w:rFonts w:ascii="Times New Roman" w:hAnsi="Times New Roman" w:cs="Times New Roman"/>
          <w:color w:val="000000"/>
          <w:sz w:val="24"/>
          <w:szCs w:val="24"/>
        </w:rPr>
        <w:t>to universities as producers and students as consumers.</w:t>
      </w:r>
    </w:p>
    <w:p w14:paraId="63613EF5" w14:textId="23FBBDB2" w:rsidR="004A6FFF" w:rsidRPr="00D91CEB" w:rsidRDefault="004A6FFF" w:rsidP="001C1AAE">
      <w:pPr>
        <w:spacing w:after="120" w:line="360" w:lineRule="auto"/>
        <w:jc w:val="both"/>
        <w:rPr>
          <w:rFonts w:ascii="Times New Roman" w:hAnsi="Times New Roman" w:cs="Times New Roman"/>
          <w:b/>
          <w:bCs/>
          <w:sz w:val="24"/>
          <w:szCs w:val="24"/>
        </w:rPr>
      </w:pPr>
      <w:r w:rsidRPr="00D91CEB">
        <w:rPr>
          <w:rFonts w:ascii="Times New Roman" w:hAnsi="Times New Roman" w:cs="Times New Roman"/>
          <w:b/>
          <w:bCs/>
          <w:sz w:val="24"/>
          <w:szCs w:val="24"/>
        </w:rPr>
        <w:t>Discussion and conclusion</w:t>
      </w:r>
    </w:p>
    <w:p w14:paraId="4CAFFBBA" w14:textId="1658F154" w:rsidR="001C1AAE" w:rsidRPr="00AA7442" w:rsidRDefault="004A6FFF" w:rsidP="001C1AAE">
      <w:pPr>
        <w:autoSpaceDE w:val="0"/>
        <w:autoSpaceDN w:val="0"/>
        <w:adjustRightInd w:val="0"/>
        <w:spacing w:after="120" w:line="360" w:lineRule="auto"/>
        <w:jc w:val="both"/>
        <w:rPr>
          <w:rFonts w:ascii="Times New Roman" w:hAnsi="Times New Roman" w:cs="Times New Roman"/>
          <w:color w:val="000000"/>
          <w:sz w:val="24"/>
          <w:szCs w:val="24"/>
        </w:rPr>
      </w:pPr>
      <w:r w:rsidRPr="001C1AAE">
        <w:rPr>
          <w:rFonts w:ascii="Times New Roman" w:hAnsi="Times New Roman" w:cs="Times New Roman"/>
          <w:sz w:val="24"/>
          <w:szCs w:val="24"/>
        </w:rPr>
        <w:t>Our approach offers a novel way of examining the mobilisation of neoliberal policy goals</w:t>
      </w:r>
      <w:r w:rsidR="00546EE7" w:rsidRPr="001C1AAE">
        <w:rPr>
          <w:rFonts w:ascii="Times New Roman" w:hAnsi="Times New Roman" w:cs="Times New Roman"/>
          <w:sz w:val="24"/>
          <w:szCs w:val="24"/>
        </w:rPr>
        <w:t xml:space="preserve">. </w:t>
      </w:r>
      <w:r w:rsidR="00546EE7" w:rsidRPr="00157C51">
        <w:rPr>
          <w:rFonts w:ascii="Times New Roman" w:hAnsi="Times New Roman" w:cs="Times New Roman"/>
          <w:sz w:val="24"/>
          <w:szCs w:val="24"/>
        </w:rPr>
        <w:t>We argue that the concept of symbolic violence adds to the wider body of scholarship on the critique of the neo-liberal political project a critical perspective o</w:t>
      </w:r>
      <w:r w:rsidR="001C1AAE" w:rsidRPr="00157C51">
        <w:rPr>
          <w:rFonts w:ascii="Times New Roman" w:hAnsi="Times New Roman" w:cs="Times New Roman"/>
          <w:sz w:val="24"/>
          <w:szCs w:val="24"/>
        </w:rPr>
        <w:t>n</w:t>
      </w:r>
      <w:r w:rsidR="00546EE7" w:rsidRPr="00157C51">
        <w:rPr>
          <w:rFonts w:ascii="Times New Roman" w:hAnsi="Times New Roman" w:cs="Times New Roman"/>
          <w:sz w:val="24"/>
          <w:szCs w:val="24"/>
        </w:rPr>
        <w:t xml:space="preserve"> government policy as acts of domination and persuasion. We highlight the socio-political construction of problems and solutions, the imposition of specific interests and practices, their related moral vocabulary, and strategies of </w:t>
      </w:r>
      <w:r w:rsidR="00546EE7" w:rsidRPr="00157C51">
        <w:rPr>
          <w:rFonts w:ascii="Times New Roman" w:hAnsi="Times New Roman" w:cs="Times New Roman"/>
          <w:bCs/>
          <w:sz w:val="24"/>
          <w:szCs w:val="24"/>
        </w:rPr>
        <w:t>misrecognition that valorise market-making as fundamentally in the interests of all main stakeholders.</w:t>
      </w:r>
      <w:r w:rsidR="001C1AAE" w:rsidRPr="001C1AAE">
        <w:rPr>
          <w:rFonts w:ascii="Times New Roman" w:hAnsi="Times New Roman" w:cs="Times New Roman"/>
          <w:color w:val="000000"/>
          <w:sz w:val="24"/>
          <w:szCs w:val="24"/>
        </w:rPr>
        <w:t xml:space="preserve"> </w:t>
      </w:r>
    </w:p>
    <w:p w14:paraId="76DBA6FB" w14:textId="01D67D95" w:rsidR="002504DB" w:rsidRPr="00345210" w:rsidRDefault="001C1AAE" w:rsidP="001C1AAE">
      <w:pPr>
        <w:spacing w:line="360" w:lineRule="auto"/>
        <w:jc w:val="both"/>
        <w:rPr>
          <w:rFonts w:ascii="Times New Roman" w:hAnsi="Times New Roman" w:cs="Times New Roman"/>
          <w:bCs/>
          <w:sz w:val="24"/>
          <w:szCs w:val="24"/>
        </w:rPr>
      </w:pPr>
      <w:r>
        <w:rPr>
          <w:rFonts w:ascii="Times New Roman" w:hAnsi="Times New Roman" w:cs="Times New Roman"/>
          <w:sz w:val="24"/>
          <w:szCs w:val="24"/>
        </w:rPr>
        <w:lastRenderedPageBreak/>
        <w:t>Our policy analyses highlights</w:t>
      </w:r>
      <w:r w:rsidR="004A6FFF" w:rsidRPr="00D91CEB">
        <w:rPr>
          <w:rFonts w:ascii="Times New Roman" w:hAnsi="Times New Roman" w:cs="Times New Roman"/>
          <w:sz w:val="24"/>
          <w:szCs w:val="24"/>
        </w:rPr>
        <w:t xml:space="preserve"> the political framing of the purposes of HE as a market; the explanations, justifications and persuasions positioning students as consumers and universities as producers within this market; and the related set of levers (logics, orientations, and practices) meant to shape operations in the field of HE.</w:t>
      </w:r>
      <w:r w:rsidR="004A6FFF" w:rsidRPr="00D91CEB">
        <w:rPr>
          <w:rFonts w:ascii="Times New Roman" w:hAnsi="Times New Roman" w:cs="Times New Roman"/>
          <w:bCs/>
          <w:sz w:val="24"/>
          <w:szCs w:val="24"/>
        </w:rPr>
        <w:t xml:space="preserve"> These include the student-as-consumer and active market agent, the preponderance of employability and future return-to-investment, and more aggressively so than in the past, the imperative for universities to act as producers of human capital aligned to the needs of employers and economic growth. </w:t>
      </w:r>
      <w:r w:rsidR="004A6FFF" w:rsidRPr="00D91CEB">
        <w:rPr>
          <w:rFonts w:ascii="Times New Roman" w:hAnsi="Times New Roman" w:cs="Times New Roman"/>
          <w:sz w:val="24"/>
          <w:szCs w:val="24"/>
        </w:rPr>
        <w:t xml:space="preserve">Their repeated elevation to the role of paying customers, paid providers and employability-maximising system regulators is narrated as an empowering condition </w:t>
      </w:r>
      <w:r w:rsidR="00230B3B">
        <w:rPr>
          <w:rFonts w:ascii="Times New Roman" w:hAnsi="Times New Roman" w:cs="Times New Roman"/>
          <w:sz w:val="24"/>
          <w:szCs w:val="24"/>
        </w:rPr>
        <w:t>that</w:t>
      </w:r>
      <w:r w:rsidR="004A6FFF" w:rsidRPr="00D91CEB">
        <w:rPr>
          <w:rFonts w:ascii="Times New Roman" w:hAnsi="Times New Roman" w:cs="Times New Roman"/>
          <w:sz w:val="24"/>
          <w:szCs w:val="24"/>
        </w:rPr>
        <w:t xml:space="preserve"> also enables them to generate positional benefits if they succeed in the struggle for prestige in the competitive market field. </w:t>
      </w:r>
      <w:r w:rsidR="004A6FFF" w:rsidRPr="00D91CEB">
        <w:rPr>
          <w:rFonts w:ascii="Times New Roman" w:hAnsi="Times New Roman" w:cs="Times New Roman"/>
          <w:bCs/>
          <w:sz w:val="24"/>
          <w:szCs w:val="24"/>
        </w:rPr>
        <w:t xml:space="preserve">A range of formal measurements towards these ends are depicted, legitimated and operationalized via the TEF so as to align to the further state-induced engineering of </w:t>
      </w:r>
      <w:proofErr w:type="spellStart"/>
      <w:r w:rsidR="00CE1E94">
        <w:rPr>
          <w:rFonts w:ascii="Times New Roman" w:hAnsi="Times New Roman" w:cs="Times New Roman"/>
          <w:bCs/>
          <w:sz w:val="24"/>
          <w:szCs w:val="24"/>
        </w:rPr>
        <w:t>marketis</w:t>
      </w:r>
      <w:r w:rsidR="004A6FFF" w:rsidRPr="00CE1E94">
        <w:rPr>
          <w:rFonts w:ascii="Times New Roman" w:hAnsi="Times New Roman" w:cs="Times New Roman"/>
          <w:bCs/>
          <w:sz w:val="24"/>
          <w:szCs w:val="24"/>
        </w:rPr>
        <w:t>ed</w:t>
      </w:r>
      <w:proofErr w:type="spellEnd"/>
      <w:r w:rsidR="004A6FFF" w:rsidRPr="00CE1E94">
        <w:rPr>
          <w:rFonts w:ascii="Times New Roman" w:hAnsi="Times New Roman" w:cs="Times New Roman"/>
          <w:bCs/>
          <w:sz w:val="24"/>
          <w:szCs w:val="24"/>
        </w:rPr>
        <w:t xml:space="preserve"> HE. </w:t>
      </w:r>
      <w:r w:rsidR="004A6FFF" w:rsidRPr="00CE1E94">
        <w:rPr>
          <w:rFonts w:ascii="Times New Roman" w:hAnsi="Times New Roman" w:cs="Times New Roman"/>
          <w:sz w:val="24"/>
          <w:szCs w:val="24"/>
        </w:rPr>
        <w:t xml:space="preserve">Metrics form a crucial component to symbolic violence as they serve to establish a profound level of symbolic differentiation within </w:t>
      </w:r>
      <w:r w:rsidR="004A6FFF" w:rsidRPr="00345210">
        <w:rPr>
          <w:rFonts w:ascii="Times New Roman" w:hAnsi="Times New Roman" w:cs="Times New Roman"/>
          <w:sz w:val="24"/>
          <w:szCs w:val="24"/>
        </w:rPr>
        <w:t xml:space="preserve">the field and an allied set of field rules </w:t>
      </w:r>
      <w:r w:rsidR="00230B3B">
        <w:rPr>
          <w:rFonts w:ascii="Times New Roman" w:hAnsi="Times New Roman" w:cs="Times New Roman"/>
          <w:sz w:val="24"/>
          <w:szCs w:val="24"/>
        </w:rPr>
        <w:t>that</w:t>
      </w:r>
      <w:r w:rsidR="004A6FFF" w:rsidRPr="00345210">
        <w:rPr>
          <w:rFonts w:ascii="Times New Roman" w:hAnsi="Times New Roman" w:cs="Times New Roman"/>
          <w:sz w:val="24"/>
          <w:szCs w:val="24"/>
        </w:rPr>
        <w:t xml:space="preserve"> are expected to influence actors’ behavioural responses. Successful institutionalisations of metrics function as ‘engines of anxiety’ (</w:t>
      </w:r>
      <w:proofErr w:type="spellStart"/>
      <w:r w:rsidR="004A6FFF" w:rsidRPr="00345210">
        <w:rPr>
          <w:rFonts w:ascii="Times New Roman" w:hAnsi="Times New Roman" w:cs="Times New Roman"/>
          <w:sz w:val="24"/>
          <w:szCs w:val="24"/>
        </w:rPr>
        <w:t>Espeland</w:t>
      </w:r>
      <w:proofErr w:type="spellEnd"/>
      <w:r w:rsidR="004A6FFF" w:rsidRPr="00345210">
        <w:rPr>
          <w:rFonts w:ascii="Times New Roman" w:hAnsi="Times New Roman" w:cs="Times New Roman"/>
          <w:sz w:val="24"/>
          <w:szCs w:val="24"/>
        </w:rPr>
        <w:t xml:space="preserve"> </w:t>
      </w:r>
      <w:r w:rsidR="00230B3B">
        <w:rPr>
          <w:rFonts w:ascii="Times New Roman" w:hAnsi="Times New Roman" w:cs="Times New Roman"/>
          <w:sz w:val="24"/>
          <w:szCs w:val="24"/>
        </w:rPr>
        <w:t>&amp;</w:t>
      </w:r>
      <w:r w:rsidR="004A6FFF" w:rsidRPr="00345210">
        <w:rPr>
          <w:rFonts w:ascii="Times New Roman" w:hAnsi="Times New Roman" w:cs="Times New Roman"/>
          <w:sz w:val="24"/>
          <w:szCs w:val="24"/>
        </w:rPr>
        <w:t xml:space="preserve"> Sauder, 2016) and generate ‘powerful and unanticipated effects: they can change how people think about what they do’ (</w:t>
      </w:r>
      <w:proofErr w:type="spellStart"/>
      <w:r w:rsidR="004A6FFF" w:rsidRPr="00345210">
        <w:rPr>
          <w:rFonts w:ascii="Times New Roman" w:hAnsi="Times New Roman" w:cs="Times New Roman"/>
          <w:sz w:val="24"/>
          <w:szCs w:val="24"/>
        </w:rPr>
        <w:t>Espeland</w:t>
      </w:r>
      <w:proofErr w:type="spellEnd"/>
      <w:r w:rsidR="004A6FFF" w:rsidRPr="00345210">
        <w:rPr>
          <w:rFonts w:ascii="Times New Roman" w:hAnsi="Times New Roman" w:cs="Times New Roman"/>
          <w:sz w:val="24"/>
          <w:szCs w:val="24"/>
        </w:rPr>
        <w:t xml:space="preserve"> </w:t>
      </w:r>
      <w:r w:rsidR="00230B3B">
        <w:rPr>
          <w:rFonts w:ascii="Times New Roman" w:hAnsi="Times New Roman" w:cs="Times New Roman"/>
          <w:sz w:val="24"/>
          <w:szCs w:val="24"/>
        </w:rPr>
        <w:t>&amp;</w:t>
      </w:r>
      <w:r w:rsidR="004A6FFF" w:rsidRPr="00345210">
        <w:rPr>
          <w:rFonts w:ascii="Times New Roman" w:hAnsi="Times New Roman" w:cs="Times New Roman"/>
          <w:sz w:val="24"/>
          <w:szCs w:val="24"/>
        </w:rPr>
        <w:t xml:space="preserve"> Sauder, 2012: 86).</w:t>
      </w:r>
      <w:r w:rsidR="002504DB" w:rsidRPr="002504DB">
        <w:rPr>
          <w:rFonts w:ascii="Times New Roman" w:hAnsi="Times New Roman" w:cs="Times New Roman"/>
          <w:bCs/>
          <w:sz w:val="24"/>
          <w:szCs w:val="24"/>
        </w:rPr>
        <w:t xml:space="preserve"> </w:t>
      </w:r>
    </w:p>
    <w:p w14:paraId="6EF18106" w14:textId="0251A8AA" w:rsidR="00BA5B7E" w:rsidRPr="00345210" w:rsidRDefault="002417A9" w:rsidP="001C1AAE">
      <w:pPr>
        <w:spacing w:line="360" w:lineRule="auto"/>
        <w:jc w:val="both"/>
        <w:rPr>
          <w:rFonts w:ascii="Times New Roman" w:hAnsi="Times New Roman" w:cs="Times New Roman"/>
          <w:bCs/>
          <w:sz w:val="24"/>
          <w:szCs w:val="24"/>
        </w:rPr>
      </w:pPr>
      <w:r w:rsidRPr="00D91CEB">
        <w:rPr>
          <w:rFonts w:ascii="Times New Roman" w:hAnsi="Times New Roman" w:cs="Times New Roman"/>
          <w:bCs/>
          <w:sz w:val="24"/>
          <w:szCs w:val="24"/>
        </w:rPr>
        <w:t>The</w:t>
      </w:r>
      <w:r w:rsidR="007E6B82" w:rsidRPr="00D91CEB">
        <w:rPr>
          <w:rFonts w:ascii="Times New Roman" w:hAnsi="Times New Roman" w:cs="Times New Roman"/>
          <w:bCs/>
          <w:sz w:val="24"/>
          <w:szCs w:val="24"/>
        </w:rPr>
        <w:t xml:space="preserve"> symbolic violence perspective on the TEF exposes</w:t>
      </w:r>
      <w:r w:rsidR="00367AC9" w:rsidRPr="00D91CEB">
        <w:t xml:space="preserve"> the </w:t>
      </w:r>
      <w:r w:rsidR="00367AC9" w:rsidRPr="00D91CEB">
        <w:rPr>
          <w:rFonts w:ascii="Times New Roman" w:hAnsi="Times New Roman" w:cs="Times New Roman"/>
          <w:bCs/>
          <w:sz w:val="24"/>
          <w:szCs w:val="24"/>
        </w:rPr>
        <w:t xml:space="preserve">subtle use of power involving reconfigurations of thought and action </w:t>
      </w:r>
      <w:r w:rsidR="00230B3B">
        <w:rPr>
          <w:rFonts w:ascii="Times New Roman" w:hAnsi="Times New Roman" w:cs="Times New Roman"/>
          <w:bCs/>
          <w:sz w:val="24"/>
          <w:szCs w:val="24"/>
        </w:rPr>
        <w:t>that</w:t>
      </w:r>
      <w:r w:rsidR="00367AC9" w:rsidRPr="00D91CEB">
        <w:rPr>
          <w:rFonts w:ascii="Times New Roman" w:hAnsi="Times New Roman" w:cs="Times New Roman"/>
          <w:bCs/>
          <w:sz w:val="24"/>
          <w:szCs w:val="24"/>
        </w:rPr>
        <w:t xml:space="preserve"> constrain and subordinate certain institutions and actors while creating the opportunity for others to enter the field of </w:t>
      </w:r>
      <w:r w:rsidR="001A18BD">
        <w:rPr>
          <w:rFonts w:ascii="Times New Roman" w:hAnsi="Times New Roman" w:cs="Times New Roman"/>
          <w:bCs/>
          <w:sz w:val="24"/>
          <w:szCs w:val="24"/>
        </w:rPr>
        <w:t>HE</w:t>
      </w:r>
      <w:r w:rsidR="00367AC9" w:rsidRPr="001A18BD">
        <w:rPr>
          <w:rFonts w:ascii="Times New Roman" w:hAnsi="Times New Roman" w:cs="Times New Roman"/>
          <w:bCs/>
          <w:sz w:val="24"/>
          <w:szCs w:val="24"/>
        </w:rPr>
        <w:t xml:space="preserve"> in a more advantaged position. We have shown how symbolic power rests on the incorporation and naturalization of schemes of classification based on market measures </w:t>
      </w:r>
      <w:r w:rsidR="00230B3B">
        <w:rPr>
          <w:rFonts w:ascii="Times New Roman" w:hAnsi="Times New Roman" w:cs="Times New Roman"/>
          <w:bCs/>
          <w:sz w:val="24"/>
          <w:szCs w:val="24"/>
        </w:rPr>
        <w:t>that</w:t>
      </w:r>
      <w:r w:rsidR="00367AC9" w:rsidRPr="001A18BD">
        <w:rPr>
          <w:rFonts w:ascii="Times New Roman" w:hAnsi="Times New Roman" w:cs="Times New Roman"/>
          <w:bCs/>
          <w:sz w:val="24"/>
          <w:szCs w:val="24"/>
        </w:rPr>
        <w:t xml:space="preserve"> displace and marginalise more traditional forms of academic capital. This allows a symbolic force to be “fully exercised while dis</w:t>
      </w:r>
      <w:r w:rsidR="007A2168" w:rsidRPr="007B21A1">
        <w:rPr>
          <w:rFonts w:ascii="Times New Roman" w:hAnsi="Times New Roman" w:cs="Times New Roman"/>
          <w:bCs/>
          <w:sz w:val="24"/>
          <w:szCs w:val="24"/>
        </w:rPr>
        <w:t>guising its true nature …</w:t>
      </w:r>
      <w:r w:rsidR="00367AC9" w:rsidRPr="007B21A1">
        <w:rPr>
          <w:rFonts w:ascii="Times New Roman" w:hAnsi="Times New Roman" w:cs="Times New Roman"/>
          <w:bCs/>
          <w:sz w:val="24"/>
          <w:szCs w:val="24"/>
        </w:rPr>
        <w:t xml:space="preserve"> and gaining recogniti</w:t>
      </w:r>
      <w:r w:rsidR="007A2168" w:rsidRPr="007B21A1">
        <w:rPr>
          <w:rFonts w:ascii="Times New Roman" w:hAnsi="Times New Roman" w:cs="Times New Roman"/>
          <w:bCs/>
          <w:sz w:val="24"/>
          <w:szCs w:val="24"/>
        </w:rPr>
        <w:t>on, approval and acceptance</w:t>
      </w:r>
      <w:r w:rsidR="00367AC9" w:rsidRPr="007B21A1">
        <w:rPr>
          <w:rFonts w:ascii="Times New Roman" w:hAnsi="Times New Roman" w:cs="Times New Roman"/>
          <w:bCs/>
          <w:sz w:val="24"/>
          <w:szCs w:val="24"/>
        </w:rPr>
        <w:t>” (Bourdieu,</w:t>
      </w:r>
      <w:r w:rsidR="007F5883">
        <w:rPr>
          <w:rFonts w:ascii="Times New Roman" w:hAnsi="Times New Roman" w:cs="Times New Roman"/>
          <w:bCs/>
          <w:sz w:val="24"/>
          <w:szCs w:val="24"/>
        </w:rPr>
        <w:t xml:space="preserve"> 1990</w:t>
      </w:r>
      <w:r w:rsidR="00157C51">
        <w:rPr>
          <w:rFonts w:ascii="Times New Roman" w:hAnsi="Times New Roman" w:cs="Times New Roman"/>
          <w:bCs/>
          <w:sz w:val="24"/>
          <w:szCs w:val="24"/>
        </w:rPr>
        <w:t xml:space="preserve">, </w:t>
      </w:r>
      <w:r w:rsidR="00833065">
        <w:rPr>
          <w:rFonts w:ascii="Times New Roman" w:hAnsi="Times New Roman" w:cs="Times New Roman"/>
          <w:bCs/>
          <w:sz w:val="24"/>
          <w:szCs w:val="24"/>
        </w:rPr>
        <w:t>p</w:t>
      </w:r>
      <w:r w:rsidR="00157C51">
        <w:rPr>
          <w:rFonts w:ascii="Times New Roman" w:hAnsi="Times New Roman" w:cs="Times New Roman"/>
          <w:bCs/>
          <w:sz w:val="24"/>
          <w:szCs w:val="24"/>
        </w:rPr>
        <w:t xml:space="preserve">. </w:t>
      </w:r>
      <w:r w:rsidR="00367AC9" w:rsidRPr="00CE1E94">
        <w:rPr>
          <w:rFonts w:ascii="Times New Roman" w:hAnsi="Times New Roman" w:cs="Times New Roman"/>
          <w:bCs/>
          <w:sz w:val="24"/>
          <w:szCs w:val="24"/>
        </w:rPr>
        <w:t>85). We have shown how</w:t>
      </w:r>
      <w:r w:rsidR="007E6B82" w:rsidRPr="00CE1E94">
        <w:rPr>
          <w:rFonts w:ascii="Times New Roman" w:hAnsi="Times New Roman" w:cs="Times New Roman"/>
          <w:bCs/>
          <w:sz w:val="24"/>
          <w:szCs w:val="24"/>
        </w:rPr>
        <w:t xml:space="preserve"> the fundamental power dynamic at the heart of neoliberal policy formation and its mediation within HE</w:t>
      </w:r>
      <w:r w:rsidR="00367AC9" w:rsidRPr="00CE1E94">
        <w:rPr>
          <w:rFonts w:ascii="Times New Roman" w:hAnsi="Times New Roman" w:cs="Times New Roman"/>
          <w:bCs/>
          <w:sz w:val="24"/>
          <w:szCs w:val="24"/>
        </w:rPr>
        <w:t xml:space="preserve"> is the </w:t>
      </w:r>
      <w:r w:rsidR="007E6B82" w:rsidRPr="00CE1E94">
        <w:rPr>
          <w:rFonts w:ascii="Times New Roman" w:hAnsi="Times New Roman" w:cs="Times New Roman"/>
          <w:bCs/>
          <w:sz w:val="24"/>
          <w:szCs w:val="24"/>
        </w:rPr>
        <w:t xml:space="preserve">acceptance of </w:t>
      </w:r>
      <w:proofErr w:type="spellStart"/>
      <w:r w:rsidR="00CE1E94">
        <w:rPr>
          <w:rFonts w:ascii="Times New Roman" w:hAnsi="Times New Roman" w:cs="Times New Roman"/>
          <w:bCs/>
          <w:sz w:val="24"/>
          <w:szCs w:val="24"/>
        </w:rPr>
        <w:t>marketis</w:t>
      </w:r>
      <w:r w:rsidR="007E6B82" w:rsidRPr="00CE1E94">
        <w:rPr>
          <w:rFonts w:ascii="Times New Roman" w:hAnsi="Times New Roman" w:cs="Times New Roman"/>
          <w:bCs/>
          <w:sz w:val="24"/>
          <w:szCs w:val="24"/>
        </w:rPr>
        <w:t>ed</w:t>
      </w:r>
      <w:proofErr w:type="spellEnd"/>
      <w:r w:rsidR="007E6B82" w:rsidRPr="00CE1E94">
        <w:rPr>
          <w:rFonts w:ascii="Times New Roman" w:hAnsi="Times New Roman" w:cs="Times New Roman"/>
          <w:bCs/>
          <w:sz w:val="24"/>
          <w:szCs w:val="24"/>
        </w:rPr>
        <w:t xml:space="preserve"> policy goals through processes of cultural reconfiguration whereby actors </w:t>
      </w:r>
      <w:r w:rsidR="00196224">
        <w:rPr>
          <w:rFonts w:ascii="Times New Roman" w:hAnsi="Times New Roman" w:cs="Times New Roman"/>
          <w:bCs/>
          <w:sz w:val="24"/>
          <w:szCs w:val="24"/>
        </w:rPr>
        <w:t xml:space="preserve">are made to </w:t>
      </w:r>
      <w:r w:rsidR="007E6B82" w:rsidRPr="00CE1E94">
        <w:rPr>
          <w:rFonts w:ascii="Times New Roman" w:hAnsi="Times New Roman" w:cs="Times New Roman"/>
          <w:bCs/>
          <w:sz w:val="24"/>
          <w:szCs w:val="24"/>
        </w:rPr>
        <w:t xml:space="preserve">believe that the direction of change can work in their interest. </w:t>
      </w:r>
      <w:r w:rsidR="00BA5B7E" w:rsidRPr="00345210">
        <w:rPr>
          <w:rFonts w:ascii="Times New Roman" w:hAnsi="Times New Roman" w:cs="Times New Roman"/>
          <w:bCs/>
          <w:sz w:val="24"/>
          <w:szCs w:val="24"/>
        </w:rPr>
        <w:t xml:space="preserve">Symbolic violence operates </w:t>
      </w:r>
      <w:r w:rsidR="00BA5B7E" w:rsidRPr="009945A9">
        <w:rPr>
          <w:rFonts w:ascii="Times New Roman" w:hAnsi="Times New Roman" w:cs="Times New Roman"/>
          <w:bCs/>
          <w:sz w:val="24"/>
          <w:szCs w:val="24"/>
        </w:rPr>
        <w:t>in the name of empowerment and quality through a gradual process of cultural re-orientation</w:t>
      </w:r>
      <w:r w:rsidR="00D67D85" w:rsidRPr="00A473B1">
        <w:rPr>
          <w:rFonts w:ascii="Times New Roman" w:hAnsi="Times New Roman" w:cs="Times New Roman"/>
          <w:bCs/>
          <w:sz w:val="24"/>
          <w:szCs w:val="24"/>
        </w:rPr>
        <w:t xml:space="preserve"> to transform generative structures in</w:t>
      </w:r>
      <w:r w:rsidR="00BA5B7E" w:rsidRPr="00A473B1">
        <w:rPr>
          <w:rFonts w:ascii="Times New Roman" w:hAnsi="Times New Roman" w:cs="Times New Roman"/>
          <w:bCs/>
          <w:sz w:val="24"/>
          <w:szCs w:val="24"/>
        </w:rPr>
        <w:t xml:space="preserve"> </w:t>
      </w:r>
      <w:r w:rsidR="001A18BD">
        <w:rPr>
          <w:rFonts w:ascii="Times New Roman" w:hAnsi="Times New Roman" w:cs="Times New Roman"/>
          <w:bCs/>
          <w:sz w:val="24"/>
          <w:szCs w:val="24"/>
        </w:rPr>
        <w:t>HE</w:t>
      </w:r>
      <w:r w:rsidR="00BA5B7E" w:rsidRPr="001A18BD">
        <w:rPr>
          <w:rFonts w:ascii="Times New Roman" w:hAnsi="Times New Roman" w:cs="Times New Roman"/>
          <w:bCs/>
          <w:sz w:val="24"/>
          <w:szCs w:val="24"/>
        </w:rPr>
        <w:t xml:space="preserve">. </w:t>
      </w:r>
      <w:r w:rsidR="003B3261">
        <w:rPr>
          <w:rFonts w:ascii="Times New Roman" w:hAnsi="Times New Roman" w:cs="Times New Roman"/>
          <w:bCs/>
          <w:sz w:val="24"/>
          <w:szCs w:val="24"/>
        </w:rPr>
        <w:t>Our analysis concludes that in this way,</w:t>
      </w:r>
      <w:r w:rsidR="00BA5B7E" w:rsidRPr="001A18BD">
        <w:rPr>
          <w:rFonts w:ascii="Times New Roman" w:hAnsi="Times New Roman" w:cs="Times New Roman"/>
          <w:bCs/>
          <w:sz w:val="24"/>
          <w:szCs w:val="24"/>
        </w:rPr>
        <w:t xml:space="preserve"> misrecognition operates in the TEF by cloaking itself under the gui</w:t>
      </w:r>
      <w:r w:rsidR="00D67D85" w:rsidRPr="007B21A1">
        <w:rPr>
          <w:rFonts w:ascii="Times New Roman" w:hAnsi="Times New Roman" w:cs="Times New Roman"/>
          <w:bCs/>
          <w:sz w:val="24"/>
          <w:szCs w:val="24"/>
        </w:rPr>
        <w:t>se of</w:t>
      </w:r>
      <w:r w:rsidR="00BA5B7E" w:rsidRPr="007B21A1">
        <w:rPr>
          <w:rFonts w:ascii="Times New Roman" w:hAnsi="Times New Roman" w:cs="Times New Roman"/>
          <w:bCs/>
          <w:sz w:val="24"/>
          <w:szCs w:val="24"/>
        </w:rPr>
        <w:t xml:space="preserve"> student empowerment and quality while</w:t>
      </w:r>
      <w:r w:rsidR="00D67D85" w:rsidRPr="007B21A1">
        <w:rPr>
          <w:rFonts w:ascii="Times New Roman" w:hAnsi="Times New Roman" w:cs="Times New Roman"/>
          <w:bCs/>
          <w:sz w:val="24"/>
          <w:szCs w:val="24"/>
        </w:rPr>
        <w:t xml:space="preserve"> reconfiguring the field and</w:t>
      </w:r>
      <w:r w:rsidR="00BA5B7E" w:rsidRPr="007B21A1">
        <w:rPr>
          <w:rFonts w:ascii="Times New Roman" w:hAnsi="Times New Roman" w:cs="Times New Roman"/>
          <w:bCs/>
          <w:sz w:val="24"/>
          <w:szCs w:val="24"/>
        </w:rPr>
        <w:t xml:space="preserve"> perpetuating</w:t>
      </w:r>
      <w:r w:rsidR="007A2168" w:rsidRPr="00CE1E94">
        <w:rPr>
          <w:rFonts w:ascii="Times New Roman" w:hAnsi="Times New Roman" w:cs="Times New Roman"/>
          <w:bCs/>
          <w:sz w:val="24"/>
          <w:szCs w:val="24"/>
        </w:rPr>
        <w:t>,</w:t>
      </w:r>
      <w:r w:rsidR="00BA5B7E" w:rsidRPr="00CE1E94">
        <w:rPr>
          <w:rFonts w:ascii="Times New Roman" w:hAnsi="Times New Roman" w:cs="Times New Roman"/>
          <w:bCs/>
          <w:sz w:val="24"/>
          <w:szCs w:val="24"/>
        </w:rPr>
        <w:t xml:space="preserve"> </w:t>
      </w:r>
      <w:r w:rsidR="00D67D85" w:rsidRPr="00CE1E94">
        <w:rPr>
          <w:rFonts w:ascii="Times New Roman" w:hAnsi="Times New Roman" w:cs="Times New Roman"/>
          <w:bCs/>
          <w:sz w:val="24"/>
          <w:szCs w:val="24"/>
        </w:rPr>
        <w:t>reinforc</w:t>
      </w:r>
      <w:r w:rsidR="00BA5B7E" w:rsidRPr="00CE1E94">
        <w:rPr>
          <w:rFonts w:ascii="Times New Roman" w:hAnsi="Times New Roman" w:cs="Times New Roman"/>
          <w:bCs/>
          <w:sz w:val="24"/>
          <w:szCs w:val="24"/>
        </w:rPr>
        <w:t xml:space="preserve">ing </w:t>
      </w:r>
      <w:r w:rsidR="007A2168" w:rsidRPr="00CE1E94">
        <w:rPr>
          <w:rFonts w:ascii="Times New Roman" w:hAnsi="Times New Roman" w:cs="Times New Roman"/>
          <w:bCs/>
          <w:sz w:val="24"/>
          <w:szCs w:val="24"/>
        </w:rPr>
        <w:t xml:space="preserve">and legitimating </w:t>
      </w:r>
      <w:r w:rsidR="00BA5B7E" w:rsidRPr="00CE1E94">
        <w:rPr>
          <w:rFonts w:ascii="Times New Roman" w:hAnsi="Times New Roman" w:cs="Times New Roman"/>
          <w:bCs/>
          <w:sz w:val="24"/>
          <w:szCs w:val="24"/>
        </w:rPr>
        <w:t xml:space="preserve">social </w:t>
      </w:r>
      <w:r w:rsidR="007A2168" w:rsidRPr="00CE1E94">
        <w:rPr>
          <w:rFonts w:ascii="Times New Roman" w:hAnsi="Times New Roman" w:cs="Times New Roman"/>
          <w:bCs/>
          <w:sz w:val="24"/>
          <w:szCs w:val="24"/>
        </w:rPr>
        <w:t>differentiation</w:t>
      </w:r>
      <w:r w:rsidR="00BA5B7E" w:rsidRPr="00345210">
        <w:rPr>
          <w:rFonts w:ascii="Times New Roman" w:hAnsi="Times New Roman" w:cs="Times New Roman"/>
          <w:bCs/>
          <w:sz w:val="24"/>
          <w:szCs w:val="24"/>
        </w:rPr>
        <w:t xml:space="preserve">. </w:t>
      </w:r>
    </w:p>
    <w:p w14:paraId="589C50B7" w14:textId="20930538" w:rsidR="00C758DC" w:rsidRPr="00D91CEB" w:rsidRDefault="00D67D85" w:rsidP="001C1AAE">
      <w:pPr>
        <w:spacing w:after="120" w:line="360" w:lineRule="auto"/>
        <w:jc w:val="both"/>
        <w:rPr>
          <w:rFonts w:ascii="Times New Roman" w:hAnsi="Times New Roman" w:cs="Times New Roman"/>
          <w:bCs/>
          <w:sz w:val="24"/>
          <w:szCs w:val="24"/>
        </w:rPr>
      </w:pPr>
      <w:r w:rsidRPr="00A473B1">
        <w:rPr>
          <w:rFonts w:ascii="Times New Roman" w:hAnsi="Times New Roman" w:cs="Times New Roman"/>
          <w:bCs/>
          <w:sz w:val="24"/>
          <w:szCs w:val="24"/>
        </w:rPr>
        <w:lastRenderedPageBreak/>
        <w:t xml:space="preserve">There have been </w:t>
      </w:r>
      <w:r w:rsidR="00FA33D8" w:rsidRPr="00A473B1">
        <w:rPr>
          <w:rFonts w:ascii="Times New Roman" w:hAnsi="Times New Roman" w:cs="Times New Roman"/>
          <w:bCs/>
          <w:sz w:val="24"/>
          <w:szCs w:val="24"/>
        </w:rPr>
        <w:t>wide ranging criticisms of the TEF</w:t>
      </w:r>
      <w:r w:rsidRPr="00A473B1">
        <w:rPr>
          <w:rFonts w:ascii="Times New Roman" w:hAnsi="Times New Roman" w:cs="Times New Roman"/>
          <w:bCs/>
          <w:sz w:val="24"/>
          <w:szCs w:val="24"/>
        </w:rPr>
        <w:t xml:space="preserve"> </w:t>
      </w:r>
      <w:r w:rsidR="007A2168" w:rsidRPr="00AA7442">
        <w:rPr>
          <w:rFonts w:ascii="Times New Roman" w:hAnsi="Times New Roman" w:cs="Times New Roman"/>
          <w:bCs/>
          <w:sz w:val="24"/>
          <w:szCs w:val="24"/>
        </w:rPr>
        <w:t>as well as more pract</w:t>
      </w:r>
      <w:r w:rsidRPr="00AA7442">
        <w:rPr>
          <w:rFonts w:ascii="Times New Roman" w:hAnsi="Times New Roman" w:cs="Times New Roman"/>
          <w:bCs/>
          <w:sz w:val="24"/>
          <w:szCs w:val="24"/>
        </w:rPr>
        <w:t>ical actions such as</w:t>
      </w:r>
      <w:r w:rsidR="00367AC9" w:rsidRPr="00AA7442">
        <w:rPr>
          <w:rFonts w:ascii="Times New Roman" w:hAnsi="Times New Roman" w:cs="Times New Roman"/>
          <w:bCs/>
          <w:sz w:val="24"/>
          <w:szCs w:val="24"/>
        </w:rPr>
        <w:t xml:space="preserve"> the student union boycott</w:t>
      </w:r>
      <w:r w:rsidR="00196224">
        <w:rPr>
          <w:rFonts w:ascii="Times New Roman" w:hAnsi="Times New Roman" w:cs="Times New Roman"/>
          <w:bCs/>
          <w:sz w:val="24"/>
          <w:szCs w:val="24"/>
        </w:rPr>
        <w:t xml:space="preserve"> of the NSS</w:t>
      </w:r>
      <w:r w:rsidRPr="00D91CEB">
        <w:rPr>
          <w:rFonts w:ascii="Times New Roman" w:hAnsi="Times New Roman" w:cs="Times New Roman"/>
          <w:bCs/>
          <w:sz w:val="24"/>
          <w:szCs w:val="24"/>
        </w:rPr>
        <w:t xml:space="preserve">. </w:t>
      </w:r>
      <w:r w:rsidR="00C7508B">
        <w:rPr>
          <w:rFonts w:ascii="Times New Roman" w:hAnsi="Times New Roman" w:cs="Times New Roman"/>
          <w:bCs/>
          <w:sz w:val="24"/>
          <w:szCs w:val="24"/>
        </w:rPr>
        <w:t xml:space="preserve">Likewise, various senior managers have publically raised questions of its validity and usefulness, when it has resulted in reputational risk and weakened league table standing. </w:t>
      </w:r>
      <w:r w:rsidRPr="00D91CEB">
        <w:rPr>
          <w:rFonts w:ascii="Times New Roman" w:hAnsi="Times New Roman" w:cs="Times New Roman"/>
          <w:bCs/>
          <w:sz w:val="24"/>
          <w:szCs w:val="24"/>
        </w:rPr>
        <w:t>This has to date however not stalled the TEF</w:t>
      </w:r>
      <w:r w:rsidR="007A2168" w:rsidRPr="00D91CEB">
        <w:rPr>
          <w:rFonts w:ascii="Times New Roman" w:hAnsi="Times New Roman" w:cs="Times New Roman"/>
          <w:bCs/>
          <w:sz w:val="24"/>
          <w:szCs w:val="24"/>
        </w:rPr>
        <w:t xml:space="preserve"> but rather led to </w:t>
      </w:r>
      <w:r w:rsidRPr="00D91CEB">
        <w:rPr>
          <w:rFonts w:ascii="Times New Roman" w:hAnsi="Times New Roman" w:cs="Times New Roman"/>
          <w:bCs/>
          <w:sz w:val="24"/>
          <w:szCs w:val="24"/>
        </w:rPr>
        <w:t xml:space="preserve">it </w:t>
      </w:r>
      <w:r w:rsidR="00367AC9" w:rsidRPr="00D91CEB">
        <w:rPr>
          <w:rFonts w:ascii="Times New Roman" w:hAnsi="Times New Roman" w:cs="Times New Roman"/>
          <w:bCs/>
          <w:sz w:val="24"/>
          <w:szCs w:val="24"/>
        </w:rPr>
        <w:t xml:space="preserve">being </w:t>
      </w:r>
      <w:r w:rsidR="00C758DC" w:rsidRPr="00D91CEB">
        <w:rPr>
          <w:rFonts w:ascii="Times New Roman" w:hAnsi="Times New Roman" w:cs="Times New Roman"/>
          <w:bCs/>
          <w:sz w:val="24"/>
          <w:szCs w:val="24"/>
        </w:rPr>
        <w:t>pursued with</w:t>
      </w:r>
      <w:r w:rsidR="007E6B82" w:rsidRPr="00D91CEB">
        <w:rPr>
          <w:rFonts w:ascii="Times New Roman" w:hAnsi="Times New Roman" w:cs="Times New Roman"/>
          <w:bCs/>
          <w:sz w:val="24"/>
          <w:szCs w:val="24"/>
        </w:rPr>
        <w:t xml:space="preserve"> sustained vigour while pragmatic adjustments</w:t>
      </w:r>
      <w:r w:rsidR="007A2168" w:rsidRPr="00D91CEB">
        <w:rPr>
          <w:rFonts w:ascii="Times New Roman" w:hAnsi="Times New Roman" w:cs="Times New Roman"/>
          <w:bCs/>
          <w:sz w:val="24"/>
          <w:szCs w:val="24"/>
        </w:rPr>
        <w:t xml:space="preserve"> have been made</w:t>
      </w:r>
      <w:r w:rsidR="007E6B82" w:rsidRPr="00D91CEB">
        <w:rPr>
          <w:rFonts w:ascii="Times New Roman" w:hAnsi="Times New Roman" w:cs="Times New Roman"/>
          <w:bCs/>
          <w:sz w:val="24"/>
          <w:szCs w:val="24"/>
        </w:rPr>
        <w:t xml:space="preserve"> to </w:t>
      </w:r>
      <w:r w:rsidR="007A2168" w:rsidRPr="00D91CEB">
        <w:rPr>
          <w:rFonts w:ascii="Times New Roman" w:hAnsi="Times New Roman" w:cs="Times New Roman"/>
          <w:bCs/>
          <w:sz w:val="24"/>
          <w:szCs w:val="24"/>
        </w:rPr>
        <w:t>its</w:t>
      </w:r>
      <w:r w:rsidR="007E6B82" w:rsidRPr="00D91CEB">
        <w:rPr>
          <w:rFonts w:ascii="Times New Roman" w:hAnsi="Times New Roman" w:cs="Times New Roman"/>
          <w:bCs/>
          <w:sz w:val="24"/>
          <w:szCs w:val="24"/>
        </w:rPr>
        <w:t xml:space="preserve"> instrumentation (see </w:t>
      </w:r>
      <w:r w:rsidR="00220C24">
        <w:rPr>
          <w:rFonts w:ascii="Times New Roman" w:hAnsi="Times New Roman" w:cs="Times New Roman"/>
          <w:bCs/>
          <w:sz w:val="24"/>
          <w:szCs w:val="24"/>
        </w:rPr>
        <w:t>DfE</w:t>
      </w:r>
      <w:r w:rsidR="002417A9" w:rsidRPr="00D91CEB">
        <w:rPr>
          <w:rFonts w:ascii="Times New Roman" w:hAnsi="Times New Roman" w:cs="Times New Roman"/>
          <w:bCs/>
          <w:sz w:val="24"/>
          <w:szCs w:val="24"/>
        </w:rPr>
        <w:t>,</w:t>
      </w:r>
      <w:r w:rsidR="007E6B82" w:rsidRPr="00D91CEB">
        <w:rPr>
          <w:rFonts w:ascii="Times New Roman" w:hAnsi="Times New Roman" w:cs="Times New Roman"/>
          <w:bCs/>
          <w:sz w:val="24"/>
          <w:szCs w:val="24"/>
        </w:rPr>
        <w:t xml:space="preserve"> 2017)</w:t>
      </w:r>
      <w:r w:rsidR="00F62A8F">
        <w:rPr>
          <w:rFonts w:ascii="Times New Roman" w:hAnsi="Times New Roman" w:cs="Times New Roman"/>
          <w:bCs/>
          <w:sz w:val="24"/>
          <w:szCs w:val="24"/>
        </w:rPr>
        <w:t>. The TEF has</w:t>
      </w:r>
      <w:r w:rsidR="007E6B82" w:rsidRPr="00D91CEB">
        <w:rPr>
          <w:rFonts w:ascii="Times New Roman" w:hAnsi="Times New Roman" w:cs="Times New Roman"/>
          <w:bCs/>
          <w:sz w:val="24"/>
          <w:szCs w:val="24"/>
        </w:rPr>
        <w:t xml:space="preserve">, for example, </w:t>
      </w:r>
      <w:r w:rsidR="00F62A8F">
        <w:rPr>
          <w:rFonts w:ascii="Times New Roman" w:hAnsi="Times New Roman" w:cs="Times New Roman"/>
          <w:bCs/>
          <w:sz w:val="24"/>
          <w:szCs w:val="24"/>
        </w:rPr>
        <w:t>been relabelled</w:t>
      </w:r>
      <w:r w:rsidR="007E6B82" w:rsidRPr="00D91CEB">
        <w:rPr>
          <w:rFonts w:ascii="Times New Roman" w:hAnsi="Times New Roman" w:cs="Times New Roman"/>
          <w:bCs/>
          <w:sz w:val="24"/>
          <w:szCs w:val="24"/>
        </w:rPr>
        <w:t xml:space="preserve"> into the Teaching Excellence and Student Outcomes Framework (a rhetoric response to its incapacity to measure teaching excellence)</w:t>
      </w:r>
      <w:r w:rsidR="00F62A8F">
        <w:rPr>
          <w:rFonts w:ascii="Times New Roman" w:hAnsi="Times New Roman" w:cs="Times New Roman"/>
          <w:bCs/>
          <w:sz w:val="24"/>
          <w:szCs w:val="24"/>
        </w:rPr>
        <w:t>. Further,</w:t>
      </w:r>
      <w:r w:rsidR="007E6B82" w:rsidRPr="00D91CEB">
        <w:rPr>
          <w:rFonts w:ascii="Times New Roman" w:hAnsi="Times New Roman" w:cs="Times New Roman"/>
          <w:bCs/>
          <w:sz w:val="24"/>
          <w:szCs w:val="24"/>
        </w:rPr>
        <w:t xml:space="preserve"> the weight of the NSS in the metrics </w:t>
      </w:r>
      <w:r w:rsidR="00F62A8F">
        <w:rPr>
          <w:rFonts w:ascii="Times New Roman" w:hAnsi="Times New Roman" w:cs="Times New Roman"/>
          <w:bCs/>
          <w:sz w:val="24"/>
          <w:szCs w:val="24"/>
        </w:rPr>
        <w:t xml:space="preserve">has been reduced </w:t>
      </w:r>
      <w:r w:rsidR="007E6B82" w:rsidRPr="00D91CEB">
        <w:rPr>
          <w:rFonts w:ascii="Times New Roman" w:hAnsi="Times New Roman" w:cs="Times New Roman"/>
          <w:bCs/>
          <w:sz w:val="24"/>
          <w:szCs w:val="24"/>
        </w:rPr>
        <w:t xml:space="preserve">(probably in anticipation of future student boycotts), and </w:t>
      </w:r>
      <w:r w:rsidR="00F62A8F">
        <w:rPr>
          <w:rFonts w:ascii="Times New Roman" w:hAnsi="Times New Roman" w:cs="Times New Roman"/>
          <w:bCs/>
          <w:sz w:val="24"/>
          <w:szCs w:val="24"/>
        </w:rPr>
        <w:t xml:space="preserve">it is </w:t>
      </w:r>
      <w:r w:rsidR="007E6B82" w:rsidRPr="00D91CEB">
        <w:rPr>
          <w:rFonts w:ascii="Times New Roman" w:hAnsi="Times New Roman" w:cs="Times New Roman"/>
          <w:bCs/>
          <w:sz w:val="24"/>
          <w:szCs w:val="24"/>
        </w:rPr>
        <w:t>consider</w:t>
      </w:r>
      <w:r w:rsidR="00F62A8F">
        <w:rPr>
          <w:rFonts w:ascii="Times New Roman" w:hAnsi="Times New Roman" w:cs="Times New Roman"/>
          <w:bCs/>
          <w:sz w:val="24"/>
          <w:szCs w:val="24"/>
        </w:rPr>
        <w:t>ed</w:t>
      </w:r>
      <w:r w:rsidR="007E6B82" w:rsidRPr="00D91CEB">
        <w:rPr>
          <w:rFonts w:ascii="Times New Roman" w:hAnsi="Times New Roman" w:cs="Times New Roman"/>
          <w:bCs/>
          <w:sz w:val="24"/>
          <w:szCs w:val="24"/>
        </w:rPr>
        <w:t xml:space="preserve"> to abolish the TEF panels (that tended to favour traditional providers over new, private providers).</w:t>
      </w:r>
    </w:p>
    <w:p w14:paraId="7B8A9D86" w14:textId="7B96F673" w:rsidR="009E558F" w:rsidRPr="00D91CEB" w:rsidRDefault="00DE5509" w:rsidP="001C1AAE">
      <w:pPr>
        <w:spacing w:after="120" w:line="360" w:lineRule="auto"/>
        <w:jc w:val="both"/>
        <w:rPr>
          <w:rFonts w:ascii="Times New Roman" w:hAnsi="Times New Roman" w:cs="Times New Roman"/>
          <w:bCs/>
          <w:sz w:val="24"/>
          <w:szCs w:val="24"/>
        </w:rPr>
      </w:pPr>
      <w:r w:rsidRPr="00D91CEB">
        <w:rPr>
          <w:rFonts w:ascii="Times New Roman" w:hAnsi="Times New Roman" w:cs="Times New Roman"/>
          <w:bCs/>
          <w:sz w:val="24"/>
          <w:szCs w:val="24"/>
        </w:rPr>
        <w:t>While Bourdieu’</w:t>
      </w:r>
      <w:r w:rsidR="007A2168" w:rsidRPr="00D91CEB">
        <w:rPr>
          <w:rFonts w:ascii="Times New Roman" w:hAnsi="Times New Roman" w:cs="Times New Roman"/>
          <w:bCs/>
          <w:sz w:val="24"/>
          <w:szCs w:val="24"/>
        </w:rPr>
        <w:t>s concept of symbolic violence</w:t>
      </w:r>
      <w:r w:rsidRPr="00D91CEB">
        <w:rPr>
          <w:rFonts w:ascii="Times New Roman" w:hAnsi="Times New Roman" w:cs="Times New Roman"/>
          <w:bCs/>
          <w:sz w:val="24"/>
          <w:szCs w:val="24"/>
        </w:rPr>
        <w:t xml:space="preserve"> is largely one of domination, it </w:t>
      </w:r>
      <w:r w:rsidR="00196224">
        <w:rPr>
          <w:rFonts w:ascii="Times New Roman" w:hAnsi="Times New Roman" w:cs="Times New Roman"/>
          <w:bCs/>
          <w:sz w:val="24"/>
          <w:szCs w:val="24"/>
        </w:rPr>
        <w:t xml:space="preserve">also </w:t>
      </w:r>
      <w:r w:rsidRPr="00D91CEB">
        <w:rPr>
          <w:rFonts w:ascii="Times New Roman" w:hAnsi="Times New Roman" w:cs="Times New Roman"/>
          <w:bCs/>
          <w:sz w:val="24"/>
          <w:szCs w:val="24"/>
        </w:rPr>
        <w:t>contains seeds of resistance</w:t>
      </w:r>
      <w:r w:rsidR="00196224">
        <w:rPr>
          <w:rFonts w:ascii="Times New Roman" w:hAnsi="Times New Roman" w:cs="Times New Roman"/>
          <w:bCs/>
          <w:sz w:val="24"/>
          <w:szCs w:val="24"/>
        </w:rPr>
        <w:t>,</w:t>
      </w:r>
      <w:r w:rsidRPr="00D91CEB">
        <w:rPr>
          <w:rFonts w:ascii="Times New Roman" w:hAnsi="Times New Roman" w:cs="Times New Roman"/>
          <w:bCs/>
          <w:sz w:val="24"/>
          <w:szCs w:val="24"/>
        </w:rPr>
        <w:t xml:space="preserve"> as submission to domination is never total since agents are continually involved in a permanent struggle</w:t>
      </w:r>
      <w:r w:rsidR="007A2168" w:rsidRPr="00D91CEB">
        <w:rPr>
          <w:rFonts w:ascii="Times New Roman" w:hAnsi="Times New Roman" w:cs="Times New Roman"/>
          <w:bCs/>
          <w:sz w:val="24"/>
          <w:szCs w:val="24"/>
        </w:rPr>
        <w:t xml:space="preserve"> in the institutional field</w:t>
      </w:r>
      <w:r w:rsidRPr="00D91CEB">
        <w:rPr>
          <w:rFonts w:ascii="Times New Roman" w:hAnsi="Times New Roman" w:cs="Times New Roman"/>
          <w:bCs/>
          <w:sz w:val="24"/>
          <w:szCs w:val="24"/>
        </w:rPr>
        <w:t>. S</w:t>
      </w:r>
      <w:r w:rsidR="00901D12" w:rsidRPr="00D91CEB">
        <w:rPr>
          <w:rFonts w:ascii="Times New Roman" w:hAnsi="Times New Roman" w:cs="Times New Roman"/>
          <w:bCs/>
          <w:sz w:val="24"/>
          <w:szCs w:val="24"/>
        </w:rPr>
        <w:t xml:space="preserve">ymbolic violence </w:t>
      </w:r>
      <w:r w:rsidR="009017F6" w:rsidRPr="00D91CEB">
        <w:rPr>
          <w:rFonts w:ascii="Times New Roman" w:hAnsi="Times New Roman" w:cs="Times New Roman"/>
          <w:bCs/>
          <w:sz w:val="24"/>
          <w:szCs w:val="24"/>
        </w:rPr>
        <w:t>can only be exercised with the complicity of those that are subject to it (Bourdieu</w:t>
      </w:r>
      <w:r w:rsidR="00196224">
        <w:rPr>
          <w:rFonts w:ascii="Times New Roman" w:hAnsi="Times New Roman" w:cs="Times New Roman"/>
          <w:bCs/>
          <w:sz w:val="24"/>
          <w:szCs w:val="24"/>
        </w:rPr>
        <w:t>,</w:t>
      </w:r>
      <w:r w:rsidR="009017F6" w:rsidRPr="00D91CEB">
        <w:rPr>
          <w:rFonts w:ascii="Times New Roman" w:hAnsi="Times New Roman" w:cs="Times New Roman"/>
          <w:bCs/>
          <w:sz w:val="24"/>
          <w:szCs w:val="24"/>
        </w:rPr>
        <w:t xml:space="preserve"> 199</w:t>
      </w:r>
      <w:r w:rsidR="00AC0869">
        <w:rPr>
          <w:rFonts w:ascii="Times New Roman" w:hAnsi="Times New Roman" w:cs="Times New Roman"/>
          <w:bCs/>
          <w:sz w:val="24"/>
          <w:szCs w:val="24"/>
        </w:rPr>
        <w:t>0</w:t>
      </w:r>
      <w:r w:rsidR="00196224">
        <w:rPr>
          <w:rFonts w:ascii="Times New Roman" w:hAnsi="Times New Roman" w:cs="Times New Roman"/>
          <w:bCs/>
          <w:sz w:val="24"/>
          <w:szCs w:val="24"/>
        </w:rPr>
        <w:t>,</w:t>
      </w:r>
      <w:r w:rsidR="009017F6" w:rsidRPr="00D91CEB">
        <w:rPr>
          <w:rFonts w:ascii="Times New Roman" w:hAnsi="Times New Roman" w:cs="Times New Roman"/>
          <w:bCs/>
          <w:sz w:val="24"/>
          <w:szCs w:val="24"/>
        </w:rPr>
        <w:t xml:space="preserve"> p</w:t>
      </w:r>
      <w:r w:rsidR="00196224">
        <w:rPr>
          <w:rFonts w:ascii="Times New Roman" w:hAnsi="Times New Roman" w:cs="Times New Roman"/>
          <w:bCs/>
          <w:sz w:val="24"/>
          <w:szCs w:val="24"/>
        </w:rPr>
        <w:t xml:space="preserve">. </w:t>
      </w:r>
      <w:r w:rsidR="009017F6" w:rsidRPr="00D91CEB">
        <w:rPr>
          <w:rFonts w:ascii="Times New Roman" w:hAnsi="Times New Roman" w:cs="Times New Roman"/>
          <w:bCs/>
          <w:sz w:val="24"/>
          <w:szCs w:val="24"/>
        </w:rPr>
        <w:t>164)</w:t>
      </w:r>
      <w:r w:rsidR="002D6977">
        <w:rPr>
          <w:rFonts w:ascii="Times New Roman" w:hAnsi="Times New Roman" w:cs="Times New Roman"/>
          <w:bCs/>
          <w:sz w:val="24"/>
          <w:szCs w:val="24"/>
        </w:rPr>
        <w:t>.</w:t>
      </w:r>
      <w:r w:rsidR="009017F6" w:rsidRPr="00D91CEB">
        <w:rPr>
          <w:rFonts w:ascii="Times New Roman" w:hAnsi="Times New Roman" w:cs="Times New Roman"/>
          <w:bCs/>
          <w:sz w:val="24"/>
          <w:szCs w:val="24"/>
        </w:rPr>
        <w:t xml:space="preserve"> Bourdieu’</w:t>
      </w:r>
      <w:r w:rsidR="007A2168" w:rsidRPr="00D91CEB">
        <w:rPr>
          <w:rFonts w:ascii="Times New Roman" w:hAnsi="Times New Roman" w:cs="Times New Roman"/>
          <w:bCs/>
          <w:sz w:val="24"/>
          <w:szCs w:val="24"/>
        </w:rPr>
        <w:t>s tools can simultaneously be</w:t>
      </w:r>
      <w:r w:rsidR="009017F6" w:rsidRPr="00D91CEB">
        <w:rPr>
          <w:rFonts w:ascii="Times New Roman" w:hAnsi="Times New Roman" w:cs="Times New Roman"/>
          <w:bCs/>
          <w:sz w:val="24"/>
          <w:szCs w:val="24"/>
        </w:rPr>
        <w:t xml:space="preserve"> used to expose the</w:t>
      </w:r>
      <w:r w:rsidR="007A2168" w:rsidRPr="00D91CEB">
        <w:rPr>
          <w:rFonts w:ascii="Times New Roman" w:hAnsi="Times New Roman" w:cs="Times New Roman"/>
          <w:bCs/>
          <w:sz w:val="24"/>
          <w:szCs w:val="24"/>
        </w:rPr>
        <w:t xml:space="preserve"> instruments of symbolic violence and to make visible the</w:t>
      </w:r>
      <w:r w:rsidR="009017F6" w:rsidRPr="00D91CEB">
        <w:rPr>
          <w:rFonts w:ascii="Times New Roman" w:hAnsi="Times New Roman" w:cs="Times New Roman"/>
          <w:bCs/>
          <w:sz w:val="24"/>
          <w:szCs w:val="24"/>
        </w:rPr>
        <w:t xml:space="preserve"> mechanisms of misrecognition</w:t>
      </w:r>
      <w:r w:rsidR="007A2168" w:rsidRPr="00D91CEB">
        <w:rPr>
          <w:rFonts w:ascii="Times New Roman" w:hAnsi="Times New Roman" w:cs="Times New Roman"/>
          <w:bCs/>
          <w:sz w:val="24"/>
          <w:szCs w:val="24"/>
        </w:rPr>
        <w:t xml:space="preserve"> in order to forge acts </w:t>
      </w:r>
      <w:r w:rsidR="009017F6" w:rsidRPr="00D91CEB">
        <w:rPr>
          <w:rFonts w:ascii="Times New Roman" w:hAnsi="Times New Roman" w:cs="Times New Roman"/>
          <w:bCs/>
          <w:sz w:val="24"/>
          <w:szCs w:val="24"/>
        </w:rPr>
        <w:t xml:space="preserve">of resistance </w:t>
      </w:r>
      <w:r w:rsidR="009E558F" w:rsidRPr="00D91CEB">
        <w:rPr>
          <w:rFonts w:ascii="Times New Roman" w:hAnsi="Times New Roman" w:cs="Times New Roman"/>
          <w:bCs/>
          <w:sz w:val="24"/>
          <w:szCs w:val="24"/>
        </w:rPr>
        <w:t xml:space="preserve">that have the potential to obstruct the operation of symbolic violence. </w:t>
      </w:r>
    </w:p>
    <w:p w14:paraId="3915C2EE" w14:textId="77777777" w:rsidR="00D1493F" w:rsidRDefault="00D1493F" w:rsidP="00D1493F">
      <w:pPr>
        <w:spacing w:after="120" w:line="360" w:lineRule="auto"/>
        <w:jc w:val="both"/>
        <w:rPr>
          <w:rFonts w:ascii="Times New Roman" w:hAnsi="Times New Roman" w:cs="Times New Roman"/>
          <w:bCs/>
          <w:sz w:val="24"/>
          <w:szCs w:val="24"/>
        </w:rPr>
      </w:pPr>
      <w:r w:rsidRPr="00D91CEB">
        <w:rPr>
          <w:rFonts w:ascii="Times New Roman" w:hAnsi="Times New Roman" w:cs="Times New Roman"/>
          <w:bCs/>
          <w:sz w:val="24"/>
          <w:szCs w:val="24"/>
        </w:rPr>
        <w:t xml:space="preserve">In this vein, further research is required to challenge what Bourdieu has termed ‘doxa’ which is the unquestionable orthodoxy of market competition inscribed in the TEF that operates as if it were the objective truth. </w:t>
      </w:r>
      <w:r>
        <w:rPr>
          <w:rFonts w:ascii="Times New Roman" w:hAnsi="Times New Roman" w:cs="Times New Roman"/>
          <w:bCs/>
          <w:sz w:val="24"/>
          <w:szCs w:val="24"/>
        </w:rPr>
        <w:t>Recent work on the competition fetish in HE</w:t>
      </w:r>
      <w:r w:rsidRPr="00D91CEB">
        <w:rPr>
          <w:rFonts w:ascii="Times New Roman" w:hAnsi="Times New Roman" w:cs="Times New Roman"/>
          <w:bCs/>
          <w:sz w:val="24"/>
          <w:szCs w:val="24"/>
        </w:rPr>
        <w:t xml:space="preserve"> (</w:t>
      </w:r>
      <w:r>
        <w:rPr>
          <w:rFonts w:ascii="Times New Roman" w:hAnsi="Times New Roman" w:cs="Times New Roman"/>
          <w:bCs/>
          <w:sz w:val="24"/>
          <w:szCs w:val="24"/>
        </w:rPr>
        <w:t xml:space="preserve">Author, </w:t>
      </w:r>
      <w:r w:rsidRPr="00D91CEB">
        <w:rPr>
          <w:rFonts w:ascii="Times New Roman" w:hAnsi="Times New Roman" w:cs="Times New Roman"/>
          <w:bCs/>
          <w:sz w:val="24"/>
          <w:szCs w:val="24"/>
        </w:rPr>
        <w:t>201</w:t>
      </w:r>
      <w:r>
        <w:rPr>
          <w:rFonts w:ascii="Times New Roman" w:hAnsi="Times New Roman" w:cs="Times New Roman"/>
          <w:bCs/>
          <w:sz w:val="24"/>
          <w:szCs w:val="24"/>
        </w:rPr>
        <w:t>6</w:t>
      </w:r>
      <w:r w:rsidRPr="00D91CEB">
        <w:rPr>
          <w:rFonts w:ascii="Times New Roman" w:hAnsi="Times New Roman" w:cs="Times New Roman"/>
          <w:bCs/>
          <w:sz w:val="24"/>
          <w:szCs w:val="24"/>
        </w:rPr>
        <w:t xml:space="preserve">) has </w:t>
      </w:r>
      <w:r>
        <w:rPr>
          <w:rFonts w:ascii="Times New Roman" w:hAnsi="Times New Roman" w:cs="Times New Roman"/>
          <w:bCs/>
          <w:sz w:val="24"/>
          <w:szCs w:val="24"/>
        </w:rPr>
        <w:t>challenged</w:t>
      </w:r>
      <w:r w:rsidRPr="00D91CEB">
        <w:rPr>
          <w:rFonts w:ascii="Times New Roman" w:hAnsi="Times New Roman" w:cs="Times New Roman"/>
          <w:bCs/>
          <w:sz w:val="24"/>
          <w:szCs w:val="24"/>
        </w:rPr>
        <w:t xml:space="preserve"> the view that competition is the panacea to solve all the problems of </w:t>
      </w:r>
      <w:r>
        <w:rPr>
          <w:rFonts w:ascii="Times New Roman" w:hAnsi="Times New Roman" w:cs="Times New Roman"/>
          <w:bCs/>
          <w:sz w:val="24"/>
          <w:szCs w:val="24"/>
        </w:rPr>
        <w:t>HE and that</w:t>
      </w:r>
      <w:r w:rsidRPr="001A18BD">
        <w:rPr>
          <w:rFonts w:ascii="Times New Roman" w:hAnsi="Times New Roman" w:cs="Times New Roman"/>
          <w:bCs/>
          <w:sz w:val="24"/>
          <w:szCs w:val="24"/>
        </w:rPr>
        <w:t xml:space="preserve"> individuals are</w:t>
      </w:r>
      <w:r>
        <w:rPr>
          <w:rFonts w:ascii="Times New Roman" w:hAnsi="Times New Roman" w:cs="Times New Roman"/>
          <w:bCs/>
          <w:sz w:val="24"/>
          <w:szCs w:val="24"/>
        </w:rPr>
        <w:t xml:space="preserve"> only</w:t>
      </w:r>
      <w:r w:rsidRPr="001A18BD">
        <w:rPr>
          <w:rFonts w:ascii="Times New Roman" w:hAnsi="Times New Roman" w:cs="Times New Roman"/>
          <w:bCs/>
          <w:sz w:val="24"/>
          <w:szCs w:val="24"/>
        </w:rPr>
        <w:t xml:space="preserve"> capable</w:t>
      </w:r>
      <w:r>
        <w:rPr>
          <w:rFonts w:ascii="Times New Roman" w:hAnsi="Times New Roman" w:cs="Times New Roman"/>
          <w:bCs/>
          <w:sz w:val="24"/>
          <w:szCs w:val="24"/>
        </w:rPr>
        <w:t xml:space="preserve"> </w:t>
      </w:r>
      <w:r w:rsidRPr="001A18BD">
        <w:rPr>
          <w:rFonts w:ascii="Times New Roman" w:hAnsi="Times New Roman" w:cs="Times New Roman"/>
          <w:bCs/>
          <w:sz w:val="24"/>
          <w:szCs w:val="24"/>
        </w:rPr>
        <w:t>of acting out of self- interest</w:t>
      </w:r>
      <w:r w:rsidRPr="007B21A1">
        <w:rPr>
          <w:rFonts w:ascii="Times New Roman" w:hAnsi="Times New Roman" w:cs="Times New Roman"/>
          <w:bCs/>
          <w:sz w:val="24"/>
          <w:szCs w:val="24"/>
        </w:rPr>
        <w:t>. Initiatives such as the TEF also threaten to weaken solidarity through blind and incessant competition based on a flawed</w:t>
      </w:r>
      <w:r w:rsidRPr="008111E4">
        <w:rPr>
          <w:rFonts w:ascii="Times New Roman" w:hAnsi="Times New Roman" w:cs="Times New Roman"/>
          <w:bCs/>
          <w:sz w:val="24"/>
          <w:szCs w:val="24"/>
        </w:rPr>
        <w:t xml:space="preserve"> notion of excellence. </w:t>
      </w:r>
      <w:r w:rsidRPr="00E43BD0">
        <w:rPr>
          <w:rFonts w:ascii="Times New Roman" w:hAnsi="Times New Roman" w:cs="Times New Roman"/>
          <w:bCs/>
          <w:sz w:val="24"/>
          <w:szCs w:val="24"/>
        </w:rPr>
        <w:t>Crucially, once such a policy gets naturalised fully into institutional life</w:t>
      </w:r>
      <w:r>
        <w:rPr>
          <w:rFonts w:ascii="Times New Roman" w:hAnsi="Times New Roman" w:cs="Times New Roman"/>
          <w:bCs/>
          <w:sz w:val="24"/>
          <w:szCs w:val="24"/>
        </w:rPr>
        <w:t>,</w:t>
      </w:r>
      <w:r w:rsidRPr="00E43BD0">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such </w:t>
      </w:r>
      <w:r w:rsidRPr="00E43BD0">
        <w:rPr>
          <w:rFonts w:ascii="Times New Roman" w:hAnsi="Times New Roman" w:cs="Times New Roman"/>
          <w:bCs/>
          <w:sz w:val="24"/>
          <w:szCs w:val="24"/>
        </w:rPr>
        <w:t xml:space="preserve"> resistance</w:t>
      </w:r>
      <w:proofErr w:type="gramEnd"/>
      <w:r w:rsidRPr="00E43BD0">
        <w:rPr>
          <w:rFonts w:ascii="Times New Roman" w:hAnsi="Times New Roman" w:cs="Times New Roman"/>
          <w:bCs/>
          <w:sz w:val="24"/>
          <w:szCs w:val="24"/>
        </w:rPr>
        <w:t xml:space="preserve"> </w:t>
      </w:r>
      <w:r>
        <w:rPr>
          <w:rFonts w:ascii="Times New Roman" w:hAnsi="Times New Roman" w:cs="Times New Roman"/>
          <w:bCs/>
          <w:sz w:val="24"/>
          <w:szCs w:val="24"/>
        </w:rPr>
        <w:t>can often</w:t>
      </w:r>
      <w:r w:rsidRPr="00E43BD0">
        <w:rPr>
          <w:rFonts w:ascii="Times New Roman" w:hAnsi="Times New Roman" w:cs="Times New Roman"/>
          <w:bCs/>
          <w:sz w:val="24"/>
          <w:szCs w:val="24"/>
        </w:rPr>
        <w:t xml:space="preserve"> take the form of a </w:t>
      </w:r>
      <w:r w:rsidRPr="00E43BD0">
        <w:rPr>
          <w:rFonts w:ascii="Times New Roman" w:hAnsi="Times New Roman" w:cs="Times New Roman"/>
          <w:sz w:val="24"/>
          <w:szCs w:val="24"/>
        </w:rPr>
        <w:t xml:space="preserve">‘hidden transcript’ ‘spoken behind the back of the </w:t>
      </w:r>
      <w:bookmarkStart w:id="0" w:name="_GoBack"/>
      <w:bookmarkEnd w:id="0"/>
      <w:r w:rsidRPr="00E43BD0">
        <w:rPr>
          <w:rFonts w:ascii="Times New Roman" w:hAnsi="Times New Roman" w:cs="Times New Roman"/>
          <w:sz w:val="24"/>
          <w:szCs w:val="24"/>
        </w:rPr>
        <w:t>dominant</w:t>
      </w:r>
      <w:r>
        <w:rPr>
          <w:rFonts w:ascii="Times New Roman" w:hAnsi="Times New Roman" w:cs="Times New Roman"/>
          <w:sz w:val="24"/>
          <w:szCs w:val="24"/>
        </w:rPr>
        <w:t>’</w:t>
      </w:r>
      <w:r w:rsidRPr="00E43BD0">
        <w:rPr>
          <w:rFonts w:ascii="Times New Roman" w:hAnsi="Times New Roman" w:cs="Times New Roman"/>
          <w:sz w:val="24"/>
          <w:szCs w:val="24"/>
        </w:rPr>
        <w:t xml:space="preserve"> (Scott, 1990</w:t>
      </w:r>
      <w:r>
        <w:rPr>
          <w:rFonts w:ascii="Times New Roman" w:hAnsi="Times New Roman" w:cs="Times New Roman"/>
          <w:sz w:val="24"/>
          <w:szCs w:val="24"/>
        </w:rPr>
        <w:t>, p. 12</w:t>
      </w:r>
      <w:r w:rsidRPr="00E43BD0">
        <w:rPr>
          <w:rFonts w:ascii="Times New Roman" w:hAnsi="Times New Roman" w:cs="Times New Roman"/>
          <w:sz w:val="24"/>
          <w:szCs w:val="24"/>
        </w:rPr>
        <w:t xml:space="preserve">), or a form of ‘resigned compliance’ to the </w:t>
      </w:r>
      <w:r>
        <w:rPr>
          <w:rFonts w:ascii="Times New Roman" w:hAnsi="Times New Roman" w:cs="Times New Roman"/>
          <w:sz w:val="24"/>
          <w:szCs w:val="24"/>
        </w:rPr>
        <w:t xml:space="preserve">managerial </w:t>
      </w:r>
      <w:r w:rsidRPr="00E43BD0">
        <w:rPr>
          <w:rFonts w:ascii="Times New Roman" w:hAnsi="Times New Roman" w:cs="Times New Roman"/>
          <w:sz w:val="24"/>
          <w:szCs w:val="24"/>
        </w:rPr>
        <w:t>field games it engenders</w:t>
      </w:r>
      <w:r>
        <w:rPr>
          <w:rFonts w:ascii="Times New Roman" w:hAnsi="Times New Roman" w:cs="Times New Roman"/>
          <w:sz w:val="24"/>
          <w:szCs w:val="24"/>
        </w:rPr>
        <w:t xml:space="preserve"> (Farrell &amp; Morris, 2004, p. 94).</w:t>
      </w:r>
    </w:p>
    <w:p w14:paraId="12E3FF34" w14:textId="77777777" w:rsidR="00D1493F" w:rsidRDefault="00D1493F" w:rsidP="00D1493F">
      <w:pPr>
        <w:spacing w:after="120" w:line="360" w:lineRule="auto"/>
        <w:jc w:val="both"/>
        <w:rPr>
          <w:rFonts w:ascii="Times New Roman" w:hAnsi="Times New Roman" w:cs="Times New Roman"/>
          <w:bCs/>
          <w:sz w:val="24"/>
          <w:szCs w:val="24"/>
        </w:rPr>
      </w:pPr>
      <w:r w:rsidRPr="008111E4">
        <w:rPr>
          <w:rFonts w:ascii="Times New Roman" w:hAnsi="Times New Roman" w:cs="Times New Roman"/>
          <w:bCs/>
          <w:sz w:val="24"/>
          <w:szCs w:val="24"/>
        </w:rPr>
        <w:t xml:space="preserve">It is thus imperative that students, academics and managers in </w:t>
      </w:r>
      <w:r>
        <w:rPr>
          <w:rFonts w:ascii="Times New Roman" w:hAnsi="Times New Roman" w:cs="Times New Roman"/>
          <w:bCs/>
          <w:sz w:val="24"/>
          <w:szCs w:val="24"/>
        </w:rPr>
        <w:t>HE</w:t>
      </w:r>
      <w:r w:rsidRPr="001A18BD">
        <w:rPr>
          <w:rFonts w:ascii="Times New Roman" w:hAnsi="Times New Roman" w:cs="Times New Roman"/>
          <w:bCs/>
          <w:sz w:val="24"/>
          <w:szCs w:val="24"/>
        </w:rPr>
        <w:t xml:space="preserve"> find new ways to re</w:t>
      </w:r>
      <w:r>
        <w:rPr>
          <w:rFonts w:ascii="Times New Roman" w:hAnsi="Times New Roman" w:cs="Times New Roman"/>
          <w:bCs/>
          <w:sz w:val="24"/>
          <w:szCs w:val="24"/>
        </w:rPr>
        <w:t>-</w:t>
      </w:r>
      <w:r w:rsidRPr="001A18BD">
        <w:rPr>
          <w:rFonts w:ascii="Times New Roman" w:hAnsi="Times New Roman" w:cs="Times New Roman"/>
          <w:bCs/>
          <w:sz w:val="24"/>
          <w:szCs w:val="24"/>
        </w:rPr>
        <w:t>collectivise to confr</w:t>
      </w:r>
      <w:r w:rsidRPr="007B21A1">
        <w:rPr>
          <w:rFonts w:ascii="Times New Roman" w:hAnsi="Times New Roman" w:cs="Times New Roman"/>
          <w:bCs/>
          <w:sz w:val="24"/>
          <w:szCs w:val="24"/>
        </w:rPr>
        <w:t xml:space="preserve">ont these trends in creative and dynamic ways. Rather than retreating into a nostalgic and imagined golden age of </w:t>
      </w:r>
      <w:r>
        <w:rPr>
          <w:rFonts w:ascii="Times New Roman" w:hAnsi="Times New Roman" w:cs="Times New Roman"/>
          <w:bCs/>
          <w:sz w:val="24"/>
          <w:szCs w:val="24"/>
        </w:rPr>
        <w:t>HE</w:t>
      </w:r>
      <w:r w:rsidRPr="001A18BD">
        <w:rPr>
          <w:rFonts w:ascii="Times New Roman" w:hAnsi="Times New Roman" w:cs="Times New Roman"/>
          <w:bCs/>
          <w:sz w:val="24"/>
          <w:szCs w:val="24"/>
        </w:rPr>
        <w:t xml:space="preserve">, we need to recognise the major problems related to students and learning in </w:t>
      </w:r>
      <w:r>
        <w:rPr>
          <w:rFonts w:ascii="Times New Roman" w:hAnsi="Times New Roman" w:cs="Times New Roman"/>
          <w:bCs/>
          <w:sz w:val="24"/>
          <w:szCs w:val="24"/>
        </w:rPr>
        <w:t>HE</w:t>
      </w:r>
      <w:r w:rsidRPr="001A18BD">
        <w:rPr>
          <w:rFonts w:ascii="Times New Roman" w:hAnsi="Times New Roman" w:cs="Times New Roman"/>
          <w:bCs/>
          <w:sz w:val="24"/>
          <w:szCs w:val="24"/>
        </w:rPr>
        <w:t xml:space="preserve"> in the 21</w:t>
      </w:r>
      <w:r w:rsidRPr="001A18BD">
        <w:rPr>
          <w:rFonts w:ascii="Times New Roman" w:hAnsi="Times New Roman" w:cs="Times New Roman"/>
          <w:bCs/>
          <w:sz w:val="24"/>
          <w:szCs w:val="24"/>
          <w:vertAlign w:val="superscript"/>
        </w:rPr>
        <w:t>st</w:t>
      </w:r>
      <w:r w:rsidRPr="001A18BD">
        <w:rPr>
          <w:rFonts w:ascii="Times New Roman" w:hAnsi="Times New Roman" w:cs="Times New Roman"/>
          <w:bCs/>
          <w:sz w:val="24"/>
          <w:szCs w:val="24"/>
        </w:rPr>
        <w:t xml:space="preserve"> century</w:t>
      </w:r>
      <w:r>
        <w:rPr>
          <w:rFonts w:ascii="Times New Roman" w:hAnsi="Times New Roman" w:cs="Times New Roman"/>
          <w:bCs/>
          <w:sz w:val="24"/>
          <w:szCs w:val="24"/>
        </w:rPr>
        <w:t xml:space="preserve"> (Author, 2016).</w:t>
      </w:r>
      <w:r w:rsidRPr="001A18BD">
        <w:rPr>
          <w:rFonts w:ascii="Times New Roman" w:hAnsi="Times New Roman" w:cs="Times New Roman"/>
          <w:bCs/>
          <w:sz w:val="24"/>
          <w:szCs w:val="24"/>
        </w:rPr>
        <w:t xml:space="preserve"> </w:t>
      </w:r>
      <w:r>
        <w:rPr>
          <w:rFonts w:ascii="Times New Roman" w:hAnsi="Times New Roman" w:cs="Times New Roman"/>
          <w:bCs/>
          <w:sz w:val="24"/>
          <w:szCs w:val="24"/>
        </w:rPr>
        <w:t>We need to</w:t>
      </w:r>
      <w:r w:rsidRPr="001A18BD">
        <w:rPr>
          <w:rFonts w:ascii="Times New Roman" w:hAnsi="Times New Roman" w:cs="Times New Roman"/>
          <w:bCs/>
          <w:sz w:val="24"/>
          <w:szCs w:val="24"/>
        </w:rPr>
        <w:t xml:space="preserve"> highlight alternatives such as practices that are built on the foundations o</w:t>
      </w:r>
      <w:r w:rsidRPr="007B21A1">
        <w:rPr>
          <w:rFonts w:ascii="Times New Roman" w:hAnsi="Times New Roman" w:cs="Times New Roman"/>
          <w:bCs/>
          <w:sz w:val="24"/>
          <w:szCs w:val="24"/>
        </w:rPr>
        <w:t xml:space="preserve">f ideas of inclusive excellence, the student as a partner and co-producer of </w:t>
      </w:r>
      <w:r>
        <w:rPr>
          <w:rFonts w:ascii="Times New Roman" w:hAnsi="Times New Roman" w:cs="Times New Roman"/>
          <w:bCs/>
          <w:sz w:val="24"/>
          <w:szCs w:val="24"/>
        </w:rPr>
        <w:t>HE</w:t>
      </w:r>
      <w:r w:rsidRPr="001A18BD">
        <w:rPr>
          <w:rFonts w:ascii="Times New Roman" w:hAnsi="Times New Roman" w:cs="Times New Roman"/>
          <w:bCs/>
          <w:sz w:val="24"/>
          <w:szCs w:val="24"/>
        </w:rPr>
        <w:t xml:space="preserve"> (Neary</w:t>
      </w:r>
      <w:r>
        <w:rPr>
          <w:rFonts w:ascii="Times New Roman" w:hAnsi="Times New Roman" w:cs="Times New Roman"/>
          <w:bCs/>
          <w:sz w:val="24"/>
          <w:szCs w:val="24"/>
        </w:rPr>
        <w:t xml:space="preserve"> &amp; Winn</w:t>
      </w:r>
      <w:r w:rsidRPr="001A18BD">
        <w:rPr>
          <w:rFonts w:ascii="Times New Roman" w:hAnsi="Times New Roman" w:cs="Times New Roman"/>
          <w:bCs/>
          <w:sz w:val="24"/>
          <w:szCs w:val="24"/>
        </w:rPr>
        <w:t>, 20</w:t>
      </w:r>
      <w:r>
        <w:rPr>
          <w:rFonts w:ascii="Times New Roman" w:hAnsi="Times New Roman" w:cs="Times New Roman"/>
          <w:bCs/>
          <w:sz w:val="24"/>
          <w:szCs w:val="24"/>
        </w:rPr>
        <w:t>09</w:t>
      </w:r>
      <w:r w:rsidRPr="001A18BD">
        <w:rPr>
          <w:rFonts w:ascii="Times New Roman" w:hAnsi="Times New Roman" w:cs="Times New Roman"/>
          <w:bCs/>
          <w:sz w:val="24"/>
          <w:szCs w:val="24"/>
        </w:rPr>
        <w:t xml:space="preserve">) and co-operative </w:t>
      </w:r>
      <w:r w:rsidRPr="001A18BD">
        <w:rPr>
          <w:rFonts w:ascii="Times New Roman" w:hAnsi="Times New Roman" w:cs="Times New Roman"/>
          <w:bCs/>
          <w:sz w:val="24"/>
          <w:szCs w:val="24"/>
        </w:rPr>
        <w:lastRenderedPageBreak/>
        <w:t>university moveme</w:t>
      </w:r>
      <w:r w:rsidRPr="007B21A1">
        <w:rPr>
          <w:rFonts w:ascii="Times New Roman" w:hAnsi="Times New Roman" w:cs="Times New Roman"/>
          <w:bCs/>
          <w:sz w:val="24"/>
          <w:szCs w:val="24"/>
        </w:rPr>
        <w:t>nts (Win</w:t>
      </w:r>
      <w:r>
        <w:rPr>
          <w:rFonts w:ascii="Times New Roman" w:hAnsi="Times New Roman" w:cs="Times New Roman"/>
          <w:bCs/>
          <w:sz w:val="24"/>
          <w:szCs w:val="24"/>
        </w:rPr>
        <w:t>n,</w:t>
      </w:r>
      <w:r w:rsidRPr="007B21A1">
        <w:rPr>
          <w:rFonts w:ascii="Times New Roman" w:hAnsi="Times New Roman" w:cs="Times New Roman"/>
          <w:bCs/>
          <w:sz w:val="24"/>
          <w:szCs w:val="24"/>
        </w:rPr>
        <w:t xml:space="preserve"> 2015;</w:t>
      </w:r>
      <w:r>
        <w:rPr>
          <w:rFonts w:ascii="Times New Roman" w:hAnsi="Times New Roman" w:cs="Times New Roman"/>
          <w:bCs/>
          <w:sz w:val="24"/>
          <w:szCs w:val="24"/>
        </w:rPr>
        <w:t xml:space="preserve"> </w:t>
      </w:r>
      <w:r w:rsidRPr="007B21A1">
        <w:rPr>
          <w:rFonts w:ascii="Times New Roman" w:hAnsi="Times New Roman" w:cs="Times New Roman"/>
          <w:bCs/>
          <w:sz w:val="24"/>
          <w:szCs w:val="24"/>
        </w:rPr>
        <w:t>Wright</w:t>
      </w:r>
      <w:r>
        <w:rPr>
          <w:rFonts w:ascii="Times New Roman" w:hAnsi="Times New Roman" w:cs="Times New Roman"/>
          <w:bCs/>
          <w:sz w:val="24"/>
          <w:szCs w:val="24"/>
        </w:rPr>
        <w:t xml:space="preserve"> &amp; Greenwood, 2017). Conceptions of the student-university relationship such as co-production offer a genuine extension of student agency and meaningful democratic involvement that considerably exceeds the one-dimensionality of the student-consumer concept. In resisting the commodifying practices within the dominant policy frameworks such as the TEF, and therefore enriching trust between students and academics, university teachers can convey the significance of students’ responsibilities towards both their own knowledge development and overall contribution to the intellectual life of the university. By extension, critical pedagogic practices within formal programme content can be used to incorporate open dialogue around the value of higher learning and the wider purpose of study beyond market transaction. As part of a critical distancing rather than faithful compliance to policy frameworks such as the TEF, university teachers and managers, in active collaboration with students, have a substantive role in retooling conceptions of studentship beyond the commodifying strains within recent policy. </w:t>
      </w:r>
    </w:p>
    <w:p w14:paraId="1C131336" w14:textId="77777777" w:rsidR="004931EE" w:rsidRPr="00D91CEB" w:rsidRDefault="004931EE" w:rsidP="001C1AAE">
      <w:pPr>
        <w:spacing w:line="360" w:lineRule="auto"/>
        <w:rPr>
          <w:rFonts w:ascii="Times New Roman" w:hAnsi="Times New Roman" w:cs="Times New Roman"/>
          <w:sz w:val="24"/>
          <w:szCs w:val="24"/>
        </w:rPr>
      </w:pPr>
    </w:p>
    <w:p w14:paraId="7C682C0C" w14:textId="77777777" w:rsidR="008C6258" w:rsidRPr="00D91CEB" w:rsidRDefault="008C6258" w:rsidP="001C1AAE">
      <w:pPr>
        <w:spacing w:after="120" w:line="360" w:lineRule="auto"/>
        <w:rPr>
          <w:rFonts w:ascii="Times New Roman" w:hAnsi="Times New Roman" w:cs="Times New Roman"/>
          <w:b/>
          <w:sz w:val="24"/>
          <w:szCs w:val="24"/>
        </w:rPr>
      </w:pPr>
      <w:r w:rsidRPr="00D91CEB">
        <w:rPr>
          <w:rFonts w:ascii="Times New Roman" w:hAnsi="Times New Roman" w:cs="Times New Roman"/>
          <w:b/>
          <w:sz w:val="24"/>
          <w:szCs w:val="24"/>
        </w:rPr>
        <w:t>References</w:t>
      </w:r>
    </w:p>
    <w:p w14:paraId="108A1874" w14:textId="3716E095" w:rsidR="00010A31" w:rsidRPr="00D91CEB" w:rsidRDefault="00A22E6E"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Ball, S.</w:t>
      </w:r>
      <w:r w:rsidR="00DE6724">
        <w:rPr>
          <w:rFonts w:ascii="Times New Roman" w:hAnsi="Times New Roman" w:cs="Times New Roman"/>
          <w:sz w:val="24"/>
          <w:szCs w:val="24"/>
        </w:rPr>
        <w:t xml:space="preserve"> </w:t>
      </w:r>
      <w:r w:rsidRPr="00D91CEB">
        <w:rPr>
          <w:rFonts w:ascii="Times New Roman" w:hAnsi="Times New Roman" w:cs="Times New Roman"/>
          <w:sz w:val="24"/>
          <w:szCs w:val="24"/>
        </w:rPr>
        <w:t>J. (2015)</w:t>
      </w:r>
      <w:r w:rsidR="00556A36" w:rsidRPr="00D91CEB">
        <w:rPr>
          <w:rFonts w:ascii="Times New Roman" w:hAnsi="Times New Roman" w:cs="Times New Roman"/>
          <w:sz w:val="24"/>
          <w:szCs w:val="24"/>
        </w:rPr>
        <w:t>.</w:t>
      </w:r>
      <w:r w:rsidR="008C6258" w:rsidRPr="00D91CEB">
        <w:rPr>
          <w:rFonts w:ascii="Times New Roman" w:hAnsi="Times New Roman" w:cs="Times New Roman"/>
          <w:sz w:val="24"/>
          <w:szCs w:val="24"/>
        </w:rPr>
        <w:t xml:space="preserve"> Education, governance and the tyranny of numbers</w:t>
      </w:r>
      <w:r w:rsidR="00556A36" w:rsidRPr="00D91CEB">
        <w:rPr>
          <w:rFonts w:ascii="Times New Roman" w:hAnsi="Times New Roman" w:cs="Times New Roman"/>
          <w:sz w:val="24"/>
          <w:szCs w:val="24"/>
        </w:rPr>
        <w:t>.</w:t>
      </w:r>
      <w:r w:rsidR="008C6258" w:rsidRPr="00D91CEB">
        <w:rPr>
          <w:rFonts w:ascii="Times New Roman" w:hAnsi="Times New Roman" w:cs="Times New Roman"/>
          <w:sz w:val="24"/>
          <w:szCs w:val="24"/>
        </w:rPr>
        <w:t xml:space="preserve"> </w:t>
      </w:r>
      <w:r w:rsidR="008C6258" w:rsidRPr="00D91CEB">
        <w:rPr>
          <w:rFonts w:ascii="Times New Roman" w:hAnsi="Times New Roman" w:cs="Times New Roman"/>
          <w:i/>
          <w:sz w:val="24"/>
          <w:szCs w:val="24"/>
        </w:rPr>
        <w:t>Journal of Education Policy</w:t>
      </w:r>
      <w:r w:rsidR="008C6258" w:rsidRPr="00D91CEB">
        <w:rPr>
          <w:rFonts w:ascii="Times New Roman" w:hAnsi="Times New Roman" w:cs="Times New Roman"/>
          <w:sz w:val="24"/>
          <w:szCs w:val="24"/>
        </w:rPr>
        <w:t xml:space="preserve">, </w:t>
      </w:r>
      <w:r w:rsidRPr="005F478D">
        <w:rPr>
          <w:rFonts w:ascii="Times New Roman" w:hAnsi="Times New Roman" w:cs="Times New Roman"/>
          <w:i/>
          <w:sz w:val="24"/>
          <w:szCs w:val="24"/>
        </w:rPr>
        <w:t>30</w:t>
      </w:r>
      <w:r w:rsidRPr="00D91CEB">
        <w:rPr>
          <w:rFonts w:ascii="Times New Roman" w:hAnsi="Times New Roman" w:cs="Times New Roman"/>
          <w:sz w:val="24"/>
          <w:szCs w:val="24"/>
        </w:rPr>
        <w:t>(3),</w:t>
      </w:r>
      <w:r w:rsidR="008C6258" w:rsidRPr="00D91CEB">
        <w:rPr>
          <w:rFonts w:ascii="Times New Roman" w:hAnsi="Times New Roman" w:cs="Times New Roman"/>
          <w:sz w:val="24"/>
          <w:szCs w:val="24"/>
        </w:rPr>
        <w:t xml:space="preserve"> 299-301.</w:t>
      </w:r>
    </w:p>
    <w:p w14:paraId="31D7CD1C" w14:textId="4A8BF571" w:rsidR="00DE6724" w:rsidRPr="00D91CEB" w:rsidRDefault="00010A31"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Boden, R.</w:t>
      </w:r>
      <w:r w:rsidR="00DE6724">
        <w:rPr>
          <w:rFonts w:ascii="Times New Roman" w:hAnsi="Times New Roman" w:cs="Times New Roman"/>
          <w:sz w:val="24"/>
          <w:szCs w:val="24"/>
        </w:rPr>
        <w:t>,</w:t>
      </w:r>
      <w:r w:rsidRPr="00D91CEB">
        <w:rPr>
          <w:rFonts w:ascii="Times New Roman" w:hAnsi="Times New Roman" w:cs="Times New Roman"/>
          <w:sz w:val="24"/>
          <w:szCs w:val="24"/>
        </w:rPr>
        <w:t xml:space="preserve"> &amp; Epstein, D. (2006) Managing the research imagination? Globalisation and</w:t>
      </w:r>
      <w:r w:rsidR="00DE6724">
        <w:rPr>
          <w:rFonts w:ascii="Times New Roman" w:hAnsi="Times New Roman" w:cs="Times New Roman"/>
          <w:sz w:val="24"/>
          <w:szCs w:val="24"/>
        </w:rPr>
        <w:t xml:space="preserve"> </w:t>
      </w:r>
      <w:r w:rsidRPr="00D91CEB">
        <w:rPr>
          <w:rFonts w:ascii="Times New Roman" w:hAnsi="Times New Roman" w:cs="Times New Roman"/>
          <w:sz w:val="24"/>
          <w:szCs w:val="24"/>
        </w:rPr>
        <w:t xml:space="preserve">research in higher education, </w:t>
      </w:r>
      <w:r w:rsidRPr="00AC0869">
        <w:rPr>
          <w:rFonts w:ascii="Times New Roman" w:hAnsi="Times New Roman" w:cs="Times New Roman"/>
          <w:i/>
          <w:sz w:val="24"/>
          <w:szCs w:val="24"/>
        </w:rPr>
        <w:t>Globalisation, Societies and Education</w:t>
      </w:r>
      <w:r w:rsidRPr="00D91CEB">
        <w:rPr>
          <w:rFonts w:ascii="Times New Roman" w:hAnsi="Times New Roman" w:cs="Times New Roman"/>
          <w:sz w:val="24"/>
          <w:szCs w:val="24"/>
        </w:rPr>
        <w:t xml:space="preserve">, </w:t>
      </w:r>
      <w:r w:rsidRPr="005F478D">
        <w:rPr>
          <w:rFonts w:ascii="Times New Roman" w:hAnsi="Times New Roman" w:cs="Times New Roman"/>
          <w:i/>
          <w:sz w:val="24"/>
          <w:szCs w:val="24"/>
        </w:rPr>
        <w:t>4</w:t>
      </w:r>
      <w:r w:rsidRPr="00D91CEB">
        <w:rPr>
          <w:rFonts w:ascii="Times New Roman" w:hAnsi="Times New Roman" w:cs="Times New Roman"/>
          <w:sz w:val="24"/>
          <w:szCs w:val="24"/>
        </w:rPr>
        <w:t>(2)</w:t>
      </w:r>
      <w:r w:rsidR="00DE6724">
        <w:rPr>
          <w:rFonts w:ascii="Times New Roman" w:hAnsi="Times New Roman" w:cs="Times New Roman"/>
          <w:sz w:val="24"/>
          <w:szCs w:val="24"/>
        </w:rPr>
        <w:t>,</w:t>
      </w:r>
      <w:r w:rsidRPr="00D91CEB">
        <w:rPr>
          <w:rFonts w:ascii="Times New Roman" w:hAnsi="Times New Roman" w:cs="Times New Roman"/>
          <w:sz w:val="24"/>
          <w:szCs w:val="24"/>
        </w:rPr>
        <w:t xml:space="preserve"> 223-236.</w:t>
      </w:r>
      <w:r w:rsidR="00DE6724" w:rsidRPr="00DE6724">
        <w:rPr>
          <w:rFonts w:ascii="Times New Roman" w:hAnsi="Times New Roman" w:cs="Times New Roman"/>
          <w:sz w:val="24"/>
          <w:szCs w:val="24"/>
        </w:rPr>
        <w:t xml:space="preserve"> </w:t>
      </w:r>
    </w:p>
    <w:p w14:paraId="6F07CC3F" w14:textId="6450C2D6" w:rsidR="008C6258" w:rsidRPr="00D91CEB" w:rsidRDefault="00A22E6E"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Bourdieu, P. (1977)</w:t>
      </w:r>
      <w:r w:rsidR="008C6258" w:rsidRPr="00D91CEB">
        <w:rPr>
          <w:rFonts w:ascii="Times New Roman" w:hAnsi="Times New Roman" w:cs="Times New Roman"/>
          <w:sz w:val="24"/>
          <w:szCs w:val="24"/>
        </w:rPr>
        <w:t xml:space="preserve"> </w:t>
      </w:r>
      <w:r w:rsidR="008C6258" w:rsidRPr="00D91CEB">
        <w:rPr>
          <w:rFonts w:ascii="Times New Roman" w:hAnsi="Times New Roman" w:cs="Times New Roman"/>
          <w:i/>
          <w:sz w:val="24"/>
          <w:szCs w:val="24"/>
        </w:rPr>
        <w:t>Outline of a Theory of Practice</w:t>
      </w:r>
      <w:r w:rsidR="00556A36" w:rsidRPr="00D91CEB">
        <w:rPr>
          <w:rFonts w:ascii="Times New Roman" w:hAnsi="Times New Roman" w:cs="Times New Roman"/>
          <w:i/>
          <w:sz w:val="24"/>
          <w:szCs w:val="24"/>
        </w:rPr>
        <w:t>.</w:t>
      </w:r>
      <w:r w:rsidRPr="00D91CEB">
        <w:rPr>
          <w:rFonts w:ascii="Times New Roman" w:hAnsi="Times New Roman" w:cs="Times New Roman"/>
          <w:sz w:val="24"/>
          <w:szCs w:val="24"/>
        </w:rPr>
        <w:t xml:space="preserve"> </w:t>
      </w:r>
      <w:r w:rsidR="008C6258" w:rsidRPr="00D91CEB">
        <w:rPr>
          <w:rFonts w:ascii="Times New Roman" w:hAnsi="Times New Roman" w:cs="Times New Roman"/>
          <w:sz w:val="24"/>
          <w:szCs w:val="24"/>
        </w:rPr>
        <w:t>Cambri</w:t>
      </w:r>
      <w:r w:rsidRPr="00D91CEB">
        <w:rPr>
          <w:rFonts w:ascii="Times New Roman" w:hAnsi="Times New Roman" w:cs="Times New Roman"/>
          <w:sz w:val="24"/>
          <w:szCs w:val="24"/>
        </w:rPr>
        <w:t>dge: Cambridge University Press</w:t>
      </w:r>
      <w:r w:rsidR="00556A36" w:rsidRPr="00D91CEB">
        <w:rPr>
          <w:rFonts w:ascii="Times New Roman" w:hAnsi="Times New Roman" w:cs="Times New Roman"/>
          <w:sz w:val="24"/>
          <w:szCs w:val="24"/>
        </w:rPr>
        <w:t>.</w:t>
      </w:r>
    </w:p>
    <w:p w14:paraId="66B8FF8E" w14:textId="73CF6F2F" w:rsidR="008C6258" w:rsidRPr="00D91CEB" w:rsidRDefault="008C6258"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Bourdieu,</w:t>
      </w:r>
      <w:r w:rsidR="00A22E6E" w:rsidRPr="00D91CEB">
        <w:rPr>
          <w:rFonts w:ascii="Times New Roman" w:hAnsi="Times New Roman" w:cs="Times New Roman"/>
          <w:sz w:val="24"/>
          <w:szCs w:val="24"/>
        </w:rPr>
        <w:t xml:space="preserve"> P. (1986). The forms of capita</w:t>
      </w:r>
      <w:r w:rsidR="00556A36" w:rsidRPr="00D91CEB">
        <w:rPr>
          <w:rFonts w:ascii="Times New Roman" w:hAnsi="Times New Roman" w:cs="Times New Roman"/>
          <w:sz w:val="24"/>
          <w:szCs w:val="24"/>
        </w:rPr>
        <w:t>l</w:t>
      </w:r>
      <w:r w:rsidR="00DE6724">
        <w:rPr>
          <w:rFonts w:ascii="Times New Roman" w:hAnsi="Times New Roman" w:cs="Times New Roman"/>
          <w:sz w:val="24"/>
          <w:szCs w:val="24"/>
        </w:rPr>
        <w:t>. I</w:t>
      </w:r>
      <w:r w:rsidR="00A22E6E" w:rsidRPr="00D91CEB">
        <w:rPr>
          <w:rFonts w:ascii="Times New Roman" w:hAnsi="Times New Roman" w:cs="Times New Roman"/>
          <w:sz w:val="24"/>
          <w:szCs w:val="24"/>
        </w:rPr>
        <w:t>n G.</w:t>
      </w:r>
      <w:r w:rsidR="00DE6724">
        <w:rPr>
          <w:rFonts w:ascii="Times New Roman" w:hAnsi="Times New Roman" w:cs="Times New Roman"/>
          <w:sz w:val="24"/>
          <w:szCs w:val="24"/>
        </w:rPr>
        <w:t xml:space="preserve"> </w:t>
      </w:r>
      <w:r w:rsidR="00A22E6E" w:rsidRPr="00D91CEB">
        <w:rPr>
          <w:rFonts w:ascii="Times New Roman" w:hAnsi="Times New Roman" w:cs="Times New Roman"/>
          <w:sz w:val="24"/>
          <w:szCs w:val="24"/>
        </w:rPr>
        <w:t>R. Richardson (Ed.)</w:t>
      </w:r>
      <w:r w:rsidR="00DE6724">
        <w:rPr>
          <w:rFonts w:ascii="Times New Roman" w:hAnsi="Times New Roman" w:cs="Times New Roman"/>
          <w:sz w:val="24"/>
          <w:szCs w:val="24"/>
        </w:rPr>
        <w:t>,</w:t>
      </w:r>
      <w:r w:rsidRPr="00D91CEB">
        <w:rPr>
          <w:rFonts w:ascii="Times New Roman" w:hAnsi="Times New Roman" w:cs="Times New Roman"/>
          <w:sz w:val="24"/>
          <w:szCs w:val="24"/>
        </w:rPr>
        <w:t xml:space="preserve"> </w:t>
      </w:r>
      <w:r w:rsidRPr="00D91CEB">
        <w:rPr>
          <w:rFonts w:ascii="Times New Roman" w:hAnsi="Times New Roman" w:cs="Times New Roman"/>
          <w:i/>
          <w:sz w:val="24"/>
          <w:szCs w:val="24"/>
        </w:rPr>
        <w:t>Handbook of theory and research for the sociology of education</w:t>
      </w:r>
      <w:r w:rsidRPr="00D91CEB">
        <w:rPr>
          <w:rFonts w:ascii="Times New Roman" w:hAnsi="Times New Roman" w:cs="Times New Roman"/>
          <w:sz w:val="24"/>
          <w:szCs w:val="24"/>
        </w:rPr>
        <w:t xml:space="preserve"> </w:t>
      </w:r>
      <w:r w:rsidR="00DE6724">
        <w:rPr>
          <w:rFonts w:ascii="Times New Roman" w:hAnsi="Times New Roman" w:cs="Times New Roman"/>
          <w:sz w:val="24"/>
          <w:szCs w:val="24"/>
        </w:rPr>
        <w:t>(</w:t>
      </w:r>
      <w:r w:rsidR="00DE6724" w:rsidRPr="00D91CEB">
        <w:rPr>
          <w:rFonts w:ascii="Times New Roman" w:hAnsi="Times New Roman" w:cs="Times New Roman"/>
          <w:sz w:val="24"/>
          <w:szCs w:val="24"/>
        </w:rPr>
        <w:t>pp. 241-258</w:t>
      </w:r>
      <w:r w:rsidR="00DE6724">
        <w:rPr>
          <w:rFonts w:ascii="Times New Roman" w:hAnsi="Times New Roman" w:cs="Times New Roman"/>
          <w:sz w:val="24"/>
          <w:szCs w:val="24"/>
        </w:rPr>
        <w:t xml:space="preserve">). </w:t>
      </w:r>
      <w:r w:rsidR="00A22E6E" w:rsidRPr="00D91CEB">
        <w:rPr>
          <w:rFonts w:ascii="Times New Roman" w:hAnsi="Times New Roman" w:cs="Times New Roman"/>
          <w:sz w:val="24"/>
          <w:szCs w:val="24"/>
        </w:rPr>
        <w:t>New York: Greenwood Press</w:t>
      </w:r>
      <w:r w:rsidRPr="00D91CEB">
        <w:rPr>
          <w:rFonts w:ascii="Times New Roman" w:hAnsi="Times New Roman" w:cs="Times New Roman"/>
          <w:sz w:val="24"/>
          <w:szCs w:val="24"/>
        </w:rPr>
        <w:t>.</w:t>
      </w:r>
    </w:p>
    <w:p w14:paraId="6230DE20" w14:textId="254BCBC6" w:rsidR="008C6258" w:rsidRPr="00D91CEB" w:rsidRDefault="00A22E6E"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Bourdieu, P. (1988)</w:t>
      </w:r>
      <w:r w:rsidR="00556A36" w:rsidRPr="00D91CEB">
        <w:rPr>
          <w:rFonts w:ascii="Times New Roman" w:hAnsi="Times New Roman" w:cs="Times New Roman"/>
          <w:sz w:val="24"/>
          <w:szCs w:val="24"/>
        </w:rPr>
        <w:t>.</w:t>
      </w:r>
      <w:r w:rsidR="008C6258" w:rsidRPr="00D91CEB">
        <w:rPr>
          <w:rFonts w:ascii="Times New Roman" w:hAnsi="Times New Roman" w:cs="Times New Roman"/>
          <w:sz w:val="24"/>
          <w:szCs w:val="24"/>
        </w:rPr>
        <w:t xml:space="preserve"> </w:t>
      </w:r>
      <w:r w:rsidR="008C6258" w:rsidRPr="00D91CEB">
        <w:rPr>
          <w:rFonts w:ascii="Times New Roman" w:hAnsi="Times New Roman" w:cs="Times New Roman"/>
          <w:i/>
          <w:sz w:val="24"/>
          <w:szCs w:val="24"/>
        </w:rPr>
        <w:t xml:space="preserve">Homo </w:t>
      </w:r>
      <w:proofErr w:type="spellStart"/>
      <w:r w:rsidR="008C6258" w:rsidRPr="00D91CEB">
        <w:rPr>
          <w:rFonts w:ascii="Times New Roman" w:hAnsi="Times New Roman" w:cs="Times New Roman"/>
          <w:i/>
          <w:sz w:val="24"/>
          <w:szCs w:val="24"/>
        </w:rPr>
        <w:t>Academicus</w:t>
      </w:r>
      <w:proofErr w:type="spellEnd"/>
      <w:r w:rsidR="00556A36" w:rsidRPr="00D91CEB">
        <w:rPr>
          <w:rFonts w:ascii="Times New Roman" w:hAnsi="Times New Roman" w:cs="Times New Roman"/>
          <w:i/>
          <w:sz w:val="24"/>
          <w:szCs w:val="24"/>
        </w:rPr>
        <w:t>.</w:t>
      </w:r>
      <w:r w:rsidRPr="00D91CEB">
        <w:rPr>
          <w:rFonts w:ascii="Times New Roman" w:hAnsi="Times New Roman" w:cs="Times New Roman"/>
          <w:sz w:val="24"/>
          <w:szCs w:val="24"/>
        </w:rPr>
        <w:t xml:space="preserve"> Cambridge: Polity Press</w:t>
      </w:r>
      <w:r w:rsidR="00556A36" w:rsidRPr="00D91CEB">
        <w:rPr>
          <w:rFonts w:ascii="Times New Roman" w:hAnsi="Times New Roman" w:cs="Times New Roman"/>
          <w:sz w:val="24"/>
          <w:szCs w:val="24"/>
        </w:rPr>
        <w:t>.</w:t>
      </w:r>
    </w:p>
    <w:p w14:paraId="07C64EEA" w14:textId="69F649AD" w:rsidR="008C6258" w:rsidRDefault="00A22E6E"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Bourdieu, P. (1989)</w:t>
      </w:r>
      <w:r w:rsidR="00556A36" w:rsidRPr="00D91CEB">
        <w:rPr>
          <w:rFonts w:ascii="Times New Roman" w:hAnsi="Times New Roman" w:cs="Times New Roman"/>
          <w:sz w:val="24"/>
          <w:szCs w:val="24"/>
        </w:rPr>
        <w:t>.</w:t>
      </w:r>
      <w:r w:rsidR="008C6258" w:rsidRPr="00D91CEB">
        <w:rPr>
          <w:rFonts w:ascii="Times New Roman" w:hAnsi="Times New Roman" w:cs="Times New Roman"/>
          <w:sz w:val="24"/>
          <w:szCs w:val="24"/>
        </w:rPr>
        <w:t xml:space="preserve"> Social space and symbolic power</w:t>
      </w:r>
      <w:r w:rsidR="00556A36" w:rsidRPr="00D91CEB">
        <w:rPr>
          <w:rFonts w:ascii="Times New Roman" w:hAnsi="Times New Roman" w:cs="Times New Roman"/>
          <w:sz w:val="24"/>
          <w:szCs w:val="24"/>
        </w:rPr>
        <w:t>.</w:t>
      </w:r>
      <w:r w:rsidR="008C6258" w:rsidRPr="00D91CEB">
        <w:rPr>
          <w:rFonts w:ascii="Times New Roman" w:hAnsi="Times New Roman" w:cs="Times New Roman"/>
          <w:sz w:val="24"/>
          <w:szCs w:val="24"/>
        </w:rPr>
        <w:t xml:space="preserve"> </w:t>
      </w:r>
      <w:r w:rsidR="008C6258" w:rsidRPr="00D91CEB">
        <w:rPr>
          <w:rFonts w:ascii="Times New Roman" w:hAnsi="Times New Roman" w:cs="Times New Roman"/>
          <w:i/>
          <w:sz w:val="24"/>
          <w:szCs w:val="24"/>
        </w:rPr>
        <w:t>Sociological Theory</w:t>
      </w:r>
      <w:r w:rsidRPr="00D91CEB">
        <w:rPr>
          <w:rFonts w:ascii="Times New Roman" w:hAnsi="Times New Roman" w:cs="Times New Roman"/>
          <w:sz w:val="24"/>
          <w:szCs w:val="24"/>
        </w:rPr>
        <w:t xml:space="preserve">, </w:t>
      </w:r>
      <w:r w:rsidRPr="005F478D">
        <w:rPr>
          <w:rFonts w:ascii="Times New Roman" w:hAnsi="Times New Roman" w:cs="Times New Roman"/>
          <w:i/>
          <w:sz w:val="24"/>
          <w:szCs w:val="24"/>
        </w:rPr>
        <w:t>7</w:t>
      </w:r>
      <w:r w:rsidRPr="00D91CEB">
        <w:rPr>
          <w:rFonts w:ascii="Times New Roman" w:hAnsi="Times New Roman" w:cs="Times New Roman"/>
          <w:sz w:val="24"/>
          <w:szCs w:val="24"/>
        </w:rPr>
        <w:t>(1),</w:t>
      </w:r>
      <w:r w:rsidR="008C6258" w:rsidRPr="00D91CEB">
        <w:rPr>
          <w:rFonts w:ascii="Times New Roman" w:hAnsi="Times New Roman" w:cs="Times New Roman"/>
          <w:sz w:val="24"/>
          <w:szCs w:val="24"/>
        </w:rPr>
        <w:t xml:space="preserve"> 14-25.</w:t>
      </w:r>
    </w:p>
    <w:p w14:paraId="28756743" w14:textId="7151B8B2" w:rsidR="00291371" w:rsidRPr="00AC0869" w:rsidRDefault="00291371" w:rsidP="001C1AAE">
      <w:pPr>
        <w:autoSpaceDE w:val="0"/>
        <w:autoSpaceDN w:val="0"/>
        <w:adjustRightInd w:val="0"/>
        <w:spacing w:after="120" w:line="360" w:lineRule="auto"/>
        <w:ind w:left="340" w:hanging="340"/>
        <w:rPr>
          <w:rFonts w:ascii="Times New Roman" w:hAnsi="Times New Roman" w:cs="Times New Roman"/>
          <w:i/>
          <w:sz w:val="24"/>
          <w:szCs w:val="24"/>
        </w:rPr>
      </w:pPr>
      <w:r>
        <w:rPr>
          <w:rFonts w:ascii="Times New Roman" w:hAnsi="Times New Roman" w:cs="Times New Roman"/>
          <w:sz w:val="24"/>
          <w:szCs w:val="24"/>
        </w:rPr>
        <w:t>Bourdieu, P. (1990)</w:t>
      </w:r>
      <w:r w:rsidR="00AC086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In Other Words: Essays Towards a Reflexive Sociology.</w:t>
      </w:r>
      <w:r w:rsidRPr="00AC0869">
        <w:rPr>
          <w:rFonts w:ascii="Times New Roman" w:hAnsi="Times New Roman" w:cs="Times New Roman"/>
          <w:sz w:val="24"/>
          <w:szCs w:val="24"/>
        </w:rPr>
        <w:t xml:space="preserve"> </w:t>
      </w:r>
      <w:r w:rsidR="00AC0869">
        <w:rPr>
          <w:rFonts w:ascii="Times New Roman" w:hAnsi="Times New Roman" w:cs="Times New Roman"/>
          <w:sz w:val="24"/>
          <w:szCs w:val="24"/>
        </w:rPr>
        <w:t>Stanford,</w:t>
      </w:r>
      <w:r w:rsidRPr="00AC0869">
        <w:rPr>
          <w:rFonts w:ascii="Times New Roman" w:hAnsi="Times New Roman" w:cs="Times New Roman"/>
          <w:sz w:val="24"/>
          <w:szCs w:val="24"/>
        </w:rPr>
        <w:t xml:space="preserve"> CA:</w:t>
      </w:r>
      <w:r w:rsidR="00AC0869">
        <w:rPr>
          <w:rFonts w:ascii="Times New Roman" w:hAnsi="Times New Roman" w:cs="Times New Roman"/>
          <w:sz w:val="24"/>
          <w:szCs w:val="24"/>
        </w:rPr>
        <w:t xml:space="preserve"> </w:t>
      </w:r>
      <w:r w:rsidRPr="00AC0869">
        <w:rPr>
          <w:rFonts w:ascii="Times New Roman" w:hAnsi="Times New Roman" w:cs="Times New Roman"/>
          <w:sz w:val="24"/>
          <w:szCs w:val="24"/>
        </w:rPr>
        <w:t>Stanford University Press</w:t>
      </w:r>
      <w:r w:rsidR="00AC0869">
        <w:rPr>
          <w:rFonts w:ascii="Times New Roman" w:hAnsi="Times New Roman" w:cs="Times New Roman"/>
          <w:sz w:val="24"/>
          <w:szCs w:val="24"/>
        </w:rPr>
        <w:t>.</w:t>
      </w:r>
    </w:p>
    <w:p w14:paraId="336DC1C7" w14:textId="6F7AA8EA" w:rsidR="00291371" w:rsidRPr="00D91CEB" w:rsidRDefault="00291371" w:rsidP="00291371">
      <w:pPr>
        <w:autoSpaceDE w:val="0"/>
        <w:autoSpaceDN w:val="0"/>
        <w:adjustRightInd w:val="0"/>
        <w:spacing w:after="120" w:line="360" w:lineRule="auto"/>
        <w:ind w:left="340" w:hanging="340"/>
        <w:rPr>
          <w:rFonts w:ascii="Times New Roman" w:hAnsi="Times New Roman" w:cs="Times New Roman"/>
          <w:i/>
          <w:sz w:val="24"/>
          <w:szCs w:val="24"/>
        </w:rPr>
      </w:pPr>
      <w:r>
        <w:rPr>
          <w:rFonts w:ascii="Times New Roman" w:hAnsi="Times New Roman" w:cs="Times New Roman"/>
          <w:sz w:val="24"/>
          <w:szCs w:val="24"/>
        </w:rPr>
        <w:t>Bourdieu, P. (2000)</w:t>
      </w:r>
      <w:r w:rsidR="00AC086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C0869">
        <w:rPr>
          <w:rFonts w:ascii="Times New Roman" w:hAnsi="Times New Roman" w:cs="Times New Roman"/>
          <w:i/>
          <w:sz w:val="24"/>
          <w:szCs w:val="24"/>
        </w:rPr>
        <w:t>Pascalian</w:t>
      </w:r>
      <w:proofErr w:type="spellEnd"/>
      <w:r w:rsidRPr="00AC0869">
        <w:rPr>
          <w:rFonts w:ascii="Times New Roman" w:hAnsi="Times New Roman" w:cs="Times New Roman"/>
          <w:i/>
          <w:sz w:val="24"/>
          <w:szCs w:val="24"/>
        </w:rPr>
        <w:t xml:space="preserve"> Meditations</w:t>
      </w:r>
      <w:r>
        <w:rPr>
          <w:rFonts w:ascii="Times New Roman" w:hAnsi="Times New Roman" w:cs="Times New Roman"/>
          <w:sz w:val="24"/>
          <w:szCs w:val="24"/>
        </w:rPr>
        <w:t>.</w:t>
      </w:r>
      <w:r w:rsidRPr="00291371">
        <w:rPr>
          <w:rFonts w:ascii="Times New Roman" w:hAnsi="Times New Roman" w:cs="Times New Roman"/>
          <w:sz w:val="24"/>
          <w:szCs w:val="24"/>
        </w:rPr>
        <w:t xml:space="preserve"> Cambridge: Polity Press</w:t>
      </w:r>
      <w:r w:rsidR="00AC0869">
        <w:rPr>
          <w:rFonts w:ascii="Times New Roman" w:hAnsi="Times New Roman" w:cs="Times New Roman"/>
          <w:sz w:val="24"/>
          <w:szCs w:val="24"/>
        </w:rPr>
        <w:t>.</w:t>
      </w:r>
    </w:p>
    <w:p w14:paraId="2E7DD240" w14:textId="37696667" w:rsidR="005753E3" w:rsidRPr="00D91CEB" w:rsidRDefault="005753E3"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Brown, R.</w:t>
      </w:r>
      <w:r w:rsidR="009B1CC0">
        <w:rPr>
          <w:rFonts w:ascii="Times New Roman" w:hAnsi="Times New Roman" w:cs="Times New Roman"/>
          <w:sz w:val="24"/>
          <w:szCs w:val="24"/>
        </w:rPr>
        <w:t>, &amp;</w:t>
      </w:r>
      <w:r w:rsidRPr="00D91CEB">
        <w:rPr>
          <w:rFonts w:ascii="Times New Roman" w:hAnsi="Times New Roman" w:cs="Times New Roman"/>
          <w:sz w:val="24"/>
          <w:szCs w:val="24"/>
        </w:rPr>
        <w:t xml:space="preserve"> </w:t>
      </w:r>
      <w:proofErr w:type="spellStart"/>
      <w:r w:rsidRPr="00D91CEB">
        <w:rPr>
          <w:rFonts w:ascii="Times New Roman" w:hAnsi="Times New Roman" w:cs="Times New Roman"/>
          <w:sz w:val="24"/>
          <w:szCs w:val="24"/>
        </w:rPr>
        <w:t>Carasso</w:t>
      </w:r>
      <w:proofErr w:type="spellEnd"/>
      <w:r w:rsidRPr="00D91CEB">
        <w:rPr>
          <w:rFonts w:ascii="Times New Roman" w:hAnsi="Times New Roman" w:cs="Times New Roman"/>
          <w:sz w:val="24"/>
          <w:szCs w:val="24"/>
        </w:rPr>
        <w:t>, H</w:t>
      </w:r>
      <w:r w:rsidR="009B1CC0">
        <w:rPr>
          <w:rFonts w:ascii="Times New Roman" w:hAnsi="Times New Roman" w:cs="Times New Roman"/>
          <w:sz w:val="24"/>
          <w:szCs w:val="24"/>
        </w:rPr>
        <w:t>.</w:t>
      </w:r>
      <w:r w:rsidRPr="00D91CEB">
        <w:rPr>
          <w:rFonts w:ascii="Times New Roman" w:hAnsi="Times New Roman" w:cs="Times New Roman"/>
          <w:sz w:val="24"/>
          <w:szCs w:val="24"/>
        </w:rPr>
        <w:t xml:space="preserve"> (2013)</w:t>
      </w:r>
      <w:r w:rsidR="009B1CC0">
        <w:rPr>
          <w:rFonts w:ascii="Times New Roman" w:hAnsi="Times New Roman" w:cs="Times New Roman"/>
          <w:sz w:val="24"/>
          <w:szCs w:val="24"/>
        </w:rPr>
        <w:t>.</w:t>
      </w:r>
      <w:r w:rsidRPr="00D91CEB">
        <w:rPr>
          <w:rFonts w:ascii="Times New Roman" w:hAnsi="Times New Roman" w:cs="Times New Roman"/>
          <w:sz w:val="24"/>
          <w:szCs w:val="24"/>
        </w:rPr>
        <w:t xml:space="preserve"> Everything for Sale? </w:t>
      </w:r>
      <w:r w:rsidRPr="005F478D">
        <w:rPr>
          <w:rFonts w:ascii="Times New Roman" w:hAnsi="Times New Roman" w:cs="Times New Roman"/>
          <w:i/>
          <w:sz w:val="24"/>
          <w:szCs w:val="24"/>
        </w:rPr>
        <w:t>The Marketisation of UK Higher</w:t>
      </w:r>
      <w:r w:rsidR="009B1CC0" w:rsidRPr="005F478D">
        <w:rPr>
          <w:rFonts w:ascii="Times New Roman" w:hAnsi="Times New Roman" w:cs="Times New Roman"/>
          <w:i/>
          <w:sz w:val="24"/>
          <w:szCs w:val="24"/>
        </w:rPr>
        <w:t xml:space="preserve"> </w:t>
      </w:r>
      <w:r w:rsidRPr="005F478D">
        <w:rPr>
          <w:rFonts w:ascii="Times New Roman" w:hAnsi="Times New Roman" w:cs="Times New Roman"/>
          <w:i/>
          <w:sz w:val="24"/>
          <w:szCs w:val="24"/>
        </w:rPr>
        <w:t>Education</w:t>
      </w:r>
      <w:r w:rsidRPr="00D91CEB">
        <w:rPr>
          <w:rFonts w:ascii="Times New Roman" w:hAnsi="Times New Roman" w:cs="Times New Roman"/>
          <w:sz w:val="24"/>
          <w:szCs w:val="24"/>
        </w:rPr>
        <w:t>. London: Routledge/SRHE.</w:t>
      </w:r>
    </w:p>
    <w:p w14:paraId="2C536624" w14:textId="4C388BDA" w:rsidR="009739B1" w:rsidRPr="00D91CEB" w:rsidRDefault="008C6258" w:rsidP="001C1AAE">
      <w:pPr>
        <w:autoSpaceDE w:val="0"/>
        <w:autoSpaceDN w:val="0"/>
        <w:adjustRightInd w:val="0"/>
        <w:spacing w:after="120" w:line="360" w:lineRule="auto"/>
        <w:ind w:left="340" w:hanging="340"/>
        <w:rPr>
          <w:rFonts w:ascii="Times New Roman" w:hAnsi="Times New Roman" w:cs="Times New Roman"/>
          <w:sz w:val="24"/>
          <w:szCs w:val="24"/>
        </w:rPr>
      </w:pPr>
      <w:r w:rsidRPr="000D6CA2">
        <w:rPr>
          <w:rFonts w:ascii="Times New Roman" w:hAnsi="Times New Roman" w:cs="Times New Roman"/>
          <w:sz w:val="24"/>
          <w:szCs w:val="24"/>
          <w:lang w:val="de-DE"/>
        </w:rPr>
        <w:lastRenderedPageBreak/>
        <w:t>Cheng</w:t>
      </w:r>
      <w:r w:rsidR="007550D9" w:rsidRPr="000D6CA2">
        <w:rPr>
          <w:rFonts w:ascii="Times New Roman" w:hAnsi="Times New Roman" w:cs="Times New Roman"/>
          <w:sz w:val="24"/>
          <w:szCs w:val="24"/>
          <w:lang w:val="de-DE"/>
        </w:rPr>
        <w:t>, J.</w:t>
      </w:r>
      <w:r w:rsidR="009B1CC0" w:rsidRPr="000D6CA2">
        <w:rPr>
          <w:rFonts w:ascii="Times New Roman" w:hAnsi="Times New Roman" w:cs="Times New Roman"/>
          <w:sz w:val="24"/>
          <w:szCs w:val="24"/>
          <w:lang w:val="de-DE"/>
        </w:rPr>
        <w:t xml:space="preserve"> </w:t>
      </w:r>
      <w:r w:rsidR="007550D9" w:rsidRPr="000D6CA2">
        <w:rPr>
          <w:rFonts w:ascii="Times New Roman" w:hAnsi="Times New Roman" w:cs="Times New Roman"/>
          <w:sz w:val="24"/>
          <w:szCs w:val="24"/>
          <w:lang w:val="de-DE"/>
        </w:rPr>
        <w:t>H.</w:t>
      </w:r>
      <w:r w:rsidR="009B1CC0" w:rsidRPr="000D6CA2">
        <w:rPr>
          <w:rFonts w:ascii="Times New Roman" w:hAnsi="Times New Roman" w:cs="Times New Roman"/>
          <w:sz w:val="24"/>
          <w:szCs w:val="24"/>
          <w:lang w:val="de-DE"/>
        </w:rPr>
        <w:t xml:space="preserve"> </w:t>
      </w:r>
      <w:r w:rsidR="007550D9" w:rsidRPr="000D6CA2">
        <w:rPr>
          <w:rFonts w:ascii="Times New Roman" w:hAnsi="Times New Roman" w:cs="Times New Roman"/>
          <w:sz w:val="24"/>
          <w:szCs w:val="24"/>
          <w:lang w:val="de-DE"/>
        </w:rPr>
        <w:t>S.</w:t>
      </w:r>
      <w:r w:rsidR="009B1CC0" w:rsidRPr="000D6CA2">
        <w:rPr>
          <w:rFonts w:ascii="Times New Roman" w:hAnsi="Times New Roman" w:cs="Times New Roman"/>
          <w:sz w:val="24"/>
          <w:szCs w:val="24"/>
          <w:lang w:val="de-DE"/>
        </w:rPr>
        <w:t>, &amp;</w:t>
      </w:r>
      <w:r w:rsidR="007550D9" w:rsidRPr="000D6CA2">
        <w:rPr>
          <w:rFonts w:ascii="Times New Roman" w:hAnsi="Times New Roman" w:cs="Times New Roman"/>
          <w:sz w:val="24"/>
          <w:szCs w:val="24"/>
          <w:lang w:val="de-DE"/>
        </w:rPr>
        <w:t xml:space="preserve"> Marsh, H.</w:t>
      </w:r>
      <w:r w:rsidR="009B1CC0" w:rsidRPr="000D6CA2">
        <w:rPr>
          <w:rFonts w:ascii="Times New Roman" w:hAnsi="Times New Roman" w:cs="Times New Roman"/>
          <w:sz w:val="24"/>
          <w:szCs w:val="24"/>
          <w:lang w:val="de-DE"/>
        </w:rPr>
        <w:t xml:space="preserve"> </w:t>
      </w:r>
      <w:r w:rsidR="007550D9" w:rsidRPr="000D6CA2">
        <w:rPr>
          <w:rFonts w:ascii="Times New Roman" w:hAnsi="Times New Roman" w:cs="Times New Roman"/>
          <w:sz w:val="24"/>
          <w:szCs w:val="24"/>
          <w:lang w:val="de-DE"/>
        </w:rPr>
        <w:t>W. (2010)</w:t>
      </w:r>
      <w:r w:rsidR="00556A36" w:rsidRPr="000D6CA2">
        <w:rPr>
          <w:rFonts w:ascii="Times New Roman" w:hAnsi="Times New Roman" w:cs="Times New Roman"/>
          <w:sz w:val="24"/>
          <w:szCs w:val="24"/>
          <w:lang w:val="de-DE"/>
        </w:rPr>
        <w:t>.</w:t>
      </w:r>
      <w:r w:rsidRPr="000D6CA2">
        <w:rPr>
          <w:rFonts w:ascii="Times New Roman" w:hAnsi="Times New Roman" w:cs="Times New Roman"/>
          <w:sz w:val="24"/>
          <w:szCs w:val="24"/>
          <w:lang w:val="de-DE"/>
        </w:rPr>
        <w:t xml:space="preserve"> </w:t>
      </w:r>
      <w:r w:rsidRPr="00D91CEB">
        <w:rPr>
          <w:rFonts w:ascii="Times New Roman" w:hAnsi="Times New Roman" w:cs="Times New Roman"/>
          <w:sz w:val="24"/>
          <w:szCs w:val="24"/>
        </w:rPr>
        <w:t>National Student Survey: are differences between universities and c</w:t>
      </w:r>
      <w:r w:rsidR="007550D9" w:rsidRPr="00D91CEB">
        <w:rPr>
          <w:rFonts w:ascii="Times New Roman" w:hAnsi="Times New Roman" w:cs="Times New Roman"/>
          <w:sz w:val="24"/>
          <w:szCs w:val="24"/>
        </w:rPr>
        <w:t xml:space="preserve">ourses reliable and </w:t>
      </w:r>
      <w:proofErr w:type="gramStart"/>
      <w:r w:rsidR="007550D9" w:rsidRPr="00D91CEB">
        <w:rPr>
          <w:rFonts w:ascii="Times New Roman" w:hAnsi="Times New Roman" w:cs="Times New Roman"/>
          <w:sz w:val="24"/>
          <w:szCs w:val="24"/>
        </w:rPr>
        <w:t>meaningful?</w:t>
      </w:r>
      <w:r w:rsidR="00556A36" w:rsidRPr="00D91CEB">
        <w:rPr>
          <w:rFonts w:ascii="Times New Roman" w:hAnsi="Times New Roman" w:cs="Times New Roman"/>
          <w:sz w:val="24"/>
          <w:szCs w:val="24"/>
        </w:rPr>
        <w:t>.</w:t>
      </w:r>
      <w:proofErr w:type="gramEnd"/>
      <w:r w:rsidR="00556A36" w:rsidRPr="00D91CEB">
        <w:rPr>
          <w:rFonts w:ascii="Times New Roman" w:hAnsi="Times New Roman" w:cs="Times New Roman"/>
          <w:sz w:val="24"/>
          <w:szCs w:val="24"/>
        </w:rPr>
        <w:t xml:space="preserve"> </w:t>
      </w:r>
      <w:r w:rsidRPr="00D91CEB">
        <w:rPr>
          <w:rFonts w:ascii="Times New Roman" w:hAnsi="Times New Roman" w:cs="Times New Roman"/>
          <w:i/>
          <w:sz w:val="24"/>
          <w:szCs w:val="24"/>
        </w:rPr>
        <w:t>Oxford Review of Education</w:t>
      </w:r>
      <w:r w:rsidR="007550D9" w:rsidRPr="00D91CEB">
        <w:rPr>
          <w:rFonts w:ascii="Times New Roman" w:hAnsi="Times New Roman" w:cs="Times New Roman"/>
          <w:sz w:val="24"/>
          <w:szCs w:val="24"/>
        </w:rPr>
        <w:t xml:space="preserve">, </w:t>
      </w:r>
      <w:r w:rsidR="007550D9" w:rsidRPr="005F478D">
        <w:rPr>
          <w:rFonts w:ascii="Times New Roman" w:hAnsi="Times New Roman" w:cs="Times New Roman"/>
          <w:i/>
          <w:sz w:val="24"/>
          <w:szCs w:val="24"/>
        </w:rPr>
        <w:t>36</w:t>
      </w:r>
      <w:r w:rsidR="007550D9" w:rsidRPr="00D91CEB">
        <w:rPr>
          <w:rFonts w:ascii="Times New Roman" w:hAnsi="Times New Roman" w:cs="Times New Roman"/>
          <w:sz w:val="24"/>
          <w:szCs w:val="24"/>
        </w:rPr>
        <w:t>(6),</w:t>
      </w:r>
      <w:r w:rsidRPr="00D91CEB">
        <w:rPr>
          <w:rFonts w:ascii="Times New Roman" w:hAnsi="Times New Roman" w:cs="Times New Roman"/>
          <w:sz w:val="24"/>
          <w:szCs w:val="24"/>
        </w:rPr>
        <w:t xml:space="preserve"> 693-712.</w:t>
      </w:r>
    </w:p>
    <w:p w14:paraId="47D7C7D2" w14:textId="23E42D70" w:rsidR="003525A6" w:rsidRPr="009B1CC0" w:rsidRDefault="003525A6" w:rsidP="001C1AAE">
      <w:pPr>
        <w:autoSpaceDE w:val="0"/>
        <w:autoSpaceDN w:val="0"/>
        <w:adjustRightInd w:val="0"/>
        <w:spacing w:after="120" w:line="360" w:lineRule="auto"/>
        <w:ind w:left="340" w:hanging="340"/>
        <w:rPr>
          <w:rFonts w:ascii="Times New Roman" w:hAnsi="Times New Roman" w:cs="Times New Roman"/>
          <w:sz w:val="24"/>
          <w:szCs w:val="24"/>
        </w:rPr>
      </w:pPr>
      <w:proofErr w:type="spellStart"/>
      <w:r w:rsidRPr="005F478D">
        <w:rPr>
          <w:rFonts w:ascii="Times New Roman" w:hAnsi="Times New Roman" w:cs="Times New Roman"/>
          <w:sz w:val="24"/>
          <w:szCs w:val="24"/>
        </w:rPr>
        <w:t>Collini</w:t>
      </w:r>
      <w:proofErr w:type="spellEnd"/>
      <w:r w:rsidR="009B1CC0">
        <w:rPr>
          <w:rFonts w:ascii="Times New Roman" w:hAnsi="Times New Roman" w:cs="Times New Roman"/>
          <w:sz w:val="24"/>
          <w:szCs w:val="24"/>
        </w:rPr>
        <w:t>,</w:t>
      </w:r>
      <w:r w:rsidRPr="005F478D">
        <w:rPr>
          <w:rFonts w:ascii="Times New Roman" w:hAnsi="Times New Roman" w:cs="Times New Roman"/>
          <w:sz w:val="24"/>
          <w:szCs w:val="24"/>
        </w:rPr>
        <w:t xml:space="preserve"> S</w:t>
      </w:r>
      <w:r w:rsidR="009B1CC0">
        <w:rPr>
          <w:rFonts w:ascii="Times New Roman" w:hAnsi="Times New Roman" w:cs="Times New Roman"/>
          <w:sz w:val="24"/>
          <w:szCs w:val="24"/>
        </w:rPr>
        <w:t>.</w:t>
      </w:r>
      <w:r w:rsidRPr="005F478D">
        <w:rPr>
          <w:rFonts w:ascii="Times New Roman" w:hAnsi="Times New Roman" w:cs="Times New Roman"/>
          <w:sz w:val="24"/>
          <w:szCs w:val="24"/>
        </w:rPr>
        <w:t xml:space="preserve"> (2012)</w:t>
      </w:r>
      <w:r w:rsidR="009B1CC0">
        <w:rPr>
          <w:rFonts w:ascii="Times New Roman" w:hAnsi="Times New Roman" w:cs="Times New Roman"/>
          <w:sz w:val="24"/>
          <w:szCs w:val="24"/>
        </w:rPr>
        <w:t>.</w:t>
      </w:r>
      <w:r w:rsidRPr="005F478D">
        <w:rPr>
          <w:rFonts w:ascii="Times New Roman" w:hAnsi="Times New Roman" w:cs="Times New Roman"/>
          <w:sz w:val="24"/>
          <w:szCs w:val="24"/>
        </w:rPr>
        <w:t xml:space="preserve"> </w:t>
      </w:r>
      <w:r w:rsidRPr="006B220E">
        <w:rPr>
          <w:rFonts w:ascii="Times New Roman" w:hAnsi="Times New Roman" w:cs="Times New Roman"/>
          <w:i/>
          <w:sz w:val="24"/>
          <w:szCs w:val="24"/>
        </w:rPr>
        <w:t xml:space="preserve">What are Universities </w:t>
      </w:r>
      <w:proofErr w:type="gramStart"/>
      <w:r w:rsidRPr="006B220E">
        <w:rPr>
          <w:rFonts w:ascii="Times New Roman" w:hAnsi="Times New Roman" w:cs="Times New Roman"/>
          <w:i/>
          <w:sz w:val="24"/>
          <w:szCs w:val="24"/>
        </w:rPr>
        <w:t>for?</w:t>
      </w:r>
      <w:r w:rsidR="006B220E">
        <w:rPr>
          <w:rFonts w:ascii="Times New Roman" w:hAnsi="Times New Roman" w:cs="Times New Roman"/>
          <w:sz w:val="24"/>
          <w:szCs w:val="24"/>
        </w:rPr>
        <w:t>.</w:t>
      </w:r>
      <w:proofErr w:type="gramEnd"/>
      <w:r w:rsidRPr="005F478D">
        <w:rPr>
          <w:rFonts w:ascii="Times New Roman" w:hAnsi="Times New Roman" w:cs="Times New Roman"/>
          <w:sz w:val="24"/>
          <w:szCs w:val="24"/>
        </w:rPr>
        <w:t xml:space="preserve"> London: Penguin</w:t>
      </w:r>
      <w:r w:rsidR="009B1CC0">
        <w:rPr>
          <w:rFonts w:ascii="Times New Roman" w:hAnsi="Times New Roman" w:cs="Times New Roman"/>
          <w:sz w:val="24"/>
          <w:szCs w:val="24"/>
        </w:rPr>
        <w:t>.</w:t>
      </w:r>
    </w:p>
    <w:p w14:paraId="2922F95B" w14:textId="64C272F5" w:rsidR="00DD13FC" w:rsidRPr="00D91CEB" w:rsidRDefault="00DD13FC"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Connell, R. (2013)</w:t>
      </w:r>
      <w:r w:rsidR="00556A36" w:rsidRPr="00D91CEB">
        <w:rPr>
          <w:rFonts w:ascii="Times New Roman" w:hAnsi="Times New Roman" w:cs="Times New Roman"/>
          <w:sz w:val="24"/>
          <w:szCs w:val="24"/>
        </w:rPr>
        <w:t>.</w:t>
      </w:r>
      <w:r w:rsidR="006074BB" w:rsidRPr="00D91CEB">
        <w:rPr>
          <w:rFonts w:ascii="Times New Roman" w:hAnsi="Times New Roman" w:cs="Times New Roman"/>
          <w:sz w:val="24"/>
          <w:szCs w:val="24"/>
        </w:rPr>
        <w:t xml:space="preserve"> The neoliberal cascade and education: an essay on the market agenda and its consequences</w:t>
      </w:r>
      <w:r w:rsidR="00556A36" w:rsidRPr="00D91CEB">
        <w:rPr>
          <w:rFonts w:ascii="Times New Roman" w:hAnsi="Times New Roman" w:cs="Times New Roman"/>
          <w:i/>
          <w:sz w:val="24"/>
          <w:szCs w:val="24"/>
        </w:rPr>
        <w:t>.</w:t>
      </w:r>
      <w:r w:rsidR="006074BB" w:rsidRPr="00D91CEB">
        <w:rPr>
          <w:rFonts w:ascii="Times New Roman" w:hAnsi="Times New Roman" w:cs="Times New Roman"/>
          <w:i/>
          <w:sz w:val="24"/>
          <w:szCs w:val="24"/>
        </w:rPr>
        <w:t xml:space="preserve"> Critical Studies in Education, 54</w:t>
      </w:r>
      <w:r w:rsidR="006074BB" w:rsidRPr="005F478D">
        <w:rPr>
          <w:rFonts w:ascii="Times New Roman" w:hAnsi="Times New Roman" w:cs="Times New Roman"/>
          <w:sz w:val="24"/>
          <w:szCs w:val="24"/>
        </w:rPr>
        <w:t>(2)</w:t>
      </w:r>
      <w:r w:rsidR="000E1A95" w:rsidRPr="00D91CEB">
        <w:rPr>
          <w:rFonts w:ascii="Times New Roman" w:hAnsi="Times New Roman" w:cs="Times New Roman"/>
          <w:sz w:val="24"/>
          <w:szCs w:val="24"/>
        </w:rPr>
        <w:t>,</w:t>
      </w:r>
      <w:r w:rsidR="006074BB" w:rsidRPr="00D91CEB">
        <w:rPr>
          <w:rFonts w:ascii="Times New Roman" w:hAnsi="Times New Roman" w:cs="Times New Roman"/>
          <w:sz w:val="24"/>
          <w:szCs w:val="24"/>
        </w:rPr>
        <w:t xml:space="preserve"> 99-112.</w:t>
      </w:r>
    </w:p>
    <w:p w14:paraId="2E7B62FB" w14:textId="77777777" w:rsidR="000439B7" w:rsidRDefault="007550D9"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Conway, S. (1997)</w:t>
      </w:r>
      <w:r w:rsidR="00556A36" w:rsidRPr="00D91CEB">
        <w:rPr>
          <w:rFonts w:ascii="Times New Roman" w:hAnsi="Times New Roman" w:cs="Times New Roman"/>
          <w:sz w:val="24"/>
          <w:szCs w:val="24"/>
        </w:rPr>
        <w:t>.</w:t>
      </w:r>
      <w:r w:rsidRPr="00D91CEB">
        <w:rPr>
          <w:rFonts w:ascii="Times New Roman" w:hAnsi="Times New Roman" w:cs="Times New Roman"/>
          <w:sz w:val="24"/>
          <w:szCs w:val="24"/>
        </w:rPr>
        <w:t xml:space="preserve"> </w:t>
      </w:r>
      <w:r w:rsidR="008C6258" w:rsidRPr="00D91CEB">
        <w:rPr>
          <w:rFonts w:ascii="Times New Roman" w:hAnsi="Times New Roman" w:cs="Times New Roman"/>
          <w:sz w:val="24"/>
          <w:szCs w:val="24"/>
        </w:rPr>
        <w:t>The reproduction of exclusion and disadvantage: symbolic violence and class inequalities in “parental choice” of second</w:t>
      </w:r>
      <w:r w:rsidRPr="00D91CEB">
        <w:rPr>
          <w:rFonts w:ascii="Times New Roman" w:hAnsi="Times New Roman" w:cs="Times New Roman"/>
          <w:sz w:val="24"/>
          <w:szCs w:val="24"/>
        </w:rPr>
        <w:t>ary schools</w:t>
      </w:r>
      <w:r w:rsidR="00556A36" w:rsidRPr="00D91CEB">
        <w:rPr>
          <w:rFonts w:ascii="Times New Roman" w:hAnsi="Times New Roman" w:cs="Times New Roman"/>
          <w:sz w:val="24"/>
          <w:szCs w:val="24"/>
        </w:rPr>
        <w:t>.</w:t>
      </w:r>
      <w:r w:rsidR="008C6258" w:rsidRPr="00D91CEB">
        <w:rPr>
          <w:rFonts w:ascii="Times New Roman" w:hAnsi="Times New Roman" w:cs="Times New Roman"/>
          <w:sz w:val="24"/>
          <w:szCs w:val="24"/>
        </w:rPr>
        <w:t xml:space="preserve"> </w:t>
      </w:r>
      <w:r w:rsidR="008C6258" w:rsidRPr="00D91CEB">
        <w:rPr>
          <w:rFonts w:ascii="Times New Roman" w:hAnsi="Times New Roman" w:cs="Times New Roman"/>
          <w:i/>
          <w:sz w:val="24"/>
          <w:szCs w:val="24"/>
        </w:rPr>
        <w:t>Sociological Research Online</w:t>
      </w:r>
      <w:r w:rsidR="008C6258" w:rsidRPr="00D91CEB">
        <w:rPr>
          <w:rFonts w:ascii="Times New Roman" w:hAnsi="Times New Roman" w:cs="Times New Roman"/>
          <w:sz w:val="24"/>
          <w:szCs w:val="24"/>
        </w:rPr>
        <w:t xml:space="preserve">, </w:t>
      </w:r>
      <w:r w:rsidR="008C6258" w:rsidRPr="00932A60">
        <w:rPr>
          <w:rFonts w:ascii="Times New Roman" w:hAnsi="Times New Roman" w:cs="Times New Roman"/>
          <w:i/>
          <w:sz w:val="24"/>
          <w:szCs w:val="24"/>
        </w:rPr>
        <w:t>2</w:t>
      </w:r>
      <w:r w:rsidR="008C6258" w:rsidRPr="00D91CEB">
        <w:rPr>
          <w:rFonts w:ascii="Times New Roman" w:hAnsi="Times New Roman" w:cs="Times New Roman"/>
          <w:sz w:val="24"/>
          <w:szCs w:val="24"/>
        </w:rPr>
        <w:t>(4)</w:t>
      </w:r>
      <w:r w:rsidR="009B1CC0" w:rsidRPr="00932A60">
        <w:rPr>
          <w:rFonts w:ascii="Times New Roman" w:hAnsi="Times New Roman" w:cs="Times New Roman"/>
          <w:sz w:val="24"/>
          <w:szCs w:val="24"/>
        </w:rPr>
        <w:t>,</w:t>
      </w:r>
      <w:r w:rsidR="009B1CC0">
        <w:rPr>
          <w:rFonts w:ascii="Times New Roman" w:hAnsi="Times New Roman" w:cs="Times New Roman"/>
          <w:sz w:val="24"/>
          <w:szCs w:val="24"/>
        </w:rPr>
        <w:t xml:space="preserve"> </w:t>
      </w:r>
      <w:r w:rsidR="00AD46F3">
        <w:rPr>
          <w:rFonts w:ascii="Times New Roman" w:hAnsi="Times New Roman" w:cs="Times New Roman"/>
          <w:sz w:val="24"/>
          <w:szCs w:val="24"/>
        </w:rPr>
        <w:t>1-14</w:t>
      </w:r>
      <w:r w:rsidR="008C6258" w:rsidRPr="00D91CEB">
        <w:rPr>
          <w:rFonts w:ascii="Times New Roman" w:hAnsi="Times New Roman" w:cs="Times New Roman"/>
          <w:sz w:val="24"/>
          <w:szCs w:val="24"/>
        </w:rPr>
        <w:t>.</w:t>
      </w:r>
    </w:p>
    <w:p w14:paraId="45C090FC" w14:textId="4A7E691A" w:rsidR="00C052A4" w:rsidRDefault="00C052A4" w:rsidP="001C1AAE">
      <w:pPr>
        <w:autoSpaceDE w:val="0"/>
        <w:autoSpaceDN w:val="0"/>
        <w:adjustRightInd w:val="0"/>
        <w:spacing w:after="120" w:line="360" w:lineRule="auto"/>
        <w:ind w:left="340" w:hanging="340"/>
        <w:rPr>
          <w:rFonts w:ascii="Times New Roman" w:hAnsi="Times New Roman" w:cs="Times New Roman"/>
          <w:sz w:val="24"/>
          <w:szCs w:val="24"/>
        </w:rPr>
      </w:pPr>
      <w:r>
        <w:rPr>
          <w:rFonts w:ascii="Times New Roman" w:hAnsi="Times New Roman" w:cs="Times New Roman"/>
          <w:sz w:val="24"/>
          <w:szCs w:val="24"/>
        </w:rPr>
        <w:t>Committee of Vice Chancellors and Principals (CVCP) (1985)</w:t>
      </w:r>
      <w:r w:rsidR="006B220E">
        <w:rPr>
          <w:rFonts w:ascii="Times New Roman" w:hAnsi="Times New Roman" w:cs="Times New Roman"/>
          <w:sz w:val="24"/>
          <w:szCs w:val="24"/>
        </w:rPr>
        <w:t>.</w:t>
      </w:r>
      <w:r>
        <w:rPr>
          <w:rFonts w:ascii="Times New Roman" w:hAnsi="Times New Roman" w:cs="Times New Roman"/>
          <w:sz w:val="24"/>
          <w:szCs w:val="24"/>
        </w:rPr>
        <w:t xml:space="preserve"> </w:t>
      </w:r>
      <w:r w:rsidRPr="006B220E">
        <w:rPr>
          <w:rFonts w:ascii="Times New Roman" w:hAnsi="Times New Roman" w:cs="Times New Roman"/>
          <w:i/>
          <w:sz w:val="24"/>
          <w:szCs w:val="24"/>
        </w:rPr>
        <w:t>Report of the Steering Group of University Efficiency</w:t>
      </w:r>
      <w:r>
        <w:rPr>
          <w:rFonts w:ascii="Times New Roman" w:hAnsi="Times New Roman" w:cs="Times New Roman"/>
          <w:sz w:val="24"/>
          <w:szCs w:val="24"/>
        </w:rPr>
        <w:t xml:space="preserve"> (The Jarratt Report)</w:t>
      </w:r>
      <w:r w:rsidR="006B220E">
        <w:rPr>
          <w:rFonts w:ascii="Times New Roman" w:hAnsi="Times New Roman" w:cs="Times New Roman"/>
          <w:sz w:val="24"/>
          <w:szCs w:val="24"/>
        </w:rPr>
        <w:t>.</w:t>
      </w:r>
      <w:r>
        <w:rPr>
          <w:rFonts w:ascii="Times New Roman" w:hAnsi="Times New Roman" w:cs="Times New Roman"/>
          <w:sz w:val="24"/>
          <w:szCs w:val="24"/>
        </w:rPr>
        <w:t xml:space="preserve"> London</w:t>
      </w:r>
      <w:r w:rsidR="006B220E">
        <w:rPr>
          <w:rFonts w:ascii="Times New Roman" w:hAnsi="Times New Roman" w:cs="Times New Roman"/>
          <w:sz w:val="24"/>
          <w:szCs w:val="24"/>
        </w:rPr>
        <w:t>:</w:t>
      </w:r>
      <w:r>
        <w:rPr>
          <w:rFonts w:ascii="Times New Roman" w:hAnsi="Times New Roman" w:cs="Times New Roman"/>
          <w:sz w:val="24"/>
          <w:szCs w:val="24"/>
        </w:rPr>
        <w:t xml:space="preserve"> CVCP.</w:t>
      </w:r>
    </w:p>
    <w:p w14:paraId="675E3F08" w14:textId="77777777" w:rsidR="00C052A4" w:rsidRPr="00C052A4" w:rsidRDefault="00C052A4" w:rsidP="00C052A4">
      <w:pPr>
        <w:shd w:val="clear" w:color="auto" w:fill="FFFFFF"/>
        <w:spacing w:after="0" w:line="0" w:lineRule="auto"/>
        <w:rPr>
          <w:rFonts w:ascii="ff3" w:eastAsia="Times New Roman" w:hAnsi="ff3" w:cs="Times New Roman"/>
          <w:color w:val="000000"/>
          <w:sz w:val="96"/>
          <w:szCs w:val="96"/>
          <w:lang w:eastAsia="en-GB"/>
        </w:rPr>
      </w:pPr>
      <w:r w:rsidRPr="00C052A4">
        <w:rPr>
          <w:rFonts w:ascii="ff3" w:eastAsia="Times New Roman" w:hAnsi="ff3" w:cs="Times New Roman"/>
          <w:color w:val="000000"/>
          <w:sz w:val="96"/>
          <w:szCs w:val="96"/>
          <w:lang w:eastAsia="en-GB"/>
        </w:rPr>
        <w:t>Jarratt Report) Committee of Vice–Chancellors and Principals (CVCP) (1985</w:t>
      </w:r>
      <w:r w:rsidRPr="00C052A4">
        <w:rPr>
          <w:rFonts w:ascii="ff2" w:eastAsia="Times New Roman" w:hAnsi="ff2" w:cs="Times New Roman"/>
          <w:color w:val="000000"/>
          <w:sz w:val="96"/>
          <w:szCs w:val="96"/>
          <w:lang w:eastAsia="en-GB"/>
        </w:rPr>
        <w:t>) Report of</w:t>
      </w:r>
    </w:p>
    <w:p w14:paraId="25A51057" w14:textId="77777777" w:rsidR="00C052A4" w:rsidRPr="00C052A4" w:rsidRDefault="00C052A4" w:rsidP="00C052A4">
      <w:pPr>
        <w:shd w:val="clear" w:color="auto" w:fill="FFFFFF"/>
        <w:spacing w:after="0" w:line="0" w:lineRule="auto"/>
        <w:rPr>
          <w:rFonts w:ascii="ff2" w:eastAsia="Times New Roman" w:hAnsi="ff2" w:cs="Times New Roman"/>
          <w:color w:val="000000"/>
          <w:sz w:val="96"/>
          <w:szCs w:val="96"/>
          <w:lang w:eastAsia="en-GB"/>
        </w:rPr>
      </w:pPr>
      <w:r w:rsidRPr="00C052A4">
        <w:rPr>
          <w:rFonts w:ascii="ff2" w:eastAsia="Times New Roman" w:hAnsi="ff2" w:cs="Times New Roman"/>
          <w:color w:val="000000"/>
          <w:sz w:val="96"/>
          <w:szCs w:val="96"/>
          <w:lang w:eastAsia="en-GB"/>
        </w:rPr>
        <w:t>the Steering Group in University Efficiency</w:t>
      </w:r>
      <w:r w:rsidRPr="00C052A4">
        <w:rPr>
          <w:rFonts w:ascii="ff3" w:eastAsia="Times New Roman" w:hAnsi="ff3" w:cs="Times New Roman"/>
          <w:color w:val="000000"/>
          <w:sz w:val="96"/>
          <w:szCs w:val="96"/>
          <w:lang w:eastAsia="en-GB"/>
        </w:rPr>
        <w:t>. London: CVCP</w:t>
      </w:r>
    </w:p>
    <w:p w14:paraId="2C52991F" w14:textId="77777777" w:rsidR="00C052A4" w:rsidRPr="00C052A4" w:rsidRDefault="00C052A4" w:rsidP="00C052A4">
      <w:pPr>
        <w:shd w:val="clear" w:color="auto" w:fill="FFFFFF"/>
        <w:spacing w:after="0" w:line="0" w:lineRule="auto"/>
        <w:rPr>
          <w:rFonts w:ascii="ff3" w:eastAsia="Times New Roman" w:hAnsi="ff3" w:cs="Times New Roman"/>
          <w:color w:val="000000"/>
          <w:sz w:val="96"/>
          <w:szCs w:val="96"/>
          <w:lang w:eastAsia="en-GB"/>
        </w:rPr>
      </w:pPr>
      <w:r w:rsidRPr="00C052A4">
        <w:rPr>
          <w:rFonts w:ascii="ff3" w:eastAsia="Times New Roman" w:hAnsi="ff3" w:cs="Times New Roman"/>
          <w:color w:val="000000"/>
          <w:sz w:val="96"/>
          <w:szCs w:val="96"/>
          <w:lang w:eastAsia="en-GB"/>
        </w:rPr>
        <w:t>Jarratt Report) Committee of Vice–Chancellors and Principals (CVCP) (1985</w:t>
      </w:r>
      <w:r w:rsidRPr="00C052A4">
        <w:rPr>
          <w:rFonts w:ascii="ff2" w:eastAsia="Times New Roman" w:hAnsi="ff2" w:cs="Times New Roman"/>
          <w:color w:val="000000"/>
          <w:sz w:val="96"/>
          <w:szCs w:val="96"/>
          <w:lang w:eastAsia="en-GB"/>
        </w:rPr>
        <w:t>) Report of</w:t>
      </w:r>
    </w:p>
    <w:p w14:paraId="77C91466" w14:textId="77777777" w:rsidR="00C052A4" w:rsidRPr="00C052A4" w:rsidRDefault="00C052A4" w:rsidP="00C052A4">
      <w:pPr>
        <w:shd w:val="clear" w:color="auto" w:fill="FFFFFF"/>
        <w:spacing w:after="0" w:line="0" w:lineRule="auto"/>
        <w:rPr>
          <w:rFonts w:ascii="ff2" w:eastAsia="Times New Roman" w:hAnsi="ff2" w:cs="Times New Roman"/>
          <w:color w:val="000000"/>
          <w:sz w:val="96"/>
          <w:szCs w:val="96"/>
          <w:lang w:eastAsia="en-GB"/>
        </w:rPr>
      </w:pPr>
      <w:r w:rsidRPr="00C052A4">
        <w:rPr>
          <w:rFonts w:ascii="ff2" w:eastAsia="Times New Roman" w:hAnsi="ff2" w:cs="Times New Roman"/>
          <w:color w:val="000000"/>
          <w:sz w:val="96"/>
          <w:szCs w:val="96"/>
          <w:lang w:eastAsia="en-GB"/>
        </w:rPr>
        <w:t>the Steering Group in University Efficiency</w:t>
      </w:r>
      <w:r w:rsidRPr="00C052A4">
        <w:rPr>
          <w:rFonts w:ascii="ff3" w:eastAsia="Times New Roman" w:hAnsi="ff3" w:cs="Times New Roman"/>
          <w:color w:val="000000"/>
          <w:sz w:val="96"/>
          <w:szCs w:val="96"/>
          <w:lang w:eastAsia="en-GB"/>
        </w:rPr>
        <w:t>. London: CVCP</w:t>
      </w:r>
    </w:p>
    <w:p w14:paraId="0E412D64" w14:textId="77777777" w:rsidR="00C052A4" w:rsidRPr="00C052A4" w:rsidRDefault="00C052A4" w:rsidP="00C052A4">
      <w:pPr>
        <w:shd w:val="clear" w:color="auto" w:fill="FFFFFF"/>
        <w:spacing w:after="0" w:line="0" w:lineRule="auto"/>
        <w:rPr>
          <w:rFonts w:ascii="ff3" w:eastAsia="Times New Roman" w:hAnsi="ff3" w:cs="Times New Roman"/>
          <w:color w:val="000000"/>
          <w:sz w:val="96"/>
          <w:szCs w:val="96"/>
          <w:lang w:eastAsia="en-GB"/>
        </w:rPr>
      </w:pPr>
      <w:r w:rsidRPr="00C052A4">
        <w:rPr>
          <w:rFonts w:ascii="ff3" w:eastAsia="Times New Roman" w:hAnsi="ff3" w:cs="Times New Roman"/>
          <w:color w:val="000000"/>
          <w:sz w:val="96"/>
          <w:szCs w:val="96"/>
          <w:lang w:eastAsia="en-GB"/>
        </w:rPr>
        <w:t>Jarratt Report) Committee of Vice–Chancellors and Principals (CVCP) (1985</w:t>
      </w:r>
      <w:r w:rsidRPr="00C052A4">
        <w:rPr>
          <w:rFonts w:ascii="ff2" w:eastAsia="Times New Roman" w:hAnsi="ff2" w:cs="Times New Roman"/>
          <w:color w:val="000000"/>
          <w:sz w:val="96"/>
          <w:szCs w:val="96"/>
          <w:lang w:eastAsia="en-GB"/>
        </w:rPr>
        <w:t>) Report of</w:t>
      </w:r>
    </w:p>
    <w:p w14:paraId="42660B16" w14:textId="6A6F63AF" w:rsidR="005D15EE" w:rsidRPr="009B1CC0" w:rsidRDefault="005D15EE" w:rsidP="001C1AAE">
      <w:pPr>
        <w:autoSpaceDE w:val="0"/>
        <w:autoSpaceDN w:val="0"/>
        <w:adjustRightInd w:val="0"/>
        <w:spacing w:after="120" w:line="360" w:lineRule="auto"/>
        <w:ind w:left="340" w:hanging="340"/>
        <w:rPr>
          <w:rFonts w:ascii="Times New Roman" w:hAnsi="Times New Roman" w:cs="Times New Roman"/>
          <w:sz w:val="24"/>
          <w:szCs w:val="24"/>
        </w:rPr>
      </w:pPr>
      <w:r w:rsidRPr="00F23ECE">
        <w:rPr>
          <w:rFonts w:ascii="Times New Roman" w:hAnsi="Times New Roman" w:cs="Times New Roman"/>
          <w:sz w:val="24"/>
          <w:szCs w:val="24"/>
        </w:rPr>
        <w:t>David</w:t>
      </w:r>
      <w:r w:rsidR="009B1CC0" w:rsidRPr="00F23ECE">
        <w:rPr>
          <w:rFonts w:ascii="Times New Roman" w:hAnsi="Times New Roman" w:cs="Times New Roman"/>
          <w:sz w:val="24"/>
          <w:szCs w:val="24"/>
        </w:rPr>
        <w:t>,</w:t>
      </w:r>
      <w:r w:rsidRPr="00F23ECE">
        <w:rPr>
          <w:rFonts w:ascii="Times New Roman" w:hAnsi="Times New Roman" w:cs="Times New Roman"/>
          <w:sz w:val="24"/>
          <w:szCs w:val="24"/>
        </w:rPr>
        <w:t xml:space="preserve"> M</w:t>
      </w:r>
      <w:r w:rsidR="009B1CC0" w:rsidRPr="00F23ECE">
        <w:rPr>
          <w:rFonts w:ascii="Times New Roman" w:hAnsi="Times New Roman" w:cs="Times New Roman"/>
          <w:sz w:val="24"/>
          <w:szCs w:val="24"/>
        </w:rPr>
        <w:t>.</w:t>
      </w:r>
      <w:r w:rsidRPr="00F23ECE">
        <w:rPr>
          <w:rFonts w:ascii="Times New Roman" w:hAnsi="Times New Roman" w:cs="Times New Roman"/>
          <w:sz w:val="24"/>
          <w:szCs w:val="24"/>
        </w:rPr>
        <w:t xml:space="preserve"> (2016)</w:t>
      </w:r>
      <w:r w:rsidR="009B1CC0" w:rsidRPr="00F23ECE">
        <w:rPr>
          <w:rFonts w:ascii="Times New Roman" w:hAnsi="Times New Roman" w:cs="Times New Roman"/>
          <w:sz w:val="24"/>
          <w:szCs w:val="24"/>
        </w:rPr>
        <w:t>.</w:t>
      </w:r>
      <w:r w:rsidRPr="00F23ECE">
        <w:rPr>
          <w:rFonts w:ascii="Times New Roman" w:hAnsi="Times New Roman" w:cs="Times New Roman"/>
          <w:sz w:val="24"/>
          <w:szCs w:val="24"/>
        </w:rPr>
        <w:t xml:space="preserve"> Fabricated world class: global university league tables, status differentiation and myths of global competition. </w:t>
      </w:r>
      <w:r w:rsidRPr="00F23ECE">
        <w:rPr>
          <w:rFonts w:ascii="Times New Roman" w:hAnsi="Times New Roman" w:cs="Times New Roman"/>
          <w:i/>
          <w:sz w:val="24"/>
          <w:szCs w:val="24"/>
        </w:rPr>
        <w:t>British Journal of Sociology of Education</w:t>
      </w:r>
      <w:r w:rsidR="009B1CC0" w:rsidRPr="00F23ECE">
        <w:rPr>
          <w:rFonts w:ascii="Times New Roman" w:hAnsi="Times New Roman" w:cs="Times New Roman"/>
          <w:i/>
          <w:sz w:val="24"/>
          <w:szCs w:val="24"/>
        </w:rPr>
        <w:t>,</w:t>
      </w:r>
      <w:r w:rsidRPr="00F23ECE">
        <w:rPr>
          <w:rFonts w:ascii="Times New Roman" w:hAnsi="Times New Roman" w:cs="Times New Roman"/>
          <w:sz w:val="24"/>
          <w:szCs w:val="24"/>
        </w:rPr>
        <w:t xml:space="preserve"> </w:t>
      </w:r>
      <w:r w:rsidRPr="00F23ECE">
        <w:rPr>
          <w:rFonts w:ascii="Times New Roman" w:hAnsi="Times New Roman" w:cs="Times New Roman"/>
          <w:i/>
          <w:sz w:val="24"/>
          <w:szCs w:val="24"/>
        </w:rPr>
        <w:t>37</w:t>
      </w:r>
      <w:r w:rsidRPr="00F23ECE">
        <w:rPr>
          <w:rFonts w:ascii="Times New Roman" w:hAnsi="Times New Roman" w:cs="Times New Roman"/>
          <w:sz w:val="24"/>
          <w:szCs w:val="24"/>
        </w:rPr>
        <w:t>(1)</w:t>
      </w:r>
      <w:r w:rsidR="009B1CC0" w:rsidRPr="00F23ECE">
        <w:rPr>
          <w:rFonts w:ascii="Times New Roman" w:hAnsi="Times New Roman" w:cs="Times New Roman"/>
          <w:sz w:val="24"/>
          <w:szCs w:val="24"/>
        </w:rPr>
        <w:t xml:space="preserve">, </w:t>
      </w:r>
      <w:r w:rsidRPr="00F23ECE">
        <w:rPr>
          <w:rFonts w:ascii="Times New Roman" w:hAnsi="Times New Roman" w:cs="Times New Roman"/>
          <w:sz w:val="24"/>
          <w:szCs w:val="24"/>
        </w:rPr>
        <w:t>169-189</w:t>
      </w:r>
    </w:p>
    <w:p w14:paraId="297F867B" w14:textId="77777777" w:rsidR="00220C24" w:rsidRDefault="00220C24" w:rsidP="00220C24">
      <w:pPr>
        <w:autoSpaceDE w:val="0"/>
        <w:autoSpaceDN w:val="0"/>
        <w:adjustRightInd w:val="0"/>
        <w:spacing w:after="120" w:line="360" w:lineRule="auto"/>
        <w:ind w:left="340" w:hanging="340"/>
        <w:rPr>
          <w:rFonts w:ascii="Times New Roman" w:hAnsi="Times New Roman" w:cs="Times New Roman"/>
          <w:sz w:val="24"/>
          <w:szCs w:val="24"/>
        </w:rPr>
      </w:pPr>
      <w:r w:rsidRPr="00713876">
        <w:rPr>
          <w:rFonts w:ascii="Times New Roman" w:hAnsi="Times New Roman" w:cs="Times New Roman"/>
          <w:sz w:val="24"/>
          <w:szCs w:val="24"/>
        </w:rPr>
        <w:t>Department for Business, Innovation and Skills</w:t>
      </w:r>
      <w:r>
        <w:rPr>
          <w:rFonts w:ascii="Times New Roman" w:hAnsi="Times New Roman" w:cs="Times New Roman"/>
          <w:sz w:val="24"/>
          <w:szCs w:val="24"/>
        </w:rPr>
        <w:t xml:space="preserve"> </w:t>
      </w:r>
      <w:r w:rsidRPr="00713876">
        <w:rPr>
          <w:rFonts w:ascii="Times New Roman" w:hAnsi="Times New Roman" w:cs="Times New Roman"/>
          <w:sz w:val="24"/>
          <w:szCs w:val="24"/>
        </w:rPr>
        <w:t>(2011)</w:t>
      </w:r>
      <w:r>
        <w:rPr>
          <w:rFonts w:ascii="Times New Roman" w:hAnsi="Times New Roman" w:cs="Times New Roman"/>
          <w:sz w:val="24"/>
          <w:szCs w:val="24"/>
        </w:rPr>
        <w:t>.</w:t>
      </w:r>
      <w:r w:rsidRPr="00713876">
        <w:rPr>
          <w:rFonts w:ascii="Times New Roman" w:hAnsi="Times New Roman" w:cs="Times New Roman"/>
          <w:sz w:val="24"/>
          <w:szCs w:val="24"/>
        </w:rPr>
        <w:t xml:space="preserve"> </w:t>
      </w:r>
      <w:r w:rsidRPr="00791F01">
        <w:rPr>
          <w:rFonts w:ascii="Times New Roman" w:hAnsi="Times New Roman" w:cs="Times New Roman"/>
          <w:i/>
          <w:iCs/>
          <w:sz w:val="24"/>
          <w:szCs w:val="24"/>
        </w:rPr>
        <w:t>Higher Education Students at the Heart of the System</w:t>
      </w:r>
      <w:r w:rsidRPr="00713876">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713876">
        <w:rPr>
          <w:rFonts w:ascii="Times New Roman" w:hAnsi="Times New Roman" w:cs="Times New Roman"/>
          <w:sz w:val="24"/>
          <w:szCs w:val="24"/>
        </w:rPr>
        <w:t>HMSO</w:t>
      </w:r>
      <w:r>
        <w:rPr>
          <w:rFonts w:ascii="Times New Roman" w:hAnsi="Times New Roman" w:cs="Times New Roman"/>
          <w:sz w:val="24"/>
          <w:szCs w:val="24"/>
        </w:rPr>
        <w:t>.</w:t>
      </w:r>
    </w:p>
    <w:p w14:paraId="1C56E272" w14:textId="77777777" w:rsidR="00220C24" w:rsidRPr="00D91CEB" w:rsidRDefault="00220C24" w:rsidP="00220C24">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 xml:space="preserve">Department for Business, Innovation and Skills (2015). </w:t>
      </w:r>
      <w:r w:rsidRPr="00D91CEB">
        <w:rPr>
          <w:rFonts w:ascii="Times New Roman" w:hAnsi="Times New Roman" w:cs="Times New Roman"/>
          <w:i/>
          <w:iCs/>
          <w:sz w:val="24"/>
          <w:szCs w:val="24"/>
        </w:rPr>
        <w:t xml:space="preserve">Fulfilling our Potential: Teaching Excellence, Social Mobility and Student Choice. </w:t>
      </w:r>
      <w:r w:rsidRPr="00D91CEB">
        <w:rPr>
          <w:rFonts w:ascii="Times New Roman" w:hAnsi="Times New Roman" w:cs="Times New Roman"/>
          <w:sz w:val="24"/>
          <w:szCs w:val="24"/>
        </w:rPr>
        <w:t xml:space="preserve">London: BIS. </w:t>
      </w:r>
    </w:p>
    <w:p w14:paraId="4C39E703" w14:textId="77777777" w:rsidR="00220C24" w:rsidRPr="00D91CEB" w:rsidRDefault="00220C24" w:rsidP="00220C24">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 xml:space="preserve">Department for Business, Innovation and Skills (2016a). </w:t>
      </w:r>
      <w:r w:rsidRPr="00D91CEB">
        <w:rPr>
          <w:rFonts w:ascii="Times New Roman" w:hAnsi="Times New Roman" w:cs="Times New Roman"/>
          <w:i/>
          <w:iCs/>
          <w:sz w:val="24"/>
          <w:szCs w:val="24"/>
        </w:rPr>
        <w:t xml:space="preserve">Success as a Knowledge Economy: Teaching Excellence, Social Mobility and Student Choice. </w:t>
      </w:r>
      <w:r w:rsidRPr="00D91CEB">
        <w:rPr>
          <w:rFonts w:ascii="Times New Roman" w:hAnsi="Times New Roman" w:cs="Times New Roman"/>
          <w:sz w:val="24"/>
          <w:szCs w:val="24"/>
        </w:rPr>
        <w:t xml:space="preserve">London: BIS. </w:t>
      </w:r>
    </w:p>
    <w:p w14:paraId="64602F63" w14:textId="77777777" w:rsidR="00220C24" w:rsidRPr="00D91CEB" w:rsidRDefault="00220C24" w:rsidP="00220C24">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 xml:space="preserve">Department for Business, Innovation and Skills (2016b). </w:t>
      </w:r>
      <w:r w:rsidRPr="00D91CEB">
        <w:rPr>
          <w:rFonts w:ascii="Times New Roman" w:hAnsi="Times New Roman" w:cs="Times New Roman"/>
          <w:i/>
          <w:sz w:val="24"/>
          <w:szCs w:val="24"/>
        </w:rPr>
        <w:t>SUMMARY OF CONSULTATION RESPONSES: Fulfilling our Potential: Teaching Excellence, Social Mobility and Student Choice</w:t>
      </w:r>
      <w:r>
        <w:rPr>
          <w:rFonts w:ascii="Times New Roman" w:hAnsi="Times New Roman" w:cs="Times New Roman"/>
          <w:i/>
          <w:sz w:val="24"/>
          <w:szCs w:val="24"/>
        </w:rPr>
        <w:t>.</w:t>
      </w:r>
      <w:r w:rsidRPr="00D91CEB">
        <w:rPr>
          <w:rFonts w:ascii="Times New Roman" w:hAnsi="Times New Roman" w:cs="Times New Roman"/>
          <w:sz w:val="24"/>
          <w:szCs w:val="24"/>
        </w:rPr>
        <w:t xml:space="preserve"> London</w:t>
      </w:r>
      <w:r>
        <w:rPr>
          <w:rFonts w:ascii="Times New Roman" w:hAnsi="Times New Roman" w:cs="Times New Roman"/>
          <w:sz w:val="24"/>
          <w:szCs w:val="24"/>
        </w:rPr>
        <w:t>:</w:t>
      </w:r>
      <w:r w:rsidRPr="00D91CEB">
        <w:rPr>
          <w:rFonts w:ascii="Times New Roman" w:hAnsi="Times New Roman" w:cs="Times New Roman"/>
          <w:sz w:val="24"/>
          <w:szCs w:val="24"/>
        </w:rPr>
        <w:t xml:space="preserve"> BIS.</w:t>
      </w:r>
    </w:p>
    <w:p w14:paraId="23797ACB" w14:textId="628EBEAC" w:rsidR="00D74319" w:rsidRPr="00D91CEB" w:rsidRDefault="00D74319"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heme="majorBidi" w:hAnsiTheme="majorBidi" w:cstheme="majorBidi"/>
          <w:sz w:val="24"/>
          <w:szCs w:val="24"/>
        </w:rPr>
        <w:t>Department for Education and S</w:t>
      </w:r>
      <w:r w:rsidR="00A1607E" w:rsidRPr="00D91CEB">
        <w:rPr>
          <w:rFonts w:asciiTheme="majorBidi" w:hAnsiTheme="majorBidi" w:cstheme="majorBidi"/>
          <w:sz w:val="24"/>
          <w:szCs w:val="24"/>
        </w:rPr>
        <w:t>cience (1997)</w:t>
      </w:r>
      <w:r w:rsidR="00556A36" w:rsidRPr="00D91CEB">
        <w:rPr>
          <w:rFonts w:asciiTheme="majorBidi" w:hAnsiTheme="majorBidi" w:cstheme="majorBidi"/>
          <w:sz w:val="24"/>
          <w:szCs w:val="24"/>
        </w:rPr>
        <w:t>.</w:t>
      </w:r>
      <w:r w:rsidR="00A1607E" w:rsidRPr="00D91CEB">
        <w:rPr>
          <w:rFonts w:asciiTheme="majorBidi" w:eastAsia="Times New Roman" w:hAnsiTheme="majorBidi" w:cstheme="majorBidi"/>
          <w:i/>
          <w:sz w:val="24"/>
          <w:szCs w:val="24"/>
        </w:rPr>
        <w:t xml:space="preserve"> Report for the National Committee of Inquiry into Higher Education: Higher Education in the Learning Society</w:t>
      </w:r>
      <w:r w:rsidR="00556A36" w:rsidRPr="00D91CEB">
        <w:rPr>
          <w:rFonts w:asciiTheme="majorBidi" w:eastAsia="Times New Roman" w:hAnsiTheme="majorBidi" w:cstheme="majorBidi"/>
          <w:i/>
          <w:sz w:val="24"/>
          <w:szCs w:val="24"/>
        </w:rPr>
        <w:t>.</w:t>
      </w:r>
      <w:r w:rsidR="007550D9" w:rsidRPr="00D91CEB">
        <w:rPr>
          <w:rFonts w:asciiTheme="majorBidi" w:eastAsia="Times New Roman" w:hAnsiTheme="majorBidi" w:cstheme="majorBidi"/>
          <w:sz w:val="24"/>
          <w:szCs w:val="24"/>
        </w:rPr>
        <w:t xml:space="preserve"> </w:t>
      </w:r>
      <w:r w:rsidR="00A1607E" w:rsidRPr="00D91CEB">
        <w:rPr>
          <w:rFonts w:asciiTheme="majorBidi" w:eastAsia="Times New Roman" w:hAnsiTheme="majorBidi" w:cstheme="majorBidi"/>
          <w:sz w:val="24"/>
          <w:szCs w:val="24"/>
        </w:rPr>
        <w:t>London</w:t>
      </w:r>
      <w:r w:rsidR="00556A36" w:rsidRPr="00D91CEB">
        <w:rPr>
          <w:rFonts w:asciiTheme="majorBidi" w:eastAsia="Times New Roman" w:hAnsiTheme="majorBidi" w:cstheme="majorBidi"/>
          <w:sz w:val="24"/>
          <w:szCs w:val="24"/>
        </w:rPr>
        <w:t>:</w:t>
      </w:r>
      <w:r w:rsidR="007550D9" w:rsidRPr="00D91CEB">
        <w:rPr>
          <w:rFonts w:asciiTheme="majorBidi" w:eastAsia="Times New Roman" w:hAnsiTheme="majorBidi" w:cstheme="majorBidi"/>
          <w:sz w:val="24"/>
          <w:szCs w:val="24"/>
        </w:rPr>
        <w:t xml:space="preserve"> DfES</w:t>
      </w:r>
      <w:r w:rsidR="00556A36" w:rsidRPr="00D91CEB">
        <w:rPr>
          <w:rFonts w:asciiTheme="majorBidi" w:eastAsia="Times New Roman" w:hAnsiTheme="majorBidi" w:cstheme="majorBidi"/>
          <w:sz w:val="24"/>
          <w:szCs w:val="24"/>
        </w:rPr>
        <w:t>.</w:t>
      </w:r>
    </w:p>
    <w:p w14:paraId="37674CB6" w14:textId="129A89B9" w:rsidR="0058182C" w:rsidRDefault="0058182C" w:rsidP="001C1AAE">
      <w:pPr>
        <w:autoSpaceDE w:val="0"/>
        <w:autoSpaceDN w:val="0"/>
        <w:adjustRightInd w:val="0"/>
        <w:spacing w:after="120" w:line="360" w:lineRule="auto"/>
        <w:ind w:left="340" w:hanging="340"/>
        <w:rPr>
          <w:rFonts w:ascii="Times New Roman" w:hAnsi="Times New Roman" w:cs="Times New Roman"/>
          <w:sz w:val="24"/>
          <w:szCs w:val="24"/>
        </w:rPr>
      </w:pPr>
      <w:r>
        <w:rPr>
          <w:rFonts w:ascii="Times New Roman" w:hAnsi="Times New Roman" w:cs="Times New Roman"/>
          <w:sz w:val="24"/>
          <w:szCs w:val="24"/>
        </w:rPr>
        <w:t>Department for Education and Skills (2003)</w:t>
      </w:r>
      <w:r w:rsidR="006B220E">
        <w:rPr>
          <w:rFonts w:ascii="Times New Roman" w:hAnsi="Times New Roman" w:cs="Times New Roman"/>
          <w:sz w:val="24"/>
          <w:szCs w:val="24"/>
        </w:rPr>
        <w:t>.</w:t>
      </w:r>
      <w:r>
        <w:rPr>
          <w:rFonts w:ascii="Times New Roman" w:hAnsi="Times New Roman" w:cs="Times New Roman"/>
          <w:sz w:val="24"/>
          <w:szCs w:val="24"/>
        </w:rPr>
        <w:t xml:space="preserve"> </w:t>
      </w:r>
      <w:r w:rsidRPr="006B220E">
        <w:rPr>
          <w:rFonts w:ascii="Times New Roman" w:hAnsi="Times New Roman" w:cs="Times New Roman"/>
          <w:i/>
          <w:sz w:val="24"/>
          <w:szCs w:val="24"/>
        </w:rPr>
        <w:t>The Future of Higher Education</w:t>
      </w:r>
      <w:r>
        <w:rPr>
          <w:rFonts w:ascii="Times New Roman" w:hAnsi="Times New Roman" w:cs="Times New Roman"/>
          <w:sz w:val="24"/>
          <w:szCs w:val="24"/>
        </w:rPr>
        <w:t>. London: DfES</w:t>
      </w:r>
      <w:r w:rsidR="006B220E">
        <w:rPr>
          <w:rFonts w:ascii="Times New Roman" w:hAnsi="Times New Roman" w:cs="Times New Roman"/>
          <w:sz w:val="24"/>
          <w:szCs w:val="24"/>
        </w:rPr>
        <w:t>.</w:t>
      </w:r>
    </w:p>
    <w:p w14:paraId="2F14313B" w14:textId="5727BC8B" w:rsidR="00220C24" w:rsidRDefault="00220C24" w:rsidP="00220C24">
      <w:pPr>
        <w:autoSpaceDE w:val="0"/>
        <w:autoSpaceDN w:val="0"/>
        <w:adjustRightInd w:val="0"/>
        <w:spacing w:after="120" w:line="360" w:lineRule="auto"/>
        <w:ind w:left="340" w:hanging="340"/>
        <w:rPr>
          <w:rFonts w:ascii="Times New Roman" w:hAnsi="Times New Roman" w:cs="Times New Roman"/>
          <w:sz w:val="24"/>
          <w:szCs w:val="24"/>
        </w:rPr>
      </w:pPr>
      <w:r>
        <w:rPr>
          <w:rFonts w:ascii="Times New Roman" w:hAnsi="Times New Roman" w:cs="Times New Roman"/>
          <w:sz w:val="24"/>
          <w:szCs w:val="24"/>
        </w:rPr>
        <w:t xml:space="preserve">Department for Education (2017). </w:t>
      </w:r>
      <w:r>
        <w:rPr>
          <w:rFonts w:ascii="Times New Roman" w:hAnsi="Times New Roman" w:cs="Times New Roman"/>
          <w:i/>
          <w:iCs/>
          <w:sz w:val="24"/>
          <w:szCs w:val="24"/>
        </w:rPr>
        <w:t>Teaching Excellence and Student Outcomes Framework: lessons learned from Year Two.</w:t>
      </w:r>
      <w:r>
        <w:rPr>
          <w:rFonts w:ascii="Times New Roman" w:hAnsi="Times New Roman" w:cs="Times New Roman"/>
          <w:sz w:val="24"/>
          <w:szCs w:val="24"/>
        </w:rPr>
        <w:t xml:space="preserve"> London: DfE.</w:t>
      </w:r>
    </w:p>
    <w:p w14:paraId="7E5DA064" w14:textId="12AC43CD" w:rsidR="000C0E4A" w:rsidRPr="009B1CC0" w:rsidRDefault="000C0E4A" w:rsidP="001C1AAE">
      <w:pPr>
        <w:autoSpaceDE w:val="0"/>
        <w:autoSpaceDN w:val="0"/>
        <w:adjustRightInd w:val="0"/>
        <w:spacing w:after="120" w:line="360" w:lineRule="auto"/>
        <w:ind w:left="340" w:hanging="340"/>
        <w:rPr>
          <w:rFonts w:ascii="Times New Roman" w:hAnsi="Times New Roman" w:cs="Times New Roman"/>
          <w:sz w:val="24"/>
          <w:szCs w:val="24"/>
        </w:rPr>
      </w:pPr>
      <w:r w:rsidRPr="00F23ECE">
        <w:rPr>
          <w:rFonts w:ascii="Times New Roman" w:hAnsi="Times New Roman" w:cs="Times New Roman"/>
          <w:sz w:val="24"/>
          <w:szCs w:val="24"/>
        </w:rPr>
        <w:lastRenderedPageBreak/>
        <w:t>Enders</w:t>
      </w:r>
      <w:r w:rsidR="009B1CC0">
        <w:rPr>
          <w:rFonts w:ascii="Times New Roman" w:hAnsi="Times New Roman" w:cs="Times New Roman"/>
          <w:sz w:val="24"/>
          <w:szCs w:val="24"/>
        </w:rPr>
        <w:t>,</w:t>
      </w:r>
      <w:r w:rsidRPr="00F23ECE">
        <w:rPr>
          <w:rFonts w:ascii="Times New Roman" w:hAnsi="Times New Roman" w:cs="Times New Roman"/>
          <w:sz w:val="24"/>
          <w:szCs w:val="24"/>
        </w:rPr>
        <w:t xml:space="preserve"> J</w:t>
      </w:r>
      <w:r w:rsidR="009B1CC0">
        <w:rPr>
          <w:rFonts w:ascii="Times New Roman" w:hAnsi="Times New Roman" w:cs="Times New Roman"/>
          <w:sz w:val="24"/>
          <w:szCs w:val="24"/>
        </w:rPr>
        <w:t>.</w:t>
      </w:r>
      <w:r w:rsidRPr="00F23ECE">
        <w:rPr>
          <w:rFonts w:ascii="Times New Roman" w:hAnsi="Times New Roman" w:cs="Times New Roman"/>
          <w:sz w:val="24"/>
          <w:szCs w:val="24"/>
        </w:rPr>
        <w:t xml:space="preserve"> (2015)</w:t>
      </w:r>
      <w:r w:rsidR="001E30E7">
        <w:rPr>
          <w:rFonts w:ascii="Times New Roman" w:hAnsi="Times New Roman" w:cs="Times New Roman"/>
          <w:sz w:val="24"/>
          <w:szCs w:val="24"/>
        </w:rPr>
        <w:t>.</w:t>
      </w:r>
      <w:r w:rsidRPr="00F23ECE">
        <w:rPr>
          <w:rFonts w:ascii="Times New Roman" w:hAnsi="Times New Roman" w:cs="Times New Roman"/>
          <w:sz w:val="24"/>
          <w:szCs w:val="24"/>
        </w:rPr>
        <w:t xml:space="preserve"> The academic arms race: international rankings and global competition for world-class universities. In: </w:t>
      </w:r>
      <w:r w:rsidR="009B1CC0">
        <w:rPr>
          <w:rFonts w:ascii="Times New Roman" w:hAnsi="Times New Roman" w:cs="Times New Roman"/>
          <w:sz w:val="24"/>
          <w:szCs w:val="24"/>
        </w:rPr>
        <w:t xml:space="preserve">A. W. </w:t>
      </w:r>
      <w:r w:rsidRPr="00F23ECE">
        <w:rPr>
          <w:rFonts w:ascii="Times New Roman" w:hAnsi="Times New Roman" w:cs="Times New Roman"/>
          <w:sz w:val="24"/>
          <w:szCs w:val="24"/>
        </w:rPr>
        <w:t xml:space="preserve">Pettigrew, </w:t>
      </w:r>
      <w:r w:rsidR="009B1CC0">
        <w:rPr>
          <w:rFonts w:ascii="Times New Roman" w:hAnsi="Times New Roman" w:cs="Times New Roman"/>
          <w:sz w:val="24"/>
          <w:szCs w:val="24"/>
        </w:rPr>
        <w:t xml:space="preserve">E. </w:t>
      </w:r>
      <w:proofErr w:type="spellStart"/>
      <w:r w:rsidRPr="00F23ECE">
        <w:rPr>
          <w:rFonts w:ascii="Times New Roman" w:hAnsi="Times New Roman" w:cs="Times New Roman"/>
          <w:sz w:val="24"/>
          <w:szCs w:val="24"/>
        </w:rPr>
        <w:t>Cornuel</w:t>
      </w:r>
      <w:proofErr w:type="spellEnd"/>
      <w:r w:rsidRPr="00F23ECE">
        <w:rPr>
          <w:rFonts w:ascii="Times New Roman" w:hAnsi="Times New Roman" w:cs="Times New Roman"/>
          <w:sz w:val="24"/>
          <w:szCs w:val="24"/>
        </w:rPr>
        <w:t xml:space="preserve"> </w:t>
      </w:r>
      <w:r w:rsidR="009B1CC0">
        <w:rPr>
          <w:rFonts w:ascii="Times New Roman" w:hAnsi="Times New Roman" w:cs="Times New Roman"/>
          <w:sz w:val="24"/>
          <w:szCs w:val="24"/>
        </w:rPr>
        <w:t>&amp; U.</w:t>
      </w:r>
      <w:r w:rsidRPr="00F23ECE">
        <w:rPr>
          <w:rFonts w:ascii="Times New Roman" w:hAnsi="Times New Roman" w:cs="Times New Roman"/>
          <w:sz w:val="24"/>
          <w:szCs w:val="24"/>
        </w:rPr>
        <w:t xml:space="preserve"> </w:t>
      </w:r>
      <w:proofErr w:type="spellStart"/>
      <w:r w:rsidRPr="00F23ECE">
        <w:rPr>
          <w:rFonts w:ascii="Times New Roman" w:hAnsi="Times New Roman" w:cs="Times New Roman"/>
          <w:sz w:val="24"/>
          <w:szCs w:val="24"/>
        </w:rPr>
        <w:t>Hommel</w:t>
      </w:r>
      <w:proofErr w:type="spellEnd"/>
      <w:r w:rsidRPr="00F23ECE">
        <w:rPr>
          <w:rFonts w:ascii="Times New Roman" w:hAnsi="Times New Roman" w:cs="Times New Roman"/>
          <w:sz w:val="24"/>
          <w:szCs w:val="24"/>
        </w:rPr>
        <w:t xml:space="preserve"> (</w:t>
      </w:r>
      <w:r w:rsidR="009B1CC0">
        <w:rPr>
          <w:rFonts w:ascii="Times New Roman" w:hAnsi="Times New Roman" w:cs="Times New Roman"/>
          <w:sz w:val="24"/>
          <w:szCs w:val="24"/>
        </w:rPr>
        <w:t>E</w:t>
      </w:r>
      <w:r w:rsidRPr="00F23ECE">
        <w:rPr>
          <w:rFonts w:ascii="Times New Roman" w:hAnsi="Times New Roman" w:cs="Times New Roman"/>
          <w:sz w:val="24"/>
          <w:szCs w:val="24"/>
        </w:rPr>
        <w:t>ds</w:t>
      </w:r>
      <w:r w:rsidR="009B1CC0">
        <w:rPr>
          <w:rFonts w:ascii="Times New Roman" w:hAnsi="Times New Roman" w:cs="Times New Roman"/>
          <w:sz w:val="24"/>
          <w:szCs w:val="24"/>
        </w:rPr>
        <w:t>.</w:t>
      </w:r>
      <w:r w:rsidRPr="00F23ECE">
        <w:rPr>
          <w:rFonts w:ascii="Times New Roman" w:hAnsi="Times New Roman" w:cs="Times New Roman"/>
          <w:sz w:val="24"/>
          <w:szCs w:val="24"/>
        </w:rPr>
        <w:t>)</w:t>
      </w:r>
      <w:r w:rsidR="009B1CC0">
        <w:rPr>
          <w:rFonts w:ascii="Times New Roman" w:hAnsi="Times New Roman" w:cs="Times New Roman"/>
          <w:sz w:val="24"/>
          <w:szCs w:val="24"/>
        </w:rPr>
        <w:t xml:space="preserve">, </w:t>
      </w:r>
      <w:r w:rsidRPr="00F23ECE">
        <w:rPr>
          <w:rFonts w:ascii="Times New Roman" w:hAnsi="Times New Roman" w:cs="Times New Roman"/>
          <w:i/>
          <w:sz w:val="24"/>
          <w:szCs w:val="24"/>
        </w:rPr>
        <w:t>The Institutional Development of Business Schools</w:t>
      </w:r>
      <w:r w:rsidR="009B1CC0">
        <w:rPr>
          <w:rFonts w:ascii="Times New Roman" w:hAnsi="Times New Roman" w:cs="Times New Roman"/>
          <w:sz w:val="24"/>
          <w:szCs w:val="24"/>
        </w:rPr>
        <w:t xml:space="preserve"> (pp. 155-175)</w:t>
      </w:r>
      <w:r w:rsidRPr="00F23ECE">
        <w:rPr>
          <w:rFonts w:ascii="Times New Roman" w:hAnsi="Times New Roman" w:cs="Times New Roman"/>
          <w:sz w:val="24"/>
          <w:szCs w:val="24"/>
        </w:rPr>
        <w:t>. Oxford: Oxford University Press</w:t>
      </w:r>
      <w:r w:rsidR="009B1CC0">
        <w:rPr>
          <w:rFonts w:ascii="Times New Roman" w:hAnsi="Times New Roman" w:cs="Times New Roman"/>
          <w:sz w:val="24"/>
          <w:szCs w:val="24"/>
        </w:rPr>
        <w:t>.</w:t>
      </w:r>
    </w:p>
    <w:p w14:paraId="317F11CD" w14:textId="2F1F448E" w:rsidR="008C6258" w:rsidRPr="00D91CEB" w:rsidRDefault="008C6258" w:rsidP="001C1AAE">
      <w:pPr>
        <w:autoSpaceDE w:val="0"/>
        <w:autoSpaceDN w:val="0"/>
        <w:adjustRightInd w:val="0"/>
        <w:spacing w:after="120" w:line="360" w:lineRule="auto"/>
        <w:ind w:left="340" w:hanging="340"/>
        <w:rPr>
          <w:rFonts w:ascii="Times New Roman" w:hAnsi="Times New Roman" w:cs="Times New Roman"/>
          <w:sz w:val="24"/>
          <w:szCs w:val="24"/>
        </w:rPr>
      </w:pPr>
      <w:proofErr w:type="spellStart"/>
      <w:r w:rsidRPr="00D91CEB">
        <w:rPr>
          <w:rFonts w:ascii="Times New Roman" w:hAnsi="Times New Roman" w:cs="Times New Roman"/>
          <w:color w:val="222222"/>
          <w:sz w:val="24"/>
          <w:szCs w:val="24"/>
          <w:shd w:val="clear" w:color="auto" w:fill="FFFFFF"/>
        </w:rPr>
        <w:t>Entman</w:t>
      </w:r>
      <w:proofErr w:type="spellEnd"/>
      <w:r w:rsidRPr="00D91CEB">
        <w:rPr>
          <w:rFonts w:ascii="Times New Roman" w:hAnsi="Times New Roman" w:cs="Times New Roman"/>
          <w:color w:val="222222"/>
          <w:sz w:val="24"/>
          <w:szCs w:val="24"/>
          <w:shd w:val="clear" w:color="auto" w:fill="FFFFFF"/>
        </w:rPr>
        <w:t>, R.</w:t>
      </w:r>
      <w:r w:rsidR="009B1CC0">
        <w:rPr>
          <w:rFonts w:ascii="Times New Roman" w:hAnsi="Times New Roman" w:cs="Times New Roman"/>
          <w:color w:val="222222"/>
          <w:sz w:val="24"/>
          <w:szCs w:val="24"/>
          <w:shd w:val="clear" w:color="auto" w:fill="FFFFFF"/>
        </w:rPr>
        <w:t xml:space="preserve"> </w:t>
      </w:r>
      <w:r w:rsidRPr="00D91CEB">
        <w:rPr>
          <w:rFonts w:ascii="Times New Roman" w:hAnsi="Times New Roman" w:cs="Times New Roman"/>
          <w:color w:val="222222"/>
          <w:sz w:val="24"/>
          <w:szCs w:val="24"/>
          <w:shd w:val="clear" w:color="auto" w:fill="FFFFFF"/>
        </w:rPr>
        <w:t>M. (</w:t>
      </w:r>
      <w:r w:rsidR="007550D9" w:rsidRPr="00D91CEB">
        <w:rPr>
          <w:rFonts w:ascii="Times New Roman" w:hAnsi="Times New Roman" w:cs="Times New Roman"/>
          <w:color w:val="222222"/>
          <w:sz w:val="24"/>
          <w:szCs w:val="24"/>
          <w:shd w:val="clear" w:color="auto" w:fill="FFFFFF"/>
        </w:rPr>
        <w:t>1993)</w:t>
      </w:r>
      <w:r w:rsidR="00556A36" w:rsidRPr="00D91CEB">
        <w:rPr>
          <w:rFonts w:ascii="Times New Roman" w:hAnsi="Times New Roman" w:cs="Times New Roman"/>
          <w:color w:val="222222"/>
          <w:sz w:val="24"/>
          <w:szCs w:val="24"/>
          <w:shd w:val="clear" w:color="auto" w:fill="FFFFFF"/>
        </w:rPr>
        <w:t>.</w:t>
      </w:r>
      <w:r w:rsidRPr="00D91CEB">
        <w:rPr>
          <w:rFonts w:ascii="Times New Roman" w:hAnsi="Times New Roman" w:cs="Times New Roman"/>
          <w:color w:val="222222"/>
          <w:sz w:val="24"/>
          <w:szCs w:val="24"/>
          <w:shd w:val="clear" w:color="auto" w:fill="FFFFFF"/>
        </w:rPr>
        <w:t xml:space="preserve"> Framing: Toward clarif</w:t>
      </w:r>
      <w:r w:rsidR="007550D9" w:rsidRPr="00D91CEB">
        <w:rPr>
          <w:rFonts w:ascii="Times New Roman" w:hAnsi="Times New Roman" w:cs="Times New Roman"/>
          <w:color w:val="222222"/>
          <w:sz w:val="24"/>
          <w:szCs w:val="24"/>
          <w:shd w:val="clear" w:color="auto" w:fill="FFFFFF"/>
        </w:rPr>
        <w:t>ication of a fractured paradigm</w:t>
      </w:r>
      <w:r w:rsidR="00556A36" w:rsidRPr="00D91CEB">
        <w:rPr>
          <w:rFonts w:ascii="Times New Roman" w:hAnsi="Times New Roman" w:cs="Times New Roman"/>
          <w:color w:val="222222"/>
          <w:sz w:val="24"/>
          <w:szCs w:val="24"/>
          <w:shd w:val="clear" w:color="auto" w:fill="FFFFFF"/>
        </w:rPr>
        <w:t>.</w:t>
      </w:r>
      <w:r w:rsidR="009B1CC0">
        <w:rPr>
          <w:rFonts w:ascii="Times New Roman" w:hAnsi="Times New Roman" w:cs="Times New Roman"/>
          <w:color w:val="222222"/>
          <w:sz w:val="24"/>
          <w:szCs w:val="24"/>
          <w:shd w:val="clear" w:color="auto" w:fill="FFFFFF"/>
        </w:rPr>
        <w:t xml:space="preserve"> </w:t>
      </w:r>
      <w:r w:rsidRPr="00D91CEB">
        <w:rPr>
          <w:rFonts w:ascii="Times New Roman" w:hAnsi="Times New Roman" w:cs="Times New Roman"/>
          <w:i/>
          <w:iCs/>
          <w:color w:val="222222"/>
          <w:sz w:val="24"/>
          <w:szCs w:val="24"/>
          <w:shd w:val="clear" w:color="auto" w:fill="FFFFFF"/>
        </w:rPr>
        <w:t>Journal of communication</w:t>
      </w:r>
      <w:r w:rsidRPr="00D91CEB">
        <w:rPr>
          <w:rFonts w:ascii="Times New Roman" w:hAnsi="Times New Roman" w:cs="Times New Roman"/>
          <w:color w:val="222222"/>
          <w:sz w:val="24"/>
          <w:szCs w:val="24"/>
          <w:shd w:val="clear" w:color="auto" w:fill="FFFFFF"/>
        </w:rPr>
        <w:t xml:space="preserve">, </w:t>
      </w:r>
      <w:r w:rsidRPr="00F23ECE">
        <w:rPr>
          <w:rFonts w:ascii="Times New Roman" w:hAnsi="Times New Roman" w:cs="Times New Roman"/>
          <w:i/>
          <w:iCs/>
          <w:color w:val="222222"/>
          <w:sz w:val="24"/>
          <w:szCs w:val="24"/>
          <w:shd w:val="clear" w:color="auto" w:fill="FFFFFF"/>
        </w:rPr>
        <w:t>43</w:t>
      </w:r>
      <w:r w:rsidR="007550D9" w:rsidRPr="00D91CEB">
        <w:rPr>
          <w:rFonts w:ascii="Times New Roman" w:hAnsi="Times New Roman" w:cs="Times New Roman"/>
          <w:color w:val="222222"/>
          <w:sz w:val="24"/>
          <w:szCs w:val="24"/>
          <w:shd w:val="clear" w:color="auto" w:fill="FFFFFF"/>
        </w:rPr>
        <w:t>(4),</w:t>
      </w:r>
      <w:r w:rsidRPr="00D91CEB">
        <w:rPr>
          <w:rFonts w:ascii="Times New Roman" w:hAnsi="Times New Roman" w:cs="Times New Roman"/>
          <w:color w:val="222222"/>
          <w:sz w:val="24"/>
          <w:szCs w:val="24"/>
          <w:shd w:val="clear" w:color="auto" w:fill="FFFFFF"/>
        </w:rPr>
        <w:t xml:space="preserve"> 51-58.</w:t>
      </w:r>
    </w:p>
    <w:p w14:paraId="72DAA708" w14:textId="5082F74A" w:rsidR="008C6258" w:rsidRPr="00D91CEB" w:rsidRDefault="008C6258" w:rsidP="001C1AAE">
      <w:pPr>
        <w:autoSpaceDE w:val="0"/>
        <w:autoSpaceDN w:val="0"/>
        <w:adjustRightInd w:val="0"/>
        <w:spacing w:after="120" w:line="360" w:lineRule="auto"/>
        <w:ind w:left="340" w:hanging="340"/>
        <w:rPr>
          <w:rStyle w:val="nlmstring-name"/>
          <w:rFonts w:ascii="Times New Roman" w:hAnsi="Times New Roman" w:cs="Times New Roman"/>
          <w:sz w:val="24"/>
          <w:szCs w:val="24"/>
          <w:shd w:val="clear" w:color="auto" w:fill="FFFFFF"/>
        </w:rPr>
      </w:pPr>
      <w:proofErr w:type="spellStart"/>
      <w:r w:rsidRPr="00D91CEB">
        <w:rPr>
          <w:rFonts w:ascii="Times New Roman" w:hAnsi="Times New Roman" w:cs="Times New Roman"/>
          <w:sz w:val="24"/>
          <w:szCs w:val="24"/>
        </w:rPr>
        <w:t>Es</w:t>
      </w:r>
      <w:r w:rsidR="007550D9" w:rsidRPr="00D91CEB">
        <w:rPr>
          <w:rFonts w:ascii="Times New Roman" w:hAnsi="Times New Roman" w:cs="Times New Roman"/>
          <w:sz w:val="24"/>
          <w:szCs w:val="24"/>
        </w:rPr>
        <w:t>peland</w:t>
      </w:r>
      <w:proofErr w:type="spellEnd"/>
      <w:r w:rsidR="007550D9" w:rsidRPr="00D91CEB">
        <w:rPr>
          <w:rFonts w:ascii="Times New Roman" w:hAnsi="Times New Roman" w:cs="Times New Roman"/>
          <w:sz w:val="24"/>
          <w:szCs w:val="24"/>
        </w:rPr>
        <w:t>, W.</w:t>
      </w:r>
      <w:r w:rsidR="009B1CC0">
        <w:rPr>
          <w:rFonts w:ascii="Times New Roman" w:hAnsi="Times New Roman" w:cs="Times New Roman"/>
          <w:sz w:val="24"/>
          <w:szCs w:val="24"/>
        </w:rPr>
        <w:t xml:space="preserve"> </w:t>
      </w:r>
      <w:r w:rsidR="007550D9" w:rsidRPr="00D91CEB">
        <w:rPr>
          <w:rFonts w:ascii="Times New Roman" w:hAnsi="Times New Roman" w:cs="Times New Roman"/>
          <w:sz w:val="24"/>
          <w:szCs w:val="24"/>
        </w:rPr>
        <w:t xml:space="preserve">N., </w:t>
      </w:r>
      <w:r w:rsidR="009B1CC0">
        <w:rPr>
          <w:rFonts w:ascii="Times New Roman" w:hAnsi="Times New Roman" w:cs="Times New Roman"/>
          <w:sz w:val="24"/>
          <w:szCs w:val="24"/>
        </w:rPr>
        <w:t xml:space="preserve">&amp; </w:t>
      </w:r>
      <w:r w:rsidR="007550D9" w:rsidRPr="00D91CEB">
        <w:rPr>
          <w:rFonts w:ascii="Times New Roman" w:hAnsi="Times New Roman" w:cs="Times New Roman"/>
          <w:sz w:val="24"/>
          <w:szCs w:val="24"/>
        </w:rPr>
        <w:t>Sauder, M. (2012)</w:t>
      </w:r>
      <w:r w:rsidR="00556A36" w:rsidRPr="00D91CEB">
        <w:rPr>
          <w:rFonts w:ascii="Times New Roman" w:hAnsi="Times New Roman" w:cs="Times New Roman"/>
          <w:sz w:val="24"/>
          <w:szCs w:val="24"/>
        </w:rPr>
        <w:t>.</w:t>
      </w:r>
      <w:r w:rsidRPr="00D91CEB">
        <w:rPr>
          <w:rFonts w:ascii="Times New Roman" w:hAnsi="Times New Roman" w:cs="Times New Roman"/>
          <w:sz w:val="24"/>
          <w:szCs w:val="24"/>
        </w:rPr>
        <w:t xml:space="preserve"> The Dynamism of Indicators</w:t>
      </w:r>
      <w:r w:rsidR="009B1CC0">
        <w:rPr>
          <w:rFonts w:ascii="Times New Roman" w:hAnsi="Times New Roman" w:cs="Times New Roman"/>
          <w:sz w:val="24"/>
          <w:szCs w:val="24"/>
        </w:rPr>
        <w:t>. I</w:t>
      </w:r>
      <w:r w:rsidRPr="00D91CEB">
        <w:rPr>
          <w:rFonts w:ascii="Times New Roman" w:hAnsi="Times New Roman" w:cs="Times New Roman"/>
          <w:sz w:val="24"/>
          <w:szCs w:val="24"/>
        </w:rPr>
        <w:t xml:space="preserve">n K.E. Davis, A. Fisher, </w:t>
      </w:r>
      <w:r w:rsidR="007550D9" w:rsidRPr="00D91CEB">
        <w:rPr>
          <w:rFonts w:ascii="Times New Roman" w:hAnsi="Times New Roman" w:cs="Times New Roman"/>
          <w:sz w:val="24"/>
          <w:szCs w:val="24"/>
        </w:rPr>
        <w:t>B. Kingsbury</w:t>
      </w:r>
      <w:r w:rsidR="009B1CC0">
        <w:rPr>
          <w:rFonts w:ascii="Times New Roman" w:hAnsi="Times New Roman" w:cs="Times New Roman"/>
          <w:sz w:val="24"/>
          <w:szCs w:val="24"/>
        </w:rPr>
        <w:t xml:space="preserve"> &amp;</w:t>
      </w:r>
      <w:r w:rsidR="007550D9" w:rsidRPr="00D91CEB">
        <w:rPr>
          <w:rFonts w:ascii="Times New Roman" w:hAnsi="Times New Roman" w:cs="Times New Roman"/>
          <w:sz w:val="24"/>
          <w:szCs w:val="24"/>
        </w:rPr>
        <w:t xml:space="preserve"> S.</w:t>
      </w:r>
      <w:r w:rsidR="009B1CC0">
        <w:rPr>
          <w:rFonts w:ascii="Times New Roman" w:hAnsi="Times New Roman" w:cs="Times New Roman"/>
          <w:sz w:val="24"/>
          <w:szCs w:val="24"/>
        </w:rPr>
        <w:t xml:space="preserve"> </w:t>
      </w:r>
      <w:r w:rsidR="007550D9" w:rsidRPr="00D91CEB">
        <w:rPr>
          <w:rFonts w:ascii="Times New Roman" w:hAnsi="Times New Roman" w:cs="Times New Roman"/>
          <w:sz w:val="24"/>
          <w:szCs w:val="24"/>
        </w:rPr>
        <w:t>E. Merry (Eds</w:t>
      </w:r>
      <w:r w:rsidR="009B1CC0">
        <w:rPr>
          <w:rFonts w:ascii="Times New Roman" w:hAnsi="Times New Roman" w:cs="Times New Roman"/>
          <w:sz w:val="24"/>
          <w:szCs w:val="24"/>
        </w:rPr>
        <w:t>.</w:t>
      </w:r>
      <w:r w:rsidR="007550D9" w:rsidRPr="00D91CEB">
        <w:rPr>
          <w:rFonts w:ascii="Times New Roman" w:hAnsi="Times New Roman" w:cs="Times New Roman"/>
          <w:sz w:val="24"/>
          <w:szCs w:val="24"/>
        </w:rPr>
        <w:t>)</w:t>
      </w:r>
      <w:r w:rsidR="009B1CC0">
        <w:rPr>
          <w:rFonts w:ascii="Times New Roman" w:hAnsi="Times New Roman" w:cs="Times New Roman"/>
          <w:sz w:val="24"/>
          <w:szCs w:val="24"/>
        </w:rPr>
        <w:t>,</w:t>
      </w:r>
      <w:r w:rsidRPr="00D91CEB">
        <w:rPr>
          <w:rFonts w:ascii="Times New Roman" w:hAnsi="Times New Roman" w:cs="Times New Roman"/>
          <w:sz w:val="24"/>
          <w:szCs w:val="24"/>
        </w:rPr>
        <w:t xml:space="preserve"> </w:t>
      </w:r>
      <w:r w:rsidRPr="00D91CEB">
        <w:rPr>
          <w:rFonts w:ascii="Times New Roman" w:hAnsi="Times New Roman" w:cs="Times New Roman"/>
          <w:i/>
          <w:sz w:val="24"/>
          <w:szCs w:val="24"/>
        </w:rPr>
        <w:t>Governance by Indicators. Global Power through Quantification and Rankings</w:t>
      </w:r>
      <w:r w:rsidR="007550D9" w:rsidRPr="00D91CEB">
        <w:rPr>
          <w:rFonts w:ascii="Times New Roman" w:hAnsi="Times New Roman" w:cs="Times New Roman"/>
          <w:sz w:val="24"/>
          <w:szCs w:val="24"/>
        </w:rPr>
        <w:t xml:space="preserve"> (</w:t>
      </w:r>
      <w:r w:rsidR="009B1CC0">
        <w:rPr>
          <w:rFonts w:ascii="Times New Roman" w:hAnsi="Times New Roman" w:cs="Times New Roman"/>
          <w:sz w:val="24"/>
          <w:szCs w:val="24"/>
        </w:rPr>
        <w:t xml:space="preserve">pp. </w:t>
      </w:r>
      <w:r w:rsidR="007550D9" w:rsidRPr="00D91CEB">
        <w:rPr>
          <w:rFonts w:ascii="Times New Roman" w:hAnsi="Times New Roman" w:cs="Times New Roman"/>
          <w:sz w:val="24"/>
          <w:szCs w:val="24"/>
        </w:rPr>
        <w:t>86-109)</w:t>
      </w:r>
      <w:r w:rsidR="00556A36" w:rsidRPr="00D91CEB">
        <w:rPr>
          <w:rFonts w:ascii="Times New Roman" w:hAnsi="Times New Roman" w:cs="Times New Roman"/>
          <w:sz w:val="24"/>
          <w:szCs w:val="24"/>
        </w:rPr>
        <w:t>.</w:t>
      </w:r>
      <w:r w:rsidR="007550D9" w:rsidRPr="00D91CEB">
        <w:rPr>
          <w:rFonts w:ascii="Times New Roman" w:hAnsi="Times New Roman" w:cs="Times New Roman"/>
          <w:sz w:val="24"/>
          <w:szCs w:val="24"/>
        </w:rPr>
        <w:t xml:space="preserve"> </w:t>
      </w:r>
      <w:r w:rsidRPr="00D91CEB">
        <w:rPr>
          <w:rFonts w:ascii="Times New Roman" w:hAnsi="Times New Roman" w:cs="Times New Roman"/>
          <w:sz w:val="24"/>
          <w:szCs w:val="24"/>
        </w:rPr>
        <w:t>Oxford: Oxford University Press.</w:t>
      </w:r>
    </w:p>
    <w:p w14:paraId="160032E6" w14:textId="276BB8CC" w:rsidR="00260F0A" w:rsidRDefault="008C6258" w:rsidP="001C1AAE">
      <w:pPr>
        <w:autoSpaceDE w:val="0"/>
        <w:autoSpaceDN w:val="0"/>
        <w:adjustRightInd w:val="0"/>
        <w:spacing w:after="120" w:line="360" w:lineRule="auto"/>
        <w:ind w:left="340" w:hanging="340"/>
        <w:rPr>
          <w:rFonts w:ascii="Times New Roman" w:hAnsi="Times New Roman" w:cs="Times New Roman"/>
          <w:sz w:val="24"/>
          <w:szCs w:val="24"/>
          <w:shd w:val="clear" w:color="auto" w:fill="FFFFFF"/>
        </w:rPr>
      </w:pPr>
      <w:proofErr w:type="spellStart"/>
      <w:r w:rsidRPr="00D91CEB">
        <w:rPr>
          <w:rStyle w:val="nlmstring-name"/>
          <w:rFonts w:ascii="Times New Roman" w:hAnsi="Times New Roman" w:cs="Times New Roman"/>
          <w:sz w:val="24"/>
          <w:szCs w:val="24"/>
          <w:shd w:val="clear" w:color="auto" w:fill="FFFFFF"/>
        </w:rPr>
        <w:t>Espeland</w:t>
      </w:r>
      <w:proofErr w:type="spellEnd"/>
      <w:r w:rsidRPr="00D91CEB">
        <w:rPr>
          <w:rStyle w:val="nlmstring-name"/>
          <w:rFonts w:ascii="Times New Roman" w:hAnsi="Times New Roman" w:cs="Times New Roman"/>
          <w:sz w:val="24"/>
          <w:szCs w:val="24"/>
          <w:shd w:val="clear" w:color="auto" w:fill="FFFFFF"/>
        </w:rPr>
        <w:t>, W.</w:t>
      </w:r>
      <w:r w:rsidR="008C02C8">
        <w:rPr>
          <w:rStyle w:val="nlmstring-name"/>
          <w:rFonts w:ascii="Times New Roman" w:hAnsi="Times New Roman" w:cs="Times New Roman"/>
          <w:sz w:val="24"/>
          <w:szCs w:val="24"/>
          <w:shd w:val="clear" w:color="auto" w:fill="FFFFFF"/>
        </w:rPr>
        <w:t xml:space="preserve"> </w:t>
      </w:r>
      <w:r w:rsidRPr="00D91CEB">
        <w:rPr>
          <w:rStyle w:val="nlmstring-name"/>
          <w:rFonts w:ascii="Times New Roman" w:hAnsi="Times New Roman" w:cs="Times New Roman"/>
          <w:sz w:val="24"/>
          <w:szCs w:val="24"/>
          <w:shd w:val="clear" w:color="auto" w:fill="FFFFFF"/>
        </w:rPr>
        <w:t>N.</w:t>
      </w:r>
      <w:r w:rsidR="008C02C8">
        <w:rPr>
          <w:rStyle w:val="nlmstring-name"/>
          <w:rFonts w:ascii="Times New Roman" w:hAnsi="Times New Roman" w:cs="Times New Roman"/>
          <w:sz w:val="24"/>
          <w:szCs w:val="24"/>
          <w:shd w:val="clear" w:color="auto" w:fill="FFFFFF"/>
        </w:rPr>
        <w:t>,</w:t>
      </w:r>
      <w:r w:rsidRPr="00D91CEB">
        <w:rPr>
          <w:rStyle w:val="nlmstring-name"/>
          <w:rFonts w:ascii="Times New Roman" w:hAnsi="Times New Roman" w:cs="Times New Roman"/>
          <w:sz w:val="24"/>
          <w:szCs w:val="24"/>
          <w:shd w:val="clear" w:color="auto" w:fill="FFFFFF"/>
        </w:rPr>
        <w:t xml:space="preserve"> </w:t>
      </w:r>
      <w:r w:rsidR="008C02C8">
        <w:rPr>
          <w:rStyle w:val="nlmstring-name"/>
          <w:rFonts w:ascii="Times New Roman" w:hAnsi="Times New Roman" w:cs="Times New Roman"/>
          <w:sz w:val="24"/>
          <w:szCs w:val="24"/>
          <w:shd w:val="clear" w:color="auto" w:fill="FFFFFF"/>
        </w:rPr>
        <w:t>&amp;</w:t>
      </w:r>
      <w:r w:rsidRPr="00D91CEB">
        <w:rPr>
          <w:rStyle w:val="nlmstring-name"/>
          <w:rFonts w:ascii="Times New Roman" w:hAnsi="Times New Roman" w:cs="Times New Roman"/>
          <w:sz w:val="24"/>
          <w:szCs w:val="24"/>
          <w:shd w:val="clear" w:color="auto" w:fill="FFFFFF"/>
        </w:rPr>
        <w:t xml:space="preserve"> Sauder, M. (</w:t>
      </w:r>
      <w:r w:rsidRPr="00D91CEB">
        <w:rPr>
          <w:rStyle w:val="nlmyear"/>
          <w:rFonts w:ascii="Times New Roman" w:hAnsi="Times New Roman" w:cs="Times New Roman"/>
          <w:sz w:val="24"/>
          <w:szCs w:val="24"/>
          <w:shd w:val="clear" w:color="auto" w:fill="FFFFFF"/>
        </w:rPr>
        <w:t>2016)</w:t>
      </w:r>
      <w:r w:rsidR="00D27487" w:rsidRPr="00D91CEB">
        <w:rPr>
          <w:rStyle w:val="nlmyear"/>
          <w:rFonts w:ascii="Times New Roman" w:hAnsi="Times New Roman" w:cs="Times New Roman"/>
          <w:sz w:val="24"/>
          <w:szCs w:val="24"/>
          <w:shd w:val="clear" w:color="auto" w:fill="FFFFFF"/>
        </w:rPr>
        <w:t>.</w:t>
      </w:r>
      <w:r w:rsidRPr="00D91CEB">
        <w:rPr>
          <w:rFonts w:ascii="Times New Roman" w:hAnsi="Times New Roman" w:cs="Times New Roman"/>
          <w:sz w:val="24"/>
          <w:szCs w:val="24"/>
          <w:shd w:val="clear" w:color="auto" w:fill="FFFFFF"/>
        </w:rPr>
        <w:t xml:space="preserve"> </w:t>
      </w:r>
      <w:r w:rsidRPr="00D91CEB">
        <w:rPr>
          <w:rFonts w:ascii="Times New Roman" w:hAnsi="Times New Roman" w:cs="Times New Roman"/>
          <w:i/>
          <w:sz w:val="24"/>
          <w:szCs w:val="24"/>
          <w:shd w:val="clear" w:color="auto" w:fill="FFFFFF"/>
        </w:rPr>
        <w:t>Engines of Anxiety: Academic Rankings, Reputation, and Accountability</w:t>
      </w:r>
      <w:r w:rsidR="00D27487" w:rsidRPr="00D91CEB">
        <w:rPr>
          <w:rFonts w:ascii="Times New Roman" w:hAnsi="Times New Roman" w:cs="Times New Roman"/>
          <w:sz w:val="24"/>
          <w:szCs w:val="24"/>
          <w:shd w:val="clear" w:color="auto" w:fill="FFFFFF"/>
        </w:rPr>
        <w:t xml:space="preserve">. </w:t>
      </w:r>
      <w:r w:rsidRPr="00D91CEB">
        <w:rPr>
          <w:rStyle w:val="nlmpublisher-loc"/>
          <w:rFonts w:ascii="Times New Roman" w:hAnsi="Times New Roman" w:cs="Times New Roman"/>
          <w:sz w:val="24"/>
          <w:szCs w:val="24"/>
          <w:shd w:val="clear" w:color="auto" w:fill="FFFFFF"/>
        </w:rPr>
        <w:t>New York</w:t>
      </w:r>
      <w:r w:rsidR="008C02C8">
        <w:rPr>
          <w:rStyle w:val="nlmpublisher-loc"/>
          <w:rFonts w:ascii="Times New Roman" w:hAnsi="Times New Roman" w:cs="Times New Roman"/>
          <w:sz w:val="24"/>
          <w:szCs w:val="24"/>
          <w:shd w:val="clear" w:color="auto" w:fill="FFFFFF"/>
        </w:rPr>
        <w:t>:</w:t>
      </w:r>
      <w:r w:rsidRPr="00D91CEB">
        <w:rPr>
          <w:rFonts w:ascii="Times New Roman" w:hAnsi="Times New Roman" w:cs="Times New Roman"/>
          <w:sz w:val="24"/>
          <w:szCs w:val="24"/>
          <w:shd w:val="clear" w:color="auto" w:fill="FFFFFF"/>
        </w:rPr>
        <w:t xml:space="preserve"> </w:t>
      </w:r>
      <w:r w:rsidRPr="00D91CEB">
        <w:rPr>
          <w:rStyle w:val="nlmpublisher-name"/>
          <w:rFonts w:ascii="Times New Roman" w:hAnsi="Times New Roman" w:cs="Times New Roman"/>
          <w:sz w:val="24"/>
          <w:szCs w:val="24"/>
          <w:shd w:val="clear" w:color="auto" w:fill="FFFFFF"/>
        </w:rPr>
        <w:t>Russell Sage Foundation</w:t>
      </w:r>
      <w:r w:rsidRPr="00D91CEB">
        <w:rPr>
          <w:rFonts w:ascii="Times New Roman" w:hAnsi="Times New Roman" w:cs="Times New Roman"/>
          <w:sz w:val="24"/>
          <w:szCs w:val="24"/>
          <w:shd w:val="clear" w:color="auto" w:fill="FFFFFF"/>
        </w:rPr>
        <w:t>.</w:t>
      </w:r>
    </w:p>
    <w:p w14:paraId="6A9D3662" w14:textId="03012180" w:rsidR="00D7232A" w:rsidRPr="00D91CEB" w:rsidRDefault="000663E9" w:rsidP="001C1AAE">
      <w:pPr>
        <w:autoSpaceDE w:val="0"/>
        <w:autoSpaceDN w:val="0"/>
        <w:adjustRightInd w:val="0"/>
        <w:spacing w:after="120" w:line="360" w:lineRule="auto"/>
        <w:ind w:left="340" w:hanging="3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Farrell, C &amp; Morris, J. (200</w:t>
      </w:r>
      <w:r w:rsidR="00D7232A">
        <w:rPr>
          <w:rFonts w:ascii="Times New Roman" w:hAnsi="Times New Roman" w:cs="Times New Roman"/>
          <w:sz w:val="24"/>
          <w:szCs w:val="24"/>
          <w:shd w:val="clear" w:color="auto" w:fill="FFFFFF"/>
        </w:rPr>
        <w:t>4)</w:t>
      </w:r>
      <w:r w:rsidR="006B220E">
        <w:rPr>
          <w:rFonts w:ascii="Times New Roman" w:hAnsi="Times New Roman" w:cs="Times New Roman"/>
          <w:sz w:val="24"/>
          <w:szCs w:val="24"/>
          <w:shd w:val="clear" w:color="auto" w:fill="FFFFFF"/>
        </w:rPr>
        <w:t>.</w:t>
      </w:r>
      <w:r w:rsidR="00D7232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Resigned C</w:t>
      </w:r>
      <w:r w:rsidR="00D7232A">
        <w:rPr>
          <w:rFonts w:ascii="Times New Roman" w:hAnsi="Times New Roman" w:cs="Times New Roman"/>
          <w:sz w:val="24"/>
          <w:szCs w:val="24"/>
          <w:shd w:val="clear" w:color="auto" w:fill="FFFFFF"/>
        </w:rPr>
        <w:t xml:space="preserve">ompliance’: teacher attitudes to performance-related pay in schools, </w:t>
      </w:r>
      <w:r w:rsidR="00D7232A" w:rsidRPr="006B220E">
        <w:rPr>
          <w:rFonts w:ascii="Times New Roman" w:hAnsi="Times New Roman" w:cs="Times New Roman"/>
          <w:i/>
          <w:sz w:val="24"/>
          <w:szCs w:val="24"/>
          <w:shd w:val="clear" w:color="auto" w:fill="FFFFFF"/>
        </w:rPr>
        <w:t>Educational Management, Administration and Leadership, 31</w:t>
      </w:r>
      <w:r w:rsidR="00D7232A" w:rsidRPr="006B220E">
        <w:rPr>
          <w:rFonts w:ascii="Times New Roman" w:hAnsi="Times New Roman" w:cs="Times New Roman"/>
          <w:sz w:val="24"/>
          <w:szCs w:val="24"/>
          <w:shd w:val="clear" w:color="auto" w:fill="FFFFFF"/>
        </w:rPr>
        <w:t>(2)</w:t>
      </w:r>
      <w:r w:rsidR="006B220E" w:rsidRPr="006B220E">
        <w:rPr>
          <w:rFonts w:ascii="Times New Roman" w:hAnsi="Times New Roman" w:cs="Times New Roman"/>
          <w:sz w:val="24"/>
          <w:szCs w:val="24"/>
          <w:shd w:val="clear" w:color="auto" w:fill="FFFFFF"/>
        </w:rPr>
        <w:t>,</w:t>
      </w:r>
      <w:r w:rsidR="006B220E">
        <w:rPr>
          <w:rFonts w:ascii="Times New Roman" w:hAnsi="Times New Roman" w:cs="Times New Roman"/>
          <w:i/>
          <w:sz w:val="24"/>
          <w:szCs w:val="24"/>
          <w:shd w:val="clear" w:color="auto" w:fill="FFFFFF"/>
        </w:rPr>
        <w:t xml:space="preserve"> </w:t>
      </w:r>
      <w:r w:rsidR="00D7232A">
        <w:rPr>
          <w:rFonts w:ascii="Times New Roman" w:hAnsi="Times New Roman" w:cs="Times New Roman"/>
          <w:sz w:val="24"/>
          <w:szCs w:val="24"/>
          <w:shd w:val="clear" w:color="auto" w:fill="FFFFFF"/>
        </w:rPr>
        <w:t>81-104</w:t>
      </w:r>
      <w:r w:rsidR="006B220E">
        <w:rPr>
          <w:rFonts w:ascii="Times New Roman" w:hAnsi="Times New Roman" w:cs="Times New Roman"/>
          <w:sz w:val="24"/>
          <w:szCs w:val="24"/>
          <w:shd w:val="clear" w:color="auto" w:fill="FFFFFF"/>
        </w:rPr>
        <w:t>.</w:t>
      </w:r>
    </w:p>
    <w:p w14:paraId="3EF27BC3" w14:textId="51BD8311" w:rsidR="008C02C8" w:rsidRPr="00D91CEB" w:rsidRDefault="008C6258" w:rsidP="001C1AAE">
      <w:pPr>
        <w:autoSpaceDE w:val="0"/>
        <w:autoSpaceDN w:val="0"/>
        <w:adjustRightInd w:val="0"/>
        <w:spacing w:after="120" w:line="360" w:lineRule="auto"/>
        <w:ind w:left="340" w:hanging="340"/>
        <w:rPr>
          <w:rFonts w:ascii="Times New Roman" w:hAnsi="Times New Roman" w:cs="Times New Roman"/>
          <w:sz w:val="24"/>
          <w:szCs w:val="24"/>
          <w:shd w:val="clear" w:color="auto" w:fill="FFFFFF"/>
        </w:rPr>
      </w:pPr>
      <w:proofErr w:type="spellStart"/>
      <w:r w:rsidRPr="00D91CEB">
        <w:rPr>
          <w:rFonts w:ascii="Times New Roman" w:hAnsi="Times New Roman" w:cs="Times New Roman"/>
          <w:sz w:val="24"/>
          <w:szCs w:val="24"/>
        </w:rPr>
        <w:t>Fielden</w:t>
      </w:r>
      <w:proofErr w:type="spellEnd"/>
      <w:r w:rsidRPr="00D91CEB">
        <w:rPr>
          <w:rFonts w:ascii="Times New Roman" w:hAnsi="Times New Roman" w:cs="Times New Roman"/>
          <w:sz w:val="24"/>
          <w:szCs w:val="24"/>
        </w:rPr>
        <w:t>, J.</w:t>
      </w:r>
      <w:r w:rsidR="008C02C8">
        <w:rPr>
          <w:rFonts w:ascii="Times New Roman" w:hAnsi="Times New Roman" w:cs="Times New Roman"/>
          <w:sz w:val="24"/>
          <w:szCs w:val="24"/>
        </w:rPr>
        <w:t>,</w:t>
      </w:r>
      <w:r w:rsidRPr="00D91CEB">
        <w:rPr>
          <w:rFonts w:ascii="Times New Roman" w:hAnsi="Times New Roman" w:cs="Times New Roman"/>
          <w:sz w:val="24"/>
          <w:szCs w:val="24"/>
        </w:rPr>
        <w:t xml:space="preserve"> </w:t>
      </w:r>
      <w:r w:rsidR="008C02C8">
        <w:rPr>
          <w:rFonts w:ascii="Times New Roman" w:hAnsi="Times New Roman" w:cs="Times New Roman"/>
          <w:sz w:val="24"/>
          <w:szCs w:val="24"/>
        </w:rPr>
        <w:t>&amp;</w:t>
      </w:r>
      <w:r w:rsidRPr="00D91CEB">
        <w:rPr>
          <w:rFonts w:ascii="Times New Roman" w:hAnsi="Times New Roman" w:cs="Times New Roman"/>
          <w:sz w:val="24"/>
          <w:szCs w:val="24"/>
        </w:rPr>
        <w:t xml:space="preserve"> Middlehurst, R. (2017)</w:t>
      </w:r>
      <w:r w:rsidR="00D27487" w:rsidRPr="00D91CEB">
        <w:rPr>
          <w:rFonts w:ascii="Times New Roman" w:hAnsi="Times New Roman" w:cs="Times New Roman"/>
          <w:sz w:val="24"/>
          <w:szCs w:val="24"/>
        </w:rPr>
        <w:t>.</w:t>
      </w:r>
      <w:r w:rsidRPr="00D91CEB">
        <w:rPr>
          <w:rFonts w:ascii="Times New Roman" w:hAnsi="Times New Roman" w:cs="Times New Roman"/>
          <w:sz w:val="24"/>
          <w:szCs w:val="24"/>
        </w:rPr>
        <w:t xml:space="preserve"> </w:t>
      </w:r>
      <w:r w:rsidRPr="00D91CEB">
        <w:rPr>
          <w:rFonts w:ascii="Times New Roman" w:hAnsi="Times New Roman" w:cs="Times New Roman"/>
          <w:i/>
          <w:sz w:val="24"/>
          <w:szCs w:val="24"/>
        </w:rPr>
        <w:t xml:space="preserve">Alternative providers of higher education: issues </w:t>
      </w:r>
      <w:proofErr w:type="spellStart"/>
      <w:r w:rsidRPr="00D91CEB">
        <w:rPr>
          <w:rFonts w:ascii="Times New Roman" w:hAnsi="Times New Roman" w:cs="Times New Roman"/>
          <w:i/>
          <w:sz w:val="24"/>
          <w:szCs w:val="24"/>
        </w:rPr>
        <w:t>forPolicymakers</w:t>
      </w:r>
      <w:proofErr w:type="spellEnd"/>
      <w:r w:rsidR="00D27487" w:rsidRPr="00D91CEB">
        <w:rPr>
          <w:rFonts w:ascii="Times New Roman" w:hAnsi="Times New Roman" w:cs="Times New Roman"/>
          <w:i/>
          <w:sz w:val="24"/>
          <w:szCs w:val="24"/>
        </w:rPr>
        <w:t xml:space="preserve">. </w:t>
      </w:r>
      <w:r w:rsidR="007550D9" w:rsidRPr="00D91CEB">
        <w:rPr>
          <w:rFonts w:ascii="Times New Roman" w:hAnsi="Times New Roman" w:cs="Times New Roman"/>
          <w:sz w:val="24"/>
          <w:szCs w:val="24"/>
        </w:rPr>
        <w:t>London</w:t>
      </w:r>
      <w:r w:rsidR="008C02C8">
        <w:rPr>
          <w:rFonts w:ascii="Times New Roman" w:hAnsi="Times New Roman" w:cs="Times New Roman"/>
          <w:sz w:val="24"/>
          <w:szCs w:val="24"/>
        </w:rPr>
        <w:t>:</w:t>
      </w:r>
      <w:r w:rsidR="007550D9" w:rsidRPr="00D91CEB">
        <w:rPr>
          <w:rFonts w:ascii="Times New Roman" w:hAnsi="Times New Roman" w:cs="Times New Roman"/>
          <w:sz w:val="24"/>
          <w:szCs w:val="24"/>
        </w:rPr>
        <w:t xml:space="preserve"> HEPI</w:t>
      </w:r>
      <w:r w:rsidR="00D27487" w:rsidRPr="00D91CEB">
        <w:rPr>
          <w:rFonts w:ascii="Times New Roman" w:hAnsi="Times New Roman" w:cs="Times New Roman"/>
          <w:sz w:val="24"/>
          <w:szCs w:val="24"/>
        </w:rPr>
        <w:t>.</w:t>
      </w:r>
      <w:r w:rsidR="008C02C8" w:rsidRPr="008C02C8">
        <w:rPr>
          <w:rFonts w:ascii="Times New Roman" w:hAnsi="Times New Roman" w:cs="Times New Roman"/>
          <w:sz w:val="24"/>
          <w:szCs w:val="24"/>
          <w:shd w:val="clear" w:color="auto" w:fill="FFFFFF"/>
        </w:rPr>
        <w:t xml:space="preserve"> </w:t>
      </w:r>
    </w:p>
    <w:p w14:paraId="72DFEF3C" w14:textId="46468D23" w:rsidR="008C6258" w:rsidRPr="002F3DB8" w:rsidRDefault="007550D9" w:rsidP="001C1AAE">
      <w:pPr>
        <w:autoSpaceDE w:val="0"/>
        <w:autoSpaceDN w:val="0"/>
        <w:adjustRightInd w:val="0"/>
        <w:spacing w:after="120" w:line="360" w:lineRule="auto"/>
        <w:ind w:left="340" w:hanging="340"/>
        <w:rPr>
          <w:rFonts w:ascii="Times New Roman" w:hAnsi="Times New Roman" w:cs="Times New Roman"/>
          <w:sz w:val="24"/>
          <w:szCs w:val="24"/>
          <w:shd w:val="clear" w:color="auto" w:fill="FFFFFF"/>
        </w:rPr>
      </w:pPr>
      <w:r w:rsidRPr="002F3DB8">
        <w:rPr>
          <w:rFonts w:ascii="Times New Roman" w:hAnsi="Times New Roman" w:cs="Times New Roman"/>
          <w:sz w:val="24"/>
          <w:szCs w:val="24"/>
          <w:shd w:val="clear" w:color="auto" w:fill="FFFFFF"/>
        </w:rPr>
        <w:t>Fischer, F. (2003)</w:t>
      </w:r>
      <w:r w:rsidR="00D27487" w:rsidRPr="002F3DB8">
        <w:rPr>
          <w:rFonts w:ascii="Times New Roman" w:hAnsi="Times New Roman" w:cs="Times New Roman"/>
          <w:sz w:val="24"/>
          <w:szCs w:val="24"/>
          <w:shd w:val="clear" w:color="auto" w:fill="FFFFFF"/>
        </w:rPr>
        <w:t>.</w:t>
      </w:r>
      <w:r w:rsidR="008C02C8" w:rsidRPr="002F3DB8">
        <w:rPr>
          <w:rFonts w:ascii="Times New Roman" w:hAnsi="Times New Roman" w:cs="Times New Roman"/>
          <w:sz w:val="24"/>
          <w:szCs w:val="24"/>
          <w:shd w:val="clear" w:color="auto" w:fill="FFFFFF"/>
        </w:rPr>
        <w:t xml:space="preserve"> </w:t>
      </w:r>
      <w:r w:rsidR="008C6258" w:rsidRPr="002F3DB8">
        <w:rPr>
          <w:rFonts w:ascii="Times New Roman" w:hAnsi="Times New Roman" w:cs="Times New Roman"/>
          <w:i/>
          <w:iCs/>
          <w:sz w:val="24"/>
          <w:szCs w:val="24"/>
          <w:shd w:val="clear" w:color="auto" w:fill="FFFFFF"/>
        </w:rPr>
        <w:t>Reframing public policy: Discursive politics and deliberative practices</w:t>
      </w:r>
      <w:r w:rsidR="00D27487" w:rsidRPr="002F3DB8">
        <w:rPr>
          <w:rFonts w:ascii="Times New Roman" w:hAnsi="Times New Roman" w:cs="Times New Roman"/>
          <w:i/>
          <w:iCs/>
          <w:sz w:val="24"/>
          <w:szCs w:val="24"/>
          <w:shd w:val="clear" w:color="auto" w:fill="FFFFFF"/>
        </w:rPr>
        <w:t>.</w:t>
      </w:r>
      <w:r w:rsidRPr="002F3DB8">
        <w:rPr>
          <w:rFonts w:ascii="Times New Roman" w:hAnsi="Times New Roman" w:cs="Times New Roman"/>
          <w:sz w:val="24"/>
          <w:szCs w:val="24"/>
          <w:shd w:val="clear" w:color="auto" w:fill="FFFFFF"/>
        </w:rPr>
        <w:t xml:space="preserve"> Oxford</w:t>
      </w:r>
      <w:r w:rsidR="008C02C8" w:rsidRPr="002F3DB8">
        <w:rPr>
          <w:rFonts w:ascii="Times New Roman" w:hAnsi="Times New Roman" w:cs="Times New Roman"/>
          <w:sz w:val="24"/>
          <w:szCs w:val="24"/>
          <w:shd w:val="clear" w:color="auto" w:fill="FFFFFF"/>
        </w:rPr>
        <w:t>:</w:t>
      </w:r>
      <w:r w:rsidRPr="002F3DB8">
        <w:rPr>
          <w:rFonts w:ascii="Times New Roman" w:hAnsi="Times New Roman" w:cs="Times New Roman"/>
          <w:sz w:val="24"/>
          <w:szCs w:val="24"/>
          <w:shd w:val="clear" w:color="auto" w:fill="FFFFFF"/>
        </w:rPr>
        <w:t xml:space="preserve"> </w:t>
      </w:r>
      <w:r w:rsidR="008C6258" w:rsidRPr="002F3DB8">
        <w:rPr>
          <w:rFonts w:ascii="Times New Roman" w:hAnsi="Times New Roman" w:cs="Times New Roman"/>
          <w:sz w:val="24"/>
          <w:szCs w:val="24"/>
          <w:shd w:val="clear" w:color="auto" w:fill="FFFFFF"/>
        </w:rPr>
        <w:t>Oxford University Press.</w:t>
      </w:r>
    </w:p>
    <w:p w14:paraId="13E9C4CA" w14:textId="61C67780" w:rsidR="008C6258" w:rsidRPr="002F3DB8" w:rsidRDefault="008C6258" w:rsidP="001C1AAE">
      <w:pPr>
        <w:autoSpaceDE w:val="0"/>
        <w:autoSpaceDN w:val="0"/>
        <w:adjustRightInd w:val="0"/>
        <w:spacing w:after="120" w:line="360" w:lineRule="auto"/>
        <w:ind w:left="340" w:hanging="340"/>
        <w:rPr>
          <w:rFonts w:ascii="Times New Roman" w:hAnsi="Times New Roman" w:cs="Times New Roman"/>
          <w:sz w:val="24"/>
          <w:szCs w:val="24"/>
          <w:shd w:val="clear" w:color="auto" w:fill="FFFFFF"/>
        </w:rPr>
      </w:pPr>
      <w:r w:rsidRPr="00AC0869">
        <w:rPr>
          <w:rFonts w:ascii="Times New Roman" w:hAnsi="Times New Roman" w:cs="Times New Roman"/>
          <w:sz w:val="24"/>
          <w:szCs w:val="24"/>
          <w:shd w:val="clear" w:color="auto" w:fill="FFFFFF"/>
        </w:rPr>
        <w:t xml:space="preserve">Fischer, </w:t>
      </w:r>
      <w:r w:rsidR="007550D9" w:rsidRPr="00AC0869">
        <w:rPr>
          <w:rFonts w:ascii="Times New Roman" w:hAnsi="Times New Roman" w:cs="Times New Roman"/>
          <w:sz w:val="24"/>
          <w:szCs w:val="24"/>
          <w:shd w:val="clear" w:color="auto" w:fill="FFFFFF"/>
        </w:rPr>
        <w:t>F.</w:t>
      </w:r>
      <w:r w:rsidR="008C02C8" w:rsidRPr="00AC0869">
        <w:rPr>
          <w:rFonts w:ascii="Times New Roman" w:hAnsi="Times New Roman" w:cs="Times New Roman"/>
          <w:sz w:val="24"/>
          <w:szCs w:val="24"/>
          <w:shd w:val="clear" w:color="auto" w:fill="FFFFFF"/>
        </w:rPr>
        <w:t>, &amp;</w:t>
      </w:r>
      <w:r w:rsidR="007550D9" w:rsidRPr="00AC0869">
        <w:rPr>
          <w:rFonts w:ascii="Times New Roman" w:hAnsi="Times New Roman" w:cs="Times New Roman"/>
          <w:sz w:val="24"/>
          <w:szCs w:val="24"/>
          <w:shd w:val="clear" w:color="auto" w:fill="FFFFFF"/>
        </w:rPr>
        <w:t xml:space="preserve"> </w:t>
      </w:r>
      <w:proofErr w:type="spellStart"/>
      <w:r w:rsidR="007550D9" w:rsidRPr="00AC0869">
        <w:rPr>
          <w:rFonts w:ascii="Times New Roman" w:hAnsi="Times New Roman" w:cs="Times New Roman"/>
          <w:sz w:val="24"/>
          <w:szCs w:val="24"/>
          <w:shd w:val="clear" w:color="auto" w:fill="FFFFFF"/>
        </w:rPr>
        <w:t>Gottweis</w:t>
      </w:r>
      <w:proofErr w:type="spellEnd"/>
      <w:r w:rsidR="007550D9" w:rsidRPr="00AC0869">
        <w:rPr>
          <w:rFonts w:ascii="Times New Roman" w:hAnsi="Times New Roman" w:cs="Times New Roman"/>
          <w:sz w:val="24"/>
          <w:szCs w:val="24"/>
          <w:shd w:val="clear" w:color="auto" w:fill="FFFFFF"/>
        </w:rPr>
        <w:t xml:space="preserve">, H. </w:t>
      </w:r>
      <w:r w:rsidR="008C02C8" w:rsidRPr="00AC0869">
        <w:rPr>
          <w:rFonts w:ascii="Times New Roman" w:hAnsi="Times New Roman" w:cs="Times New Roman"/>
          <w:sz w:val="24"/>
          <w:szCs w:val="24"/>
          <w:shd w:val="clear" w:color="auto" w:fill="FFFFFF"/>
        </w:rPr>
        <w:t>(E</w:t>
      </w:r>
      <w:r w:rsidR="007550D9" w:rsidRPr="00AC0869">
        <w:rPr>
          <w:rFonts w:ascii="Times New Roman" w:hAnsi="Times New Roman" w:cs="Times New Roman"/>
          <w:sz w:val="24"/>
          <w:szCs w:val="24"/>
          <w:shd w:val="clear" w:color="auto" w:fill="FFFFFF"/>
        </w:rPr>
        <w:t>ds.</w:t>
      </w:r>
      <w:r w:rsidR="008C02C8" w:rsidRPr="00AC0869">
        <w:rPr>
          <w:rFonts w:ascii="Times New Roman" w:hAnsi="Times New Roman" w:cs="Times New Roman"/>
          <w:sz w:val="24"/>
          <w:szCs w:val="24"/>
          <w:shd w:val="clear" w:color="auto" w:fill="FFFFFF"/>
        </w:rPr>
        <w:t>)</w:t>
      </w:r>
      <w:r w:rsidR="007550D9" w:rsidRPr="00AC0869">
        <w:rPr>
          <w:rFonts w:ascii="Times New Roman" w:hAnsi="Times New Roman" w:cs="Times New Roman"/>
          <w:sz w:val="24"/>
          <w:szCs w:val="24"/>
          <w:shd w:val="clear" w:color="auto" w:fill="FFFFFF"/>
        </w:rPr>
        <w:t xml:space="preserve"> </w:t>
      </w:r>
      <w:r w:rsidR="007550D9" w:rsidRPr="002F3DB8">
        <w:rPr>
          <w:rFonts w:ascii="Times New Roman" w:hAnsi="Times New Roman" w:cs="Times New Roman"/>
          <w:sz w:val="24"/>
          <w:szCs w:val="24"/>
          <w:shd w:val="clear" w:color="auto" w:fill="FFFFFF"/>
        </w:rPr>
        <w:t>(2012)</w:t>
      </w:r>
      <w:r w:rsidR="00D27487" w:rsidRPr="002F3DB8">
        <w:rPr>
          <w:rFonts w:ascii="Times New Roman" w:hAnsi="Times New Roman" w:cs="Times New Roman"/>
          <w:sz w:val="24"/>
          <w:szCs w:val="24"/>
          <w:shd w:val="clear" w:color="auto" w:fill="FFFFFF"/>
        </w:rPr>
        <w:t>.</w:t>
      </w:r>
      <w:r w:rsidR="008C02C8" w:rsidRPr="002F3DB8">
        <w:rPr>
          <w:rFonts w:ascii="Times New Roman" w:hAnsi="Times New Roman" w:cs="Times New Roman"/>
          <w:sz w:val="24"/>
          <w:szCs w:val="24"/>
          <w:shd w:val="clear" w:color="auto" w:fill="FFFFFF"/>
        </w:rPr>
        <w:t xml:space="preserve"> </w:t>
      </w:r>
      <w:r w:rsidRPr="002F3DB8">
        <w:rPr>
          <w:rFonts w:ascii="Times New Roman" w:hAnsi="Times New Roman" w:cs="Times New Roman"/>
          <w:i/>
          <w:iCs/>
          <w:sz w:val="24"/>
          <w:szCs w:val="24"/>
          <w:shd w:val="clear" w:color="auto" w:fill="FFFFFF"/>
        </w:rPr>
        <w:t>The argumentative turn revisited: Public policy as communicative practice</w:t>
      </w:r>
      <w:r w:rsidR="00D27487" w:rsidRPr="002F3DB8">
        <w:rPr>
          <w:rFonts w:ascii="Times New Roman" w:hAnsi="Times New Roman" w:cs="Times New Roman"/>
          <w:i/>
          <w:iCs/>
          <w:sz w:val="24"/>
          <w:szCs w:val="24"/>
          <w:shd w:val="clear" w:color="auto" w:fill="FFFFFF"/>
        </w:rPr>
        <w:t>.</w:t>
      </w:r>
      <w:r w:rsidR="007550D9" w:rsidRPr="002F3DB8">
        <w:rPr>
          <w:rFonts w:ascii="Times New Roman" w:hAnsi="Times New Roman" w:cs="Times New Roman"/>
          <w:sz w:val="24"/>
          <w:szCs w:val="24"/>
          <w:shd w:val="clear" w:color="auto" w:fill="FFFFFF"/>
        </w:rPr>
        <w:t xml:space="preserve"> Duke</w:t>
      </w:r>
      <w:r w:rsidR="008C02C8" w:rsidRPr="002F3DB8">
        <w:rPr>
          <w:rFonts w:ascii="Times New Roman" w:hAnsi="Times New Roman" w:cs="Times New Roman"/>
          <w:sz w:val="24"/>
          <w:szCs w:val="24"/>
          <w:shd w:val="clear" w:color="auto" w:fill="FFFFFF"/>
        </w:rPr>
        <w:t>:</w:t>
      </w:r>
      <w:r w:rsidRPr="002F3DB8">
        <w:rPr>
          <w:rFonts w:ascii="Times New Roman" w:hAnsi="Times New Roman" w:cs="Times New Roman"/>
          <w:sz w:val="24"/>
          <w:szCs w:val="24"/>
          <w:shd w:val="clear" w:color="auto" w:fill="FFFFFF"/>
        </w:rPr>
        <w:t xml:space="preserve"> Duke University Press.</w:t>
      </w:r>
    </w:p>
    <w:p w14:paraId="25EB66B6" w14:textId="52D008DE" w:rsidR="00666746" w:rsidRPr="00D91CEB" w:rsidRDefault="00362096" w:rsidP="001C1AAE">
      <w:pPr>
        <w:autoSpaceDE w:val="0"/>
        <w:autoSpaceDN w:val="0"/>
        <w:adjustRightInd w:val="0"/>
        <w:spacing w:after="120" w:line="360" w:lineRule="auto"/>
        <w:ind w:left="340" w:hanging="340"/>
        <w:rPr>
          <w:rFonts w:ascii="Times New Roman" w:hAnsi="Times New Roman" w:cs="Times New Roman"/>
          <w:color w:val="222222"/>
          <w:sz w:val="24"/>
          <w:szCs w:val="24"/>
          <w:shd w:val="clear" w:color="auto" w:fill="FFFFFF"/>
        </w:rPr>
      </w:pPr>
      <w:proofErr w:type="spellStart"/>
      <w:r w:rsidRPr="00D91CEB">
        <w:rPr>
          <w:rFonts w:ascii="Times New Roman" w:hAnsi="Times New Roman" w:cs="Times New Roman"/>
          <w:sz w:val="24"/>
          <w:szCs w:val="24"/>
        </w:rPr>
        <w:t>Forstenzer</w:t>
      </w:r>
      <w:proofErr w:type="spellEnd"/>
      <w:r w:rsidR="008C02C8">
        <w:rPr>
          <w:rFonts w:ascii="Times New Roman" w:hAnsi="Times New Roman" w:cs="Times New Roman"/>
          <w:sz w:val="24"/>
          <w:szCs w:val="24"/>
        </w:rPr>
        <w:t>,</w:t>
      </w:r>
      <w:r w:rsidRPr="00D91CEB">
        <w:rPr>
          <w:rFonts w:ascii="Times New Roman" w:hAnsi="Times New Roman" w:cs="Times New Roman"/>
          <w:sz w:val="24"/>
          <w:szCs w:val="24"/>
        </w:rPr>
        <w:t xml:space="preserve"> J</w:t>
      </w:r>
      <w:r w:rsidR="008C02C8">
        <w:rPr>
          <w:rFonts w:ascii="Times New Roman" w:hAnsi="Times New Roman" w:cs="Times New Roman"/>
          <w:sz w:val="24"/>
          <w:szCs w:val="24"/>
        </w:rPr>
        <w:t>.</w:t>
      </w:r>
      <w:r w:rsidRPr="00D91CEB">
        <w:rPr>
          <w:rFonts w:ascii="Times New Roman" w:hAnsi="Times New Roman" w:cs="Times New Roman"/>
          <w:sz w:val="24"/>
          <w:szCs w:val="24"/>
        </w:rPr>
        <w:t xml:space="preserve"> (2016)</w:t>
      </w:r>
      <w:r w:rsidR="008C02C8">
        <w:rPr>
          <w:rFonts w:ascii="Times New Roman" w:hAnsi="Times New Roman" w:cs="Times New Roman"/>
          <w:sz w:val="24"/>
          <w:szCs w:val="24"/>
        </w:rPr>
        <w:t>.</w:t>
      </w:r>
      <w:r w:rsidRPr="00D91CEB">
        <w:rPr>
          <w:rFonts w:ascii="Times New Roman" w:hAnsi="Times New Roman" w:cs="Times New Roman"/>
          <w:sz w:val="24"/>
          <w:szCs w:val="24"/>
        </w:rPr>
        <w:t xml:space="preserve"> The teaching excellence framework: What’s the </w:t>
      </w:r>
      <w:proofErr w:type="gramStart"/>
      <w:r w:rsidRPr="00D91CEB">
        <w:rPr>
          <w:rFonts w:ascii="Times New Roman" w:hAnsi="Times New Roman" w:cs="Times New Roman"/>
          <w:sz w:val="24"/>
          <w:szCs w:val="24"/>
        </w:rPr>
        <w:t>purpose?</w:t>
      </w:r>
      <w:r w:rsidR="008C02C8">
        <w:rPr>
          <w:rFonts w:ascii="Times New Roman" w:hAnsi="Times New Roman" w:cs="Times New Roman"/>
          <w:sz w:val="24"/>
          <w:szCs w:val="24"/>
        </w:rPr>
        <w:t>.</w:t>
      </w:r>
      <w:proofErr w:type="gramEnd"/>
      <w:r w:rsidRPr="00D91CEB">
        <w:rPr>
          <w:rFonts w:ascii="Times New Roman" w:hAnsi="Times New Roman" w:cs="Times New Roman"/>
          <w:sz w:val="24"/>
          <w:szCs w:val="24"/>
        </w:rPr>
        <w:t xml:space="preserve"> The</w:t>
      </w:r>
      <w:r w:rsidR="008C02C8">
        <w:rPr>
          <w:rFonts w:ascii="Times New Roman" w:hAnsi="Times New Roman" w:cs="Times New Roman"/>
          <w:sz w:val="24"/>
          <w:szCs w:val="24"/>
        </w:rPr>
        <w:t xml:space="preserve"> </w:t>
      </w:r>
      <w:r w:rsidRPr="00D91CEB">
        <w:rPr>
          <w:rFonts w:ascii="Times New Roman" w:hAnsi="Times New Roman" w:cs="Times New Roman"/>
          <w:sz w:val="24"/>
          <w:szCs w:val="24"/>
        </w:rPr>
        <w:t>Sir Bernard Crick Centre Univers</w:t>
      </w:r>
      <w:r w:rsidR="00C95F91" w:rsidRPr="00D91CEB">
        <w:rPr>
          <w:rFonts w:ascii="Times New Roman" w:hAnsi="Times New Roman" w:cs="Times New Roman"/>
          <w:sz w:val="24"/>
          <w:szCs w:val="24"/>
        </w:rPr>
        <w:t xml:space="preserve">ity of Sheffield. </w:t>
      </w:r>
      <w:r w:rsidR="008C02C8">
        <w:rPr>
          <w:rFonts w:ascii="Times New Roman" w:hAnsi="Times New Roman" w:cs="Times New Roman"/>
          <w:sz w:val="24"/>
          <w:szCs w:val="24"/>
        </w:rPr>
        <w:t xml:space="preserve">Retrieved from </w:t>
      </w:r>
      <w:hyperlink r:id="rId8" w:history="1">
        <w:r w:rsidR="00C95F91" w:rsidRPr="00D91CEB">
          <w:rPr>
            <w:rStyle w:val="Hyperlink"/>
            <w:rFonts w:ascii="Times New Roman" w:hAnsi="Times New Roman" w:cs="Times New Roman"/>
            <w:sz w:val="24"/>
            <w:szCs w:val="24"/>
          </w:rPr>
          <w:t>http://www.crickcentre.org/</w:t>
        </w:r>
      </w:hyperlink>
      <w:r w:rsidRPr="00D91CEB">
        <w:rPr>
          <w:rFonts w:ascii="Times New Roman" w:hAnsi="Times New Roman" w:cs="Times New Roman"/>
          <w:sz w:val="24"/>
          <w:szCs w:val="24"/>
        </w:rPr>
        <w:t>wp-content/uploads/2016/01/TEF-Whats-the-Purposebooklet-Josh-Forstenzer.pdf.</w:t>
      </w:r>
      <w:r w:rsidR="00666746" w:rsidRPr="00666746">
        <w:rPr>
          <w:rFonts w:ascii="Times New Roman" w:hAnsi="Times New Roman" w:cs="Times New Roman"/>
          <w:color w:val="222222"/>
          <w:sz w:val="24"/>
          <w:szCs w:val="24"/>
          <w:shd w:val="clear" w:color="auto" w:fill="FFFFFF"/>
        </w:rPr>
        <w:t xml:space="preserve"> </w:t>
      </w:r>
    </w:p>
    <w:p w14:paraId="7068BD70" w14:textId="77777777" w:rsidR="002F3DB8" w:rsidRPr="00D91CEB" w:rsidRDefault="002F3DB8" w:rsidP="001C1AAE">
      <w:pPr>
        <w:autoSpaceDE w:val="0"/>
        <w:autoSpaceDN w:val="0"/>
        <w:adjustRightInd w:val="0"/>
        <w:spacing w:after="120" w:line="360" w:lineRule="auto"/>
        <w:ind w:left="340" w:hanging="340"/>
        <w:rPr>
          <w:rFonts w:ascii="Times New Roman" w:hAnsi="Times New Roman" w:cs="Times New Roman"/>
          <w:sz w:val="24"/>
          <w:szCs w:val="24"/>
          <w:shd w:val="clear" w:color="auto" w:fill="FFFFFF"/>
        </w:rPr>
      </w:pPr>
      <w:r w:rsidRPr="00D91CEB">
        <w:rPr>
          <w:rFonts w:ascii="Times New Roman" w:hAnsi="Times New Roman" w:cs="Times New Roman"/>
          <w:sz w:val="24"/>
          <w:szCs w:val="24"/>
        </w:rPr>
        <w:t>Frankham, J. (2017). Employability and higher education: the follies of the ‘productivity challenge’ in the Teaching Excellence Framework</w:t>
      </w:r>
      <w:r>
        <w:rPr>
          <w:rFonts w:ascii="Times New Roman" w:hAnsi="Times New Roman" w:cs="Times New Roman"/>
          <w:sz w:val="24"/>
          <w:szCs w:val="24"/>
        </w:rPr>
        <w:t>.</w:t>
      </w:r>
      <w:r w:rsidRPr="00D91CEB">
        <w:rPr>
          <w:rFonts w:ascii="Times New Roman" w:hAnsi="Times New Roman" w:cs="Times New Roman"/>
          <w:sz w:val="24"/>
          <w:szCs w:val="24"/>
        </w:rPr>
        <w:t xml:space="preserve"> </w:t>
      </w:r>
      <w:r w:rsidRPr="00D91CEB">
        <w:rPr>
          <w:rFonts w:ascii="Times New Roman" w:hAnsi="Times New Roman" w:cs="Times New Roman"/>
          <w:i/>
          <w:sz w:val="24"/>
          <w:szCs w:val="24"/>
        </w:rPr>
        <w:t>Journal of Education Policy</w:t>
      </w:r>
      <w:r w:rsidRPr="00D91CEB">
        <w:rPr>
          <w:rFonts w:ascii="Times New Roman" w:hAnsi="Times New Roman" w:cs="Times New Roman"/>
          <w:sz w:val="24"/>
          <w:szCs w:val="24"/>
        </w:rPr>
        <w:t xml:space="preserve">, </w:t>
      </w:r>
      <w:r w:rsidRPr="00F23ECE">
        <w:rPr>
          <w:rFonts w:ascii="Times New Roman" w:hAnsi="Times New Roman" w:cs="Times New Roman"/>
          <w:i/>
          <w:sz w:val="24"/>
          <w:szCs w:val="24"/>
        </w:rPr>
        <w:t>32</w:t>
      </w:r>
      <w:r w:rsidRPr="00D91CEB">
        <w:rPr>
          <w:rFonts w:ascii="Times New Roman" w:hAnsi="Times New Roman" w:cs="Times New Roman"/>
          <w:sz w:val="24"/>
          <w:szCs w:val="24"/>
        </w:rPr>
        <w:t>(5), 638-641.</w:t>
      </w:r>
    </w:p>
    <w:p w14:paraId="0A2F33C1" w14:textId="2E11CE5A" w:rsidR="008C6258" w:rsidRPr="00345210" w:rsidRDefault="008C6258" w:rsidP="001C1AAE">
      <w:pPr>
        <w:autoSpaceDE w:val="0"/>
        <w:autoSpaceDN w:val="0"/>
        <w:adjustRightInd w:val="0"/>
        <w:spacing w:after="120" w:line="360" w:lineRule="auto"/>
        <w:ind w:left="340" w:hanging="340"/>
        <w:rPr>
          <w:rFonts w:ascii="Times New Roman" w:hAnsi="Times New Roman" w:cs="Times New Roman"/>
          <w:sz w:val="24"/>
          <w:szCs w:val="24"/>
        </w:rPr>
      </w:pPr>
      <w:r w:rsidRPr="004D551B">
        <w:rPr>
          <w:rFonts w:ascii="Times New Roman" w:hAnsi="Times New Roman" w:cs="Times New Roman"/>
          <w:sz w:val="24"/>
          <w:szCs w:val="24"/>
        </w:rPr>
        <w:t>Gibbons, S.</w:t>
      </w:r>
      <w:r w:rsidRPr="004D551B">
        <w:rPr>
          <w:rFonts w:ascii="Times New Roman" w:eastAsia="MAGDB B+ MTSY" w:hAnsi="Times New Roman" w:cs="Times New Roman"/>
          <w:sz w:val="24"/>
          <w:szCs w:val="24"/>
        </w:rPr>
        <w:t xml:space="preserve">, </w:t>
      </w:r>
      <w:proofErr w:type="spellStart"/>
      <w:r w:rsidRPr="004D551B">
        <w:rPr>
          <w:rFonts w:ascii="Times New Roman" w:eastAsia="MAGDB B+ MTSY" w:hAnsi="Times New Roman" w:cs="Times New Roman"/>
          <w:sz w:val="24"/>
          <w:szCs w:val="24"/>
        </w:rPr>
        <w:t>Neuma</w:t>
      </w:r>
      <w:r w:rsidR="007550D9" w:rsidRPr="001A18BD">
        <w:rPr>
          <w:rFonts w:ascii="Times New Roman" w:eastAsia="MAGDB B+ MTSY" w:hAnsi="Times New Roman" w:cs="Times New Roman"/>
          <w:sz w:val="24"/>
          <w:szCs w:val="24"/>
        </w:rPr>
        <w:t>yer</w:t>
      </w:r>
      <w:proofErr w:type="spellEnd"/>
      <w:r w:rsidR="007550D9" w:rsidRPr="001A18BD">
        <w:rPr>
          <w:rFonts w:ascii="Times New Roman" w:eastAsia="MAGDB B+ MTSY" w:hAnsi="Times New Roman" w:cs="Times New Roman"/>
          <w:sz w:val="24"/>
          <w:szCs w:val="24"/>
        </w:rPr>
        <w:t xml:space="preserve">, E., </w:t>
      </w:r>
      <w:r w:rsidR="008C02C8">
        <w:rPr>
          <w:rFonts w:ascii="Times New Roman" w:eastAsia="MAGDB B+ MTSY" w:hAnsi="Times New Roman" w:cs="Times New Roman"/>
          <w:sz w:val="24"/>
          <w:szCs w:val="24"/>
        </w:rPr>
        <w:t>&amp;</w:t>
      </w:r>
      <w:r w:rsidR="007550D9" w:rsidRPr="001A18BD">
        <w:rPr>
          <w:rFonts w:ascii="Times New Roman" w:eastAsia="MAGDB B+ MTSY" w:hAnsi="Times New Roman" w:cs="Times New Roman"/>
          <w:sz w:val="24"/>
          <w:szCs w:val="24"/>
        </w:rPr>
        <w:t xml:space="preserve"> Perkins, R. (2015)</w:t>
      </w:r>
      <w:r w:rsidR="00D27487" w:rsidRPr="007B21A1">
        <w:rPr>
          <w:rFonts w:ascii="Times New Roman" w:eastAsia="MAGDB B+ MTSY" w:hAnsi="Times New Roman" w:cs="Times New Roman"/>
          <w:sz w:val="24"/>
          <w:szCs w:val="24"/>
        </w:rPr>
        <w:t>.</w:t>
      </w:r>
      <w:r w:rsidRPr="007B21A1">
        <w:rPr>
          <w:rFonts w:ascii="Times New Roman" w:hAnsi="Times New Roman" w:cs="Times New Roman"/>
          <w:sz w:val="24"/>
          <w:szCs w:val="24"/>
        </w:rPr>
        <w:t xml:space="preserve"> Student satisfaction, league tables and university appl</w:t>
      </w:r>
      <w:r w:rsidR="007550D9" w:rsidRPr="007B21A1">
        <w:rPr>
          <w:rFonts w:ascii="Times New Roman" w:hAnsi="Times New Roman" w:cs="Times New Roman"/>
          <w:sz w:val="24"/>
          <w:szCs w:val="24"/>
        </w:rPr>
        <w:t>ications: Evidence from Britain</w:t>
      </w:r>
      <w:r w:rsidR="00D27487" w:rsidRPr="008111E4">
        <w:rPr>
          <w:rFonts w:ascii="Times New Roman" w:hAnsi="Times New Roman" w:cs="Times New Roman"/>
          <w:sz w:val="24"/>
          <w:szCs w:val="24"/>
        </w:rPr>
        <w:t>.</w:t>
      </w:r>
      <w:r w:rsidRPr="008111E4">
        <w:rPr>
          <w:rFonts w:ascii="Times New Roman" w:hAnsi="Times New Roman" w:cs="Times New Roman"/>
          <w:sz w:val="24"/>
          <w:szCs w:val="24"/>
        </w:rPr>
        <w:t xml:space="preserve"> </w:t>
      </w:r>
      <w:r w:rsidRPr="00CE1E94">
        <w:rPr>
          <w:rFonts w:ascii="Times New Roman" w:hAnsi="Times New Roman" w:cs="Times New Roman"/>
          <w:i/>
          <w:sz w:val="24"/>
          <w:szCs w:val="24"/>
        </w:rPr>
        <w:t>Economics of Education Review</w:t>
      </w:r>
      <w:r w:rsidRPr="00CE1E94">
        <w:rPr>
          <w:rFonts w:ascii="Times New Roman" w:hAnsi="Times New Roman" w:cs="Times New Roman"/>
          <w:sz w:val="24"/>
          <w:szCs w:val="24"/>
        </w:rPr>
        <w:t xml:space="preserve">, </w:t>
      </w:r>
      <w:r w:rsidRPr="00F23ECE">
        <w:rPr>
          <w:rFonts w:ascii="Times New Roman" w:hAnsi="Times New Roman" w:cs="Times New Roman"/>
          <w:i/>
          <w:sz w:val="24"/>
          <w:szCs w:val="24"/>
        </w:rPr>
        <w:t>48</w:t>
      </w:r>
      <w:r w:rsidR="007550D9" w:rsidRPr="00345210">
        <w:rPr>
          <w:rFonts w:ascii="Times New Roman" w:hAnsi="Times New Roman" w:cs="Times New Roman"/>
          <w:sz w:val="24"/>
          <w:szCs w:val="24"/>
        </w:rPr>
        <w:t>(2),</w:t>
      </w:r>
      <w:r w:rsidRPr="00345210">
        <w:rPr>
          <w:rFonts w:ascii="Times New Roman" w:hAnsi="Times New Roman" w:cs="Times New Roman"/>
          <w:sz w:val="24"/>
          <w:szCs w:val="24"/>
        </w:rPr>
        <w:t xml:space="preserve"> 148-164.</w:t>
      </w:r>
    </w:p>
    <w:p w14:paraId="23E9C435" w14:textId="5A18E8D7" w:rsidR="00932A60" w:rsidRPr="00932A60" w:rsidRDefault="00D86530" w:rsidP="001C1AAE">
      <w:pPr>
        <w:autoSpaceDE w:val="0"/>
        <w:autoSpaceDN w:val="0"/>
        <w:adjustRightInd w:val="0"/>
        <w:spacing w:after="120" w:line="360" w:lineRule="auto"/>
        <w:ind w:left="340" w:hanging="340"/>
        <w:rPr>
          <w:rFonts w:ascii="Times New Roman" w:hAnsi="Times New Roman" w:cs="Times New Roman"/>
          <w:sz w:val="24"/>
          <w:szCs w:val="24"/>
        </w:rPr>
      </w:pPr>
      <w:proofErr w:type="spellStart"/>
      <w:r w:rsidRPr="00932A60">
        <w:rPr>
          <w:rFonts w:ascii="Times New Roman" w:hAnsi="Times New Roman" w:cs="Times New Roman"/>
          <w:sz w:val="24"/>
          <w:szCs w:val="24"/>
        </w:rPr>
        <w:lastRenderedPageBreak/>
        <w:t>Harney</w:t>
      </w:r>
      <w:proofErr w:type="spellEnd"/>
      <w:r w:rsidRPr="00932A60">
        <w:rPr>
          <w:rFonts w:ascii="Times New Roman" w:hAnsi="Times New Roman" w:cs="Times New Roman"/>
          <w:sz w:val="24"/>
          <w:szCs w:val="24"/>
        </w:rPr>
        <w:t>, S</w:t>
      </w:r>
      <w:r w:rsidR="008C02C8" w:rsidRPr="00932A60">
        <w:rPr>
          <w:rFonts w:ascii="Times New Roman" w:hAnsi="Times New Roman" w:cs="Times New Roman"/>
          <w:sz w:val="24"/>
          <w:szCs w:val="24"/>
        </w:rPr>
        <w:t>., &amp;</w:t>
      </w:r>
      <w:r w:rsidRPr="00932A60">
        <w:rPr>
          <w:rFonts w:ascii="Times New Roman" w:hAnsi="Times New Roman" w:cs="Times New Roman"/>
          <w:sz w:val="24"/>
          <w:szCs w:val="24"/>
        </w:rPr>
        <w:t xml:space="preserve"> Moten, F</w:t>
      </w:r>
      <w:r w:rsidR="008C02C8" w:rsidRPr="00932A60">
        <w:rPr>
          <w:rFonts w:ascii="Times New Roman" w:hAnsi="Times New Roman" w:cs="Times New Roman"/>
          <w:sz w:val="24"/>
          <w:szCs w:val="24"/>
        </w:rPr>
        <w:t>.</w:t>
      </w:r>
      <w:r w:rsidRPr="00932A60">
        <w:rPr>
          <w:rFonts w:ascii="Times New Roman" w:hAnsi="Times New Roman" w:cs="Times New Roman"/>
          <w:sz w:val="24"/>
          <w:szCs w:val="24"/>
        </w:rPr>
        <w:t xml:space="preserve"> (2013)</w:t>
      </w:r>
      <w:r w:rsidR="008C02C8" w:rsidRPr="00932A60">
        <w:rPr>
          <w:rFonts w:ascii="Times New Roman" w:hAnsi="Times New Roman" w:cs="Times New Roman"/>
          <w:sz w:val="24"/>
          <w:szCs w:val="24"/>
        </w:rPr>
        <w:t>.</w:t>
      </w:r>
      <w:r w:rsidRPr="00932A60">
        <w:rPr>
          <w:rFonts w:ascii="Times New Roman" w:hAnsi="Times New Roman" w:cs="Times New Roman"/>
          <w:sz w:val="24"/>
          <w:szCs w:val="24"/>
        </w:rPr>
        <w:t xml:space="preserve"> </w:t>
      </w:r>
      <w:r w:rsidRPr="00932A60">
        <w:rPr>
          <w:rFonts w:ascii="Times New Roman" w:hAnsi="Times New Roman" w:cs="Times New Roman"/>
          <w:i/>
          <w:sz w:val="24"/>
          <w:szCs w:val="24"/>
        </w:rPr>
        <w:t xml:space="preserve">The </w:t>
      </w:r>
      <w:proofErr w:type="spellStart"/>
      <w:r w:rsidRPr="00932A60">
        <w:rPr>
          <w:rFonts w:ascii="Times New Roman" w:hAnsi="Times New Roman" w:cs="Times New Roman"/>
          <w:i/>
          <w:sz w:val="24"/>
          <w:szCs w:val="24"/>
        </w:rPr>
        <w:t>Undercommons</w:t>
      </w:r>
      <w:proofErr w:type="spellEnd"/>
      <w:r w:rsidR="00932A60" w:rsidRPr="00932A60">
        <w:rPr>
          <w:rFonts w:ascii="Times New Roman" w:hAnsi="Times New Roman" w:cs="Times New Roman"/>
          <w:i/>
          <w:sz w:val="24"/>
          <w:szCs w:val="24"/>
        </w:rPr>
        <w:t xml:space="preserve">: Fugitive Planning and Black Study. </w:t>
      </w:r>
      <w:r w:rsidR="00932A60" w:rsidRPr="00932A60">
        <w:rPr>
          <w:rFonts w:ascii="Times New Roman" w:hAnsi="Times New Roman" w:cs="Times New Roman"/>
          <w:sz w:val="24"/>
          <w:szCs w:val="24"/>
        </w:rPr>
        <w:t xml:space="preserve">Research Collection Lee Kong </w:t>
      </w:r>
      <w:proofErr w:type="spellStart"/>
      <w:r w:rsidR="00932A60" w:rsidRPr="00932A60">
        <w:rPr>
          <w:rFonts w:ascii="Times New Roman" w:hAnsi="Times New Roman" w:cs="Times New Roman"/>
          <w:sz w:val="24"/>
          <w:szCs w:val="24"/>
        </w:rPr>
        <w:t>Chian</w:t>
      </w:r>
      <w:proofErr w:type="spellEnd"/>
      <w:r w:rsidR="00932A60" w:rsidRPr="00932A60">
        <w:rPr>
          <w:rFonts w:ascii="Times New Roman" w:hAnsi="Times New Roman" w:cs="Times New Roman"/>
          <w:sz w:val="24"/>
          <w:szCs w:val="24"/>
        </w:rPr>
        <w:t xml:space="preserve"> School of Business</w:t>
      </w:r>
      <w:r w:rsidR="00932A60" w:rsidRPr="00932A60">
        <w:rPr>
          <w:rFonts w:ascii="Times New Roman" w:hAnsi="Times New Roman" w:cs="Times New Roman"/>
          <w:i/>
          <w:sz w:val="24"/>
          <w:szCs w:val="24"/>
        </w:rPr>
        <w:t>.</w:t>
      </w:r>
      <w:r w:rsidR="00932A60" w:rsidRPr="00932A60">
        <w:rPr>
          <w:rFonts w:ascii="Times New Roman" w:hAnsi="Times New Roman" w:cs="Times New Roman"/>
          <w:sz w:val="24"/>
          <w:szCs w:val="24"/>
        </w:rPr>
        <w:t xml:space="preserve"> </w:t>
      </w:r>
    </w:p>
    <w:p w14:paraId="460F89C6" w14:textId="5D1240B2" w:rsidR="00362096" w:rsidRPr="00D91CEB" w:rsidRDefault="00362096" w:rsidP="001C1AAE">
      <w:pPr>
        <w:pStyle w:val="Heading1"/>
        <w:shd w:val="clear" w:color="auto" w:fill="FFFFFF"/>
        <w:spacing w:before="0" w:beforeAutospacing="0" w:line="360" w:lineRule="auto"/>
        <w:rPr>
          <w:b w:val="0"/>
          <w:sz w:val="24"/>
          <w:szCs w:val="24"/>
        </w:rPr>
      </w:pPr>
      <w:r w:rsidRPr="00D91CEB">
        <w:rPr>
          <w:b w:val="0"/>
          <w:sz w:val="24"/>
          <w:szCs w:val="24"/>
        </w:rPr>
        <w:t>Heaney, C.</w:t>
      </w:r>
      <w:r w:rsidR="008C02C8">
        <w:rPr>
          <w:b w:val="0"/>
          <w:sz w:val="24"/>
          <w:szCs w:val="24"/>
        </w:rPr>
        <w:t>, &amp;</w:t>
      </w:r>
      <w:r w:rsidRPr="00D91CEB">
        <w:rPr>
          <w:b w:val="0"/>
          <w:sz w:val="24"/>
          <w:szCs w:val="24"/>
        </w:rPr>
        <w:t xml:space="preserve"> Mackenzie, H. (2017)</w:t>
      </w:r>
      <w:r w:rsidR="008C02C8">
        <w:rPr>
          <w:b w:val="0"/>
          <w:sz w:val="24"/>
          <w:szCs w:val="24"/>
        </w:rPr>
        <w:t>.</w:t>
      </w:r>
      <w:r w:rsidRPr="00D91CEB">
        <w:rPr>
          <w:b w:val="0"/>
          <w:sz w:val="24"/>
          <w:szCs w:val="24"/>
        </w:rPr>
        <w:t xml:space="preserve"> The Teaching Excellence Framework: perpetual pedagogical control in postwelfare capitalism. </w:t>
      </w:r>
      <w:r w:rsidRPr="00D91CEB">
        <w:rPr>
          <w:b w:val="0"/>
          <w:i/>
          <w:sz w:val="24"/>
          <w:szCs w:val="24"/>
        </w:rPr>
        <w:t>Compass: Journal of Learning and Teaching</w:t>
      </w:r>
      <w:r w:rsidR="008C02C8">
        <w:rPr>
          <w:b w:val="0"/>
          <w:i/>
          <w:sz w:val="24"/>
          <w:szCs w:val="24"/>
        </w:rPr>
        <w:t>,</w:t>
      </w:r>
      <w:r w:rsidRPr="00D91CEB">
        <w:rPr>
          <w:b w:val="0"/>
          <w:i/>
          <w:sz w:val="24"/>
          <w:szCs w:val="24"/>
        </w:rPr>
        <w:t xml:space="preserve"> </w:t>
      </w:r>
      <w:r w:rsidRPr="00932A60">
        <w:rPr>
          <w:b w:val="0"/>
          <w:sz w:val="24"/>
          <w:szCs w:val="24"/>
        </w:rPr>
        <w:t>10 (2)</w:t>
      </w:r>
      <w:r w:rsidR="00932A60">
        <w:rPr>
          <w:b w:val="0"/>
          <w:sz w:val="24"/>
          <w:szCs w:val="24"/>
        </w:rPr>
        <w:t>.</w:t>
      </w:r>
    </w:p>
    <w:p w14:paraId="4F5895B8" w14:textId="2932BD88" w:rsidR="00090CAD" w:rsidRPr="00D91CEB" w:rsidRDefault="00090CAD"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James, D. (2015)</w:t>
      </w:r>
      <w:r w:rsidR="008C02C8">
        <w:rPr>
          <w:rFonts w:ascii="Times New Roman" w:hAnsi="Times New Roman" w:cs="Times New Roman"/>
          <w:sz w:val="24"/>
          <w:szCs w:val="24"/>
        </w:rPr>
        <w:t>.</w:t>
      </w:r>
      <w:r w:rsidRPr="00D91CEB">
        <w:rPr>
          <w:rFonts w:ascii="Times New Roman" w:hAnsi="Times New Roman" w:cs="Times New Roman"/>
          <w:sz w:val="24"/>
          <w:szCs w:val="24"/>
        </w:rPr>
        <w:t xml:space="preserve"> How Bourdieu bites back: recognising misrecognition in education and educational research</w:t>
      </w:r>
      <w:r w:rsidR="008C02C8">
        <w:rPr>
          <w:rFonts w:ascii="Times New Roman" w:hAnsi="Times New Roman" w:cs="Times New Roman"/>
          <w:sz w:val="24"/>
          <w:szCs w:val="24"/>
        </w:rPr>
        <w:t>.</w:t>
      </w:r>
      <w:r w:rsidRPr="00D91CEB">
        <w:rPr>
          <w:rFonts w:ascii="Times New Roman" w:hAnsi="Times New Roman" w:cs="Times New Roman"/>
          <w:sz w:val="24"/>
          <w:szCs w:val="24"/>
        </w:rPr>
        <w:t xml:space="preserve"> </w:t>
      </w:r>
      <w:r w:rsidRPr="00F23ECE">
        <w:rPr>
          <w:rFonts w:ascii="Times New Roman" w:hAnsi="Times New Roman" w:cs="Times New Roman"/>
          <w:i/>
          <w:sz w:val="24"/>
          <w:szCs w:val="24"/>
        </w:rPr>
        <w:t>Cambridge Journal of Education</w:t>
      </w:r>
      <w:r w:rsidRPr="00D91CEB">
        <w:rPr>
          <w:rFonts w:ascii="Times New Roman" w:hAnsi="Times New Roman" w:cs="Times New Roman"/>
          <w:sz w:val="24"/>
          <w:szCs w:val="24"/>
        </w:rPr>
        <w:t xml:space="preserve">, </w:t>
      </w:r>
      <w:r w:rsidRPr="00F23ECE">
        <w:rPr>
          <w:rFonts w:ascii="Times New Roman" w:hAnsi="Times New Roman" w:cs="Times New Roman"/>
          <w:i/>
          <w:sz w:val="24"/>
          <w:szCs w:val="24"/>
        </w:rPr>
        <w:t>45</w:t>
      </w:r>
      <w:r w:rsidR="008C02C8">
        <w:rPr>
          <w:rFonts w:ascii="Times New Roman" w:hAnsi="Times New Roman" w:cs="Times New Roman"/>
          <w:sz w:val="24"/>
          <w:szCs w:val="24"/>
        </w:rPr>
        <w:t>(</w:t>
      </w:r>
      <w:r w:rsidRPr="00D91CEB">
        <w:rPr>
          <w:rFonts w:ascii="Times New Roman" w:hAnsi="Times New Roman" w:cs="Times New Roman"/>
          <w:sz w:val="24"/>
          <w:szCs w:val="24"/>
        </w:rPr>
        <w:t>1</w:t>
      </w:r>
      <w:r w:rsidR="008C02C8">
        <w:rPr>
          <w:rFonts w:ascii="Times New Roman" w:hAnsi="Times New Roman" w:cs="Times New Roman"/>
          <w:sz w:val="24"/>
          <w:szCs w:val="24"/>
        </w:rPr>
        <w:t>)</w:t>
      </w:r>
      <w:r w:rsidRPr="00D91CEB">
        <w:rPr>
          <w:rFonts w:ascii="Times New Roman" w:hAnsi="Times New Roman" w:cs="Times New Roman"/>
          <w:sz w:val="24"/>
          <w:szCs w:val="24"/>
        </w:rPr>
        <w:t>, 97-112</w:t>
      </w:r>
      <w:r w:rsidR="008C02C8">
        <w:rPr>
          <w:rFonts w:ascii="Times New Roman" w:hAnsi="Times New Roman" w:cs="Times New Roman"/>
          <w:sz w:val="24"/>
          <w:szCs w:val="24"/>
        </w:rPr>
        <w:t>.</w:t>
      </w:r>
    </w:p>
    <w:p w14:paraId="0E6F3F8D" w14:textId="3B84BACF" w:rsidR="008C6258" w:rsidRPr="00D91CEB" w:rsidRDefault="007550D9" w:rsidP="001C1AAE">
      <w:pPr>
        <w:autoSpaceDE w:val="0"/>
        <w:autoSpaceDN w:val="0"/>
        <w:adjustRightInd w:val="0"/>
        <w:spacing w:after="120" w:line="360" w:lineRule="auto"/>
        <w:ind w:left="340" w:hanging="340"/>
        <w:rPr>
          <w:rFonts w:ascii="Times New Roman" w:hAnsi="Times New Roman" w:cs="Times New Roman"/>
          <w:color w:val="222222"/>
          <w:sz w:val="24"/>
          <w:szCs w:val="24"/>
          <w:shd w:val="clear" w:color="auto" w:fill="FFFFFF"/>
        </w:rPr>
      </w:pPr>
      <w:r w:rsidRPr="00D91CEB">
        <w:rPr>
          <w:rFonts w:ascii="Times New Roman" w:hAnsi="Times New Roman" w:cs="Times New Roman"/>
          <w:color w:val="222222"/>
          <w:sz w:val="24"/>
          <w:szCs w:val="24"/>
          <w:shd w:val="clear" w:color="auto" w:fill="FFFFFF"/>
        </w:rPr>
        <w:t>Keep, E.</w:t>
      </w:r>
      <w:r w:rsidR="008C02C8">
        <w:rPr>
          <w:rFonts w:ascii="Times New Roman" w:hAnsi="Times New Roman" w:cs="Times New Roman"/>
          <w:color w:val="222222"/>
          <w:sz w:val="24"/>
          <w:szCs w:val="24"/>
          <w:shd w:val="clear" w:color="auto" w:fill="FFFFFF"/>
        </w:rPr>
        <w:t>, &amp;</w:t>
      </w:r>
      <w:r w:rsidRPr="00D91CEB">
        <w:rPr>
          <w:rFonts w:ascii="Times New Roman" w:hAnsi="Times New Roman" w:cs="Times New Roman"/>
          <w:color w:val="222222"/>
          <w:sz w:val="24"/>
          <w:szCs w:val="24"/>
          <w:shd w:val="clear" w:color="auto" w:fill="FFFFFF"/>
        </w:rPr>
        <w:t xml:space="preserve"> Mayhew, K. (2014)</w:t>
      </w:r>
      <w:r w:rsidR="00D27487" w:rsidRPr="00D91CEB">
        <w:rPr>
          <w:rFonts w:ascii="Times New Roman" w:hAnsi="Times New Roman" w:cs="Times New Roman"/>
          <w:color w:val="222222"/>
          <w:sz w:val="24"/>
          <w:szCs w:val="24"/>
          <w:shd w:val="clear" w:color="auto" w:fill="FFFFFF"/>
        </w:rPr>
        <w:t>.</w:t>
      </w:r>
      <w:r w:rsidR="008C6258" w:rsidRPr="00D91CEB">
        <w:rPr>
          <w:rFonts w:ascii="Times New Roman" w:hAnsi="Times New Roman" w:cs="Times New Roman"/>
          <w:color w:val="222222"/>
          <w:sz w:val="24"/>
          <w:szCs w:val="24"/>
          <w:shd w:val="clear" w:color="auto" w:fill="FFFFFF"/>
        </w:rPr>
        <w:t xml:space="preserve"> Inequality–‘wicked problems’, labour market outcomes an</w:t>
      </w:r>
      <w:r w:rsidRPr="00D91CEB">
        <w:rPr>
          <w:rFonts w:ascii="Times New Roman" w:hAnsi="Times New Roman" w:cs="Times New Roman"/>
          <w:color w:val="222222"/>
          <w:sz w:val="24"/>
          <w:szCs w:val="24"/>
          <w:shd w:val="clear" w:color="auto" w:fill="FFFFFF"/>
        </w:rPr>
        <w:t>d the search for silver bullets</w:t>
      </w:r>
      <w:r w:rsidR="00D27487" w:rsidRPr="00D91CEB">
        <w:rPr>
          <w:rFonts w:ascii="Times New Roman" w:hAnsi="Times New Roman" w:cs="Times New Roman"/>
          <w:color w:val="222222"/>
          <w:sz w:val="24"/>
          <w:szCs w:val="24"/>
          <w:shd w:val="clear" w:color="auto" w:fill="FFFFFF"/>
        </w:rPr>
        <w:t>.</w:t>
      </w:r>
      <w:r w:rsidR="008C02C8">
        <w:rPr>
          <w:rFonts w:ascii="Times New Roman" w:hAnsi="Times New Roman" w:cs="Times New Roman"/>
          <w:color w:val="222222"/>
          <w:sz w:val="24"/>
          <w:szCs w:val="24"/>
          <w:shd w:val="clear" w:color="auto" w:fill="FFFFFF"/>
        </w:rPr>
        <w:t xml:space="preserve"> </w:t>
      </w:r>
      <w:r w:rsidR="008C6258" w:rsidRPr="00D91CEB">
        <w:rPr>
          <w:rFonts w:ascii="Times New Roman" w:hAnsi="Times New Roman" w:cs="Times New Roman"/>
          <w:i/>
          <w:iCs/>
          <w:color w:val="222222"/>
          <w:sz w:val="24"/>
          <w:szCs w:val="24"/>
          <w:shd w:val="clear" w:color="auto" w:fill="FFFFFF"/>
        </w:rPr>
        <w:t>Oxford Review of Education</w:t>
      </w:r>
      <w:r w:rsidR="008C6258" w:rsidRPr="00D91CEB">
        <w:rPr>
          <w:rFonts w:ascii="Times New Roman" w:hAnsi="Times New Roman" w:cs="Times New Roman"/>
          <w:color w:val="222222"/>
          <w:sz w:val="24"/>
          <w:szCs w:val="24"/>
          <w:shd w:val="clear" w:color="auto" w:fill="FFFFFF"/>
        </w:rPr>
        <w:t>,</w:t>
      </w:r>
      <w:r w:rsidR="008C02C8">
        <w:rPr>
          <w:rFonts w:ascii="Times New Roman" w:hAnsi="Times New Roman" w:cs="Times New Roman"/>
          <w:color w:val="222222"/>
          <w:sz w:val="24"/>
          <w:szCs w:val="24"/>
          <w:shd w:val="clear" w:color="auto" w:fill="FFFFFF"/>
        </w:rPr>
        <w:t xml:space="preserve"> </w:t>
      </w:r>
      <w:r w:rsidR="008C6258" w:rsidRPr="00F23ECE">
        <w:rPr>
          <w:rFonts w:ascii="Times New Roman" w:hAnsi="Times New Roman" w:cs="Times New Roman"/>
          <w:i/>
          <w:iCs/>
          <w:color w:val="222222"/>
          <w:sz w:val="24"/>
          <w:szCs w:val="24"/>
          <w:shd w:val="clear" w:color="auto" w:fill="FFFFFF"/>
        </w:rPr>
        <w:t>40</w:t>
      </w:r>
      <w:r w:rsidRPr="00D91CEB">
        <w:rPr>
          <w:rFonts w:ascii="Times New Roman" w:hAnsi="Times New Roman" w:cs="Times New Roman"/>
          <w:color w:val="222222"/>
          <w:sz w:val="24"/>
          <w:szCs w:val="24"/>
          <w:shd w:val="clear" w:color="auto" w:fill="FFFFFF"/>
        </w:rPr>
        <w:t>(6),</w:t>
      </w:r>
      <w:r w:rsidR="008C6258" w:rsidRPr="00D91CEB">
        <w:rPr>
          <w:rFonts w:ascii="Times New Roman" w:hAnsi="Times New Roman" w:cs="Times New Roman"/>
          <w:color w:val="222222"/>
          <w:sz w:val="24"/>
          <w:szCs w:val="24"/>
          <w:shd w:val="clear" w:color="auto" w:fill="FFFFFF"/>
        </w:rPr>
        <w:t xml:space="preserve"> 764-781.</w:t>
      </w:r>
    </w:p>
    <w:p w14:paraId="4E41BCD1" w14:textId="4AF57810" w:rsidR="006B220E" w:rsidRPr="00D91CEB" w:rsidRDefault="006F7E64" w:rsidP="006B220E">
      <w:pPr>
        <w:autoSpaceDE w:val="0"/>
        <w:autoSpaceDN w:val="0"/>
        <w:adjustRightInd w:val="0"/>
        <w:spacing w:after="120" w:line="360" w:lineRule="auto"/>
        <w:ind w:left="340" w:hanging="340"/>
        <w:rPr>
          <w:rFonts w:ascii="Times New Roman" w:hAnsi="Times New Roman" w:cs="Times New Roman"/>
          <w:sz w:val="24"/>
          <w:szCs w:val="24"/>
        </w:rPr>
      </w:pPr>
      <w:r w:rsidRPr="001370E9">
        <w:rPr>
          <w:rFonts w:ascii="Times New Roman" w:hAnsi="Times New Roman" w:cs="Times New Roman"/>
          <w:sz w:val="24"/>
          <w:szCs w:val="24"/>
        </w:rPr>
        <w:t>Lauder, H.</w:t>
      </w:r>
      <w:r w:rsidR="006B220E">
        <w:rPr>
          <w:rFonts w:ascii="Times New Roman" w:hAnsi="Times New Roman" w:cs="Times New Roman"/>
          <w:sz w:val="24"/>
          <w:szCs w:val="24"/>
        </w:rPr>
        <w:t>,</w:t>
      </w:r>
      <w:r w:rsidRPr="001370E9">
        <w:rPr>
          <w:rFonts w:ascii="Times New Roman" w:hAnsi="Times New Roman" w:cs="Times New Roman"/>
          <w:sz w:val="24"/>
          <w:szCs w:val="24"/>
        </w:rPr>
        <w:t xml:space="preserve"> Young, M.</w:t>
      </w:r>
      <w:r w:rsidR="006B220E">
        <w:rPr>
          <w:rFonts w:ascii="Times New Roman" w:hAnsi="Times New Roman" w:cs="Times New Roman"/>
          <w:sz w:val="24"/>
          <w:szCs w:val="24"/>
        </w:rPr>
        <w:t>,</w:t>
      </w:r>
      <w:r w:rsidRPr="001370E9">
        <w:rPr>
          <w:rFonts w:ascii="Times New Roman" w:hAnsi="Times New Roman" w:cs="Times New Roman"/>
          <w:sz w:val="24"/>
          <w:szCs w:val="24"/>
        </w:rPr>
        <w:t xml:space="preserve"> Daniels, H.</w:t>
      </w:r>
      <w:r w:rsidR="006B220E">
        <w:rPr>
          <w:rFonts w:ascii="Times New Roman" w:hAnsi="Times New Roman" w:cs="Times New Roman"/>
          <w:sz w:val="24"/>
          <w:szCs w:val="24"/>
        </w:rPr>
        <w:t>,</w:t>
      </w:r>
      <w:r w:rsidRPr="001370E9">
        <w:rPr>
          <w:rFonts w:ascii="Times New Roman" w:hAnsi="Times New Roman" w:cs="Times New Roman"/>
          <w:sz w:val="24"/>
          <w:szCs w:val="24"/>
        </w:rPr>
        <w:t xml:space="preserve"> </w:t>
      </w:r>
      <w:proofErr w:type="spellStart"/>
      <w:r w:rsidRPr="001370E9">
        <w:rPr>
          <w:rFonts w:ascii="Times New Roman" w:hAnsi="Times New Roman" w:cs="Times New Roman"/>
          <w:sz w:val="24"/>
          <w:szCs w:val="24"/>
        </w:rPr>
        <w:t>Balarin</w:t>
      </w:r>
      <w:proofErr w:type="spellEnd"/>
      <w:r w:rsidRPr="001370E9">
        <w:rPr>
          <w:rFonts w:ascii="Times New Roman" w:hAnsi="Times New Roman" w:cs="Times New Roman"/>
          <w:sz w:val="24"/>
          <w:szCs w:val="24"/>
        </w:rPr>
        <w:t>, M</w:t>
      </w:r>
      <w:r w:rsidR="006B220E">
        <w:rPr>
          <w:rFonts w:ascii="Times New Roman" w:hAnsi="Times New Roman" w:cs="Times New Roman"/>
          <w:sz w:val="24"/>
          <w:szCs w:val="24"/>
        </w:rPr>
        <w:t>.,</w:t>
      </w:r>
      <w:r w:rsidRPr="001370E9">
        <w:rPr>
          <w:rFonts w:ascii="Times New Roman" w:hAnsi="Times New Roman" w:cs="Times New Roman"/>
          <w:sz w:val="24"/>
          <w:szCs w:val="24"/>
        </w:rPr>
        <w:t xml:space="preserve"> &amp; Lowe, J. (2012)</w:t>
      </w:r>
      <w:r w:rsidR="006B220E">
        <w:rPr>
          <w:rFonts w:ascii="Times New Roman" w:hAnsi="Times New Roman" w:cs="Times New Roman"/>
          <w:sz w:val="24"/>
          <w:szCs w:val="24"/>
        </w:rPr>
        <w:t>.</w:t>
      </w:r>
      <w:r w:rsidRPr="001370E9">
        <w:rPr>
          <w:rFonts w:ascii="Times New Roman" w:hAnsi="Times New Roman" w:cs="Times New Roman"/>
          <w:sz w:val="24"/>
          <w:szCs w:val="24"/>
        </w:rPr>
        <w:t xml:space="preserve"> </w:t>
      </w:r>
      <w:r w:rsidRPr="001370E9">
        <w:rPr>
          <w:rFonts w:ascii="Times New Roman" w:hAnsi="Times New Roman" w:cs="Times New Roman"/>
          <w:i/>
          <w:sz w:val="24"/>
          <w:szCs w:val="24"/>
        </w:rPr>
        <w:t xml:space="preserve">Educating for the knowledge </w:t>
      </w:r>
      <w:proofErr w:type="gramStart"/>
      <w:r w:rsidRPr="001370E9">
        <w:rPr>
          <w:rFonts w:ascii="Times New Roman" w:hAnsi="Times New Roman" w:cs="Times New Roman"/>
          <w:i/>
          <w:sz w:val="24"/>
          <w:szCs w:val="24"/>
        </w:rPr>
        <w:t>economy</w:t>
      </w:r>
      <w:r w:rsidRPr="001370E9">
        <w:rPr>
          <w:rFonts w:ascii="Times New Roman" w:hAnsi="Times New Roman" w:cs="Times New Roman"/>
          <w:sz w:val="24"/>
          <w:szCs w:val="24"/>
        </w:rPr>
        <w:t>?</w:t>
      </w:r>
      <w:r w:rsidR="006B220E">
        <w:rPr>
          <w:rFonts w:ascii="Times New Roman" w:hAnsi="Times New Roman" w:cs="Times New Roman"/>
          <w:sz w:val="24"/>
          <w:szCs w:val="24"/>
        </w:rPr>
        <w:t>.</w:t>
      </w:r>
      <w:proofErr w:type="gramEnd"/>
      <w:r w:rsidRPr="001370E9">
        <w:rPr>
          <w:rFonts w:ascii="Times New Roman" w:hAnsi="Times New Roman" w:cs="Times New Roman"/>
          <w:sz w:val="24"/>
          <w:szCs w:val="24"/>
        </w:rPr>
        <w:t xml:space="preserve"> London: Routledge.</w:t>
      </w:r>
      <w:r w:rsidR="006B220E" w:rsidRPr="006B220E">
        <w:rPr>
          <w:rFonts w:ascii="Times New Roman" w:hAnsi="Times New Roman" w:cs="Times New Roman"/>
          <w:sz w:val="24"/>
          <w:szCs w:val="24"/>
        </w:rPr>
        <w:t xml:space="preserve"> </w:t>
      </w:r>
    </w:p>
    <w:p w14:paraId="460BEB5C" w14:textId="5250F154" w:rsidR="006B220E" w:rsidRPr="00D91CEB" w:rsidRDefault="003525A6" w:rsidP="006B220E">
      <w:pPr>
        <w:autoSpaceDE w:val="0"/>
        <w:autoSpaceDN w:val="0"/>
        <w:adjustRightInd w:val="0"/>
        <w:spacing w:after="120" w:line="360" w:lineRule="auto"/>
        <w:ind w:left="340" w:hanging="340"/>
        <w:rPr>
          <w:rFonts w:ascii="Times New Roman" w:hAnsi="Times New Roman" w:cs="Times New Roman"/>
          <w:sz w:val="24"/>
          <w:szCs w:val="24"/>
        </w:rPr>
      </w:pPr>
      <w:proofErr w:type="spellStart"/>
      <w:r w:rsidRPr="00F23ECE">
        <w:rPr>
          <w:rFonts w:ascii="Times New Roman" w:hAnsi="Times New Roman" w:cs="Times New Roman"/>
          <w:sz w:val="24"/>
          <w:szCs w:val="24"/>
        </w:rPr>
        <w:t>M</w:t>
      </w:r>
      <w:r w:rsidR="008C02C8" w:rsidRPr="00F23ECE">
        <w:rPr>
          <w:rFonts w:ascii="Times New Roman" w:hAnsi="Times New Roman" w:cs="Times New Roman"/>
          <w:sz w:val="24"/>
          <w:szCs w:val="24"/>
        </w:rPr>
        <w:t>arginson</w:t>
      </w:r>
      <w:proofErr w:type="spellEnd"/>
      <w:r w:rsidRPr="00F23ECE">
        <w:rPr>
          <w:rFonts w:ascii="Times New Roman" w:hAnsi="Times New Roman" w:cs="Times New Roman"/>
          <w:sz w:val="24"/>
          <w:szCs w:val="24"/>
        </w:rPr>
        <w:t>, S. (2013)</w:t>
      </w:r>
      <w:r w:rsidR="008C02C8" w:rsidRPr="00F23ECE">
        <w:rPr>
          <w:rFonts w:ascii="Times New Roman" w:hAnsi="Times New Roman" w:cs="Times New Roman"/>
          <w:sz w:val="24"/>
          <w:szCs w:val="24"/>
        </w:rPr>
        <w:t>.</w:t>
      </w:r>
      <w:r w:rsidRPr="00F23ECE">
        <w:rPr>
          <w:rFonts w:ascii="Times New Roman" w:hAnsi="Times New Roman" w:cs="Times New Roman"/>
          <w:sz w:val="24"/>
          <w:szCs w:val="24"/>
        </w:rPr>
        <w:t xml:space="preserve"> The impossibility of capitalist markets in higher education. </w:t>
      </w:r>
      <w:r w:rsidRPr="00F23ECE">
        <w:rPr>
          <w:rFonts w:ascii="Times New Roman" w:hAnsi="Times New Roman" w:cs="Times New Roman"/>
          <w:i/>
          <w:sz w:val="24"/>
          <w:szCs w:val="24"/>
        </w:rPr>
        <w:t>Journal of Education Policy</w:t>
      </w:r>
      <w:r w:rsidRPr="00F23ECE">
        <w:rPr>
          <w:rFonts w:ascii="Times New Roman" w:hAnsi="Times New Roman" w:cs="Times New Roman"/>
          <w:sz w:val="24"/>
          <w:szCs w:val="24"/>
        </w:rPr>
        <w:t xml:space="preserve">, </w:t>
      </w:r>
      <w:r w:rsidRPr="00F23ECE">
        <w:rPr>
          <w:rFonts w:ascii="Times New Roman" w:hAnsi="Times New Roman" w:cs="Times New Roman"/>
          <w:i/>
          <w:sz w:val="24"/>
          <w:szCs w:val="24"/>
        </w:rPr>
        <w:t>28</w:t>
      </w:r>
      <w:r w:rsidRPr="00F23ECE">
        <w:rPr>
          <w:rFonts w:ascii="Times New Roman" w:hAnsi="Times New Roman" w:cs="Times New Roman"/>
          <w:sz w:val="24"/>
          <w:szCs w:val="24"/>
        </w:rPr>
        <w:t>(3), 353-370.</w:t>
      </w:r>
      <w:r w:rsidR="006B220E" w:rsidRPr="006B220E">
        <w:rPr>
          <w:rFonts w:ascii="Times New Roman" w:hAnsi="Times New Roman" w:cs="Times New Roman"/>
          <w:sz w:val="24"/>
          <w:szCs w:val="24"/>
        </w:rPr>
        <w:t xml:space="preserve"> </w:t>
      </w:r>
    </w:p>
    <w:p w14:paraId="4E421812" w14:textId="588E7F12" w:rsidR="008C6258" w:rsidRPr="00D91CEB" w:rsidRDefault="007550D9"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March, J.</w:t>
      </w:r>
      <w:r w:rsidR="008C02C8">
        <w:rPr>
          <w:rFonts w:ascii="Times New Roman" w:hAnsi="Times New Roman" w:cs="Times New Roman"/>
          <w:sz w:val="24"/>
          <w:szCs w:val="24"/>
        </w:rPr>
        <w:t xml:space="preserve"> </w:t>
      </w:r>
      <w:r w:rsidRPr="00D91CEB">
        <w:rPr>
          <w:rFonts w:ascii="Times New Roman" w:hAnsi="Times New Roman" w:cs="Times New Roman"/>
          <w:sz w:val="24"/>
          <w:szCs w:val="24"/>
        </w:rPr>
        <w:t>G. (1996)</w:t>
      </w:r>
      <w:r w:rsidR="00D27487" w:rsidRPr="00D91CEB">
        <w:rPr>
          <w:rFonts w:ascii="Times New Roman" w:hAnsi="Times New Roman" w:cs="Times New Roman"/>
          <w:sz w:val="24"/>
          <w:szCs w:val="24"/>
        </w:rPr>
        <w:t>.</w:t>
      </w:r>
      <w:r w:rsidR="008C6258" w:rsidRPr="00D91CEB">
        <w:rPr>
          <w:rFonts w:ascii="Times New Roman" w:hAnsi="Times New Roman" w:cs="Times New Roman"/>
          <w:sz w:val="24"/>
          <w:szCs w:val="24"/>
        </w:rPr>
        <w:t xml:space="preserve"> Continuity and Change in Th</w:t>
      </w:r>
      <w:r w:rsidRPr="00D91CEB">
        <w:rPr>
          <w:rFonts w:ascii="Times New Roman" w:hAnsi="Times New Roman" w:cs="Times New Roman"/>
          <w:sz w:val="24"/>
          <w:szCs w:val="24"/>
        </w:rPr>
        <w:t>eories of Organizational Action</w:t>
      </w:r>
      <w:r w:rsidR="008C6258" w:rsidRPr="00D91CEB">
        <w:rPr>
          <w:rFonts w:ascii="Times New Roman" w:hAnsi="Times New Roman" w:cs="Times New Roman"/>
          <w:sz w:val="24"/>
          <w:szCs w:val="24"/>
        </w:rPr>
        <w:t xml:space="preserve">, </w:t>
      </w:r>
      <w:r w:rsidR="008C6258" w:rsidRPr="00D91CEB">
        <w:rPr>
          <w:rFonts w:ascii="Times New Roman" w:hAnsi="Times New Roman" w:cs="Times New Roman"/>
          <w:bCs/>
          <w:i/>
          <w:iCs/>
          <w:sz w:val="24"/>
          <w:szCs w:val="24"/>
        </w:rPr>
        <w:t>Administrative Science Quarterly</w:t>
      </w:r>
      <w:r w:rsidR="008C02C8">
        <w:rPr>
          <w:rFonts w:ascii="Times New Roman" w:hAnsi="Times New Roman" w:cs="Times New Roman"/>
          <w:bCs/>
          <w:i/>
          <w:iCs/>
          <w:sz w:val="24"/>
          <w:szCs w:val="24"/>
        </w:rPr>
        <w:t>,</w:t>
      </w:r>
      <w:r w:rsidR="008C6258" w:rsidRPr="00D91CEB">
        <w:rPr>
          <w:rFonts w:ascii="Times New Roman" w:hAnsi="Times New Roman" w:cs="Times New Roman"/>
          <w:bCs/>
          <w:i/>
          <w:iCs/>
          <w:sz w:val="24"/>
          <w:szCs w:val="24"/>
        </w:rPr>
        <w:t xml:space="preserve"> </w:t>
      </w:r>
      <w:r w:rsidRPr="00F23ECE">
        <w:rPr>
          <w:rFonts w:ascii="Times New Roman" w:hAnsi="Times New Roman" w:cs="Times New Roman"/>
          <w:i/>
          <w:sz w:val="24"/>
          <w:szCs w:val="24"/>
        </w:rPr>
        <w:t>41</w:t>
      </w:r>
      <w:r w:rsidRPr="00D91CEB">
        <w:rPr>
          <w:rFonts w:ascii="Times New Roman" w:hAnsi="Times New Roman" w:cs="Times New Roman"/>
          <w:sz w:val="24"/>
          <w:szCs w:val="24"/>
        </w:rPr>
        <w:t>(2),</w:t>
      </w:r>
      <w:r w:rsidR="008C6258" w:rsidRPr="00D91CEB">
        <w:rPr>
          <w:rFonts w:ascii="Times New Roman" w:hAnsi="Times New Roman" w:cs="Times New Roman"/>
          <w:sz w:val="24"/>
          <w:szCs w:val="24"/>
        </w:rPr>
        <w:t xml:space="preserve"> 278–287.</w:t>
      </w:r>
    </w:p>
    <w:p w14:paraId="2113D5B2" w14:textId="64E59621" w:rsidR="005753E3" w:rsidRPr="00F23ECE" w:rsidRDefault="005753E3" w:rsidP="001C1AAE">
      <w:pPr>
        <w:autoSpaceDE w:val="0"/>
        <w:autoSpaceDN w:val="0"/>
        <w:adjustRightInd w:val="0"/>
        <w:spacing w:after="120" w:line="360" w:lineRule="auto"/>
        <w:ind w:left="340" w:hanging="340"/>
        <w:rPr>
          <w:rFonts w:ascii="Times New Roman" w:hAnsi="Times New Roman" w:cs="Times New Roman"/>
          <w:sz w:val="24"/>
          <w:szCs w:val="24"/>
        </w:rPr>
      </w:pPr>
      <w:r w:rsidRPr="00F23ECE">
        <w:rPr>
          <w:rFonts w:ascii="Times New Roman" w:hAnsi="Times New Roman" w:cs="Times New Roman"/>
          <w:sz w:val="24"/>
          <w:szCs w:val="24"/>
        </w:rPr>
        <w:t>Molesworth, M., Nixon, E.</w:t>
      </w:r>
      <w:r w:rsidR="005F478D">
        <w:rPr>
          <w:rFonts w:ascii="Times New Roman" w:hAnsi="Times New Roman" w:cs="Times New Roman"/>
          <w:sz w:val="24"/>
          <w:szCs w:val="24"/>
        </w:rPr>
        <w:t>, &amp;</w:t>
      </w:r>
      <w:r w:rsidRPr="00F23ECE">
        <w:rPr>
          <w:rFonts w:ascii="Times New Roman" w:hAnsi="Times New Roman" w:cs="Times New Roman"/>
          <w:sz w:val="24"/>
          <w:szCs w:val="24"/>
        </w:rPr>
        <w:t xml:space="preserve"> Scullion, </w:t>
      </w:r>
      <w:proofErr w:type="gramStart"/>
      <w:r w:rsidRPr="00F23ECE">
        <w:rPr>
          <w:rFonts w:ascii="Times New Roman" w:hAnsi="Times New Roman" w:cs="Times New Roman"/>
          <w:sz w:val="24"/>
          <w:szCs w:val="24"/>
        </w:rPr>
        <w:t>R.</w:t>
      </w:r>
      <w:r w:rsidR="005F478D">
        <w:rPr>
          <w:rFonts w:ascii="Times New Roman" w:hAnsi="Times New Roman" w:cs="Times New Roman"/>
          <w:sz w:val="24"/>
          <w:szCs w:val="24"/>
        </w:rPr>
        <w:t>.</w:t>
      </w:r>
      <w:proofErr w:type="gramEnd"/>
      <w:r w:rsidRPr="00F23ECE">
        <w:rPr>
          <w:rFonts w:ascii="Times New Roman" w:hAnsi="Times New Roman" w:cs="Times New Roman"/>
          <w:sz w:val="24"/>
          <w:szCs w:val="24"/>
        </w:rPr>
        <w:t xml:space="preserve"> </w:t>
      </w:r>
      <w:r w:rsidR="005F478D">
        <w:rPr>
          <w:rFonts w:ascii="Times New Roman" w:hAnsi="Times New Roman" w:cs="Times New Roman"/>
          <w:sz w:val="24"/>
          <w:szCs w:val="24"/>
        </w:rPr>
        <w:t>(</w:t>
      </w:r>
      <w:r w:rsidRPr="00F23ECE">
        <w:rPr>
          <w:rFonts w:ascii="Times New Roman" w:hAnsi="Times New Roman" w:cs="Times New Roman"/>
          <w:sz w:val="24"/>
          <w:szCs w:val="24"/>
        </w:rPr>
        <w:t>2009</w:t>
      </w:r>
      <w:r w:rsidR="005F478D">
        <w:rPr>
          <w:rFonts w:ascii="Times New Roman" w:hAnsi="Times New Roman" w:cs="Times New Roman"/>
          <w:sz w:val="24"/>
          <w:szCs w:val="24"/>
        </w:rPr>
        <w:t>)</w:t>
      </w:r>
      <w:r w:rsidRPr="00F23ECE">
        <w:rPr>
          <w:rFonts w:ascii="Times New Roman" w:hAnsi="Times New Roman" w:cs="Times New Roman"/>
          <w:sz w:val="24"/>
          <w:szCs w:val="24"/>
        </w:rPr>
        <w:t xml:space="preserve">. Having, Being and Higher Education: the Marketisation of the University and the Transformation of the Student into Consumer. </w:t>
      </w:r>
      <w:r w:rsidRPr="00F23ECE">
        <w:rPr>
          <w:rFonts w:ascii="Times New Roman" w:hAnsi="Times New Roman" w:cs="Times New Roman"/>
          <w:i/>
          <w:sz w:val="24"/>
          <w:szCs w:val="24"/>
        </w:rPr>
        <w:t>Teaching in Higher Education</w:t>
      </w:r>
      <w:r w:rsidRPr="00F23ECE">
        <w:rPr>
          <w:rFonts w:ascii="Times New Roman" w:hAnsi="Times New Roman" w:cs="Times New Roman"/>
          <w:sz w:val="24"/>
          <w:szCs w:val="24"/>
        </w:rPr>
        <w:t xml:space="preserve">, </w:t>
      </w:r>
      <w:r w:rsidRPr="00F23ECE">
        <w:rPr>
          <w:rFonts w:ascii="Times New Roman" w:hAnsi="Times New Roman" w:cs="Times New Roman"/>
          <w:i/>
          <w:sz w:val="24"/>
          <w:szCs w:val="24"/>
        </w:rPr>
        <w:t>14</w:t>
      </w:r>
      <w:r w:rsidRPr="00F23ECE">
        <w:rPr>
          <w:rFonts w:ascii="Times New Roman" w:hAnsi="Times New Roman" w:cs="Times New Roman"/>
          <w:sz w:val="24"/>
          <w:szCs w:val="24"/>
        </w:rPr>
        <w:t>(3)</w:t>
      </w:r>
      <w:r w:rsidR="005F478D">
        <w:rPr>
          <w:rFonts w:ascii="Times New Roman" w:hAnsi="Times New Roman" w:cs="Times New Roman"/>
          <w:sz w:val="24"/>
          <w:szCs w:val="24"/>
        </w:rPr>
        <w:t>,</w:t>
      </w:r>
      <w:r w:rsidRPr="00F23ECE">
        <w:rPr>
          <w:rFonts w:ascii="Times New Roman" w:hAnsi="Times New Roman" w:cs="Times New Roman"/>
          <w:sz w:val="24"/>
          <w:szCs w:val="24"/>
        </w:rPr>
        <w:t xml:space="preserve"> 277-287.</w:t>
      </w:r>
    </w:p>
    <w:p w14:paraId="395257B4" w14:textId="2DE8012F" w:rsidR="00A50EA7" w:rsidRPr="00932A60" w:rsidRDefault="00932A60" w:rsidP="001C1AAE">
      <w:pPr>
        <w:autoSpaceDE w:val="0"/>
        <w:autoSpaceDN w:val="0"/>
        <w:adjustRightInd w:val="0"/>
        <w:spacing w:after="120" w:line="360" w:lineRule="auto"/>
        <w:ind w:left="340" w:hanging="340"/>
        <w:rPr>
          <w:rFonts w:ascii="Times New Roman" w:hAnsi="Times New Roman" w:cs="Times New Roman"/>
          <w:sz w:val="24"/>
          <w:szCs w:val="24"/>
        </w:rPr>
      </w:pPr>
      <w:r w:rsidRPr="00932A60">
        <w:rPr>
          <w:rFonts w:ascii="Times New Roman" w:hAnsi="Times New Roman" w:cs="Times New Roman"/>
          <w:sz w:val="24"/>
          <w:szCs w:val="24"/>
          <w:shd w:val="clear" w:color="auto" w:fill="FFFFFF"/>
        </w:rPr>
        <w:t xml:space="preserve">Naidoo, R. (2016). The competition fetish in higher education: Varieties, animators and consequences. </w:t>
      </w:r>
      <w:r w:rsidRPr="00932A60">
        <w:rPr>
          <w:rFonts w:ascii="Times New Roman" w:hAnsi="Times New Roman" w:cs="Times New Roman"/>
          <w:i/>
          <w:iCs/>
          <w:sz w:val="24"/>
          <w:szCs w:val="24"/>
          <w:shd w:val="clear" w:color="auto" w:fill="FFFFFF"/>
        </w:rPr>
        <w:t>British Journal of Sociology of Education</w:t>
      </w:r>
      <w:r w:rsidRPr="00932A60">
        <w:rPr>
          <w:rFonts w:ascii="Times New Roman" w:hAnsi="Times New Roman" w:cs="Times New Roman"/>
          <w:sz w:val="24"/>
          <w:szCs w:val="24"/>
          <w:shd w:val="clear" w:color="auto" w:fill="FFFFFF"/>
        </w:rPr>
        <w:t xml:space="preserve">, </w:t>
      </w:r>
      <w:r w:rsidRPr="00932A60">
        <w:rPr>
          <w:rFonts w:ascii="Times New Roman" w:hAnsi="Times New Roman" w:cs="Times New Roman"/>
          <w:iCs/>
          <w:sz w:val="24"/>
          <w:szCs w:val="24"/>
          <w:shd w:val="clear" w:color="auto" w:fill="FFFFFF"/>
        </w:rPr>
        <w:t>37</w:t>
      </w:r>
      <w:r w:rsidRPr="00932A60">
        <w:rPr>
          <w:rFonts w:ascii="Times New Roman" w:hAnsi="Times New Roman" w:cs="Times New Roman"/>
          <w:sz w:val="24"/>
          <w:szCs w:val="24"/>
          <w:shd w:val="clear" w:color="auto" w:fill="FFFFFF"/>
        </w:rPr>
        <w:t>(1), 1-10.</w:t>
      </w:r>
    </w:p>
    <w:p w14:paraId="74BB7BC4" w14:textId="74B1C34B" w:rsidR="00724CDD" w:rsidRPr="00F23ECE" w:rsidRDefault="00724CDD" w:rsidP="001C1AAE">
      <w:pPr>
        <w:autoSpaceDE w:val="0"/>
        <w:autoSpaceDN w:val="0"/>
        <w:adjustRightInd w:val="0"/>
        <w:spacing w:after="120" w:line="360" w:lineRule="auto"/>
        <w:ind w:left="340" w:hanging="340"/>
        <w:rPr>
          <w:rFonts w:ascii="Times New Roman" w:hAnsi="Times New Roman" w:cs="Times New Roman"/>
          <w:sz w:val="24"/>
          <w:szCs w:val="24"/>
        </w:rPr>
      </w:pPr>
      <w:r w:rsidRPr="00F23ECE">
        <w:rPr>
          <w:rFonts w:ascii="Times New Roman" w:hAnsi="Times New Roman" w:cs="Times New Roman"/>
          <w:sz w:val="24"/>
          <w:szCs w:val="24"/>
        </w:rPr>
        <w:t>Naidoo, R.</w:t>
      </w:r>
      <w:r w:rsidR="005F478D">
        <w:rPr>
          <w:rFonts w:ascii="Times New Roman" w:hAnsi="Times New Roman" w:cs="Times New Roman"/>
          <w:sz w:val="24"/>
          <w:szCs w:val="24"/>
        </w:rPr>
        <w:t>, &amp;</w:t>
      </w:r>
      <w:r w:rsidRPr="00F23ECE">
        <w:rPr>
          <w:rFonts w:ascii="Times New Roman" w:hAnsi="Times New Roman" w:cs="Times New Roman"/>
          <w:sz w:val="24"/>
          <w:szCs w:val="24"/>
        </w:rPr>
        <w:t xml:space="preserve"> Williams, J. (201</w:t>
      </w:r>
      <w:r w:rsidR="009E4E62">
        <w:rPr>
          <w:rFonts w:ascii="Times New Roman" w:hAnsi="Times New Roman" w:cs="Times New Roman"/>
          <w:sz w:val="24"/>
          <w:szCs w:val="24"/>
        </w:rPr>
        <w:t>5</w:t>
      </w:r>
      <w:r w:rsidRPr="00F23ECE">
        <w:rPr>
          <w:rFonts w:ascii="Times New Roman" w:hAnsi="Times New Roman" w:cs="Times New Roman"/>
          <w:sz w:val="24"/>
          <w:szCs w:val="24"/>
        </w:rPr>
        <w:t xml:space="preserve">). The neoliberal regime in English higher education: charters, consumers and the erosion of the public good. </w:t>
      </w:r>
      <w:r w:rsidRPr="00F23ECE">
        <w:rPr>
          <w:rFonts w:ascii="Times New Roman" w:hAnsi="Times New Roman" w:cs="Times New Roman"/>
          <w:i/>
          <w:sz w:val="24"/>
          <w:szCs w:val="24"/>
        </w:rPr>
        <w:t>Critical Studies in Education</w:t>
      </w:r>
      <w:r w:rsidR="009E4E62">
        <w:rPr>
          <w:rFonts w:ascii="Times New Roman" w:hAnsi="Times New Roman" w:cs="Times New Roman"/>
          <w:i/>
          <w:sz w:val="24"/>
          <w:szCs w:val="24"/>
        </w:rPr>
        <w:t>, 56</w:t>
      </w:r>
      <w:r w:rsidR="009E4E62" w:rsidRPr="009E4E62">
        <w:rPr>
          <w:rFonts w:ascii="Times New Roman" w:hAnsi="Times New Roman" w:cs="Times New Roman"/>
          <w:sz w:val="24"/>
          <w:szCs w:val="24"/>
        </w:rPr>
        <w:t>(2),</w:t>
      </w:r>
      <w:r w:rsidR="009E4E62">
        <w:rPr>
          <w:rFonts w:ascii="Times New Roman" w:hAnsi="Times New Roman" w:cs="Times New Roman"/>
          <w:sz w:val="24"/>
          <w:szCs w:val="24"/>
        </w:rPr>
        <w:t xml:space="preserve"> 208-223</w:t>
      </w:r>
      <w:r w:rsidRPr="009E4E62">
        <w:rPr>
          <w:rFonts w:ascii="Times New Roman" w:hAnsi="Times New Roman" w:cs="Times New Roman"/>
          <w:sz w:val="24"/>
          <w:szCs w:val="24"/>
        </w:rPr>
        <w:t>.</w:t>
      </w:r>
    </w:p>
    <w:p w14:paraId="73E53E1E" w14:textId="015B61C2" w:rsidR="002470BE" w:rsidRPr="00F23ECE" w:rsidRDefault="002470BE" w:rsidP="001C1AAE">
      <w:pPr>
        <w:autoSpaceDE w:val="0"/>
        <w:autoSpaceDN w:val="0"/>
        <w:adjustRightInd w:val="0"/>
        <w:spacing w:after="120" w:line="360" w:lineRule="auto"/>
        <w:ind w:left="340" w:hanging="340"/>
        <w:rPr>
          <w:rFonts w:ascii="Times New Roman" w:hAnsi="Times New Roman" w:cs="Times New Roman"/>
          <w:sz w:val="24"/>
          <w:szCs w:val="24"/>
        </w:rPr>
      </w:pPr>
      <w:r w:rsidRPr="00F23ECE">
        <w:rPr>
          <w:rFonts w:ascii="Times New Roman" w:hAnsi="Times New Roman" w:cs="Times New Roman"/>
          <w:sz w:val="24"/>
          <w:szCs w:val="24"/>
        </w:rPr>
        <w:t>Naidoo, R.</w:t>
      </w:r>
      <w:r w:rsidR="005F478D">
        <w:rPr>
          <w:rFonts w:ascii="Times New Roman" w:hAnsi="Times New Roman" w:cs="Times New Roman"/>
          <w:sz w:val="24"/>
          <w:szCs w:val="24"/>
        </w:rPr>
        <w:t>,</w:t>
      </w:r>
      <w:r w:rsidRPr="00F23ECE">
        <w:rPr>
          <w:rFonts w:ascii="Times New Roman" w:hAnsi="Times New Roman" w:cs="Times New Roman"/>
          <w:sz w:val="24"/>
          <w:szCs w:val="24"/>
        </w:rPr>
        <w:t xml:space="preserve"> Shankar, A.</w:t>
      </w:r>
      <w:r w:rsidR="005F478D">
        <w:rPr>
          <w:rFonts w:ascii="Times New Roman" w:hAnsi="Times New Roman" w:cs="Times New Roman"/>
          <w:sz w:val="24"/>
          <w:szCs w:val="24"/>
        </w:rPr>
        <w:t>,</w:t>
      </w:r>
      <w:r w:rsidRPr="00F23ECE">
        <w:rPr>
          <w:rFonts w:ascii="Times New Roman" w:hAnsi="Times New Roman" w:cs="Times New Roman"/>
          <w:sz w:val="24"/>
          <w:szCs w:val="24"/>
        </w:rPr>
        <w:t xml:space="preserve"> &amp; Veer, E. (2011)</w:t>
      </w:r>
      <w:r w:rsidR="005F478D">
        <w:rPr>
          <w:rFonts w:ascii="Times New Roman" w:hAnsi="Times New Roman" w:cs="Times New Roman"/>
          <w:sz w:val="24"/>
          <w:szCs w:val="24"/>
        </w:rPr>
        <w:t>.</w:t>
      </w:r>
      <w:r w:rsidRPr="00F23ECE">
        <w:rPr>
          <w:rFonts w:ascii="Times New Roman" w:hAnsi="Times New Roman" w:cs="Times New Roman"/>
          <w:sz w:val="24"/>
          <w:szCs w:val="24"/>
        </w:rPr>
        <w:t xml:space="preserve"> The consumerist turn in higher education: Policy aspirations and outcomes. </w:t>
      </w:r>
      <w:r w:rsidRPr="00F23ECE">
        <w:rPr>
          <w:rFonts w:ascii="Times New Roman" w:hAnsi="Times New Roman" w:cs="Times New Roman"/>
          <w:i/>
          <w:sz w:val="24"/>
          <w:szCs w:val="24"/>
        </w:rPr>
        <w:t>Journal of Marketing Management</w:t>
      </w:r>
      <w:r w:rsidRPr="00F23ECE">
        <w:rPr>
          <w:rFonts w:ascii="Times New Roman" w:hAnsi="Times New Roman" w:cs="Times New Roman"/>
          <w:sz w:val="24"/>
          <w:szCs w:val="24"/>
        </w:rPr>
        <w:t xml:space="preserve">, </w:t>
      </w:r>
      <w:r w:rsidRPr="00F23ECE">
        <w:rPr>
          <w:rFonts w:ascii="Times New Roman" w:hAnsi="Times New Roman" w:cs="Times New Roman"/>
          <w:i/>
          <w:sz w:val="24"/>
          <w:szCs w:val="24"/>
        </w:rPr>
        <w:t>27</w:t>
      </w:r>
      <w:r w:rsidRPr="00F23ECE">
        <w:rPr>
          <w:rFonts w:ascii="Times New Roman" w:hAnsi="Times New Roman" w:cs="Times New Roman"/>
          <w:sz w:val="24"/>
          <w:szCs w:val="24"/>
        </w:rPr>
        <w:t>(11-12)</w:t>
      </w:r>
      <w:r w:rsidR="005F478D">
        <w:rPr>
          <w:rFonts w:ascii="Times New Roman" w:hAnsi="Times New Roman" w:cs="Times New Roman"/>
          <w:sz w:val="24"/>
          <w:szCs w:val="24"/>
        </w:rPr>
        <w:t>,</w:t>
      </w:r>
      <w:r w:rsidRPr="00F23ECE">
        <w:rPr>
          <w:rFonts w:ascii="Times New Roman" w:hAnsi="Times New Roman" w:cs="Times New Roman"/>
          <w:sz w:val="24"/>
          <w:szCs w:val="24"/>
        </w:rPr>
        <w:t xml:space="preserve"> 1142- 1162.</w:t>
      </w:r>
    </w:p>
    <w:p w14:paraId="01AF6F9F" w14:textId="77777777" w:rsidR="00D1493F" w:rsidRPr="008606C1" w:rsidRDefault="00D1493F" w:rsidP="00D1493F">
      <w:pPr>
        <w:autoSpaceDE w:val="0"/>
        <w:autoSpaceDN w:val="0"/>
        <w:adjustRightInd w:val="0"/>
        <w:spacing w:after="120" w:line="360" w:lineRule="auto"/>
        <w:ind w:left="340" w:hanging="340"/>
        <w:rPr>
          <w:rFonts w:ascii="Times New Roman" w:hAnsi="Times New Roman" w:cs="Times New Roman"/>
          <w:sz w:val="24"/>
          <w:szCs w:val="24"/>
        </w:rPr>
      </w:pPr>
      <w:r w:rsidRPr="0096494B">
        <w:rPr>
          <w:rStyle w:val="hlfld-contribauthor"/>
          <w:rFonts w:ascii="Times New Roman" w:hAnsi="Times New Roman" w:cs="Times New Roman"/>
          <w:sz w:val="24"/>
          <w:szCs w:val="24"/>
        </w:rPr>
        <w:t xml:space="preserve">Neary, </w:t>
      </w:r>
      <w:r w:rsidRPr="0096494B">
        <w:rPr>
          <w:rStyle w:val="nlmgiven-names"/>
          <w:rFonts w:ascii="Times New Roman" w:hAnsi="Times New Roman" w:cs="Times New Roman"/>
          <w:sz w:val="24"/>
          <w:szCs w:val="24"/>
        </w:rPr>
        <w:t xml:space="preserve">M., &amp; </w:t>
      </w:r>
      <w:r w:rsidRPr="0096494B">
        <w:rPr>
          <w:rStyle w:val="hlfld-contribauthor"/>
          <w:rFonts w:ascii="Times New Roman" w:hAnsi="Times New Roman" w:cs="Times New Roman"/>
          <w:sz w:val="24"/>
          <w:szCs w:val="24"/>
        </w:rPr>
        <w:t xml:space="preserve">Winn, </w:t>
      </w:r>
      <w:r w:rsidRPr="0096494B">
        <w:rPr>
          <w:rStyle w:val="nlmgiven-names"/>
          <w:rFonts w:ascii="Times New Roman" w:hAnsi="Times New Roman" w:cs="Times New Roman"/>
          <w:sz w:val="24"/>
          <w:szCs w:val="24"/>
        </w:rPr>
        <w:t>J. (</w:t>
      </w:r>
      <w:r w:rsidRPr="0096494B">
        <w:rPr>
          <w:rStyle w:val="nlmyear"/>
          <w:rFonts w:ascii="Times New Roman" w:hAnsi="Times New Roman" w:cs="Times New Roman"/>
          <w:sz w:val="24"/>
          <w:szCs w:val="24"/>
        </w:rPr>
        <w:t>2009)</w:t>
      </w:r>
      <w:r w:rsidRPr="0096494B">
        <w:rPr>
          <w:rFonts w:ascii="Times New Roman" w:hAnsi="Times New Roman" w:cs="Times New Roman"/>
          <w:sz w:val="24"/>
          <w:szCs w:val="24"/>
        </w:rPr>
        <w:t xml:space="preserve">. </w:t>
      </w:r>
      <w:r w:rsidRPr="0096494B">
        <w:rPr>
          <w:rStyle w:val="nlmarticle-title"/>
          <w:rFonts w:ascii="Times New Roman" w:hAnsi="Times New Roman" w:cs="Times New Roman"/>
          <w:sz w:val="24"/>
          <w:szCs w:val="24"/>
        </w:rPr>
        <w:t>The student as producer: Reinventing the student experience in higher education</w:t>
      </w:r>
      <w:r w:rsidRPr="0096494B">
        <w:rPr>
          <w:rFonts w:ascii="Times New Roman" w:hAnsi="Times New Roman" w:cs="Times New Roman"/>
          <w:sz w:val="24"/>
          <w:szCs w:val="24"/>
        </w:rPr>
        <w:t>. In</w:t>
      </w:r>
      <w:r>
        <w:rPr>
          <w:rFonts w:ascii="Times New Roman" w:hAnsi="Times New Roman" w:cs="Times New Roman"/>
          <w:sz w:val="24"/>
          <w:szCs w:val="24"/>
        </w:rPr>
        <w:t xml:space="preserve"> L. Bell, M. Neary, &amp; H. Stevenson (Eds.), </w:t>
      </w:r>
      <w:r w:rsidRPr="0096494B">
        <w:rPr>
          <w:rFonts w:ascii="Times New Roman" w:hAnsi="Times New Roman" w:cs="Times New Roman"/>
          <w:i/>
          <w:iCs/>
          <w:sz w:val="24"/>
          <w:szCs w:val="24"/>
        </w:rPr>
        <w:t>The future of higher education: Policy, pedagogy and the student experience</w:t>
      </w:r>
      <w:r w:rsidRPr="0096494B">
        <w:rPr>
          <w:rFonts w:ascii="Times New Roman" w:hAnsi="Times New Roman" w:cs="Times New Roman"/>
          <w:sz w:val="24"/>
          <w:szCs w:val="24"/>
        </w:rPr>
        <w:t xml:space="preserve"> </w:t>
      </w:r>
      <w:r>
        <w:rPr>
          <w:rFonts w:ascii="Times New Roman" w:hAnsi="Times New Roman" w:cs="Times New Roman"/>
          <w:sz w:val="24"/>
          <w:szCs w:val="24"/>
        </w:rPr>
        <w:t xml:space="preserve">(pp. 126-138). </w:t>
      </w:r>
      <w:r w:rsidRPr="0096494B">
        <w:rPr>
          <w:rStyle w:val="nlmpublisher-loc"/>
          <w:rFonts w:ascii="Times New Roman" w:hAnsi="Times New Roman" w:cs="Times New Roman"/>
          <w:sz w:val="24"/>
          <w:szCs w:val="24"/>
        </w:rPr>
        <w:t>London</w:t>
      </w:r>
      <w:r w:rsidRPr="0096494B">
        <w:rPr>
          <w:rFonts w:ascii="Times New Roman" w:hAnsi="Times New Roman" w:cs="Times New Roman"/>
          <w:sz w:val="24"/>
          <w:szCs w:val="24"/>
        </w:rPr>
        <w:t>:</w:t>
      </w:r>
      <w:r>
        <w:rPr>
          <w:rFonts w:ascii="Times New Roman" w:hAnsi="Times New Roman" w:cs="Times New Roman"/>
          <w:sz w:val="24"/>
          <w:szCs w:val="24"/>
        </w:rPr>
        <w:t xml:space="preserve"> </w:t>
      </w:r>
      <w:r w:rsidRPr="0096494B">
        <w:rPr>
          <w:rStyle w:val="nlmpublisher-name"/>
          <w:rFonts w:ascii="Times New Roman" w:hAnsi="Times New Roman" w:cs="Times New Roman"/>
          <w:sz w:val="24"/>
          <w:szCs w:val="24"/>
        </w:rPr>
        <w:t>Continuum</w:t>
      </w:r>
      <w:r w:rsidRPr="0096494B">
        <w:rPr>
          <w:rFonts w:ascii="Times New Roman" w:hAnsi="Times New Roman" w:cs="Times New Roman"/>
          <w:sz w:val="24"/>
          <w:szCs w:val="24"/>
        </w:rPr>
        <w:t>.</w:t>
      </w:r>
    </w:p>
    <w:p w14:paraId="3F71FEFD" w14:textId="77777777" w:rsidR="00D1493F" w:rsidRDefault="00D1493F" w:rsidP="001C1AAE">
      <w:pPr>
        <w:autoSpaceDE w:val="0"/>
        <w:autoSpaceDN w:val="0"/>
        <w:adjustRightInd w:val="0"/>
        <w:spacing w:after="120" w:line="360" w:lineRule="auto"/>
        <w:ind w:left="340" w:hanging="340"/>
        <w:rPr>
          <w:rFonts w:ascii="Times New Roman" w:hAnsi="Times New Roman" w:cs="Times New Roman"/>
          <w:sz w:val="24"/>
          <w:szCs w:val="24"/>
        </w:rPr>
      </w:pPr>
    </w:p>
    <w:p w14:paraId="7DFB03F6" w14:textId="30581D8A" w:rsidR="008C6258" w:rsidRPr="00D91CEB" w:rsidRDefault="007550D9"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lastRenderedPageBreak/>
        <w:t>Porter, T.</w:t>
      </w:r>
      <w:r w:rsidR="005F478D">
        <w:rPr>
          <w:rFonts w:ascii="Times New Roman" w:hAnsi="Times New Roman" w:cs="Times New Roman"/>
          <w:sz w:val="24"/>
          <w:szCs w:val="24"/>
        </w:rPr>
        <w:t xml:space="preserve"> </w:t>
      </w:r>
      <w:r w:rsidRPr="00D91CEB">
        <w:rPr>
          <w:rFonts w:ascii="Times New Roman" w:hAnsi="Times New Roman" w:cs="Times New Roman"/>
          <w:sz w:val="24"/>
          <w:szCs w:val="24"/>
        </w:rPr>
        <w:t>M. (1995)</w:t>
      </w:r>
      <w:r w:rsidR="00D27487" w:rsidRPr="00D91CEB">
        <w:rPr>
          <w:rFonts w:ascii="Times New Roman" w:hAnsi="Times New Roman" w:cs="Times New Roman"/>
          <w:sz w:val="24"/>
          <w:szCs w:val="24"/>
        </w:rPr>
        <w:t>.</w:t>
      </w:r>
      <w:r w:rsidR="008C6258" w:rsidRPr="00D91CEB">
        <w:rPr>
          <w:rFonts w:ascii="Times New Roman" w:hAnsi="Times New Roman" w:cs="Times New Roman"/>
          <w:sz w:val="24"/>
          <w:szCs w:val="24"/>
        </w:rPr>
        <w:t xml:space="preserve"> </w:t>
      </w:r>
      <w:r w:rsidR="008C6258" w:rsidRPr="00D91CEB">
        <w:rPr>
          <w:rFonts w:ascii="Times New Roman" w:hAnsi="Times New Roman" w:cs="Times New Roman"/>
          <w:i/>
          <w:sz w:val="24"/>
          <w:szCs w:val="24"/>
        </w:rPr>
        <w:t>Trust in Numbers: The Pursuit of Objectivity in Science and Public Life</w:t>
      </w:r>
      <w:r w:rsidR="00D27487" w:rsidRPr="00D91CEB">
        <w:rPr>
          <w:rFonts w:ascii="Times New Roman" w:hAnsi="Times New Roman" w:cs="Times New Roman"/>
          <w:i/>
          <w:sz w:val="24"/>
          <w:szCs w:val="24"/>
        </w:rPr>
        <w:t>.</w:t>
      </w:r>
      <w:r w:rsidRPr="00D91CEB">
        <w:rPr>
          <w:rFonts w:ascii="Times New Roman" w:hAnsi="Times New Roman" w:cs="Times New Roman"/>
          <w:sz w:val="24"/>
          <w:szCs w:val="24"/>
        </w:rPr>
        <w:t xml:space="preserve"> Princeton</w:t>
      </w:r>
      <w:r w:rsidR="00D27487" w:rsidRPr="00D91CEB">
        <w:rPr>
          <w:rFonts w:ascii="Times New Roman" w:hAnsi="Times New Roman" w:cs="Times New Roman"/>
          <w:sz w:val="24"/>
          <w:szCs w:val="24"/>
        </w:rPr>
        <w:t>:</w:t>
      </w:r>
      <w:r w:rsidR="008C6258" w:rsidRPr="00D91CEB">
        <w:rPr>
          <w:rFonts w:ascii="Times New Roman" w:hAnsi="Times New Roman" w:cs="Times New Roman"/>
          <w:sz w:val="24"/>
          <w:szCs w:val="24"/>
        </w:rPr>
        <w:t xml:space="preserve"> University of Princeton Press.</w:t>
      </w:r>
    </w:p>
    <w:p w14:paraId="5BE7305F" w14:textId="3AD797F7" w:rsidR="008C6258" w:rsidRPr="00D91CEB" w:rsidRDefault="00260F0A" w:rsidP="001C1AAE">
      <w:pPr>
        <w:autoSpaceDE w:val="0"/>
        <w:autoSpaceDN w:val="0"/>
        <w:adjustRightInd w:val="0"/>
        <w:spacing w:after="120" w:line="360" w:lineRule="auto"/>
        <w:ind w:left="340" w:hanging="340"/>
        <w:rPr>
          <w:rFonts w:ascii="Times New Roman" w:hAnsi="Times New Roman" w:cs="Times New Roman"/>
          <w:sz w:val="24"/>
          <w:szCs w:val="24"/>
        </w:rPr>
      </w:pPr>
      <w:r w:rsidRPr="00D91CEB">
        <w:rPr>
          <w:rFonts w:ascii="Times New Roman" w:hAnsi="Times New Roman" w:cs="Times New Roman"/>
          <w:sz w:val="24"/>
          <w:szCs w:val="24"/>
        </w:rPr>
        <w:t>Rowlands, J. (2015)</w:t>
      </w:r>
      <w:r w:rsidR="00D27487" w:rsidRPr="00D91CEB">
        <w:rPr>
          <w:rFonts w:ascii="Times New Roman" w:hAnsi="Times New Roman" w:cs="Times New Roman"/>
          <w:sz w:val="24"/>
          <w:szCs w:val="24"/>
        </w:rPr>
        <w:t>.</w:t>
      </w:r>
      <w:r w:rsidRPr="00D91CEB">
        <w:rPr>
          <w:rFonts w:ascii="Times New Roman" w:hAnsi="Times New Roman" w:cs="Times New Roman"/>
          <w:sz w:val="24"/>
          <w:szCs w:val="24"/>
        </w:rPr>
        <w:t xml:space="preserve"> </w:t>
      </w:r>
      <w:r w:rsidR="008C6258" w:rsidRPr="00D91CEB">
        <w:rPr>
          <w:rFonts w:ascii="Times New Roman" w:hAnsi="Times New Roman" w:cs="Times New Roman"/>
          <w:sz w:val="24"/>
          <w:szCs w:val="24"/>
        </w:rPr>
        <w:t xml:space="preserve">Turning collegial governance on its head: symbolic violence, </w:t>
      </w:r>
      <w:r w:rsidRPr="00D91CEB">
        <w:rPr>
          <w:rFonts w:ascii="Times New Roman" w:hAnsi="Times New Roman" w:cs="Times New Roman"/>
          <w:sz w:val="24"/>
          <w:szCs w:val="24"/>
        </w:rPr>
        <w:t>hegemony and the academic board</w:t>
      </w:r>
      <w:r w:rsidR="00D27487" w:rsidRPr="00D91CEB">
        <w:rPr>
          <w:rFonts w:ascii="Times New Roman" w:hAnsi="Times New Roman" w:cs="Times New Roman"/>
          <w:sz w:val="24"/>
          <w:szCs w:val="24"/>
        </w:rPr>
        <w:t>.</w:t>
      </w:r>
      <w:r w:rsidR="008C6258" w:rsidRPr="00D91CEB">
        <w:rPr>
          <w:rFonts w:ascii="Times New Roman" w:hAnsi="Times New Roman" w:cs="Times New Roman"/>
          <w:sz w:val="24"/>
          <w:szCs w:val="24"/>
        </w:rPr>
        <w:t xml:space="preserve"> </w:t>
      </w:r>
      <w:r w:rsidR="008C6258" w:rsidRPr="00D91CEB">
        <w:rPr>
          <w:rFonts w:ascii="Times New Roman" w:hAnsi="Times New Roman" w:cs="Times New Roman"/>
          <w:i/>
          <w:sz w:val="24"/>
          <w:szCs w:val="24"/>
        </w:rPr>
        <w:t>British Journal of Sociology of Education</w:t>
      </w:r>
      <w:r w:rsidR="001A7A19" w:rsidRPr="00D91CEB">
        <w:rPr>
          <w:rFonts w:ascii="Times New Roman" w:hAnsi="Times New Roman" w:cs="Times New Roman"/>
          <w:sz w:val="24"/>
          <w:szCs w:val="24"/>
        </w:rPr>
        <w:t xml:space="preserve">, </w:t>
      </w:r>
      <w:r w:rsidR="001A7A19" w:rsidRPr="00F23ECE">
        <w:rPr>
          <w:rFonts w:ascii="Times New Roman" w:hAnsi="Times New Roman" w:cs="Times New Roman"/>
          <w:i/>
          <w:sz w:val="24"/>
          <w:szCs w:val="24"/>
        </w:rPr>
        <w:t>36</w:t>
      </w:r>
      <w:r w:rsidR="007550D9" w:rsidRPr="00D91CEB">
        <w:rPr>
          <w:rFonts w:ascii="Times New Roman" w:hAnsi="Times New Roman" w:cs="Times New Roman"/>
          <w:sz w:val="24"/>
          <w:szCs w:val="24"/>
        </w:rPr>
        <w:t>(7),</w:t>
      </w:r>
      <w:r w:rsidR="008C6258" w:rsidRPr="00D91CEB">
        <w:rPr>
          <w:rFonts w:ascii="Times New Roman" w:hAnsi="Times New Roman" w:cs="Times New Roman"/>
          <w:sz w:val="24"/>
          <w:szCs w:val="24"/>
        </w:rPr>
        <w:t xml:space="preserve"> 1017-1035.</w:t>
      </w:r>
    </w:p>
    <w:p w14:paraId="021C9D00" w14:textId="57032FA4" w:rsidR="005F478D" w:rsidRDefault="005A0E01" w:rsidP="001C1AAE">
      <w:pPr>
        <w:autoSpaceDE w:val="0"/>
        <w:autoSpaceDN w:val="0"/>
        <w:adjustRightInd w:val="0"/>
        <w:spacing w:after="120" w:line="360" w:lineRule="auto"/>
        <w:ind w:left="340" w:hanging="340"/>
        <w:rPr>
          <w:rFonts w:ascii="Times New Roman" w:hAnsi="Times New Roman" w:cs="Times New Roman"/>
          <w:i/>
          <w:sz w:val="24"/>
          <w:szCs w:val="24"/>
        </w:rPr>
      </w:pPr>
      <w:r w:rsidRPr="00F23ECE">
        <w:rPr>
          <w:rFonts w:ascii="Times New Roman" w:hAnsi="Times New Roman" w:cs="Times New Roman"/>
          <w:sz w:val="24"/>
          <w:szCs w:val="24"/>
        </w:rPr>
        <w:t xml:space="preserve">Sabri, D. </w:t>
      </w:r>
      <w:r w:rsidR="005F478D" w:rsidRPr="00F23ECE">
        <w:rPr>
          <w:rFonts w:ascii="Times New Roman" w:hAnsi="Times New Roman" w:cs="Times New Roman"/>
          <w:sz w:val="24"/>
          <w:szCs w:val="24"/>
        </w:rPr>
        <w:t>(</w:t>
      </w:r>
      <w:r w:rsidRPr="00F23ECE">
        <w:rPr>
          <w:rFonts w:ascii="Times New Roman" w:hAnsi="Times New Roman" w:cs="Times New Roman"/>
          <w:sz w:val="24"/>
          <w:szCs w:val="24"/>
        </w:rPr>
        <w:t>2010</w:t>
      </w:r>
      <w:r w:rsidR="005F478D" w:rsidRPr="00F23ECE">
        <w:rPr>
          <w:rFonts w:ascii="Times New Roman" w:hAnsi="Times New Roman" w:cs="Times New Roman"/>
          <w:sz w:val="24"/>
          <w:szCs w:val="24"/>
        </w:rPr>
        <w:t>)</w:t>
      </w:r>
      <w:r w:rsidRPr="00F23ECE">
        <w:rPr>
          <w:rFonts w:ascii="Times New Roman" w:hAnsi="Times New Roman" w:cs="Times New Roman"/>
          <w:sz w:val="24"/>
          <w:szCs w:val="24"/>
        </w:rPr>
        <w:t>. Absence of the Academic from Higher Education Policy.</w:t>
      </w:r>
      <w:r w:rsidRPr="00D91CEB">
        <w:rPr>
          <w:rFonts w:ascii="Times New Roman" w:hAnsi="Times New Roman" w:cs="Times New Roman"/>
          <w:i/>
          <w:sz w:val="24"/>
          <w:szCs w:val="24"/>
        </w:rPr>
        <w:t xml:space="preserve"> Journal of Education Policy</w:t>
      </w:r>
      <w:r w:rsidR="005F478D">
        <w:rPr>
          <w:rFonts w:ascii="Times New Roman" w:hAnsi="Times New Roman" w:cs="Times New Roman"/>
          <w:i/>
          <w:sz w:val="24"/>
          <w:szCs w:val="24"/>
        </w:rPr>
        <w:t>,</w:t>
      </w:r>
      <w:r w:rsidRPr="00D91CEB">
        <w:rPr>
          <w:rFonts w:ascii="Times New Roman" w:hAnsi="Times New Roman" w:cs="Times New Roman"/>
          <w:i/>
          <w:sz w:val="24"/>
          <w:szCs w:val="24"/>
        </w:rPr>
        <w:t xml:space="preserve"> 25</w:t>
      </w:r>
      <w:r w:rsidRPr="00F23ECE">
        <w:rPr>
          <w:rFonts w:ascii="Times New Roman" w:hAnsi="Times New Roman" w:cs="Times New Roman"/>
          <w:sz w:val="24"/>
          <w:szCs w:val="24"/>
        </w:rPr>
        <w:t>(2)</w:t>
      </w:r>
      <w:r w:rsidR="005F478D" w:rsidRPr="00F23ECE">
        <w:rPr>
          <w:rFonts w:ascii="Times New Roman" w:hAnsi="Times New Roman" w:cs="Times New Roman"/>
          <w:sz w:val="24"/>
          <w:szCs w:val="24"/>
        </w:rPr>
        <w:t>,</w:t>
      </w:r>
      <w:r w:rsidRPr="00F23ECE">
        <w:rPr>
          <w:rFonts w:ascii="Times New Roman" w:hAnsi="Times New Roman" w:cs="Times New Roman"/>
          <w:sz w:val="24"/>
          <w:szCs w:val="24"/>
        </w:rPr>
        <w:t xml:space="preserve"> 191–205.</w:t>
      </w:r>
      <w:r w:rsidRPr="00D91CEB">
        <w:rPr>
          <w:rFonts w:ascii="Times New Roman" w:hAnsi="Times New Roman" w:cs="Times New Roman"/>
          <w:i/>
          <w:sz w:val="24"/>
          <w:szCs w:val="24"/>
        </w:rPr>
        <w:t xml:space="preserve"> </w:t>
      </w:r>
    </w:p>
    <w:p w14:paraId="5D142AF1" w14:textId="19B17A6A" w:rsidR="00FB245A" w:rsidRDefault="00FB245A" w:rsidP="001C1AAE">
      <w:pPr>
        <w:autoSpaceDE w:val="0"/>
        <w:autoSpaceDN w:val="0"/>
        <w:adjustRightInd w:val="0"/>
        <w:spacing w:after="120" w:line="360" w:lineRule="auto"/>
        <w:ind w:left="340" w:hanging="340"/>
        <w:rPr>
          <w:rFonts w:ascii="Times New Roman" w:hAnsi="Times New Roman" w:cs="Times New Roman"/>
          <w:sz w:val="24"/>
          <w:szCs w:val="24"/>
        </w:rPr>
      </w:pPr>
      <w:proofErr w:type="spellStart"/>
      <w:r>
        <w:rPr>
          <w:rFonts w:ascii="Times New Roman" w:hAnsi="Times New Roman" w:cs="Times New Roman"/>
          <w:sz w:val="24"/>
          <w:szCs w:val="24"/>
        </w:rPr>
        <w:t>Schimank</w:t>
      </w:r>
      <w:proofErr w:type="spellEnd"/>
      <w:r>
        <w:rPr>
          <w:rFonts w:ascii="Times New Roman" w:hAnsi="Times New Roman" w:cs="Times New Roman"/>
          <w:sz w:val="24"/>
          <w:szCs w:val="24"/>
        </w:rPr>
        <w:t>, U. (2005)</w:t>
      </w:r>
      <w:r w:rsidR="00A71103">
        <w:rPr>
          <w:rFonts w:ascii="Times New Roman" w:hAnsi="Times New Roman" w:cs="Times New Roman"/>
          <w:sz w:val="24"/>
          <w:szCs w:val="24"/>
        </w:rPr>
        <w:t>.</w:t>
      </w:r>
      <w:r>
        <w:rPr>
          <w:rFonts w:ascii="Times New Roman" w:hAnsi="Times New Roman" w:cs="Times New Roman"/>
          <w:sz w:val="24"/>
          <w:szCs w:val="24"/>
        </w:rPr>
        <w:t xml:space="preserve"> ‘New Public Management’ and the academic profession: reflections on the German situation, </w:t>
      </w:r>
      <w:r w:rsidRPr="00A71103">
        <w:rPr>
          <w:rFonts w:ascii="Times New Roman" w:hAnsi="Times New Roman" w:cs="Times New Roman"/>
          <w:i/>
          <w:sz w:val="24"/>
          <w:szCs w:val="24"/>
        </w:rPr>
        <w:t>Minerva, 43</w:t>
      </w:r>
      <w:r w:rsidRPr="00A71103">
        <w:rPr>
          <w:rFonts w:ascii="Times New Roman" w:hAnsi="Times New Roman" w:cs="Times New Roman"/>
          <w:sz w:val="24"/>
          <w:szCs w:val="24"/>
        </w:rPr>
        <w:t>(4)</w:t>
      </w:r>
      <w:r w:rsidR="00A71103">
        <w:rPr>
          <w:rFonts w:ascii="Times New Roman" w:hAnsi="Times New Roman" w:cs="Times New Roman"/>
          <w:i/>
          <w:sz w:val="24"/>
          <w:szCs w:val="24"/>
        </w:rPr>
        <w:t>,</w:t>
      </w:r>
      <w:r>
        <w:rPr>
          <w:rFonts w:ascii="Times New Roman" w:hAnsi="Times New Roman" w:cs="Times New Roman"/>
          <w:sz w:val="24"/>
          <w:szCs w:val="24"/>
        </w:rPr>
        <w:t xml:space="preserve"> 361-376.</w:t>
      </w:r>
    </w:p>
    <w:p w14:paraId="28E55E76" w14:textId="3C31C9B6" w:rsidR="009E4E62" w:rsidRDefault="002265B9" w:rsidP="001C1AAE">
      <w:pPr>
        <w:autoSpaceDE w:val="0"/>
        <w:autoSpaceDN w:val="0"/>
        <w:adjustRightInd w:val="0"/>
        <w:spacing w:after="120" w:line="360" w:lineRule="auto"/>
        <w:ind w:left="340" w:hanging="340"/>
        <w:rPr>
          <w:rFonts w:ascii="Times New Roman" w:hAnsi="Times New Roman" w:cs="Times New Roman"/>
          <w:i/>
          <w:sz w:val="24"/>
          <w:szCs w:val="24"/>
        </w:rPr>
      </w:pPr>
      <w:r>
        <w:rPr>
          <w:rFonts w:ascii="Times New Roman" w:hAnsi="Times New Roman" w:cs="Times New Roman"/>
          <w:sz w:val="24"/>
          <w:szCs w:val="24"/>
        </w:rPr>
        <w:t>Scott, J.</w:t>
      </w:r>
      <w:r w:rsidRPr="001370E9">
        <w:rPr>
          <w:rFonts w:ascii="Times New Roman" w:hAnsi="Times New Roman" w:cs="Times New Roman"/>
          <w:sz w:val="24"/>
          <w:szCs w:val="24"/>
        </w:rPr>
        <w:t xml:space="preserve"> (1990) </w:t>
      </w:r>
      <w:r w:rsidRPr="001370E9">
        <w:rPr>
          <w:rFonts w:ascii="Times New Roman" w:hAnsi="Times New Roman" w:cs="Times New Roman"/>
          <w:i/>
          <w:sz w:val="24"/>
          <w:szCs w:val="24"/>
        </w:rPr>
        <w:t>Domination and the Arts of Resistance</w:t>
      </w:r>
      <w:r w:rsidRPr="001370E9">
        <w:rPr>
          <w:rFonts w:ascii="Times New Roman" w:hAnsi="Times New Roman" w:cs="Times New Roman"/>
          <w:sz w:val="24"/>
          <w:szCs w:val="24"/>
        </w:rPr>
        <w:t>. New Haven, CT: Yale University Press</w:t>
      </w:r>
      <w:r w:rsidR="009E4E62">
        <w:rPr>
          <w:rFonts w:ascii="Times New Roman" w:hAnsi="Times New Roman" w:cs="Times New Roman"/>
          <w:sz w:val="24"/>
          <w:szCs w:val="24"/>
        </w:rPr>
        <w:t>.</w:t>
      </w:r>
      <w:r w:rsidR="009E4E62" w:rsidRPr="009E4E62">
        <w:rPr>
          <w:rFonts w:ascii="Times New Roman" w:hAnsi="Times New Roman" w:cs="Times New Roman"/>
          <w:i/>
          <w:sz w:val="24"/>
          <w:szCs w:val="24"/>
        </w:rPr>
        <w:t xml:space="preserve"> </w:t>
      </w:r>
    </w:p>
    <w:p w14:paraId="7F5915F1" w14:textId="17ABC2BA" w:rsidR="002265B9" w:rsidRPr="00D91CEB" w:rsidRDefault="008C6258" w:rsidP="001C1AAE">
      <w:pPr>
        <w:autoSpaceDE w:val="0"/>
        <w:autoSpaceDN w:val="0"/>
        <w:adjustRightInd w:val="0"/>
        <w:spacing w:after="120" w:line="360" w:lineRule="auto"/>
        <w:ind w:left="340" w:hanging="340"/>
        <w:rPr>
          <w:rFonts w:ascii="Times New Roman" w:hAnsi="Times New Roman" w:cs="Times New Roman"/>
          <w:i/>
          <w:sz w:val="24"/>
          <w:szCs w:val="24"/>
        </w:rPr>
      </w:pPr>
      <w:proofErr w:type="spellStart"/>
      <w:r w:rsidRPr="00D91CEB">
        <w:rPr>
          <w:rFonts w:ascii="Times New Roman" w:hAnsi="Times New Roman" w:cs="Times New Roman"/>
          <w:sz w:val="24"/>
          <w:szCs w:val="24"/>
        </w:rPr>
        <w:t>Se</w:t>
      </w:r>
      <w:r w:rsidR="007550D9" w:rsidRPr="00D91CEB">
        <w:rPr>
          <w:rFonts w:ascii="Times New Roman" w:hAnsi="Times New Roman" w:cs="Times New Roman"/>
          <w:sz w:val="24"/>
          <w:szCs w:val="24"/>
        </w:rPr>
        <w:t>llar</w:t>
      </w:r>
      <w:proofErr w:type="spellEnd"/>
      <w:r w:rsidR="007550D9" w:rsidRPr="00D91CEB">
        <w:rPr>
          <w:rFonts w:ascii="Times New Roman" w:hAnsi="Times New Roman" w:cs="Times New Roman"/>
          <w:sz w:val="24"/>
          <w:szCs w:val="24"/>
        </w:rPr>
        <w:t>, S.</w:t>
      </w:r>
      <w:r w:rsidR="005F478D">
        <w:rPr>
          <w:rFonts w:ascii="Times New Roman" w:hAnsi="Times New Roman" w:cs="Times New Roman"/>
          <w:sz w:val="24"/>
          <w:szCs w:val="24"/>
        </w:rPr>
        <w:t>, &amp;</w:t>
      </w:r>
      <w:r w:rsidR="007550D9" w:rsidRPr="00D91CEB">
        <w:rPr>
          <w:rFonts w:ascii="Times New Roman" w:hAnsi="Times New Roman" w:cs="Times New Roman"/>
          <w:sz w:val="24"/>
          <w:szCs w:val="24"/>
        </w:rPr>
        <w:t xml:space="preserve"> Lingard, B. (2013)</w:t>
      </w:r>
      <w:r w:rsidR="00D27487" w:rsidRPr="00D91CEB">
        <w:rPr>
          <w:rFonts w:ascii="Times New Roman" w:hAnsi="Times New Roman" w:cs="Times New Roman"/>
          <w:sz w:val="24"/>
          <w:szCs w:val="24"/>
        </w:rPr>
        <w:t>.</w:t>
      </w:r>
      <w:r w:rsidRPr="00D91CEB">
        <w:rPr>
          <w:rFonts w:ascii="Times New Roman" w:hAnsi="Times New Roman" w:cs="Times New Roman"/>
          <w:sz w:val="24"/>
          <w:szCs w:val="24"/>
        </w:rPr>
        <w:t xml:space="preserve"> The OECD and the Expansion of PISA: New Global M</w:t>
      </w:r>
      <w:r w:rsidR="007550D9" w:rsidRPr="00D91CEB">
        <w:rPr>
          <w:rFonts w:ascii="Times New Roman" w:hAnsi="Times New Roman" w:cs="Times New Roman"/>
          <w:sz w:val="24"/>
          <w:szCs w:val="24"/>
        </w:rPr>
        <w:t>odes of Governance in Education</w:t>
      </w:r>
      <w:r w:rsidR="00D27487" w:rsidRPr="00D91CEB">
        <w:rPr>
          <w:rFonts w:ascii="Times New Roman" w:hAnsi="Times New Roman" w:cs="Times New Roman"/>
          <w:sz w:val="24"/>
          <w:szCs w:val="24"/>
        </w:rPr>
        <w:t>.</w:t>
      </w:r>
      <w:r w:rsidRPr="00D91CEB">
        <w:rPr>
          <w:rFonts w:ascii="Times New Roman" w:hAnsi="Times New Roman" w:cs="Times New Roman"/>
          <w:sz w:val="24"/>
          <w:szCs w:val="24"/>
        </w:rPr>
        <w:t xml:space="preserve"> </w:t>
      </w:r>
      <w:r w:rsidRPr="00D91CEB">
        <w:rPr>
          <w:rFonts w:ascii="Times New Roman" w:hAnsi="Times New Roman" w:cs="Times New Roman"/>
          <w:i/>
          <w:sz w:val="24"/>
          <w:szCs w:val="24"/>
        </w:rPr>
        <w:t>British Educational Research Journal</w:t>
      </w:r>
      <w:r w:rsidR="007550D9" w:rsidRPr="00D91CEB">
        <w:rPr>
          <w:rFonts w:ascii="Times New Roman" w:hAnsi="Times New Roman" w:cs="Times New Roman"/>
          <w:sz w:val="24"/>
          <w:szCs w:val="24"/>
        </w:rPr>
        <w:t xml:space="preserve">, </w:t>
      </w:r>
      <w:r w:rsidR="007550D9" w:rsidRPr="00F23ECE">
        <w:rPr>
          <w:rFonts w:ascii="Times New Roman" w:hAnsi="Times New Roman" w:cs="Times New Roman"/>
          <w:i/>
          <w:sz w:val="24"/>
          <w:szCs w:val="24"/>
        </w:rPr>
        <w:t>28</w:t>
      </w:r>
      <w:r w:rsidR="007550D9" w:rsidRPr="00D91CEB">
        <w:rPr>
          <w:rFonts w:ascii="Times New Roman" w:hAnsi="Times New Roman" w:cs="Times New Roman"/>
          <w:sz w:val="24"/>
          <w:szCs w:val="24"/>
        </w:rPr>
        <w:t>(5),</w:t>
      </w:r>
      <w:r w:rsidRPr="00D91CEB">
        <w:rPr>
          <w:rFonts w:ascii="Times New Roman" w:hAnsi="Times New Roman" w:cs="Times New Roman"/>
          <w:sz w:val="24"/>
          <w:szCs w:val="24"/>
        </w:rPr>
        <w:t xml:space="preserve"> 710–725.</w:t>
      </w:r>
      <w:r w:rsidR="002265B9" w:rsidRPr="002265B9">
        <w:rPr>
          <w:rFonts w:ascii="Times New Roman" w:hAnsi="Times New Roman" w:cs="Times New Roman"/>
          <w:i/>
          <w:sz w:val="24"/>
          <w:szCs w:val="24"/>
        </w:rPr>
        <w:t xml:space="preserve"> </w:t>
      </w:r>
    </w:p>
    <w:p w14:paraId="0FCDF633" w14:textId="7101515A" w:rsidR="009571F6" w:rsidRPr="002F3DB8" w:rsidRDefault="009571F6" w:rsidP="001C1AAE">
      <w:pPr>
        <w:autoSpaceDE w:val="0"/>
        <w:autoSpaceDN w:val="0"/>
        <w:adjustRightInd w:val="0"/>
        <w:spacing w:after="120" w:line="360" w:lineRule="auto"/>
        <w:ind w:left="340" w:hanging="340"/>
        <w:rPr>
          <w:rFonts w:ascii="Times New Roman" w:hAnsi="Times New Roman" w:cs="Times New Roman"/>
          <w:sz w:val="24"/>
          <w:szCs w:val="24"/>
          <w:shd w:val="clear" w:color="auto" w:fill="FFFFFF"/>
        </w:rPr>
      </w:pPr>
      <w:proofErr w:type="spellStart"/>
      <w:r w:rsidRPr="002F3DB8">
        <w:rPr>
          <w:rFonts w:ascii="Times New Roman" w:hAnsi="Times New Roman" w:cs="Times New Roman"/>
          <w:sz w:val="24"/>
          <w:szCs w:val="24"/>
          <w:shd w:val="clear" w:color="auto" w:fill="FFFFFF"/>
        </w:rPr>
        <w:t>Toshalis</w:t>
      </w:r>
      <w:proofErr w:type="spellEnd"/>
      <w:r w:rsidR="006C72AB" w:rsidRPr="002F3DB8">
        <w:rPr>
          <w:rFonts w:ascii="Times New Roman" w:hAnsi="Times New Roman" w:cs="Times New Roman"/>
          <w:sz w:val="24"/>
          <w:szCs w:val="24"/>
          <w:shd w:val="clear" w:color="auto" w:fill="FFFFFF"/>
        </w:rPr>
        <w:t>, E. (2010)</w:t>
      </w:r>
      <w:r w:rsidR="00D27487" w:rsidRPr="002F3DB8">
        <w:rPr>
          <w:rFonts w:ascii="Times New Roman" w:hAnsi="Times New Roman" w:cs="Times New Roman"/>
          <w:sz w:val="24"/>
          <w:szCs w:val="24"/>
          <w:shd w:val="clear" w:color="auto" w:fill="FFFFFF"/>
        </w:rPr>
        <w:t>.</w:t>
      </w:r>
      <w:r w:rsidRPr="002F3DB8">
        <w:rPr>
          <w:rFonts w:ascii="Times New Roman" w:hAnsi="Times New Roman" w:cs="Times New Roman"/>
          <w:sz w:val="24"/>
          <w:szCs w:val="24"/>
          <w:shd w:val="clear" w:color="auto" w:fill="FFFFFF"/>
        </w:rPr>
        <w:t xml:space="preserve"> From disciplined to disciplinarian: the reproduction of symbolic violence in pre-service teacher education</w:t>
      </w:r>
      <w:r w:rsidR="00D27487" w:rsidRPr="002F3DB8">
        <w:rPr>
          <w:rFonts w:ascii="Times New Roman" w:hAnsi="Times New Roman" w:cs="Times New Roman"/>
          <w:sz w:val="24"/>
          <w:szCs w:val="24"/>
          <w:shd w:val="clear" w:color="auto" w:fill="FFFFFF"/>
        </w:rPr>
        <w:t>.</w:t>
      </w:r>
      <w:r w:rsidRPr="002F3DB8">
        <w:rPr>
          <w:rFonts w:ascii="Times New Roman" w:hAnsi="Times New Roman" w:cs="Times New Roman"/>
          <w:sz w:val="24"/>
          <w:szCs w:val="24"/>
          <w:shd w:val="clear" w:color="auto" w:fill="FFFFFF"/>
        </w:rPr>
        <w:t xml:space="preserve"> </w:t>
      </w:r>
      <w:r w:rsidRPr="002F3DB8">
        <w:rPr>
          <w:rFonts w:ascii="Times New Roman" w:hAnsi="Times New Roman" w:cs="Times New Roman"/>
          <w:i/>
          <w:sz w:val="24"/>
          <w:szCs w:val="24"/>
          <w:shd w:val="clear" w:color="auto" w:fill="FFFFFF"/>
        </w:rPr>
        <w:t>Journal of Curriculum Studies</w:t>
      </w:r>
      <w:r w:rsidRPr="002F3DB8">
        <w:rPr>
          <w:rFonts w:ascii="Times New Roman" w:hAnsi="Times New Roman" w:cs="Times New Roman"/>
          <w:sz w:val="24"/>
          <w:szCs w:val="24"/>
          <w:shd w:val="clear" w:color="auto" w:fill="FFFFFF"/>
        </w:rPr>
        <w:t xml:space="preserve">, </w:t>
      </w:r>
      <w:r w:rsidR="001A7A19" w:rsidRPr="002F3DB8">
        <w:rPr>
          <w:rFonts w:ascii="Times New Roman" w:hAnsi="Times New Roman" w:cs="Times New Roman"/>
          <w:i/>
          <w:sz w:val="24"/>
          <w:szCs w:val="24"/>
          <w:shd w:val="clear" w:color="auto" w:fill="FFFFFF"/>
        </w:rPr>
        <w:t>42</w:t>
      </w:r>
      <w:r w:rsidRPr="002F3DB8">
        <w:rPr>
          <w:rFonts w:ascii="Times New Roman" w:hAnsi="Times New Roman" w:cs="Times New Roman"/>
          <w:sz w:val="24"/>
          <w:szCs w:val="24"/>
          <w:shd w:val="clear" w:color="auto" w:fill="FFFFFF"/>
        </w:rPr>
        <w:t>(2)</w:t>
      </w:r>
      <w:r w:rsidR="006C72AB" w:rsidRPr="002F3DB8">
        <w:rPr>
          <w:rFonts w:ascii="Times New Roman" w:hAnsi="Times New Roman" w:cs="Times New Roman"/>
          <w:sz w:val="24"/>
          <w:szCs w:val="24"/>
          <w:shd w:val="clear" w:color="auto" w:fill="FFFFFF"/>
        </w:rPr>
        <w:t>,</w:t>
      </w:r>
      <w:r w:rsidRPr="002F3DB8">
        <w:rPr>
          <w:rFonts w:ascii="Times New Roman" w:hAnsi="Times New Roman" w:cs="Times New Roman"/>
          <w:sz w:val="24"/>
          <w:szCs w:val="24"/>
          <w:shd w:val="clear" w:color="auto" w:fill="FFFFFF"/>
        </w:rPr>
        <w:t xml:space="preserve"> 183-213. </w:t>
      </w:r>
    </w:p>
    <w:p w14:paraId="64EA775B" w14:textId="11F1CAB5" w:rsidR="002F3DB8" w:rsidRPr="002F3DB8" w:rsidRDefault="002F3DB8" w:rsidP="001C1AAE">
      <w:pPr>
        <w:autoSpaceDE w:val="0"/>
        <w:autoSpaceDN w:val="0"/>
        <w:adjustRightInd w:val="0"/>
        <w:spacing w:after="120" w:line="360" w:lineRule="auto"/>
        <w:ind w:left="340" w:hanging="340"/>
        <w:rPr>
          <w:rFonts w:ascii="Times New Roman" w:hAnsi="Times New Roman" w:cs="Times New Roman"/>
          <w:sz w:val="24"/>
          <w:szCs w:val="24"/>
          <w:shd w:val="clear" w:color="auto" w:fill="FFFFFF"/>
        </w:rPr>
      </w:pPr>
      <w:r w:rsidRPr="001370E9">
        <w:rPr>
          <w:rFonts w:ascii="Times New Roman" w:hAnsi="Times New Roman" w:cs="Times New Roman"/>
          <w:bCs/>
          <w:sz w:val="24"/>
          <w:szCs w:val="24"/>
        </w:rPr>
        <w:t xml:space="preserve">Van </w:t>
      </w:r>
      <w:proofErr w:type="spellStart"/>
      <w:r w:rsidRPr="001370E9">
        <w:rPr>
          <w:rFonts w:ascii="Times New Roman" w:hAnsi="Times New Roman" w:cs="Times New Roman"/>
          <w:bCs/>
          <w:sz w:val="24"/>
          <w:szCs w:val="24"/>
        </w:rPr>
        <w:t>Gorp</w:t>
      </w:r>
      <w:proofErr w:type="spellEnd"/>
      <w:r w:rsidRPr="001370E9">
        <w:rPr>
          <w:rFonts w:ascii="Times New Roman" w:hAnsi="Times New Roman" w:cs="Times New Roman"/>
          <w:bCs/>
          <w:sz w:val="24"/>
          <w:szCs w:val="24"/>
        </w:rPr>
        <w:t>, B. (2005)</w:t>
      </w:r>
      <w:r>
        <w:rPr>
          <w:rFonts w:ascii="Times New Roman" w:hAnsi="Times New Roman" w:cs="Times New Roman"/>
          <w:bCs/>
          <w:sz w:val="24"/>
          <w:szCs w:val="24"/>
        </w:rPr>
        <w:t>.</w:t>
      </w:r>
      <w:r w:rsidRPr="001370E9">
        <w:rPr>
          <w:rFonts w:ascii="Times New Roman" w:hAnsi="Times New Roman" w:cs="Times New Roman"/>
          <w:bCs/>
          <w:sz w:val="24"/>
          <w:szCs w:val="24"/>
        </w:rPr>
        <w:t xml:space="preserve"> Where is the Frame? </w:t>
      </w:r>
      <w:r w:rsidRPr="001370E9">
        <w:rPr>
          <w:rFonts w:ascii="Times New Roman" w:hAnsi="Times New Roman" w:cs="Times New Roman"/>
          <w:bCs/>
          <w:i/>
          <w:sz w:val="24"/>
          <w:szCs w:val="24"/>
        </w:rPr>
        <w:t>European Journal of Communication 20</w:t>
      </w:r>
      <w:r w:rsidRPr="002F3DB8">
        <w:rPr>
          <w:rFonts w:ascii="Times New Roman" w:hAnsi="Times New Roman" w:cs="Times New Roman"/>
          <w:bCs/>
          <w:sz w:val="24"/>
          <w:szCs w:val="24"/>
        </w:rPr>
        <w:t>(4)</w:t>
      </w:r>
      <w:r>
        <w:rPr>
          <w:rFonts w:ascii="Times New Roman" w:hAnsi="Times New Roman" w:cs="Times New Roman"/>
          <w:bCs/>
          <w:sz w:val="24"/>
          <w:szCs w:val="24"/>
        </w:rPr>
        <w:t>,</w:t>
      </w:r>
      <w:r w:rsidRPr="001370E9">
        <w:rPr>
          <w:rFonts w:ascii="Times New Roman" w:hAnsi="Times New Roman" w:cs="Times New Roman"/>
          <w:bCs/>
          <w:sz w:val="24"/>
          <w:szCs w:val="24"/>
        </w:rPr>
        <w:t xml:space="preserve"> 484</w:t>
      </w:r>
      <w:r>
        <w:rPr>
          <w:rFonts w:ascii="Times New Roman" w:hAnsi="Times New Roman" w:cs="Times New Roman"/>
          <w:bCs/>
          <w:sz w:val="24"/>
          <w:szCs w:val="24"/>
        </w:rPr>
        <w:t>-</w:t>
      </w:r>
      <w:r w:rsidRPr="001370E9">
        <w:rPr>
          <w:rFonts w:ascii="Times New Roman" w:hAnsi="Times New Roman" w:cs="Times New Roman"/>
          <w:bCs/>
          <w:sz w:val="24"/>
          <w:szCs w:val="24"/>
        </w:rPr>
        <w:t>507</w:t>
      </w:r>
      <w:r w:rsidRPr="00D73D6C">
        <w:rPr>
          <w:rFonts w:ascii="Times New Roman" w:hAnsi="Times New Roman" w:cs="Times New Roman"/>
          <w:bCs/>
          <w:sz w:val="24"/>
          <w:szCs w:val="24"/>
        </w:rPr>
        <w:t>.</w:t>
      </w:r>
      <w:r w:rsidRPr="002F3DB8">
        <w:rPr>
          <w:rFonts w:ascii="Times New Roman" w:hAnsi="Times New Roman" w:cs="Times New Roman"/>
          <w:sz w:val="24"/>
          <w:szCs w:val="24"/>
          <w:shd w:val="clear" w:color="auto" w:fill="FFFFFF"/>
        </w:rPr>
        <w:t xml:space="preserve"> </w:t>
      </w:r>
    </w:p>
    <w:p w14:paraId="24546C64" w14:textId="7E57C1F9" w:rsidR="008C6258" w:rsidRDefault="006C72AB" w:rsidP="001C1AAE">
      <w:pPr>
        <w:autoSpaceDE w:val="0"/>
        <w:autoSpaceDN w:val="0"/>
        <w:adjustRightInd w:val="0"/>
        <w:spacing w:after="120" w:line="360" w:lineRule="auto"/>
        <w:ind w:left="340" w:hanging="340"/>
        <w:rPr>
          <w:rFonts w:ascii="Times New Roman" w:hAnsi="Times New Roman" w:cs="Times New Roman"/>
          <w:sz w:val="24"/>
          <w:szCs w:val="24"/>
          <w:shd w:val="clear" w:color="auto" w:fill="FFFFFF"/>
        </w:rPr>
      </w:pPr>
      <w:r w:rsidRPr="002F3DB8">
        <w:rPr>
          <w:rFonts w:ascii="Times New Roman" w:hAnsi="Times New Roman" w:cs="Times New Roman"/>
          <w:sz w:val="24"/>
          <w:szCs w:val="24"/>
          <w:shd w:val="clear" w:color="auto" w:fill="FFFFFF"/>
        </w:rPr>
        <w:t>Weaver, R. (1986)</w:t>
      </w:r>
      <w:r w:rsidR="00D27487" w:rsidRPr="002F3DB8">
        <w:rPr>
          <w:rFonts w:ascii="Times New Roman" w:hAnsi="Times New Roman" w:cs="Times New Roman"/>
          <w:sz w:val="24"/>
          <w:szCs w:val="24"/>
          <w:shd w:val="clear" w:color="auto" w:fill="FFFFFF"/>
        </w:rPr>
        <w:t>.</w:t>
      </w:r>
      <w:r w:rsidR="008C6258" w:rsidRPr="002F3DB8">
        <w:rPr>
          <w:rFonts w:ascii="Times New Roman" w:hAnsi="Times New Roman" w:cs="Times New Roman"/>
          <w:sz w:val="24"/>
          <w:szCs w:val="24"/>
          <w:shd w:val="clear" w:color="auto" w:fill="FFFFFF"/>
        </w:rPr>
        <w:t xml:space="preserve"> </w:t>
      </w:r>
      <w:r w:rsidRPr="002F3DB8">
        <w:rPr>
          <w:rFonts w:ascii="Times New Roman" w:hAnsi="Times New Roman" w:cs="Times New Roman"/>
          <w:sz w:val="24"/>
          <w:szCs w:val="24"/>
          <w:shd w:val="clear" w:color="auto" w:fill="FFFFFF"/>
        </w:rPr>
        <w:t>The politics of Blame Avoidance</w:t>
      </w:r>
      <w:r w:rsidR="00D27487" w:rsidRPr="002F3DB8">
        <w:rPr>
          <w:rFonts w:ascii="Times New Roman" w:hAnsi="Times New Roman" w:cs="Times New Roman"/>
          <w:sz w:val="24"/>
          <w:szCs w:val="24"/>
          <w:shd w:val="clear" w:color="auto" w:fill="FFFFFF"/>
        </w:rPr>
        <w:t>.</w:t>
      </w:r>
      <w:r w:rsidR="008C6258" w:rsidRPr="002F3DB8">
        <w:rPr>
          <w:rFonts w:ascii="Times New Roman" w:hAnsi="Times New Roman" w:cs="Times New Roman"/>
          <w:sz w:val="24"/>
          <w:szCs w:val="24"/>
          <w:shd w:val="clear" w:color="auto" w:fill="FFFFFF"/>
        </w:rPr>
        <w:t xml:space="preserve"> </w:t>
      </w:r>
      <w:r w:rsidR="008C6258" w:rsidRPr="002F3DB8">
        <w:rPr>
          <w:rFonts w:ascii="Times New Roman" w:hAnsi="Times New Roman" w:cs="Times New Roman"/>
          <w:i/>
          <w:sz w:val="24"/>
          <w:szCs w:val="24"/>
          <w:shd w:val="clear" w:color="auto" w:fill="FFFFFF"/>
        </w:rPr>
        <w:t>Journal of Public Policy</w:t>
      </w:r>
      <w:r w:rsidRPr="002F3DB8">
        <w:rPr>
          <w:rFonts w:ascii="Times New Roman" w:hAnsi="Times New Roman" w:cs="Times New Roman"/>
          <w:sz w:val="24"/>
          <w:szCs w:val="24"/>
          <w:shd w:val="clear" w:color="auto" w:fill="FFFFFF"/>
        </w:rPr>
        <w:t xml:space="preserve">, </w:t>
      </w:r>
      <w:r w:rsidRPr="002F3DB8">
        <w:rPr>
          <w:rFonts w:ascii="Times New Roman" w:hAnsi="Times New Roman" w:cs="Times New Roman"/>
          <w:i/>
          <w:sz w:val="24"/>
          <w:szCs w:val="24"/>
          <w:shd w:val="clear" w:color="auto" w:fill="FFFFFF"/>
        </w:rPr>
        <w:t>6</w:t>
      </w:r>
      <w:r w:rsidRPr="002F3DB8">
        <w:rPr>
          <w:rFonts w:ascii="Times New Roman" w:hAnsi="Times New Roman" w:cs="Times New Roman"/>
          <w:sz w:val="24"/>
          <w:szCs w:val="24"/>
          <w:shd w:val="clear" w:color="auto" w:fill="FFFFFF"/>
        </w:rPr>
        <w:t>(4),</w:t>
      </w:r>
      <w:r w:rsidR="008C6258" w:rsidRPr="002F3DB8">
        <w:rPr>
          <w:rFonts w:ascii="Times New Roman" w:hAnsi="Times New Roman" w:cs="Times New Roman"/>
          <w:sz w:val="24"/>
          <w:szCs w:val="24"/>
          <w:shd w:val="clear" w:color="auto" w:fill="FFFFFF"/>
        </w:rPr>
        <w:t xml:space="preserve"> 371-398.</w:t>
      </w:r>
    </w:p>
    <w:p w14:paraId="07B96E56" w14:textId="4C10F7D7" w:rsidR="000439B7" w:rsidRPr="002F3DB8" w:rsidRDefault="000439B7" w:rsidP="001C1AAE">
      <w:pPr>
        <w:autoSpaceDE w:val="0"/>
        <w:autoSpaceDN w:val="0"/>
        <w:adjustRightInd w:val="0"/>
        <w:spacing w:after="120" w:line="360" w:lineRule="auto"/>
        <w:ind w:left="340" w:hanging="3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Williams, J. (2013)</w:t>
      </w:r>
      <w:r w:rsidR="00A7110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A71103">
        <w:rPr>
          <w:rFonts w:ascii="Times New Roman" w:hAnsi="Times New Roman" w:cs="Times New Roman"/>
          <w:i/>
          <w:sz w:val="24"/>
          <w:szCs w:val="24"/>
          <w:shd w:val="clear" w:color="auto" w:fill="FFFFFF"/>
        </w:rPr>
        <w:t>Consuming Higher Education: why learning can’t be bought</w:t>
      </w:r>
      <w:r w:rsidR="00A71103">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 xml:space="preserve"> London: Bloomsbury.</w:t>
      </w:r>
    </w:p>
    <w:p w14:paraId="5ADE6546" w14:textId="5FCA9859" w:rsidR="005216D8" w:rsidRPr="00F23ECE" w:rsidRDefault="005216D8" w:rsidP="001C1AAE">
      <w:pPr>
        <w:autoSpaceDE w:val="0"/>
        <w:autoSpaceDN w:val="0"/>
        <w:adjustRightInd w:val="0"/>
        <w:spacing w:after="120" w:line="360" w:lineRule="auto"/>
        <w:ind w:left="340" w:hanging="340"/>
        <w:rPr>
          <w:rFonts w:ascii="Times New Roman" w:hAnsi="Times New Roman" w:cs="Times New Roman"/>
          <w:sz w:val="24"/>
          <w:szCs w:val="24"/>
        </w:rPr>
      </w:pPr>
      <w:r w:rsidRPr="00F23ECE">
        <w:rPr>
          <w:rFonts w:ascii="Times New Roman" w:hAnsi="Times New Roman" w:cs="Times New Roman"/>
          <w:sz w:val="24"/>
          <w:szCs w:val="24"/>
        </w:rPr>
        <w:t>Winn</w:t>
      </w:r>
      <w:r w:rsidR="005F478D" w:rsidRPr="00F23ECE">
        <w:rPr>
          <w:rFonts w:ascii="Times New Roman" w:hAnsi="Times New Roman" w:cs="Times New Roman"/>
          <w:sz w:val="24"/>
          <w:szCs w:val="24"/>
        </w:rPr>
        <w:t>,</w:t>
      </w:r>
      <w:r w:rsidRPr="00F23ECE">
        <w:rPr>
          <w:rFonts w:ascii="Times New Roman" w:hAnsi="Times New Roman" w:cs="Times New Roman"/>
          <w:sz w:val="24"/>
          <w:szCs w:val="24"/>
        </w:rPr>
        <w:t xml:space="preserve"> J</w:t>
      </w:r>
      <w:r w:rsidR="005F478D" w:rsidRPr="00F23ECE">
        <w:rPr>
          <w:rFonts w:ascii="Times New Roman" w:hAnsi="Times New Roman" w:cs="Times New Roman"/>
          <w:sz w:val="24"/>
          <w:szCs w:val="24"/>
        </w:rPr>
        <w:t>.</w:t>
      </w:r>
      <w:r w:rsidRPr="00F23ECE">
        <w:rPr>
          <w:rFonts w:ascii="Times New Roman" w:hAnsi="Times New Roman" w:cs="Times New Roman"/>
          <w:sz w:val="24"/>
          <w:szCs w:val="24"/>
        </w:rPr>
        <w:t xml:space="preserve"> (2015)</w:t>
      </w:r>
      <w:r w:rsidR="005F478D" w:rsidRPr="00F23ECE">
        <w:rPr>
          <w:rFonts w:ascii="Times New Roman" w:hAnsi="Times New Roman" w:cs="Times New Roman"/>
          <w:sz w:val="24"/>
          <w:szCs w:val="24"/>
        </w:rPr>
        <w:t>.</w:t>
      </w:r>
      <w:r w:rsidRPr="00F23ECE">
        <w:rPr>
          <w:rFonts w:ascii="Times New Roman" w:hAnsi="Times New Roman" w:cs="Times New Roman"/>
          <w:sz w:val="24"/>
          <w:szCs w:val="24"/>
        </w:rPr>
        <w:t xml:space="preserve"> The co-operative university: Labour, property and pedagogy. </w:t>
      </w:r>
      <w:r w:rsidRPr="00F23ECE">
        <w:rPr>
          <w:rFonts w:ascii="Times New Roman" w:hAnsi="Times New Roman" w:cs="Times New Roman"/>
          <w:i/>
          <w:sz w:val="24"/>
          <w:szCs w:val="24"/>
        </w:rPr>
        <w:t>Power and Education</w:t>
      </w:r>
      <w:r w:rsidR="005F478D" w:rsidRPr="00F23ECE">
        <w:rPr>
          <w:rFonts w:ascii="Times New Roman" w:hAnsi="Times New Roman" w:cs="Times New Roman"/>
          <w:i/>
          <w:sz w:val="24"/>
          <w:szCs w:val="24"/>
        </w:rPr>
        <w:t>,</w:t>
      </w:r>
      <w:r w:rsidRPr="00F23ECE">
        <w:rPr>
          <w:rFonts w:ascii="Times New Roman" w:hAnsi="Times New Roman" w:cs="Times New Roman"/>
          <w:sz w:val="24"/>
          <w:szCs w:val="24"/>
        </w:rPr>
        <w:t xml:space="preserve"> </w:t>
      </w:r>
      <w:r w:rsidRPr="00F23ECE">
        <w:rPr>
          <w:rFonts w:ascii="Times New Roman" w:hAnsi="Times New Roman" w:cs="Times New Roman"/>
          <w:i/>
          <w:sz w:val="24"/>
          <w:szCs w:val="24"/>
        </w:rPr>
        <w:t>7</w:t>
      </w:r>
      <w:r w:rsidRPr="00F23ECE">
        <w:rPr>
          <w:rFonts w:ascii="Times New Roman" w:hAnsi="Times New Roman" w:cs="Times New Roman"/>
          <w:sz w:val="24"/>
          <w:szCs w:val="24"/>
        </w:rPr>
        <w:t>(1)</w:t>
      </w:r>
      <w:r w:rsidR="005F478D" w:rsidRPr="00F23ECE">
        <w:rPr>
          <w:rFonts w:ascii="Times New Roman" w:hAnsi="Times New Roman" w:cs="Times New Roman"/>
          <w:sz w:val="24"/>
          <w:szCs w:val="24"/>
        </w:rPr>
        <w:t xml:space="preserve">, </w:t>
      </w:r>
      <w:r w:rsidRPr="00F23ECE">
        <w:rPr>
          <w:rFonts w:ascii="Times New Roman" w:hAnsi="Times New Roman" w:cs="Times New Roman"/>
          <w:sz w:val="24"/>
          <w:szCs w:val="24"/>
        </w:rPr>
        <w:t>39-55</w:t>
      </w:r>
    </w:p>
    <w:p w14:paraId="7868EB8D" w14:textId="729B035E" w:rsidR="005216D8" w:rsidRPr="005F478D" w:rsidRDefault="005216D8" w:rsidP="001C1AAE">
      <w:pPr>
        <w:autoSpaceDE w:val="0"/>
        <w:autoSpaceDN w:val="0"/>
        <w:adjustRightInd w:val="0"/>
        <w:spacing w:after="120" w:line="360" w:lineRule="auto"/>
        <w:ind w:left="340" w:hanging="340"/>
        <w:rPr>
          <w:rFonts w:ascii="Times New Roman" w:hAnsi="Times New Roman" w:cs="Times New Roman"/>
          <w:color w:val="222222"/>
          <w:sz w:val="24"/>
          <w:szCs w:val="24"/>
          <w:shd w:val="clear" w:color="auto" w:fill="FFFFFF"/>
        </w:rPr>
      </w:pPr>
      <w:r w:rsidRPr="00F23ECE">
        <w:rPr>
          <w:rFonts w:ascii="Times New Roman" w:hAnsi="Times New Roman" w:cs="Times New Roman"/>
          <w:sz w:val="24"/>
          <w:szCs w:val="24"/>
        </w:rPr>
        <w:t>Wright</w:t>
      </w:r>
      <w:r w:rsidR="005F478D" w:rsidRPr="00F23ECE">
        <w:rPr>
          <w:rFonts w:ascii="Times New Roman" w:hAnsi="Times New Roman" w:cs="Times New Roman"/>
          <w:sz w:val="24"/>
          <w:szCs w:val="24"/>
        </w:rPr>
        <w:t>,</w:t>
      </w:r>
      <w:r w:rsidRPr="00F23ECE">
        <w:rPr>
          <w:rFonts w:ascii="Times New Roman" w:hAnsi="Times New Roman" w:cs="Times New Roman"/>
          <w:sz w:val="24"/>
          <w:szCs w:val="24"/>
        </w:rPr>
        <w:t xml:space="preserve"> S</w:t>
      </w:r>
      <w:r w:rsidR="005F478D" w:rsidRPr="00F23ECE">
        <w:rPr>
          <w:rFonts w:ascii="Times New Roman" w:hAnsi="Times New Roman" w:cs="Times New Roman"/>
          <w:sz w:val="24"/>
          <w:szCs w:val="24"/>
        </w:rPr>
        <w:t>., &amp;</w:t>
      </w:r>
      <w:r w:rsidRPr="00F23ECE">
        <w:rPr>
          <w:rFonts w:ascii="Times New Roman" w:hAnsi="Times New Roman" w:cs="Times New Roman"/>
          <w:sz w:val="24"/>
          <w:szCs w:val="24"/>
        </w:rPr>
        <w:t xml:space="preserve"> Greenwood, D</w:t>
      </w:r>
      <w:r w:rsidR="005F478D" w:rsidRPr="00F23ECE">
        <w:rPr>
          <w:rFonts w:ascii="Times New Roman" w:hAnsi="Times New Roman" w:cs="Times New Roman"/>
          <w:sz w:val="24"/>
          <w:szCs w:val="24"/>
        </w:rPr>
        <w:t xml:space="preserve">. </w:t>
      </w:r>
      <w:r w:rsidRPr="00F23ECE">
        <w:rPr>
          <w:rFonts w:ascii="Times New Roman" w:hAnsi="Times New Roman" w:cs="Times New Roman"/>
          <w:sz w:val="24"/>
          <w:szCs w:val="24"/>
        </w:rPr>
        <w:t>J</w:t>
      </w:r>
      <w:r w:rsidR="005F478D" w:rsidRPr="00F23ECE">
        <w:rPr>
          <w:rFonts w:ascii="Times New Roman" w:hAnsi="Times New Roman" w:cs="Times New Roman"/>
          <w:sz w:val="24"/>
          <w:szCs w:val="24"/>
        </w:rPr>
        <w:t>.</w:t>
      </w:r>
      <w:r w:rsidRPr="00F23ECE">
        <w:rPr>
          <w:rFonts w:ascii="Times New Roman" w:hAnsi="Times New Roman" w:cs="Times New Roman"/>
          <w:sz w:val="24"/>
          <w:szCs w:val="24"/>
        </w:rPr>
        <w:t xml:space="preserve"> (2017)</w:t>
      </w:r>
      <w:r w:rsidR="005F478D" w:rsidRPr="00F23ECE">
        <w:rPr>
          <w:rFonts w:ascii="Times New Roman" w:hAnsi="Times New Roman" w:cs="Times New Roman"/>
          <w:sz w:val="24"/>
          <w:szCs w:val="24"/>
        </w:rPr>
        <w:t>.</w:t>
      </w:r>
      <w:r w:rsidRPr="00F23ECE">
        <w:rPr>
          <w:rFonts w:ascii="Times New Roman" w:hAnsi="Times New Roman" w:cs="Times New Roman"/>
          <w:sz w:val="24"/>
          <w:szCs w:val="24"/>
        </w:rPr>
        <w:t xml:space="preserve"> Universities run for, by, and with the faculty, students and staff: Alternatives to the neoliberal destruction of higher education. </w:t>
      </w:r>
      <w:r w:rsidRPr="00F23ECE">
        <w:rPr>
          <w:rFonts w:ascii="Times New Roman" w:hAnsi="Times New Roman" w:cs="Times New Roman"/>
          <w:i/>
          <w:sz w:val="24"/>
          <w:szCs w:val="24"/>
        </w:rPr>
        <w:t>Learning and Teaching</w:t>
      </w:r>
      <w:r w:rsidR="005F478D" w:rsidRPr="00F23ECE">
        <w:rPr>
          <w:rFonts w:ascii="Times New Roman" w:hAnsi="Times New Roman" w:cs="Times New Roman"/>
          <w:i/>
          <w:sz w:val="24"/>
          <w:szCs w:val="24"/>
        </w:rPr>
        <w:t>,</w:t>
      </w:r>
      <w:r w:rsidRPr="00F23ECE">
        <w:rPr>
          <w:rFonts w:ascii="Times New Roman" w:hAnsi="Times New Roman" w:cs="Times New Roman"/>
          <w:sz w:val="24"/>
          <w:szCs w:val="24"/>
        </w:rPr>
        <w:t xml:space="preserve"> </w:t>
      </w:r>
      <w:r w:rsidRPr="00F23ECE">
        <w:rPr>
          <w:rFonts w:ascii="Times New Roman" w:hAnsi="Times New Roman" w:cs="Times New Roman"/>
          <w:i/>
          <w:sz w:val="24"/>
          <w:szCs w:val="24"/>
        </w:rPr>
        <w:t>10</w:t>
      </w:r>
      <w:r w:rsidRPr="00F23ECE">
        <w:rPr>
          <w:rFonts w:ascii="Times New Roman" w:hAnsi="Times New Roman" w:cs="Times New Roman"/>
          <w:sz w:val="24"/>
          <w:szCs w:val="24"/>
        </w:rPr>
        <w:t>(1)</w:t>
      </w:r>
      <w:r w:rsidR="005F478D" w:rsidRPr="00F23ECE">
        <w:rPr>
          <w:rFonts w:ascii="Times New Roman" w:hAnsi="Times New Roman" w:cs="Times New Roman"/>
          <w:sz w:val="24"/>
          <w:szCs w:val="24"/>
        </w:rPr>
        <w:t xml:space="preserve">, </w:t>
      </w:r>
      <w:r w:rsidRPr="00F23ECE">
        <w:rPr>
          <w:rFonts w:ascii="Times New Roman" w:hAnsi="Times New Roman" w:cs="Times New Roman"/>
          <w:sz w:val="24"/>
          <w:szCs w:val="24"/>
        </w:rPr>
        <w:t>42-65.</w:t>
      </w:r>
    </w:p>
    <w:sectPr w:rsidR="005216D8" w:rsidRPr="005F478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BCF54" w14:textId="77777777" w:rsidR="00666746" w:rsidRDefault="00666746" w:rsidP="00F1112F">
      <w:pPr>
        <w:spacing w:after="0" w:line="240" w:lineRule="auto"/>
      </w:pPr>
      <w:r>
        <w:separator/>
      </w:r>
    </w:p>
  </w:endnote>
  <w:endnote w:type="continuationSeparator" w:id="0">
    <w:p w14:paraId="79AB920D" w14:textId="77777777" w:rsidR="00666746" w:rsidRDefault="00666746" w:rsidP="00F1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font181">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lassicalGaramondBT-Roman">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GDB B+ MTSY">
    <w:altName w:val="Malgun Gothic"/>
    <w:panose1 w:val="00000000000000000000"/>
    <w:charset w:val="81"/>
    <w:family w:val="swiss"/>
    <w:notTrueType/>
    <w:pitch w:val="default"/>
    <w:sig w:usb0="00000000" w:usb1="09060000" w:usb2="00000010" w:usb3="00000000" w:csb0="00080000" w:csb1="00000000"/>
  </w:font>
  <w:font w:name="ff3">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2C1B4" w14:textId="77777777" w:rsidR="00666746" w:rsidRDefault="00666746" w:rsidP="00F1112F">
      <w:pPr>
        <w:spacing w:after="0" w:line="240" w:lineRule="auto"/>
      </w:pPr>
      <w:r>
        <w:separator/>
      </w:r>
    </w:p>
  </w:footnote>
  <w:footnote w:type="continuationSeparator" w:id="0">
    <w:p w14:paraId="20217DF3" w14:textId="77777777" w:rsidR="00666746" w:rsidRDefault="00666746" w:rsidP="00F11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515963"/>
      <w:docPartObj>
        <w:docPartGallery w:val="Page Numbers (Top of Page)"/>
        <w:docPartUnique/>
      </w:docPartObj>
    </w:sdtPr>
    <w:sdtEndPr>
      <w:rPr>
        <w:noProof/>
      </w:rPr>
    </w:sdtEndPr>
    <w:sdtContent>
      <w:p w14:paraId="2FA15176" w14:textId="248B0828" w:rsidR="00666746" w:rsidRDefault="00666746">
        <w:pPr>
          <w:pStyle w:val="Header"/>
          <w:jc w:val="right"/>
        </w:pPr>
        <w:r>
          <w:fldChar w:fldCharType="begin"/>
        </w:r>
        <w:r>
          <w:instrText xml:space="preserve"> PAGE   \* MERGEFORMAT </w:instrText>
        </w:r>
        <w:r>
          <w:fldChar w:fldCharType="separate"/>
        </w:r>
        <w:r w:rsidR="003268EC">
          <w:rPr>
            <w:noProof/>
          </w:rPr>
          <w:t>17</w:t>
        </w:r>
        <w:r>
          <w:rPr>
            <w:noProof/>
          </w:rPr>
          <w:fldChar w:fldCharType="end"/>
        </w:r>
      </w:p>
    </w:sdtContent>
  </w:sdt>
  <w:p w14:paraId="5ABEE140" w14:textId="77777777" w:rsidR="00666746" w:rsidRDefault="00666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BE3"/>
    <w:multiLevelType w:val="hybridMultilevel"/>
    <w:tmpl w:val="4238ACF6"/>
    <w:lvl w:ilvl="0" w:tplc="D7BE2EE8">
      <w:start w:val="1"/>
      <w:numFmt w:val="bullet"/>
      <w:lvlText w:val="•"/>
      <w:lvlJc w:val="left"/>
      <w:pPr>
        <w:tabs>
          <w:tab w:val="num" w:pos="720"/>
        </w:tabs>
        <w:ind w:left="720" w:hanging="360"/>
      </w:pPr>
      <w:rPr>
        <w:rFonts w:ascii="Arial" w:hAnsi="Arial" w:hint="default"/>
      </w:rPr>
    </w:lvl>
    <w:lvl w:ilvl="1" w:tplc="C67ABB2A" w:tentative="1">
      <w:start w:val="1"/>
      <w:numFmt w:val="bullet"/>
      <w:lvlText w:val="•"/>
      <w:lvlJc w:val="left"/>
      <w:pPr>
        <w:tabs>
          <w:tab w:val="num" w:pos="1440"/>
        </w:tabs>
        <w:ind w:left="1440" w:hanging="360"/>
      </w:pPr>
      <w:rPr>
        <w:rFonts w:ascii="Arial" w:hAnsi="Arial" w:hint="default"/>
      </w:rPr>
    </w:lvl>
    <w:lvl w:ilvl="2" w:tplc="E1A4DD92" w:tentative="1">
      <w:start w:val="1"/>
      <w:numFmt w:val="bullet"/>
      <w:lvlText w:val="•"/>
      <w:lvlJc w:val="left"/>
      <w:pPr>
        <w:tabs>
          <w:tab w:val="num" w:pos="2160"/>
        </w:tabs>
        <w:ind w:left="2160" w:hanging="360"/>
      </w:pPr>
      <w:rPr>
        <w:rFonts w:ascii="Arial" w:hAnsi="Arial" w:hint="default"/>
      </w:rPr>
    </w:lvl>
    <w:lvl w:ilvl="3" w:tplc="BE320EDC" w:tentative="1">
      <w:start w:val="1"/>
      <w:numFmt w:val="bullet"/>
      <w:lvlText w:val="•"/>
      <w:lvlJc w:val="left"/>
      <w:pPr>
        <w:tabs>
          <w:tab w:val="num" w:pos="2880"/>
        </w:tabs>
        <w:ind w:left="2880" w:hanging="360"/>
      </w:pPr>
      <w:rPr>
        <w:rFonts w:ascii="Arial" w:hAnsi="Arial" w:hint="default"/>
      </w:rPr>
    </w:lvl>
    <w:lvl w:ilvl="4" w:tplc="66BCD0A6" w:tentative="1">
      <w:start w:val="1"/>
      <w:numFmt w:val="bullet"/>
      <w:lvlText w:val="•"/>
      <w:lvlJc w:val="left"/>
      <w:pPr>
        <w:tabs>
          <w:tab w:val="num" w:pos="3600"/>
        </w:tabs>
        <w:ind w:left="3600" w:hanging="360"/>
      </w:pPr>
      <w:rPr>
        <w:rFonts w:ascii="Arial" w:hAnsi="Arial" w:hint="default"/>
      </w:rPr>
    </w:lvl>
    <w:lvl w:ilvl="5" w:tplc="F13A0744" w:tentative="1">
      <w:start w:val="1"/>
      <w:numFmt w:val="bullet"/>
      <w:lvlText w:val="•"/>
      <w:lvlJc w:val="left"/>
      <w:pPr>
        <w:tabs>
          <w:tab w:val="num" w:pos="4320"/>
        </w:tabs>
        <w:ind w:left="4320" w:hanging="360"/>
      </w:pPr>
      <w:rPr>
        <w:rFonts w:ascii="Arial" w:hAnsi="Arial" w:hint="default"/>
      </w:rPr>
    </w:lvl>
    <w:lvl w:ilvl="6" w:tplc="0A7CBB40" w:tentative="1">
      <w:start w:val="1"/>
      <w:numFmt w:val="bullet"/>
      <w:lvlText w:val="•"/>
      <w:lvlJc w:val="left"/>
      <w:pPr>
        <w:tabs>
          <w:tab w:val="num" w:pos="5040"/>
        </w:tabs>
        <w:ind w:left="5040" w:hanging="360"/>
      </w:pPr>
      <w:rPr>
        <w:rFonts w:ascii="Arial" w:hAnsi="Arial" w:hint="default"/>
      </w:rPr>
    </w:lvl>
    <w:lvl w:ilvl="7" w:tplc="0436DC44" w:tentative="1">
      <w:start w:val="1"/>
      <w:numFmt w:val="bullet"/>
      <w:lvlText w:val="•"/>
      <w:lvlJc w:val="left"/>
      <w:pPr>
        <w:tabs>
          <w:tab w:val="num" w:pos="5760"/>
        </w:tabs>
        <w:ind w:left="5760" w:hanging="360"/>
      </w:pPr>
      <w:rPr>
        <w:rFonts w:ascii="Arial" w:hAnsi="Arial" w:hint="default"/>
      </w:rPr>
    </w:lvl>
    <w:lvl w:ilvl="8" w:tplc="CA883B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6A82F1F"/>
    <w:multiLevelType w:val="hybridMultilevel"/>
    <w:tmpl w:val="E558EDD4"/>
    <w:lvl w:ilvl="0" w:tplc="1C00773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DD1166"/>
    <w:multiLevelType w:val="hybridMultilevel"/>
    <w:tmpl w:val="587273B0"/>
    <w:lvl w:ilvl="0" w:tplc="D1FE85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2C"/>
    <w:rsid w:val="00003D12"/>
    <w:rsid w:val="00005901"/>
    <w:rsid w:val="000065B8"/>
    <w:rsid w:val="000100A6"/>
    <w:rsid w:val="00010A31"/>
    <w:rsid w:val="00013BF1"/>
    <w:rsid w:val="000142F4"/>
    <w:rsid w:val="00015799"/>
    <w:rsid w:val="00016F34"/>
    <w:rsid w:val="000229AD"/>
    <w:rsid w:val="000258BF"/>
    <w:rsid w:val="00027BD6"/>
    <w:rsid w:val="00031D50"/>
    <w:rsid w:val="00032FE3"/>
    <w:rsid w:val="00042A58"/>
    <w:rsid w:val="000439B7"/>
    <w:rsid w:val="00043E30"/>
    <w:rsid w:val="000451DC"/>
    <w:rsid w:val="00045A67"/>
    <w:rsid w:val="00045BA0"/>
    <w:rsid w:val="00045CBE"/>
    <w:rsid w:val="00054755"/>
    <w:rsid w:val="00060C1F"/>
    <w:rsid w:val="000615EC"/>
    <w:rsid w:val="000663E9"/>
    <w:rsid w:val="00070405"/>
    <w:rsid w:val="000716D3"/>
    <w:rsid w:val="0007645C"/>
    <w:rsid w:val="00077010"/>
    <w:rsid w:val="000772CE"/>
    <w:rsid w:val="0008060B"/>
    <w:rsid w:val="00086332"/>
    <w:rsid w:val="00090864"/>
    <w:rsid w:val="00090CAD"/>
    <w:rsid w:val="00091BAC"/>
    <w:rsid w:val="00095A0B"/>
    <w:rsid w:val="0009708A"/>
    <w:rsid w:val="000A052C"/>
    <w:rsid w:val="000A105D"/>
    <w:rsid w:val="000A2E56"/>
    <w:rsid w:val="000A4825"/>
    <w:rsid w:val="000B4087"/>
    <w:rsid w:val="000C0921"/>
    <w:rsid w:val="000C0E4A"/>
    <w:rsid w:val="000D28FC"/>
    <w:rsid w:val="000D4434"/>
    <w:rsid w:val="000D65FD"/>
    <w:rsid w:val="000D682B"/>
    <w:rsid w:val="000D6CA2"/>
    <w:rsid w:val="000E0876"/>
    <w:rsid w:val="000E1A95"/>
    <w:rsid w:val="000F0B65"/>
    <w:rsid w:val="000F1F6A"/>
    <w:rsid w:val="000F2BEC"/>
    <w:rsid w:val="000F3AD7"/>
    <w:rsid w:val="000F3CE6"/>
    <w:rsid w:val="000F49E9"/>
    <w:rsid w:val="000F6801"/>
    <w:rsid w:val="00100118"/>
    <w:rsid w:val="001010DD"/>
    <w:rsid w:val="00101799"/>
    <w:rsid w:val="001061F3"/>
    <w:rsid w:val="00110782"/>
    <w:rsid w:val="00110C25"/>
    <w:rsid w:val="001117EA"/>
    <w:rsid w:val="0012259D"/>
    <w:rsid w:val="0012474F"/>
    <w:rsid w:val="00124EF6"/>
    <w:rsid w:val="001267C6"/>
    <w:rsid w:val="001311AC"/>
    <w:rsid w:val="00134390"/>
    <w:rsid w:val="00141CFE"/>
    <w:rsid w:val="00142644"/>
    <w:rsid w:val="0014693A"/>
    <w:rsid w:val="00146A81"/>
    <w:rsid w:val="0014767B"/>
    <w:rsid w:val="0015191B"/>
    <w:rsid w:val="00152B17"/>
    <w:rsid w:val="00153E67"/>
    <w:rsid w:val="00154C16"/>
    <w:rsid w:val="001577EC"/>
    <w:rsid w:val="00157C51"/>
    <w:rsid w:val="0016148D"/>
    <w:rsid w:val="0017068E"/>
    <w:rsid w:val="00170F52"/>
    <w:rsid w:val="00172A97"/>
    <w:rsid w:val="00173F3D"/>
    <w:rsid w:val="00174B2D"/>
    <w:rsid w:val="00175F08"/>
    <w:rsid w:val="00181137"/>
    <w:rsid w:val="00183CE6"/>
    <w:rsid w:val="00187548"/>
    <w:rsid w:val="0019094C"/>
    <w:rsid w:val="0019099D"/>
    <w:rsid w:val="00191716"/>
    <w:rsid w:val="00191897"/>
    <w:rsid w:val="00192798"/>
    <w:rsid w:val="00193C1D"/>
    <w:rsid w:val="001955E2"/>
    <w:rsid w:val="00196224"/>
    <w:rsid w:val="001969CB"/>
    <w:rsid w:val="001A083E"/>
    <w:rsid w:val="001A18BD"/>
    <w:rsid w:val="001A1969"/>
    <w:rsid w:val="001A240A"/>
    <w:rsid w:val="001A2A59"/>
    <w:rsid w:val="001A2F2C"/>
    <w:rsid w:val="001A5F7B"/>
    <w:rsid w:val="001A7A19"/>
    <w:rsid w:val="001B2E36"/>
    <w:rsid w:val="001B33D0"/>
    <w:rsid w:val="001B3CE2"/>
    <w:rsid w:val="001B4880"/>
    <w:rsid w:val="001B6755"/>
    <w:rsid w:val="001C1AAE"/>
    <w:rsid w:val="001C2F4D"/>
    <w:rsid w:val="001C3274"/>
    <w:rsid w:val="001C3ED1"/>
    <w:rsid w:val="001C580A"/>
    <w:rsid w:val="001C74E8"/>
    <w:rsid w:val="001C7F78"/>
    <w:rsid w:val="001D2282"/>
    <w:rsid w:val="001D5323"/>
    <w:rsid w:val="001D54FE"/>
    <w:rsid w:val="001D7BA7"/>
    <w:rsid w:val="001E093D"/>
    <w:rsid w:val="001E1E4B"/>
    <w:rsid w:val="001E30E7"/>
    <w:rsid w:val="001E60BB"/>
    <w:rsid w:val="001E6431"/>
    <w:rsid w:val="001E7E10"/>
    <w:rsid w:val="001F1E76"/>
    <w:rsid w:val="001F441A"/>
    <w:rsid w:val="001F5D16"/>
    <w:rsid w:val="002004AA"/>
    <w:rsid w:val="00200C3C"/>
    <w:rsid w:val="00203700"/>
    <w:rsid w:val="00205788"/>
    <w:rsid w:val="00207003"/>
    <w:rsid w:val="002104D4"/>
    <w:rsid w:val="00213213"/>
    <w:rsid w:val="00217D26"/>
    <w:rsid w:val="0022092A"/>
    <w:rsid w:val="00220C24"/>
    <w:rsid w:val="00220FA4"/>
    <w:rsid w:val="002265B9"/>
    <w:rsid w:val="00230B3B"/>
    <w:rsid w:val="00233369"/>
    <w:rsid w:val="00233BF8"/>
    <w:rsid w:val="00235AC5"/>
    <w:rsid w:val="00237EE7"/>
    <w:rsid w:val="002417A9"/>
    <w:rsid w:val="00244A10"/>
    <w:rsid w:val="002470BE"/>
    <w:rsid w:val="00247E37"/>
    <w:rsid w:val="002504DB"/>
    <w:rsid w:val="00251D20"/>
    <w:rsid w:val="00253C4C"/>
    <w:rsid w:val="00255998"/>
    <w:rsid w:val="002603BD"/>
    <w:rsid w:val="00260EA3"/>
    <w:rsid w:val="00260F0A"/>
    <w:rsid w:val="0026122C"/>
    <w:rsid w:val="00263FE0"/>
    <w:rsid w:val="0027579F"/>
    <w:rsid w:val="0027747B"/>
    <w:rsid w:val="00277B31"/>
    <w:rsid w:val="00281520"/>
    <w:rsid w:val="00282908"/>
    <w:rsid w:val="002840FF"/>
    <w:rsid w:val="00286D93"/>
    <w:rsid w:val="00290720"/>
    <w:rsid w:val="00291371"/>
    <w:rsid w:val="00292F56"/>
    <w:rsid w:val="00295096"/>
    <w:rsid w:val="002A143A"/>
    <w:rsid w:val="002A53D8"/>
    <w:rsid w:val="002A5DAF"/>
    <w:rsid w:val="002B14ED"/>
    <w:rsid w:val="002B55A6"/>
    <w:rsid w:val="002C6F42"/>
    <w:rsid w:val="002C704F"/>
    <w:rsid w:val="002C77DE"/>
    <w:rsid w:val="002D0C78"/>
    <w:rsid w:val="002D14DC"/>
    <w:rsid w:val="002D3357"/>
    <w:rsid w:val="002D43F0"/>
    <w:rsid w:val="002D4EAB"/>
    <w:rsid w:val="002D6606"/>
    <w:rsid w:val="002D6977"/>
    <w:rsid w:val="002E01D5"/>
    <w:rsid w:val="002F059A"/>
    <w:rsid w:val="002F3DB8"/>
    <w:rsid w:val="002F417D"/>
    <w:rsid w:val="002F74E8"/>
    <w:rsid w:val="00300A95"/>
    <w:rsid w:val="00302508"/>
    <w:rsid w:val="00304811"/>
    <w:rsid w:val="003077F4"/>
    <w:rsid w:val="00310411"/>
    <w:rsid w:val="003145A1"/>
    <w:rsid w:val="003167AC"/>
    <w:rsid w:val="00320009"/>
    <w:rsid w:val="00321B69"/>
    <w:rsid w:val="00323234"/>
    <w:rsid w:val="003268EC"/>
    <w:rsid w:val="00332435"/>
    <w:rsid w:val="00336324"/>
    <w:rsid w:val="003366AA"/>
    <w:rsid w:val="0034145F"/>
    <w:rsid w:val="00342449"/>
    <w:rsid w:val="00345210"/>
    <w:rsid w:val="00347489"/>
    <w:rsid w:val="00347846"/>
    <w:rsid w:val="00350144"/>
    <w:rsid w:val="003510C3"/>
    <w:rsid w:val="00351C1E"/>
    <w:rsid w:val="003525A6"/>
    <w:rsid w:val="003546D0"/>
    <w:rsid w:val="003561F5"/>
    <w:rsid w:val="00356420"/>
    <w:rsid w:val="0035680E"/>
    <w:rsid w:val="00357EC1"/>
    <w:rsid w:val="00362096"/>
    <w:rsid w:val="00367AC9"/>
    <w:rsid w:val="003709D5"/>
    <w:rsid w:val="00370EFA"/>
    <w:rsid w:val="00371407"/>
    <w:rsid w:val="0037322E"/>
    <w:rsid w:val="003764C7"/>
    <w:rsid w:val="00380E81"/>
    <w:rsid w:val="00385A04"/>
    <w:rsid w:val="003909BD"/>
    <w:rsid w:val="00394F85"/>
    <w:rsid w:val="00397B81"/>
    <w:rsid w:val="003A1646"/>
    <w:rsid w:val="003A1A57"/>
    <w:rsid w:val="003B24F9"/>
    <w:rsid w:val="003B3261"/>
    <w:rsid w:val="003B3812"/>
    <w:rsid w:val="003B4355"/>
    <w:rsid w:val="003B6A60"/>
    <w:rsid w:val="003C1473"/>
    <w:rsid w:val="003C4E60"/>
    <w:rsid w:val="003C5C42"/>
    <w:rsid w:val="003C5F1F"/>
    <w:rsid w:val="003D0299"/>
    <w:rsid w:val="003D1C42"/>
    <w:rsid w:val="003D4E28"/>
    <w:rsid w:val="003D5BFF"/>
    <w:rsid w:val="003D7CED"/>
    <w:rsid w:val="003E2C14"/>
    <w:rsid w:val="003E32CB"/>
    <w:rsid w:val="003F311F"/>
    <w:rsid w:val="003F5777"/>
    <w:rsid w:val="003F788C"/>
    <w:rsid w:val="00404C00"/>
    <w:rsid w:val="00407576"/>
    <w:rsid w:val="004101A7"/>
    <w:rsid w:val="00410FC4"/>
    <w:rsid w:val="0041159E"/>
    <w:rsid w:val="004121DD"/>
    <w:rsid w:val="00412CB3"/>
    <w:rsid w:val="0042096A"/>
    <w:rsid w:val="00421675"/>
    <w:rsid w:val="00421AE5"/>
    <w:rsid w:val="00424CD2"/>
    <w:rsid w:val="00424CD8"/>
    <w:rsid w:val="00426740"/>
    <w:rsid w:val="00434A53"/>
    <w:rsid w:val="00436FC1"/>
    <w:rsid w:val="004444B1"/>
    <w:rsid w:val="0044457A"/>
    <w:rsid w:val="004448CF"/>
    <w:rsid w:val="00445A7C"/>
    <w:rsid w:val="00446262"/>
    <w:rsid w:val="004516CF"/>
    <w:rsid w:val="0045754F"/>
    <w:rsid w:val="00465414"/>
    <w:rsid w:val="00466DFB"/>
    <w:rsid w:val="00467A6E"/>
    <w:rsid w:val="004702CE"/>
    <w:rsid w:val="00472E98"/>
    <w:rsid w:val="00473863"/>
    <w:rsid w:val="0047768C"/>
    <w:rsid w:val="004834D5"/>
    <w:rsid w:val="00485B26"/>
    <w:rsid w:val="0048782D"/>
    <w:rsid w:val="0049004E"/>
    <w:rsid w:val="004931EE"/>
    <w:rsid w:val="0049520C"/>
    <w:rsid w:val="00495B26"/>
    <w:rsid w:val="004A33DE"/>
    <w:rsid w:val="004A4068"/>
    <w:rsid w:val="004A6DC3"/>
    <w:rsid w:val="004A6FFF"/>
    <w:rsid w:val="004B5408"/>
    <w:rsid w:val="004B5CDC"/>
    <w:rsid w:val="004B6C19"/>
    <w:rsid w:val="004B6F5B"/>
    <w:rsid w:val="004B723C"/>
    <w:rsid w:val="004B73B7"/>
    <w:rsid w:val="004C26FD"/>
    <w:rsid w:val="004C35D6"/>
    <w:rsid w:val="004C5AAE"/>
    <w:rsid w:val="004C5B7B"/>
    <w:rsid w:val="004C6A1C"/>
    <w:rsid w:val="004D1680"/>
    <w:rsid w:val="004D323C"/>
    <w:rsid w:val="004D52DD"/>
    <w:rsid w:val="004D551B"/>
    <w:rsid w:val="004D640A"/>
    <w:rsid w:val="004E0CD9"/>
    <w:rsid w:val="004E1A6F"/>
    <w:rsid w:val="004F0C3A"/>
    <w:rsid w:val="004F0C3F"/>
    <w:rsid w:val="004F1A36"/>
    <w:rsid w:val="00507003"/>
    <w:rsid w:val="00510D46"/>
    <w:rsid w:val="0051153A"/>
    <w:rsid w:val="00511DF6"/>
    <w:rsid w:val="0051456B"/>
    <w:rsid w:val="00516832"/>
    <w:rsid w:val="005216D8"/>
    <w:rsid w:val="0053062F"/>
    <w:rsid w:val="00532E81"/>
    <w:rsid w:val="00536C73"/>
    <w:rsid w:val="00537E0B"/>
    <w:rsid w:val="00542B93"/>
    <w:rsid w:val="005446D0"/>
    <w:rsid w:val="00546EE7"/>
    <w:rsid w:val="005504AD"/>
    <w:rsid w:val="00556A36"/>
    <w:rsid w:val="00566162"/>
    <w:rsid w:val="0056781E"/>
    <w:rsid w:val="00567E2B"/>
    <w:rsid w:val="00571D7D"/>
    <w:rsid w:val="00572702"/>
    <w:rsid w:val="00574438"/>
    <w:rsid w:val="005753E3"/>
    <w:rsid w:val="00576FDA"/>
    <w:rsid w:val="0058182C"/>
    <w:rsid w:val="00582CC4"/>
    <w:rsid w:val="0058427D"/>
    <w:rsid w:val="0058496A"/>
    <w:rsid w:val="00590B2F"/>
    <w:rsid w:val="00594B71"/>
    <w:rsid w:val="00594CA6"/>
    <w:rsid w:val="00595D68"/>
    <w:rsid w:val="005A0E01"/>
    <w:rsid w:val="005A1C59"/>
    <w:rsid w:val="005A6CBB"/>
    <w:rsid w:val="005B0EFE"/>
    <w:rsid w:val="005B1610"/>
    <w:rsid w:val="005B44F0"/>
    <w:rsid w:val="005C2F2C"/>
    <w:rsid w:val="005C334C"/>
    <w:rsid w:val="005C69EB"/>
    <w:rsid w:val="005C7F0B"/>
    <w:rsid w:val="005D15EE"/>
    <w:rsid w:val="005D305D"/>
    <w:rsid w:val="005D7EA2"/>
    <w:rsid w:val="005E25B4"/>
    <w:rsid w:val="005E38E2"/>
    <w:rsid w:val="005F478D"/>
    <w:rsid w:val="005F4E09"/>
    <w:rsid w:val="005F7266"/>
    <w:rsid w:val="006012FE"/>
    <w:rsid w:val="00602299"/>
    <w:rsid w:val="006069FD"/>
    <w:rsid w:val="006074BB"/>
    <w:rsid w:val="00611481"/>
    <w:rsid w:val="0061432C"/>
    <w:rsid w:val="006249CD"/>
    <w:rsid w:val="0062526A"/>
    <w:rsid w:val="006253EA"/>
    <w:rsid w:val="0062749B"/>
    <w:rsid w:val="00627BA6"/>
    <w:rsid w:val="0063474E"/>
    <w:rsid w:val="006374E8"/>
    <w:rsid w:val="00637996"/>
    <w:rsid w:val="00642A92"/>
    <w:rsid w:val="00642CCD"/>
    <w:rsid w:val="00646457"/>
    <w:rsid w:val="006545C7"/>
    <w:rsid w:val="006563FA"/>
    <w:rsid w:val="00656C71"/>
    <w:rsid w:val="006574D5"/>
    <w:rsid w:val="00662757"/>
    <w:rsid w:val="00662AD2"/>
    <w:rsid w:val="00664603"/>
    <w:rsid w:val="00664C46"/>
    <w:rsid w:val="00666746"/>
    <w:rsid w:val="00670EEC"/>
    <w:rsid w:val="00673EA5"/>
    <w:rsid w:val="00680282"/>
    <w:rsid w:val="00682A98"/>
    <w:rsid w:val="00683802"/>
    <w:rsid w:val="0068740A"/>
    <w:rsid w:val="006915DF"/>
    <w:rsid w:val="006943FA"/>
    <w:rsid w:val="00695012"/>
    <w:rsid w:val="006969CE"/>
    <w:rsid w:val="00696D97"/>
    <w:rsid w:val="006A07A4"/>
    <w:rsid w:val="006A2FAB"/>
    <w:rsid w:val="006A4964"/>
    <w:rsid w:val="006A550E"/>
    <w:rsid w:val="006A60DB"/>
    <w:rsid w:val="006A7963"/>
    <w:rsid w:val="006B220E"/>
    <w:rsid w:val="006B2E45"/>
    <w:rsid w:val="006B432D"/>
    <w:rsid w:val="006B68AA"/>
    <w:rsid w:val="006C1737"/>
    <w:rsid w:val="006C343A"/>
    <w:rsid w:val="006C4DCA"/>
    <w:rsid w:val="006C5BC5"/>
    <w:rsid w:val="006C72AB"/>
    <w:rsid w:val="006D3897"/>
    <w:rsid w:val="006E3C4F"/>
    <w:rsid w:val="006F07CD"/>
    <w:rsid w:val="006F3CBE"/>
    <w:rsid w:val="006F4046"/>
    <w:rsid w:val="006F412E"/>
    <w:rsid w:val="006F5DC5"/>
    <w:rsid w:val="006F66E4"/>
    <w:rsid w:val="006F7E64"/>
    <w:rsid w:val="00701C6F"/>
    <w:rsid w:val="0070359D"/>
    <w:rsid w:val="00703773"/>
    <w:rsid w:val="00703B53"/>
    <w:rsid w:val="0070490B"/>
    <w:rsid w:val="00707F86"/>
    <w:rsid w:val="007104EB"/>
    <w:rsid w:val="007146F4"/>
    <w:rsid w:val="007163C2"/>
    <w:rsid w:val="00720117"/>
    <w:rsid w:val="007202F2"/>
    <w:rsid w:val="00720CF3"/>
    <w:rsid w:val="00724CDD"/>
    <w:rsid w:val="007253F8"/>
    <w:rsid w:val="007255F2"/>
    <w:rsid w:val="00725AE6"/>
    <w:rsid w:val="0072623A"/>
    <w:rsid w:val="00726391"/>
    <w:rsid w:val="00726CB8"/>
    <w:rsid w:val="0073052A"/>
    <w:rsid w:val="007329CF"/>
    <w:rsid w:val="007346A0"/>
    <w:rsid w:val="00734F67"/>
    <w:rsid w:val="00735E77"/>
    <w:rsid w:val="0074621F"/>
    <w:rsid w:val="00747687"/>
    <w:rsid w:val="00750CE5"/>
    <w:rsid w:val="0075366F"/>
    <w:rsid w:val="007550D9"/>
    <w:rsid w:val="00760AC9"/>
    <w:rsid w:val="0076513E"/>
    <w:rsid w:val="00766DC7"/>
    <w:rsid w:val="00772CF7"/>
    <w:rsid w:val="007740EB"/>
    <w:rsid w:val="0078059F"/>
    <w:rsid w:val="00780E83"/>
    <w:rsid w:val="0078192B"/>
    <w:rsid w:val="00784D1A"/>
    <w:rsid w:val="00784E7C"/>
    <w:rsid w:val="00792032"/>
    <w:rsid w:val="0079375C"/>
    <w:rsid w:val="00794262"/>
    <w:rsid w:val="007961C3"/>
    <w:rsid w:val="00796E07"/>
    <w:rsid w:val="007A06FC"/>
    <w:rsid w:val="007A1CFE"/>
    <w:rsid w:val="007A2168"/>
    <w:rsid w:val="007A2B7B"/>
    <w:rsid w:val="007A770D"/>
    <w:rsid w:val="007B0ECB"/>
    <w:rsid w:val="007B21A1"/>
    <w:rsid w:val="007B39DE"/>
    <w:rsid w:val="007B5BE1"/>
    <w:rsid w:val="007C28CC"/>
    <w:rsid w:val="007C70F3"/>
    <w:rsid w:val="007D7ABA"/>
    <w:rsid w:val="007E0AD6"/>
    <w:rsid w:val="007E0B38"/>
    <w:rsid w:val="007E2712"/>
    <w:rsid w:val="007E6B82"/>
    <w:rsid w:val="007F2A6D"/>
    <w:rsid w:val="007F3AE4"/>
    <w:rsid w:val="007F49CA"/>
    <w:rsid w:val="007F5883"/>
    <w:rsid w:val="007F6952"/>
    <w:rsid w:val="007F73A6"/>
    <w:rsid w:val="00801CA6"/>
    <w:rsid w:val="00804F03"/>
    <w:rsid w:val="0080792E"/>
    <w:rsid w:val="008109F5"/>
    <w:rsid w:val="008111E4"/>
    <w:rsid w:val="008114CA"/>
    <w:rsid w:val="00822A08"/>
    <w:rsid w:val="00822B73"/>
    <w:rsid w:val="00823D04"/>
    <w:rsid w:val="0082590C"/>
    <w:rsid w:val="00827144"/>
    <w:rsid w:val="0082763A"/>
    <w:rsid w:val="008301CE"/>
    <w:rsid w:val="0083134B"/>
    <w:rsid w:val="0083237C"/>
    <w:rsid w:val="00832729"/>
    <w:rsid w:val="00833065"/>
    <w:rsid w:val="008337E2"/>
    <w:rsid w:val="008344DD"/>
    <w:rsid w:val="00841D4B"/>
    <w:rsid w:val="008420C4"/>
    <w:rsid w:val="00842C46"/>
    <w:rsid w:val="00845A54"/>
    <w:rsid w:val="00847D95"/>
    <w:rsid w:val="00851024"/>
    <w:rsid w:val="00854125"/>
    <w:rsid w:val="00856243"/>
    <w:rsid w:val="00856636"/>
    <w:rsid w:val="00861DE0"/>
    <w:rsid w:val="00863ABB"/>
    <w:rsid w:val="008643F0"/>
    <w:rsid w:val="008662EB"/>
    <w:rsid w:val="00871E11"/>
    <w:rsid w:val="008722E7"/>
    <w:rsid w:val="00873DA4"/>
    <w:rsid w:val="00876232"/>
    <w:rsid w:val="008777D9"/>
    <w:rsid w:val="00877FFE"/>
    <w:rsid w:val="00880BC8"/>
    <w:rsid w:val="0088181A"/>
    <w:rsid w:val="008860B4"/>
    <w:rsid w:val="00890E1E"/>
    <w:rsid w:val="00892F1C"/>
    <w:rsid w:val="008A0270"/>
    <w:rsid w:val="008A2348"/>
    <w:rsid w:val="008A6866"/>
    <w:rsid w:val="008B425E"/>
    <w:rsid w:val="008B4B64"/>
    <w:rsid w:val="008B532C"/>
    <w:rsid w:val="008B674B"/>
    <w:rsid w:val="008B6F7E"/>
    <w:rsid w:val="008C02C8"/>
    <w:rsid w:val="008C126A"/>
    <w:rsid w:val="008C2CFF"/>
    <w:rsid w:val="008C61A5"/>
    <w:rsid w:val="008C6258"/>
    <w:rsid w:val="008C63B6"/>
    <w:rsid w:val="008D4CD3"/>
    <w:rsid w:val="008D5A7D"/>
    <w:rsid w:val="008D7ED3"/>
    <w:rsid w:val="008E143D"/>
    <w:rsid w:val="008E5CE5"/>
    <w:rsid w:val="008E5CF2"/>
    <w:rsid w:val="008F135C"/>
    <w:rsid w:val="008F2778"/>
    <w:rsid w:val="008F3793"/>
    <w:rsid w:val="008F544E"/>
    <w:rsid w:val="009017F6"/>
    <w:rsid w:val="00901B13"/>
    <w:rsid w:val="00901D12"/>
    <w:rsid w:val="00902907"/>
    <w:rsid w:val="009034F0"/>
    <w:rsid w:val="00903582"/>
    <w:rsid w:val="0091134C"/>
    <w:rsid w:val="009125E3"/>
    <w:rsid w:val="00912802"/>
    <w:rsid w:val="009161B9"/>
    <w:rsid w:val="00917027"/>
    <w:rsid w:val="00921406"/>
    <w:rsid w:val="00922560"/>
    <w:rsid w:val="009256C4"/>
    <w:rsid w:val="00926C71"/>
    <w:rsid w:val="00927B2F"/>
    <w:rsid w:val="00930742"/>
    <w:rsid w:val="00932A60"/>
    <w:rsid w:val="00934DF1"/>
    <w:rsid w:val="0093523A"/>
    <w:rsid w:val="009363A9"/>
    <w:rsid w:val="009366F7"/>
    <w:rsid w:val="00936C16"/>
    <w:rsid w:val="0093759F"/>
    <w:rsid w:val="0094126C"/>
    <w:rsid w:val="00946AF7"/>
    <w:rsid w:val="0095062D"/>
    <w:rsid w:val="00956412"/>
    <w:rsid w:val="009571F6"/>
    <w:rsid w:val="00961EC8"/>
    <w:rsid w:val="0096222E"/>
    <w:rsid w:val="00964926"/>
    <w:rsid w:val="00970738"/>
    <w:rsid w:val="00972BF1"/>
    <w:rsid w:val="009739B1"/>
    <w:rsid w:val="00974A3E"/>
    <w:rsid w:val="0097578A"/>
    <w:rsid w:val="00977FA0"/>
    <w:rsid w:val="009831C0"/>
    <w:rsid w:val="00984B51"/>
    <w:rsid w:val="0099065B"/>
    <w:rsid w:val="00993C37"/>
    <w:rsid w:val="00993CF7"/>
    <w:rsid w:val="009945A9"/>
    <w:rsid w:val="009A13E0"/>
    <w:rsid w:val="009A2C63"/>
    <w:rsid w:val="009A5431"/>
    <w:rsid w:val="009A7707"/>
    <w:rsid w:val="009B12B9"/>
    <w:rsid w:val="009B1CC0"/>
    <w:rsid w:val="009B3839"/>
    <w:rsid w:val="009B38CC"/>
    <w:rsid w:val="009B5CCF"/>
    <w:rsid w:val="009B63A3"/>
    <w:rsid w:val="009B6D27"/>
    <w:rsid w:val="009C0C01"/>
    <w:rsid w:val="009C1AB0"/>
    <w:rsid w:val="009C21DF"/>
    <w:rsid w:val="009C2386"/>
    <w:rsid w:val="009C2718"/>
    <w:rsid w:val="009C4A76"/>
    <w:rsid w:val="009C552A"/>
    <w:rsid w:val="009C6D07"/>
    <w:rsid w:val="009D0CFA"/>
    <w:rsid w:val="009D139F"/>
    <w:rsid w:val="009D348F"/>
    <w:rsid w:val="009D36F0"/>
    <w:rsid w:val="009D3F5C"/>
    <w:rsid w:val="009D5C92"/>
    <w:rsid w:val="009E049C"/>
    <w:rsid w:val="009E4E62"/>
    <w:rsid w:val="009E558F"/>
    <w:rsid w:val="009E73ED"/>
    <w:rsid w:val="009F2AC3"/>
    <w:rsid w:val="009F375C"/>
    <w:rsid w:val="009F56EF"/>
    <w:rsid w:val="009F5BDD"/>
    <w:rsid w:val="009F6512"/>
    <w:rsid w:val="009F6C80"/>
    <w:rsid w:val="009F6E9D"/>
    <w:rsid w:val="00A062E3"/>
    <w:rsid w:val="00A1261C"/>
    <w:rsid w:val="00A1292A"/>
    <w:rsid w:val="00A12DC5"/>
    <w:rsid w:val="00A134C0"/>
    <w:rsid w:val="00A1418A"/>
    <w:rsid w:val="00A15533"/>
    <w:rsid w:val="00A1607E"/>
    <w:rsid w:val="00A203E0"/>
    <w:rsid w:val="00A21EDE"/>
    <w:rsid w:val="00A22E6E"/>
    <w:rsid w:val="00A245E1"/>
    <w:rsid w:val="00A24E23"/>
    <w:rsid w:val="00A2565C"/>
    <w:rsid w:val="00A30641"/>
    <w:rsid w:val="00A30B23"/>
    <w:rsid w:val="00A31475"/>
    <w:rsid w:val="00A32F63"/>
    <w:rsid w:val="00A34602"/>
    <w:rsid w:val="00A35DA5"/>
    <w:rsid w:val="00A37368"/>
    <w:rsid w:val="00A4369D"/>
    <w:rsid w:val="00A465F5"/>
    <w:rsid w:val="00A473B1"/>
    <w:rsid w:val="00A50EA7"/>
    <w:rsid w:val="00A53A72"/>
    <w:rsid w:val="00A53FC1"/>
    <w:rsid w:val="00A5462F"/>
    <w:rsid w:val="00A54AE7"/>
    <w:rsid w:val="00A57006"/>
    <w:rsid w:val="00A659A1"/>
    <w:rsid w:val="00A700ED"/>
    <w:rsid w:val="00A70855"/>
    <w:rsid w:val="00A7091E"/>
    <w:rsid w:val="00A71103"/>
    <w:rsid w:val="00A71EE5"/>
    <w:rsid w:val="00A7476F"/>
    <w:rsid w:val="00A777FB"/>
    <w:rsid w:val="00A811BF"/>
    <w:rsid w:val="00A81AD7"/>
    <w:rsid w:val="00A835B5"/>
    <w:rsid w:val="00A8758C"/>
    <w:rsid w:val="00A92DF5"/>
    <w:rsid w:val="00A96D7D"/>
    <w:rsid w:val="00AA00F3"/>
    <w:rsid w:val="00AA244F"/>
    <w:rsid w:val="00AA4464"/>
    <w:rsid w:val="00AA7442"/>
    <w:rsid w:val="00AB01F8"/>
    <w:rsid w:val="00AB3240"/>
    <w:rsid w:val="00AB38CC"/>
    <w:rsid w:val="00AC05C4"/>
    <w:rsid w:val="00AC0869"/>
    <w:rsid w:val="00AC2608"/>
    <w:rsid w:val="00AC3A39"/>
    <w:rsid w:val="00AC67E5"/>
    <w:rsid w:val="00AC7684"/>
    <w:rsid w:val="00AD1AE1"/>
    <w:rsid w:val="00AD46F3"/>
    <w:rsid w:val="00AD4CED"/>
    <w:rsid w:val="00AD6DE1"/>
    <w:rsid w:val="00AE2101"/>
    <w:rsid w:val="00AE3A0E"/>
    <w:rsid w:val="00AE7651"/>
    <w:rsid w:val="00AF053C"/>
    <w:rsid w:val="00AF195C"/>
    <w:rsid w:val="00AF77E0"/>
    <w:rsid w:val="00B0179A"/>
    <w:rsid w:val="00B0179B"/>
    <w:rsid w:val="00B10BA6"/>
    <w:rsid w:val="00B172BD"/>
    <w:rsid w:val="00B203D0"/>
    <w:rsid w:val="00B24DF6"/>
    <w:rsid w:val="00B273DC"/>
    <w:rsid w:val="00B318DE"/>
    <w:rsid w:val="00B349FB"/>
    <w:rsid w:val="00B4289E"/>
    <w:rsid w:val="00B4361E"/>
    <w:rsid w:val="00B44831"/>
    <w:rsid w:val="00B45E36"/>
    <w:rsid w:val="00B46EBB"/>
    <w:rsid w:val="00B46F09"/>
    <w:rsid w:val="00B57A78"/>
    <w:rsid w:val="00B600BB"/>
    <w:rsid w:val="00B60326"/>
    <w:rsid w:val="00B722DB"/>
    <w:rsid w:val="00B76605"/>
    <w:rsid w:val="00B843D1"/>
    <w:rsid w:val="00B86976"/>
    <w:rsid w:val="00B87E27"/>
    <w:rsid w:val="00B900EA"/>
    <w:rsid w:val="00B9668E"/>
    <w:rsid w:val="00BA16CF"/>
    <w:rsid w:val="00BA33F6"/>
    <w:rsid w:val="00BA5A4E"/>
    <w:rsid w:val="00BA5B7E"/>
    <w:rsid w:val="00BA6BDC"/>
    <w:rsid w:val="00BB017E"/>
    <w:rsid w:val="00BB1054"/>
    <w:rsid w:val="00BB38E9"/>
    <w:rsid w:val="00BC14C9"/>
    <w:rsid w:val="00BC3B86"/>
    <w:rsid w:val="00BD4D70"/>
    <w:rsid w:val="00BD5E48"/>
    <w:rsid w:val="00BD6C9F"/>
    <w:rsid w:val="00BE293E"/>
    <w:rsid w:val="00BE760C"/>
    <w:rsid w:val="00BE7BC7"/>
    <w:rsid w:val="00BF28B4"/>
    <w:rsid w:val="00BF3050"/>
    <w:rsid w:val="00BF4687"/>
    <w:rsid w:val="00BF6888"/>
    <w:rsid w:val="00C052A4"/>
    <w:rsid w:val="00C05A29"/>
    <w:rsid w:val="00C05C89"/>
    <w:rsid w:val="00C06553"/>
    <w:rsid w:val="00C06CAD"/>
    <w:rsid w:val="00C0787F"/>
    <w:rsid w:val="00C079C5"/>
    <w:rsid w:val="00C125F3"/>
    <w:rsid w:val="00C13071"/>
    <w:rsid w:val="00C13A4B"/>
    <w:rsid w:val="00C1481A"/>
    <w:rsid w:val="00C15879"/>
    <w:rsid w:val="00C249C4"/>
    <w:rsid w:val="00C310FE"/>
    <w:rsid w:val="00C3144E"/>
    <w:rsid w:val="00C316B8"/>
    <w:rsid w:val="00C355FF"/>
    <w:rsid w:val="00C363C1"/>
    <w:rsid w:val="00C44A54"/>
    <w:rsid w:val="00C531B7"/>
    <w:rsid w:val="00C625EB"/>
    <w:rsid w:val="00C62793"/>
    <w:rsid w:val="00C64986"/>
    <w:rsid w:val="00C679E7"/>
    <w:rsid w:val="00C67D74"/>
    <w:rsid w:val="00C72FF8"/>
    <w:rsid w:val="00C73227"/>
    <w:rsid w:val="00C7508B"/>
    <w:rsid w:val="00C7570D"/>
    <w:rsid w:val="00C758DC"/>
    <w:rsid w:val="00C75FD1"/>
    <w:rsid w:val="00C76271"/>
    <w:rsid w:val="00C76455"/>
    <w:rsid w:val="00C77277"/>
    <w:rsid w:val="00C77C32"/>
    <w:rsid w:val="00C80F8B"/>
    <w:rsid w:val="00C81305"/>
    <w:rsid w:val="00C827EA"/>
    <w:rsid w:val="00C95F91"/>
    <w:rsid w:val="00C96B20"/>
    <w:rsid w:val="00CA33FA"/>
    <w:rsid w:val="00CA597A"/>
    <w:rsid w:val="00CA5BD9"/>
    <w:rsid w:val="00CB08E1"/>
    <w:rsid w:val="00CB100E"/>
    <w:rsid w:val="00CB278A"/>
    <w:rsid w:val="00CB4351"/>
    <w:rsid w:val="00CC51FE"/>
    <w:rsid w:val="00CC6BDC"/>
    <w:rsid w:val="00CC7E0A"/>
    <w:rsid w:val="00CE1E94"/>
    <w:rsid w:val="00CE3F1C"/>
    <w:rsid w:val="00CF1FD2"/>
    <w:rsid w:val="00D024D4"/>
    <w:rsid w:val="00D02F6C"/>
    <w:rsid w:val="00D03CEA"/>
    <w:rsid w:val="00D10D66"/>
    <w:rsid w:val="00D135EB"/>
    <w:rsid w:val="00D13A3B"/>
    <w:rsid w:val="00D13B61"/>
    <w:rsid w:val="00D1493F"/>
    <w:rsid w:val="00D154A7"/>
    <w:rsid w:val="00D165D7"/>
    <w:rsid w:val="00D167D8"/>
    <w:rsid w:val="00D27487"/>
    <w:rsid w:val="00D27658"/>
    <w:rsid w:val="00D3665E"/>
    <w:rsid w:val="00D369A7"/>
    <w:rsid w:val="00D36FC3"/>
    <w:rsid w:val="00D373E9"/>
    <w:rsid w:val="00D43758"/>
    <w:rsid w:val="00D451FE"/>
    <w:rsid w:val="00D467BB"/>
    <w:rsid w:val="00D46E20"/>
    <w:rsid w:val="00D54441"/>
    <w:rsid w:val="00D56340"/>
    <w:rsid w:val="00D60DCF"/>
    <w:rsid w:val="00D61578"/>
    <w:rsid w:val="00D62F69"/>
    <w:rsid w:val="00D67D85"/>
    <w:rsid w:val="00D7078F"/>
    <w:rsid w:val="00D71316"/>
    <w:rsid w:val="00D7232A"/>
    <w:rsid w:val="00D728FD"/>
    <w:rsid w:val="00D73B22"/>
    <w:rsid w:val="00D74319"/>
    <w:rsid w:val="00D750B5"/>
    <w:rsid w:val="00D76215"/>
    <w:rsid w:val="00D80A5D"/>
    <w:rsid w:val="00D811D1"/>
    <w:rsid w:val="00D8140A"/>
    <w:rsid w:val="00D81DA9"/>
    <w:rsid w:val="00D83F13"/>
    <w:rsid w:val="00D84BA6"/>
    <w:rsid w:val="00D8577D"/>
    <w:rsid w:val="00D86530"/>
    <w:rsid w:val="00D9039D"/>
    <w:rsid w:val="00D91A4A"/>
    <w:rsid w:val="00D91CEB"/>
    <w:rsid w:val="00DA17F0"/>
    <w:rsid w:val="00DA5AC3"/>
    <w:rsid w:val="00DB065E"/>
    <w:rsid w:val="00DB2D07"/>
    <w:rsid w:val="00DB2D9A"/>
    <w:rsid w:val="00DB6A56"/>
    <w:rsid w:val="00DB6E69"/>
    <w:rsid w:val="00DC1056"/>
    <w:rsid w:val="00DC22D0"/>
    <w:rsid w:val="00DC343D"/>
    <w:rsid w:val="00DC754A"/>
    <w:rsid w:val="00DD0938"/>
    <w:rsid w:val="00DD13FC"/>
    <w:rsid w:val="00DE0BD4"/>
    <w:rsid w:val="00DE236C"/>
    <w:rsid w:val="00DE5509"/>
    <w:rsid w:val="00DE6724"/>
    <w:rsid w:val="00DF2C5B"/>
    <w:rsid w:val="00E014B2"/>
    <w:rsid w:val="00E02E55"/>
    <w:rsid w:val="00E06A3F"/>
    <w:rsid w:val="00E1524C"/>
    <w:rsid w:val="00E1609E"/>
    <w:rsid w:val="00E25306"/>
    <w:rsid w:val="00E25FC0"/>
    <w:rsid w:val="00E3648E"/>
    <w:rsid w:val="00E36B17"/>
    <w:rsid w:val="00E37534"/>
    <w:rsid w:val="00E40E6B"/>
    <w:rsid w:val="00E4119E"/>
    <w:rsid w:val="00E4166A"/>
    <w:rsid w:val="00E43016"/>
    <w:rsid w:val="00E435B0"/>
    <w:rsid w:val="00E4568C"/>
    <w:rsid w:val="00E46CC6"/>
    <w:rsid w:val="00E531D4"/>
    <w:rsid w:val="00E531FF"/>
    <w:rsid w:val="00E55F68"/>
    <w:rsid w:val="00E57D79"/>
    <w:rsid w:val="00E603DE"/>
    <w:rsid w:val="00E70CC5"/>
    <w:rsid w:val="00E71BB2"/>
    <w:rsid w:val="00E73B32"/>
    <w:rsid w:val="00E74C7E"/>
    <w:rsid w:val="00E76F26"/>
    <w:rsid w:val="00E77764"/>
    <w:rsid w:val="00E81B8F"/>
    <w:rsid w:val="00E84B61"/>
    <w:rsid w:val="00E854B1"/>
    <w:rsid w:val="00E954D0"/>
    <w:rsid w:val="00E97B48"/>
    <w:rsid w:val="00EA24F4"/>
    <w:rsid w:val="00EA3D5A"/>
    <w:rsid w:val="00EA45E6"/>
    <w:rsid w:val="00EB1C26"/>
    <w:rsid w:val="00EB4ECE"/>
    <w:rsid w:val="00EB53A8"/>
    <w:rsid w:val="00EC28D5"/>
    <w:rsid w:val="00EC2DB2"/>
    <w:rsid w:val="00ED0EC9"/>
    <w:rsid w:val="00ED39F8"/>
    <w:rsid w:val="00ED4884"/>
    <w:rsid w:val="00EE1338"/>
    <w:rsid w:val="00EE23B9"/>
    <w:rsid w:val="00EE68DE"/>
    <w:rsid w:val="00EE741D"/>
    <w:rsid w:val="00EF03A7"/>
    <w:rsid w:val="00EF19D6"/>
    <w:rsid w:val="00F01E90"/>
    <w:rsid w:val="00F05707"/>
    <w:rsid w:val="00F1112F"/>
    <w:rsid w:val="00F11EF8"/>
    <w:rsid w:val="00F1583B"/>
    <w:rsid w:val="00F16597"/>
    <w:rsid w:val="00F21057"/>
    <w:rsid w:val="00F22802"/>
    <w:rsid w:val="00F23ECE"/>
    <w:rsid w:val="00F30A67"/>
    <w:rsid w:val="00F31002"/>
    <w:rsid w:val="00F32229"/>
    <w:rsid w:val="00F33B50"/>
    <w:rsid w:val="00F42614"/>
    <w:rsid w:val="00F43B5A"/>
    <w:rsid w:val="00F472F7"/>
    <w:rsid w:val="00F54F4E"/>
    <w:rsid w:val="00F604AD"/>
    <w:rsid w:val="00F6185C"/>
    <w:rsid w:val="00F62A8F"/>
    <w:rsid w:val="00F64CD8"/>
    <w:rsid w:val="00F66CC4"/>
    <w:rsid w:val="00F66DFA"/>
    <w:rsid w:val="00F71E58"/>
    <w:rsid w:val="00F74588"/>
    <w:rsid w:val="00F765BD"/>
    <w:rsid w:val="00F82128"/>
    <w:rsid w:val="00F900EE"/>
    <w:rsid w:val="00F9194D"/>
    <w:rsid w:val="00F947B3"/>
    <w:rsid w:val="00F96743"/>
    <w:rsid w:val="00F97BFF"/>
    <w:rsid w:val="00F97DC5"/>
    <w:rsid w:val="00FA16B0"/>
    <w:rsid w:val="00FA1EDB"/>
    <w:rsid w:val="00FA23FE"/>
    <w:rsid w:val="00FA33D8"/>
    <w:rsid w:val="00FA4E7A"/>
    <w:rsid w:val="00FA536C"/>
    <w:rsid w:val="00FA7CE9"/>
    <w:rsid w:val="00FB245A"/>
    <w:rsid w:val="00FB2DE9"/>
    <w:rsid w:val="00FD253B"/>
    <w:rsid w:val="00FD516D"/>
    <w:rsid w:val="00FD707F"/>
    <w:rsid w:val="00FF23DE"/>
    <w:rsid w:val="00FF35B4"/>
    <w:rsid w:val="00FF42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0EBC"/>
  <w15:docId w15:val="{036C883B-0C60-44FB-ACEA-58DFC85A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001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E57D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14C9"/>
  </w:style>
  <w:style w:type="character" w:styleId="Emphasis">
    <w:name w:val="Emphasis"/>
    <w:basedOn w:val="DefaultParagraphFont"/>
    <w:uiPriority w:val="20"/>
    <w:qFormat/>
    <w:rsid w:val="00BC14C9"/>
    <w:rPr>
      <w:i/>
      <w:iCs/>
    </w:rPr>
  </w:style>
  <w:style w:type="character" w:customStyle="1" w:styleId="Heading1Char">
    <w:name w:val="Heading 1 Char"/>
    <w:basedOn w:val="DefaultParagraphFont"/>
    <w:link w:val="Heading1"/>
    <w:uiPriority w:val="9"/>
    <w:rsid w:val="0010011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1001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00118"/>
    <w:rPr>
      <w:color w:val="0000FF"/>
      <w:u w:val="single"/>
    </w:rPr>
  </w:style>
  <w:style w:type="character" w:customStyle="1" w:styleId="ref-lnk">
    <w:name w:val="ref-lnk"/>
    <w:basedOn w:val="DefaultParagraphFont"/>
    <w:rsid w:val="0027747B"/>
  </w:style>
  <w:style w:type="character" w:customStyle="1" w:styleId="ref-overlay">
    <w:name w:val="ref-overlay"/>
    <w:basedOn w:val="DefaultParagraphFont"/>
    <w:rsid w:val="0027747B"/>
  </w:style>
  <w:style w:type="character" w:customStyle="1" w:styleId="hlfld-contribauthor">
    <w:name w:val="hlfld-contribauthor"/>
    <w:basedOn w:val="DefaultParagraphFont"/>
    <w:rsid w:val="0027747B"/>
  </w:style>
  <w:style w:type="character" w:customStyle="1" w:styleId="nlmgiven-names">
    <w:name w:val="nlm_given-names"/>
    <w:basedOn w:val="DefaultParagraphFont"/>
    <w:rsid w:val="0027747B"/>
  </w:style>
  <w:style w:type="character" w:customStyle="1" w:styleId="nlmyear">
    <w:name w:val="nlm_year"/>
    <w:basedOn w:val="DefaultParagraphFont"/>
    <w:rsid w:val="0027747B"/>
  </w:style>
  <w:style w:type="character" w:customStyle="1" w:styleId="nlmarticle-title">
    <w:name w:val="nlm_article-title"/>
    <w:basedOn w:val="DefaultParagraphFont"/>
    <w:rsid w:val="0027747B"/>
  </w:style>
  <w:style w:type="character" w:customStyle="1" w:styleId="nlmfpage">
    <w:name w:val="nlm_fpage"/>
    <w:basedOn w:val="DefaultParagraphFont"/>
    <w:rsid w:val="0027747B"/>
  </w:style>
  <w:style w:type="character" w:customStyle="1" w:styleId="nlmlpage">
    <w:name w:val="nlm_lpage"/>
    <w:basedOn w:val="DefaultParagraphFont"/>
    <w:rsid w:val="0027747B"/>
  </w:style>
  <w:style w:type="character" w:customStyle="1" w:styleId="nlmpublisher-loc">
    <w:name w:val="nlm_publisher-loc"/>
    <w:basedOn w:val="DefaultParagraphFont"/>
    <w:rsid w:val="0027747B"/>
  </w:style>
  <w:style w:type="character" w:customStyle="1" w:styleId="nlmpublisher-name">
    <w:name w:val="nlm_publisher-name"/>
    <w:basedOn w:val="DefaultParagraphFont"/>
    <w:rsid w:val="0027747B"/>
  </w:style>
  <w:style w:type="character" w:customStyle="1" w:styleId="ref-links">
    <w:name w:val="ref-links"/>
    <w:basedOn w:val="DefaultParagraphFont"/>
    <w:rsid w:val="0027747B"/>
  </w:style>
  <w:style w:type="character" w:customStyle="1" w:styleId="googlescholar-container">
    <w:name w:val="googlescholar-container"/>
    <w:basedOn w:val="DefaultParagraphFont"/>
    <w:rsid w:val="0027747B"/>
  </w:style>
  <w:style w:type="character" w:customStyle="1" w:styleId="xlinks-container">
    <w:name w:val="xlinks-container"/>
    <w:basedOn w:val="DefaultParagraphFont"/>
    <w:rsid w:val="00DC1056"/>
  </w:style>
  <w:style w:type="character" w:customStyle="1" w:styleId="Heading2Char">
    <w:name w:val="Heading 2 Char"/>
    <w:basedOn w:val="DefaultParagraphFont"/>
    <w:link w:val="Heading2"/>
    <w:uiPriority w:val="9"/>
    <w:rsid w:val="00E57D79"/>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57D79"/>
    <w:rPr>
      <w:color w:val="800080"/>
      <w:u w:val="single"/>
    </w:rPr>
  </w:style>
  <w:style w:type="character" w:customStyle="1" w:styleId="ref-close">
    <w:name w:val="ref-close"/>
    <w:basedOn w:val="DefaultParagraphFont"/>
    <w:rsid w:val="00E57D79"/>
  </w:style>
  <w:style w:type="character" w:customStyle="1" w:styleId="ref-icon">
    <w:name w:val="ref-icon"/>
    <w:basedOn w:val="DefaultParagraphFont"/>
    <w:rsid w:val="00E57D79"/>
  </w:style>
  <w:style w:type="character" w:customStyle="1" w:styleId="nlmpub-id">
    <w:name w:val="nlm_pub-id"/>
    <w:basedOn w:val="DefaultParagraphFont"/>
    <w:rsid w:val="00E57D79"/>
  </w:style>
  <w:style w:type="paragraph" w:customStyle="1" w:styleId="fulltext">
    <w:name w:val="fulltext"/>
    <w:basedOn w:val="Normal"/>
    <w:rsid w:val="00E57D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overlay2">
    <w:name w:val="ref-overlay2"/>
    <w:basedOn w:val="DefaultParagraphFont"/>
    <w:rsid w:val="001969CB"/>
    <w:rPr>
      <w:shd w:val="clear" w:color="auto" w:fill="FFFFFF"/>
    </w:rPr>
  </w:style>
  <w:style w:type="character" w:customStyle="1" w:styleId="ref-links2">
    <w:name w:val="ref-links2"/>
    <w:basedOn w:val="DefaultParagraphFont"/>
    <w:rsid w:val="001969CB"/>
  </w:style>
  <w:style w:type="paragraph" w:styleId="FootnoteText">
    <w:name w:val="footnote text"/>
    <w:basedOn w:val="Normal"/>
    <w:link w:val="FootnoteTextChar"/>
    <w:uiPriority w:val="99"/>
    <w:unhideWhenUsed/>
    <w:rsid w:val="00F1112F"/>
    <w:pPr>
      <w:spacing w:after="0" w:line="240" w:lineRule="auto"/>
    </w:pPr>
    <w:rPr>
      <w:rFonts w:ascii="Cambria" w:eastAsia="Cambria" w:hAnsi="Cambria" w:cs="Times New Roman"/>
      <w:sz w:val="20"/>
      <w:szCs w:val="20"/>
      <w:lang w:val="en-IE"/>
    </w:rPr>
  </w:style>
  <w:style w:type="character" w:customStyle="1" w:styleId="FootnoteTextChar">
    <w:name w:val="Footnote Text Char"/>
    <w:basedOn w:val="DefaultParagraphFont"/>
    <w:link w:val="FootnoteText"/>
    <w:uiPriority w:val="99"/>
    <w:rsid w:val="00F1112F"/>
    <w:rPr>
      <w:rFonts w:ascii="Cambria" w:eastAsia="Cambria" w:hAnsi="Cambria" w:cs="Times New Roman"/>
      <w:sz w:val="20"/>
      <w:szCs w:val="20"/>
      <w:lang w:val="en-IE"/>
    </w:rPr>
  </w:style>
  <w:style w:type="character" w:styleId="FootnoteReference">
    <w:name w:val="footnote reference"/>
    <w:uiPriority w:val="99"/>
    <w:unhideWhenUsed/>
    <w:rsid w:val="00F1112F"/>
    <w:rPr>
      <w:vertAlign w:val="superscript"/>
    </w:rPr>
  </w:style>
  <w:style w:type="paragraph" w:customStyle="1" w:styleId="LightGrid-Accent31">
    <w:name w:val="Light Grid - Accent 31"/>
    <w:basedOn w:val="Normal"/>
    <w:uiPriority w:val="34"/>
    <w:qFormat/>
    <w:rsid w:val="00F1112F"/>
    <w:pPr>
      <w:suppressAutoHyphens/>
      <w:spacing w:after="200" w:line="276" w:lineRule="auto"/>
      <w:ind w:left="720"/>
      <w:contextualSpacing/>
    </w:pPr>
    <w:rPr>
      <w:rFonts w:ascii="Calibri" w:eastAsia="SimSun" w:hAnsi="Calibri" w:cs="Mangal"/>
      <w:kern w:val="1"/>
      <w:sz w:val="24"/>
      <w:szCs w:val="21"/>
      <w:lang w:eastAsia="hi-IN" w:bidi="hi-IN"/>
    </w:rPr>
  </w:style>
  <w:style w:type="paragraph" w:customStyle="1" w:styleId="Body">
    <w:name w:val="Body"/>
    <w:rsid w:val="00F1112F"/>
    <w:pPr>
      <w:spacing w:after="200" w:line="276" w:lineRule="auto"/>
    </w:pPr>
    <w:rPr>
      <w:rFonts w:ascii="Helvetica" w:eastAsia="ヒラギノ角ゴ Pro W3" w:hAnsi="Helvetica" w:cs="Times New Roman"/>
      <w:color w:val="000000"/>
      <w:sz w:val="24"/>
      <w:szCs w:val="20"/>
      <w:lang w:val="en-US" w:eastAsia="en-GB"/>
    </w:rPr>
  </w:style>
  <w:style w:type="paragraph" w:styleId="BodyText2">
    <w:name w:val="Body Text 2"/>
    <w:basedOn w:val="Normal"/>
    <w:link w:val="BodyText2Char1"/>
    <w:uiPriority w:val="99"/>
    <w:rsid w:val="00F1112F"/>
    <w:pPr>
      <w:suppressAutoHyphens/>
      <w:spacing w:after="200" w:line="360" w:lineRule="auto"/>
      <w:ind w:right="-1276"/>
      <w:jc w:val="both"/>
    </w:pPr>
    <w:rPr>
      <w:rFonts w:ascii="Times New Roman" w:eastAsia="SimSun" w:hAnsi="Times New Roman" w:cs="font181"/>
      <w:kern w:val="1"/>
      <w:sz w:val="24"/>
      <w:szCs w:val="24"/>
      <w:lang w:eastAsia="hi-IN" w:bidi="hi-IN"/>
    </w:rPr>
  </w:style>
  <w:style w:type="character" w:customStyle="1" w:styleId="BodyText2Char">
    <w:name w:val="Body Text 2 Char"/>
    <w:basedOn w:val="DefaultParagraphFont"/>
    <w:uiPriority w:val="99"/>
    <w:semiHidden/>
    <w:rsid w:val="00F1112F"/>
  </w:style>
  <w:style w:type="character" w:customStyle="1" w:styleId="BodyText2Char1">
    <w:name w:val="Body Text 2 Char1"/>
    <w:link w:val="BodyText2"/>
    <w:uiPriority w:val="99"/>
    <w:rsid w:val="00F1112F"/>
    <w:rPr>
      <w:rFonts w:ascii="Times New Roman" w:eastAsia="SimSun" w:hAnsi="Times New Roman" w:cs="font181"/>
      <w:kern w:val="1"/>
      <w:sz w:val="24"/>
      <w:szCs w:val="24"/>
      <w:lang w:eastAsia="hi-IN" w:bidi="hi-IN"/>
    </w:rPr>
  </w:style>
  <w:style w:type="paragraph" w:styleId="Header">
    <w:name w:val="header"/>
    <w:basedOn w:val="Normal"/>
    <w:link w:val="HeaderChar"/>
    <w:uiPriority w:val="99"/>
    <w:unhideWhenUsed/>
    <w:rsid w:val="00544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6D0"/>
  </w:style>
  <w:style w:type="paragraph" w:styleId="Footer">
    <w:name w:val="footer"/>
    <w:basedOn w:val="Normal"/>
    <w:link w:val="FooterChar"/>
    <w:uiPriority w:val="99"/>
    <w:unhideWhenUsed/>
    <w:rsid w:val="00544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6D0"/>
  </w:style>
  <w:style w:type="paragraph" w:styleId="ListParagraph">
    <w:name w:val="List Paragraph"/>
    <w:basedOn w:val="Normal"/>
    <w:uiPriority w:val="34"/>
    <w:qFormat/>
    <w:rsid w:val="00B46F09"/>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lmstring-name">
    <w:name w:val="nlm_string-name"/>
    <w:basedOn w:val="DefaultParagraphFont"/>
    <w:rsid w:val="00BB1054"/>
  </w:style>
  <w:style w:type="character" w:styleId="CommentReference">
    <w:name w:val="annotation reference"/>
    <w:basedOn w:val="DefaultParagraphFont"/>
    <w:uiPriority w:val="99"/>
    <w:semiHidden/>
    <w:unhideWhenUsed/>
    <w:rsid w:val="00C05C89"/>
    <w:rPr>
      <w:sz w:val="16"/>
      <w:szCs w:val="16"/>
    </w:rPr>
  </w:style>
  <w:style w:type="paragraph" w:styleId="CommentText">
    <w:name w:val="annotation text"/>
    <w:basedOn w:val="Normal"/>
    <w:link w:val="CommentTextChar"/>
    <w:uiPriority w:val="99"/>
    <w:semiHidden/>
    <w:unhideWhenUsed/>
    <w:rsid w:val="00C05C89"/>
    <w:pPr>
      <w:spacing w:line="240" w:lineRule="auto"/>
    </w:pPr>
    <w:rPr>
      <w:sz w:val="20"/>
      <w:szCs w:val="20"/>
    </w:rPr>
  </w:style>
  <w:style w:type="character" w:customStyle="1" w:styleId="CommentTextChar">
    <w:name w:val="Comment Text Char"/>
    <w:basedOn w:val="DefaultParagraphFont"/>
    <w:link w:val="CommentText"/>
    <w:uiPriority w:val="99"/>
    <w:semiHidden/>
    <w:rsid w:val="00C05C89"/>
    <w:rPr>
      <w:sz w:val="20"/>
      <w:szCs w:val="20"/>
    </w:rPr>
  </w:style>
  <w:style w:type="paragraph" w:styleId="CommentSubject">
    <w:name w:val="annotation subject"/>
    <w:basedOn w:val="CommentText"/>
    <w:next w:val="CommentText"/>
    <w:link w:val="CommentSubjectChar"/>
    <w:uiPriority w:val="99"/>
    <w:semiHidden/>
    <w:unhideWhenUsed/>
    <w:rsid w:val="00C05C89"/>
    <w:rPr>
      <w:b/>
      <w:bCs/>
    </w:rPr>
  </w:style>
  <w:style w:type="character" w:customStyle="1" w:styleId="CommentSubjectChar">
    <w:name w:val="Comment Subject Char"/>
    <w:basedOn w:val="CommentTextChar"/>
    <w:link w:val="CommentSubject"/>
    <w:uiPriority w:val="99"/>
    <w:semiHidden/>
    <w:rsid w:val="00C05C89"/>
    <w:rPr>
      <w:b/>
      <w:bCs/>
      <w:sz w:val="20"/>
      <w:szCs w:val="20"/>
    </w:rPr>
  </w:style>
  <w:style w:type="paragraph" w:styleId="BalloonText">
    <w:name w:val="Balloon Text"/>
    <w:basedOn w:val="Normal"/>
    <w:link w:val="BalloonTextChar"/>
    <w:uiPriority w:val="99"/>
    <w:semiHidden/>
    <w:unhideWhenUsed/>
    <w:rsid w:val="00C05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C89"/>
    <w:rPr>
      <w:rFonts w:ascii="Segoe UI" w:hAnsi="Segoe UI" w:cs="Segoe UI"/>
      <w:sz w:val="18"/>
      <w:szCs w:val="18"/>
    </w:rPr>
  </w:style>
  <w:style w:type="paragraph" w:styleId="Revision">
    <w:name w:val="Revision"/>
    <w:hidden/>
    <w:uiPriority w:val="99"/>
    <w:semiHidden/>
    <w:rsid w:val="0095062D"/>
    <w:pPr>
      <w:spacing w:after="0" w:line="240" w:lineRule="auto"/>
    </w:pPr>
  </w:style>
  <w:style w:type="paragraph" w:customStyle="1" w:styleId="Default">
    <w:name w:val="Default"/>
    <w:rsid w:val="004A4068"/>
    <w:pPr>
      <w:autoSpaceDE w:val="0"/>
      <w:autoSpaceDN w:val="0"/>
      <w:adjustRightInd w:val="0"/>
      <w:spacing w:after="0" w:line="240" w:lineRule="auto"/>
    </w:pPr>
    <w:rPr>
      <w:rFonts w:ascii="Arial" w:hAnsi="Arial" w:cs="Arial"/>
      <w:color w:val="000000"/>
      <w:sz w:val="24"/>
      <w:szCs w:val="24"/>
    </w:rPr>
  </w:style>
  <w:style w:type="character" w:customStyle="1" w:styleId="a-size-large">
    <w:name w:val="a-size-large"/>
    <w:basedOn w:val="DefaultParagraphFont"/>
    <w:rsid w:val="00D86530"/>
  </w:style>
  <w:style w:type="character" w:customStyle="1" w:styleId="a-size-medium">
    <w:name w:val="a-size-medium"/>
    <w:basedOn w:val="DefaultParagraphFont"/>
    <w:rsid w:val="00D86530"/>
  </w:style>
  <w:style w:type="character" w:customStyle="1" w:styleId="author">
    <w:name w:val="author"/>
    <w:basedOn w:val="DefaultParagraphFont"/>
    <w:rsid w:val="00D86530"/>
  </w:style>
  <w:style w:type="character" w:customStyle="1" w:styleId="a-color-secondary">
    <w:name w:val="a-color-secondary"/>
    <w:basedOn w:val="DefaultParagraphFont"/>
    <w:rsid w:val="00D86530"/>
  </w:style>
  <w:style w:type="character" w:customStyle="1" w:styleId="a-declarative">
    <w:name w:val="a-declarative"/>
    <w:basedOn w:val="DefaultParagraphFont"/>
    <w:rsid w:val="00D86530"/>
  </w:style>
  <w:style w:type="paragraph" w:styleId="PlainText">
    <w:name w:val="Plain Text"/>
    <w:basedOn w:val="Normal"/>
    <w:link w:val="PlainTextChar"/>
    <w:uiPriority w:val="99"/>
    <w:semiHidden/>
    <w:unhideWhenUsed/>
    <w:rsid w:val="00546EE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46EE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1633">
      <w:bodyDiv w:val="1"/>
      <w:marLeft w:val="0"/>
      <w:marRight w:val="0"/>
      <w:marTop w:val="0"/>
      <w:marBottom w:val="0"/>
      <w:divBdr>
        <w:top w:val="none" w:sz="0" w:space="0" w:color="auto"/>
        <w:left w:val="none" w:sz="0" w:space="0" w:color="auto"/>
        <w:bottom w:val="none" w:sz="0" w:space="0" w:color="auto"/>
        <w:right w:val="none" w:sz="0" w:space="0" w:color="auto"/>
      </w:divBdr>
      <w:divsChild>
        <w:div w:id="987511342">
          <w:marLeft w:val="0"/>
          <w:marRight w:val="0"/>
          <w:marTop w:val="0"/>
          <w:marBottom w:val="0"/>
          <w:divBdr>
            <w:top w:val="none" w:sz="0" w:space="0" w:color="auto"/>
            <w:left w:val="none" w:sz="0" w:space="0" w:color="auto"/>
            <w:bottom w:val="none" w:sz="0" w:space="0" w:color="auto"/>
            <w:right w:val="none" w:sz="0" w:space="0" w:color="auto"/>
          </w:divBdr>
          <w:divsChild>
            <w:div w:id="1092044152">
              <w:marLeft w:val="0"/>
              <w:marRight w:val="0"/>
              <w:marTop w:val="0"/>
              <w:marBottom w:val="0"/>
              <w:divBdr>
                <w:top w:val="none" w:sz="0" w:space="0" w:color="auto"/>
                <w:left w:val="none" w:sz="0" w:space="0" w:color="auto"/>
                <w:bottom w:val="none" w:sz="0" w:space="0" w:color="auto"/>
                <w:right w:val="none" w:sz="0" w:space="0" w:color="auto"/>
              </w:divBdr>
              <w:divsChild>
                <w:div w:id="262301711">
                  <w:marLeft w:val="0"/>
                  <w:marRight w:val="0"/>
                  <w:marTop w:val="0"/>
                  <w:marBottom w:val="0"/>
                  <w:divBdr>
                    <w:top w:val="none" w:sz="0" w:space="0" w:color="auto"/>
                    <w:left w:val="none" w:sz="0" w:space="0" w:color="auto"/>
                    <w:bottom w:val="none" w:sz="0" w:space="0" w:color="auto"/>
                    <w:right w:val="none" w:sz="0" w:space="0" w:color="auto"/>
                  </w:divBdr>
                  <w:divsChild>
                    <w:div w:id="1634751231">
                      <w:marLeft w:val="0"/>
                      <w:marRight w:val="0"/>
                      <w:marTop w:val="0"/>
                      <w:marBottom w:val="0"/>
                      <w:divBdr>
                        <w:top w:val="none" w:sz="0" w:space="0" w:color="auto"/>
                        <w:left w:val="none" w:sz="0" w:space="0" w:color="auto"/>
                        <w:bottom w:val="none" w:sz="0" w:space="0" w:color="auto"/>
                        <w:right w:val="none" w:sz="0" w:space="0" w:color="auto"/>
                      </w:divBdr>
                    </w:div>
                  </w:divsChild>
                </w:div>
                <w:div w:id="1208184398">
                  <w:marLeft w:val="0"/>
                  <w:marRight w:val="0"/>
                  <w:marTop w:val="0"/>
                  <w:marBottom w:val="0"/>
                  <w:divBdr>
                    <w:top w:val="none" w:sz="0" w:space="0" w:color="auto"/>
                    <w:left w:val="none" w:sz="0" w:space="0" w:color="auto"/>
                    <w:bottom w:val="none" w:sz="0" w:space="0" w:color="auto"/>
                    <w:right w:val="none" w:sz="0" w:space="0" w:color="auto"/>
                  </w:divBdr>
                </w:div>
                <w:div w:id="16807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1473">
      <w:bodyDiv w:val="1"/>
      <w:marLeft w:val="0"/>
      <w:marRight w:val="0"/>
      <w:marTop w:val="0"/>
      <w:marBottom w:val="0"/>
      <w:divBdr>
        <w:top w:val="none" w:sz="0" w:space="0" w:color="auto"/>
        <w:left w:val="none" w:sz="0" w:space="0" w:color="auto"/>
        <w:bottom w:val="none" w:sz="0" w:space="0" w:color="auto"/>
        <w:right w:val="none" w:sz="0" w:space="0" w:color="auto"/>
      </w:divBdr>
      <w:divsChild>
        <w:div w:id="142433597">
          <w:marLeft w:val="0"/>
          <w:marRight w:val="0"/>
          <w:marTop w:val="100"/>
          <w:marBottom w:val="100"/>
          <w:divBdr>
            <w:top w:val="none" w:sz="0" w:space="0" w:color="auto"/>
            <w:left w:val="none" w:sz="0" w:space="0" w:color="auto"/>
            <w:bottom w:val="none" w:sz="0" w:space="0" w:color="auto"/>
            <w:right w:val="none" w:sz="0" w:space="0" w:color="auto"/>
          </w:divBdr>
          <w:divsChild>
            <w:div w:id="914434164">
              <w:marLeft w:val="0"/>
              <w:marRight w:val="0"/>
              <w:marTop w:val="0"/>
              <w:marBottom w:val="0"/>
              <w:divBdr>
                <w:top w:val="none" w:sz="0" w:space="0" w:color="auto"/>
                <w:left w:val="none" w:sz="0" w:space="0" w:color="auto"/>
                <w:bottom w:val="none" w:sz="0" w:space="0" w:color="auto"/>
                <w:right w:val="none" w:sz="0" w:space="0" w:color="auto"/>
              </w:divBdr>
              <w:divsChild>
                <w:div w:id="972252082">
                  <w:marLeft w:val="105"/>
                  <w:marRight w:val="105"/>
                  <w:marTop w:val="105"/>
                  <w:marBottom w:val="105"/>
                  <w:divBdr>
                    <w:top w:val="none" w:sz="0" w:space="0" w:color="auto"/>
                    <w:left w:val="none" w:sz="0" w:space="0" w:color="auto"/>
                    <w:bottom w:val="none" w:sz="0" w:space="0" w:color="auto"/>
                    <w:right w:val="none" w:sz="0" w:space="0" w:color="auto"/>
                  </w:divBdr>
                  <w:divsChild>
                    <w:div w:id="314797499">
                      <w:marLeft w:val="0"/>
                      <w:marRight w:val="0"/>
                      <w:marTop w:val="0"/>
                      <w:marBottom w:val="0"/>
                      <w:divBdr>
                        <w:top w:val="none" w:sz="0" w:space="0" w:color="auto"/>
                        <w:left w:val="none" w:sz="0" w:space="0" w:color="auto"/>
                        <w:bottom w:val="none" w:sz="0" w:space="0" w:color="auto"/>
                        <w:right w:val="none" w:sz="0" w:space="0" w:color="auto"/>
                      </w:divBdr>
                      <w:divsChild>
                        <w:div w:id="495918222">
                          <w:marLeft w:val="0"/>
                          <w:marRight w:val="0"/>
                          <w:marTop w:val="0"/>
                          <w:marBottom w:val="0"/>
                          <w:divBdr>
                            <w:top w:val="none" w:sz="0" w:space="0" w:color="auto"/>
                            <w:left w:val="none" w:sz="0" w:space="0" w:color="auto"/>
                            <w:bottom w:val="none" w:sz="0" w:space="0" w:color="auto"/>
                            <w:right w:val="none" w:sz="0" w:space="0" w:color="auto"/>
                          </w:divBdr>
                          <w:divsChild>
                            <w:div w:id="1898395132">
                              <w:marLeft w:val="0"/>
                              <w:marRight w:val="0"/>
                              <w:marTop w:val="0"/>
                              <w:marBottom w:val="0"/>
                              <w:divBdr>
                                <w:top w:val="none" w:sz="0" w:space="0" w:color="auto"/>
                                <w:left w:val="none" w:sz="0" w:space="0" w:color="auto"/>
                                <w:bottom w:val="none" w:sz="0" w:space="0" w:color="auto"/>
                                <w:right w:val="none" w:sz="0" w:space="0" w:color="auto"/>
                              </w:divBdr>
                              <w:divsChild>
                                <w:div w:id="1945501919">
                                  <w:marLeft w:val="0"/>
                                  <w:marRight w:val="0"/>
                                  <w:marTop w:val="0"/>
                                  <w:marBottom w:val="0"/>
                                  <w:divBdr>
                                    <w:top w:val="none" w:sz="0" w:space="0" w:color="auto"/>
                                    <w:left w:val="none" w:sz="0" w:space="0" w:color="auto"/>
                                    <w:bottom w:val="none" w:sz="0" w:space="0" w:color="auto"/>
                                    <w:right w:val="none" w:sz="0" w:space="0" w:color="auto"/>
                                  </w:divBdr>
                                  <w:divsChild>
                                    <w:div w:id="712000073">
                                      <w:marLeft w:val="105"/>
                                      <w:marRight w:val="105"/>
                                      <w:marTop w:val="105"/>
                                      <w:marBottom w:val="105"/>
                                      <w:divBdr>
                                        <w:top w:val="none" w:sz="0" w:space="0" w:color="auto"/>
                                        <w:left w:val="none" w:sz="0" w:space="0" w:color="auto"/>
                                        <w:bottom w:val="none" w:sz="0" w:space="0" w:color="auto"/>
                                        <w:right w:val="none" w:sz="0" w:space="0" w:color="auto"/>
                                      </w:divBdr>
                                      <w:divsChild>
                                        <w:div w:id="1791170102">
                                          <w:marLeft w:val="0"/>
                                          <w:marRight w:val="0"/>
                                          <w:marTop w:val="0"/>
                                          <w:marBottom w:val="0"/>
                                          <w:divBdr>
                                            <w:top w:val="none" w:sz="0" w:space="0" w:color="auto"/>
                                            <w:left w:val="none" w:sz="0" w:space="0" w:color="auto"/>
                                            <w:bottom w:val="none" w:sz="0" w:space="0" w:color="auto"/>
                                            <w:right w:val="none" w:sz="0" w:space="0" w:color="auto"/>
                                          </w:divBdr>
                                          <w:divsChild>
                                            <w:div w:id="1753744120">
                                              <w:marLeft w:val="0"/>
                                              <w:marRight w:val="0"/>
                                              <w:marTop w:val="0"/>
                                              <w:marBottom w:val="0"/>
                                              <w:divBdr>
                                                <w:top w:val="none" w:sz="0" w:space="0" w:color="auto"/>
                                                <w:left w:val="none" w:sz="0" w:space="0" w:color="auto"/>
                                                <w:bottom w:val="none" w:sz="0" w:space="0" w:color="auto"/>
                                                <w:right w:val="none" w:sz="0" w:space="0" w:color="auto"/>
                                              </w:divBdr>
                                              <w:divsChild>
                                                <w:div w:id="622856339">
                                                  <w:marLeft w:val="0"/>
                                                  <w:marRight w:val="0"/>
                                                  <w:marTop w:val="0"/>
                                                  <w:marBottom w:val="0"/>
                                                  <w:divBdr>
                                                    <w:top w:val="none" w:sz="0" w:space="0" w:color="auto"/>
                                                    <w:left w:val="none" w:sz="0" w:space="0" w:color="auto"/>
                                                    <w:bottom w:val="none" w:sz="0" w:space="0" w:color="auto"/>
                                                    <w:right w:val="none" w:sz="0" w:space="0" w:color="auto"/>
                                                  </w:divBdr>
                                                  <w:divsChild>
                                                    <w:div w:id="1800109242">
                                                      <w:marLeft w:val="0"/>
                                                      <w:marRight w:val="0"/>
                                                      <w:marTop w:val="0"/>
                                                      <w:marBottom w:val="0"/>
                                                      <w:divBdr>
                                                        <w:top w:val="none" w:sz="0" w:space="0" w:color="auto"/>
                                                        <w:left w:val="none" w:sz="0" w:space="0" w:color="auto"/>
                                                        <w:bottom w:val="none" w:sz="0" w:space="0" w:color="auto"/>
                                                        <w:right w:val="none" w:sz="0" w:space="0" w:color="auto"/>
                                                      </w:divBdr>
                                                      <w:divsChild>
                                                        <w:div w:id="1475021270">
                                                          <w:marLeft w:val="0"/>
                                                          <w:marRight w:val="0"/>
                                                          <w:marTop w:val="0"/>
                                                          <w:marBottom w:val="0"/>
                                                          <w:divBdr>
                                                            <w:top w:val="none" w:sz="0" w:space="0" w:color="auto"/>
                                                            <w:left w:val="none" w:sz="0" w:space="0" w:color="auto"/>
                                                            <w:bottom w:val="none" w:sz="0" w:space="0" w:color="auto"/>
                                                            <w:right w:val="none" w:sz="0" w:space="0" w:color="auto"/>
                                                          </w:divBdr>
                                                          <w:divsChild>
                                                            <w:div w:id="1547764098">
                                                              <w:marLeft w:val="0"/>
                                                              <w:marRight w:val="0"/>
                                                              <w:marTop w:val="0"/>
                                                              <w:marBottom w:val="0"/>
                                                              <w:divBdr>
                                                                <w:top w:val="none" w:sz="0" w:space="0" w:color="auto"/>
                                                                <w:left w:val="none" w:sz="0" w:space="0" w:color="auto"/>
                                                                <w:bottom w:val="none" w:sz="0" w:space="0" w:color="auto"/>
                                                                <w:right w:val="none" w:sz="0" w:space="0" w:color="auto"/>
                                                              </w:divBdr>
                                                              <w:divsChild>
                                                                <w:div w:id="686058786">
                                                                  <w:marLeft w:val="105"/>
                                                                  <w:marRight w:val="105"/>
                                                                  <w:marTop w:val="105"/>
                                                                  <w:marBottom w:val="105"/>
                                                                  <w:divBdr>
                                                                    <w:top w:val="none" w:sz="0" w:space="0" w:color="auto"/>
                                                                    <w:left w:val="none" w:sz="0" w:space="0" w:color="auto"/>
                                                                    <w:bottom w:val="none" w:sz="0" w:space="0" w:color="auto"/>
                                                                    <w:right w:val="none" w:sz="0" w:space="0" w:color="auto"/>
                                                                  </w:divBdr>
                                                                  <w:divsChild>
                                                                    <w:div w:id="470638223">
                                                                      <w:marLeft w:val="0"/>
                                                                      <w:marRight w:val="0"/>
                                                                      <w:marTop w:val="0"/>
                                                                      <w:marBottom w:val="0"/>
                                                                      <w:divBdr>
                                                                        <w:top w:val="none" w:sz="0" w:space="0" w:color="auto"/>
                                                                        <w:left w:val="none" w:sz="0" w:space="0" w:color="auto"/>
                                                                        <w:bottom w:val="none" w:sz="0" w:space="0" w:color="auto"/>
                                                                        <w:right w:val="none" w:sz="0" w:space="0" w:color="auto"/>
                                                                      </w:divBdr>
                                                                      <w:divsChild>
                                                                        <w:div w:id="898327059">
                                                                          <w:marLeft w:val="0"/>
                                                                          <w:marRight w:val="0"/>
                                                                          <w:marTop w:val="0"/>
                                                                          <w:marBottom w:val="0"/>
                                                                          <w:divBdr>
                                                                            <w:top w:val="none" w:sz="0" w:space="0" w:color="auto"/>
                                                                            <w:left w:val="none" w:sz="0" w:space="0" w:color="auto"/>
                                                                            <w:bottom w:val="none" w:sz="0" w:space="0" w:color="auto"/>
                                                                            <w:right w:val="none" w:sz="0" w:space="0" w:color="auto"/>
                                                                          </w:divBdr>
                                                                          <w:divsChild>
                                                                            <w:div w:id="939483324">
                                                                              <w:marLeft w:val="0"/>
                                                                              <w:marRight w:val="0"/>
                                                                              <w:marTop w:val="0"/>
                                                                              <w:marBottom w:val="0"/>
                                                                              <w:divBdr>
                                                                                <w:top w:val="none" w:sz="0" w:space="0" w:color="auto"/>
                                                                                <w:left w:val="none" w:sz="0" w:space="0" w:color="auto"/>
                                                                                <w:bottom w:val="none" w:sz="0" w:space="0" w:color="auto"/>
                                                                                <w:right w:val="none" w:sz="0" w:space="0" w:color="auto"/>
                                                                              </w:divBdr>
                                                                              <w:divsChild>
                                                                                <w:div w:id="2095125490">
                                                                                  <w:marLeft w:val="0"/>
                                                                                  <w:marRight w:val="0"/>
                                                                                  <w:marTop w:val="0"/>
                                                                                  <w:marBottom w:val="0"/>
                                                                                  <w:divBdr>
                                                                                    <w:top w:val="none" w:sz="0" w:space="0" w:color="auto"/>
                                                                                    <w:left w:val="none" w:sz="0" w:space="0" w:color="auto"/>
                                                                                    <w:bottom w:val="none" w:sz="0" w:space="0" w:color="auto"/>
                                                                                    <w:right w:val="none" w:sz="0" w:space="0" w:color="auto"/>
                                                                                  </w:divBdr>
                                                                                  <w:divsChild>
                                                                                    <w:div w:id="478419136">
                                                                                      <w:marLeft w:val="0"/>
                                                                                      <w:marRight w:val="0"/>
                                                                                      <w:marTop w:val="0"/>
                                                                                      <w:marBottom w:val="0"/>
                                                                                      <w:divBdr>
                                                                                        <w:top w:val="none" w:sz="0" w:space="0" w:color="auto"/>
                                                                                        <w:left w:val="none" w:sz="0" w:space="0" w:color="auto"/>
                                                                                        <w:bottom w:val="none" w:sz="0" w:space="0" w:color="auto"/>
                                                                                        <w:right w:val="none" w:sz="0" w:space="0" w:color="auto"/>
                                                                                      </w:divBdr>
                                                                                      <w:divsChild>
                                                                                        <w:div w:id="1548757392">
                                                                                          <w:marLeft w:val="0"/>
                                                                                          <w:marRight w:val="0"/>
                                                                                          <w:marTop w:val="0"/>
                                                                                          <w:marBottom w:val="0"/>
                                                                                          <w:divBdr>
                                                                                            <w:top w:val="none" w:sz="0" w:space="0" w:color="auto"/>
                                                                                            <w:left w:val="none" w:sz="0" w:space="0" w:color="auto"/>
                                                                                            <w:bottom w:val="none" w:sz="0" w:space="0" w:color="auto"/>
                                                                                            <w:right w:val="none" w:sz="0" w:space="0" w:color="auto"/>
                                                                                          </w:divBdr>
                                                                                          <w:divsChild>
                                                                                            <w:div w:id="1832788696">
                                                                                              <w:marLeft w:val="0"/>
                                                                                              <w:marRight w:val="0"/>
                                                                                              <w:marTop w:val="0"/>
                                                                                              <w:marBottom w:val="0"/>
                                                                                              <w:divBdr>
                                                                                                <w:top w:val="none" w:sz="0" w:space="0" w:color="auto"/>
                                                                                                <w:left w:val="none" w:sz="0" w:space="0" w:color="auto"/>
                                                                                                <w:bottom w:val="none" w:sz="0" w:space="0" w:color="auto"/>
                                                                                                <w:right w:val="none" w:sz="0" w:space="0" w:color="auto"/>
                                                                                              </w:divBdr>
                                                                                              <w:divsChild>
                                                                                                <w:div w:id="17994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927331">
      <w:bodyDiv w:val="1"/>
      <w:marLeft w:val="0"/>
      <w:marRight w:val="0"/>
      <w:marTop w:val="0"/>
      <w:marBottom w:val="0"/>
      <w:divBdr>
        <w:top w:val="none" w:sz="0" w:space="0" w:color="auto"/>
        <w:left w:val="none" w:sz="0" w:space="0" w:color="auto"/>
        <w:bottom w:val="none" w:sz="0" w:space="0" w:color="auto"/>
        <w:right w:val="none" w:sz="0" w:space="0" w:color="auto"/>
      </w:divBdr>
      <w:divsChild>
        <w:div w:id="169029216">
          <w:marLeft w:val="0"/>
          <w:marRight w:val="0"/>
          <w:marTop w:val="100"/>
          <w:marBottom w:val="100"/>
          <w:divBdr>
            <w:top w:val="none" w:sz="0" w:space="0" w:color="auto"/>
            <w:left w:val="none" w:sz="0" w:space="0" w:color="auto"/>
            <w:bottom w:val="none" w:sz="0" w:space="0" w:color="auto"/>
            <w:right w:val="none" w:sz="0" w:space="0" w:color="auto"/>
          </w:divBdr>
          <w:divsChild>
            <w:div w:id="623511436">
              <w:marLeft w:val="0"/>
              <w:marRight w:val="0"/>
              <w:marTop w:val="0"/>
              <w:marBottom w:val="0"/>
              <w:divBdr>
                <w:top w:val="none" w:sz="0" w:space="0" w:color="auto"/>
                <w:left w:val="none" w:sz="0" w:space="0" w:color="auto"/>
                <w:bottom w:val="none" w:sz="0" w:space="0" w:color="auto"/>
                <w:right w:val="none" w:sz="0" w:space="0" w:color="auto"/>
              </w:divBdr>
              <w:divsChild>
                <w:div w:id="676999122">
                  <w:marLeft w:val="105"/>
                  <w:marRight w:val="105"/>
                  <w:marTop w:val="105"/>
                  <w:marBottom w:val="105"/>
                  <w:divBdr>
                    <w:top w:val="none" w:sz="0" w:space="0" w:color="auto"/>
                    <w:left w:val="none" w:sz="0" w:space="0" w:color="auto"/>
                    <w:bottom w:val="none" w:sz="0" w:space="0" w:color="auto"/>
                    <w:right w:val="none" w:sz="0" w:space="0" w:color="auto"/>
                  </w:divBdr>
                  <w:divsChild>
                    <w:div w:id="17700690">
                      <w:marLeft w:val="0"/>
                      <w:marRight w:val="0"/>
                      <w:marTop w:val="0"/>
                      <w:marBottom w:val="0"/>
                      <w:divBdr>
                        <w:top w:val="none" w:sz="0" w:space="0" w:color="auto"/>
                        <w:left w:val="none" w:sz="0" w:space="0" w:color="auto"/>
                        <w:bottom w:val="none" w:sz="0" w:space="0" w:color="auto"/>
                        <w:right w:val="none" w:sz="0" w:space="0" w:color="auto"/>
                      </w:divBdr>
                      <w:divsChild>
                        <w:div w:id="349912265">
                          <w:marLeft w:val="0"/>
                          <w:marRight w:val="0"/>
                          <w:marTop w:val="0"/>
                          <w:marBottom w:val="0"/>
                          <w:divBdr>
                            <w:top w:val="none" w:sz="0" w:space="0" w:color="auto"/>
                            <w:left w:val="none" w:sz="0" w:space="0" w:color="auto"/>
                            <w:bottom w:val="none" w:sz="0" w:space="0" w:color="auto"/>
                            <w:right w:val="none" w:sz="0" w:space="0" w:color="auto"/>
                          </w:divBdr>
                          <w:divsChild>
                            <w:div w:id="1462990500">
                              <w:marLeft w:val="0"/>
                              <w:marRight w:val="0"/>
                              <w:marTop w:val="0"/>
                              <w:marBottom w:val="0"/>
                              <w:divBdr>
                                <w:top w:val="none" w:sz="0" w:space="0" w:color="auto"/>
                                <w:left w:val="none" w:sz="0" w:space="0" w:color="auto"/>
                                <w:bottom w:val="none" w:sz="0" w:space="0" w:color="auto"/>
                                <w:right w:val="none" w:sz="0" w:space="0" w:color="auto"/>
                              </w:divBdr>
                              <w:divsChild>
                                <w:div w:id="2122453416">
                                  <w:marLeft w:val="0"/>
                                  <w:marRight w:val="0"/>
                                  <w:marTop w:val="0"/>
                                  <w:marBottom w:val="0"/>
                                  <w:divBdr>
                                    <w:top w:val="none" w:sz="0" w:space="0" w:color="auto"/>
                                    <w:left w:val="none" w:sz="0" w:space="0" w:color="auto"/>
                                    <w:bottom w:val="none" w:sz="0" w:space="0" w:color="auto"/>
                                    <w:right w:val="none" w:sz="0" w:space="0" w:color="auto"/>
                                  </w:divBdr>
                                  <w:divsChild>
                                    <w:div w:id="316543341">
                                      <w:marLeft w:val="105"/>
                                      <w:marRight w:val="105"/>
                                      <w:marTop w:val="105"/>
                                      <w:marBottom w:val="105"/>
                                      <w:divBdr>
                                        <w:top w:val="none" w:sz="0" w:space="0" w:color="auto"/>
                                        <w:left w:val="none" w:sz="0" w:space="0" w:color="auto"/>
                                        <w:bottom w:val="none" w:sz="0" w:space="0" w:color="auto"/>
                                        <w:right w:val="none" w:sz="0" w:space="0" w:color="auto"/>
                                      </w:divBdr>
                                      <w:divsChild>
                                        <w:div w:id="1612587277">
                                          <w:marLeft w:val="0"/>
                                          <w:marRight w:val="0"/>
                                          <w:marTop w:val="0"/>
                                          <w:marBottom w:val="0"/>
                                          <w:divBdr>
                                            <w:top w:val="none" w:sz="0" w:space="0" w:color="auto"/>
                                            <w:left w:val="none" w:sz="0" w:space="0" w:color="auto"/>
                                            <w:bottom w:val="none" w:sz="0" w:space="0" w:color="auto"/>
                                            <w:right w:val="none" w:sz="0" w:space="0" w:color="auto"/>
                                          </w:divBdr>
                                          <w:divsChild>
                                            <w:div w:id="725253972">
                                              <w:marLeft w:val="0"/>
                                              <w:marRight w:val="0"/>
                                              <w:marTop w:val="0"/>
                                              <w:marBottom w:val="0"/>
                                              <w:divBdr>
                                                <w:top w:val="none" w:sz="0" w:space="0" w:color="auto"/>
                                                <w:left w:val="none" w:sz="0" w:space="0" w:color="auto"/>
                                                <w:bottom w:val="none" w:sz="0" w:space="0" w:color="auto"/>
                                                <w:right w:val="none" w:sz="0" w:space="0" w:color="auto"/>
                                              </w:divBdr>
                                              <w:divsChild>
                                                <w:div w:id="1406956096">
                                                  <w:marLeft w:val="0"/>
                                                  <w:marRight w:val="0"/>
                                                  <w:marTop w:val="0"/>
                                                  <w:marBottom w:val="0"/>
                                                  <w:divBdr>
                                                    <w:top w:val="none" w:sz="0" w:space="0" w:color="auto"/>
                                                    <w:left w:val="none" w:sz="0" w:space="0" w:color="auto"/>
                                                    <w:bottom w:val="none" w:sz="0" w:space="0" w:color="auto"/>
                                                    <w:right w:val="none" w:sz="0" w:space="0" w:color="auto"/>
                                                  </w:divBdr>
                                                  <w:divsChild>
                                                    <w:div w:id="1272320827">
                                                      <w:marLeft w:val="0"/>
                                                      <w:marRight w:val="0"/>
                                                      <w:marTop w:val="0"/>
                                                      <w:marBottom w:val="0"/>
                                                      <w:divBdr>
                                                        <w:top w:val="none" w:sz="0" w:space="0" w:color="auto"/>
                                                        <w:left w:val="none" w:sz="0" w:space="0" w:color="auto"/>
                                                        <w:bottom w:val="none" w:sz="0" w:space="0" w:color="auto"/>
                                                        <w:right w:val="none" w:sz="0" w:space="0" w:color="auto"/>
                                                      </w:divBdr>
                                                      <w:divsChild>
                                                        <w:div w:id="835531047">
                                                          <w:marLeft w:val="0"/>
                                                          <w:marRight w:val="0"/>
                                                          <w:marTop w:val="0"/>
                                                          <w:marBottom w:val="0"/>
                                                          <w:divBdr>
                                                            <w:top w:val="none" w:sz="0" w:space="0" w:color="auto"/>
                                                            <w:left w:val="none" w:sz="0" w:space="0" w:color="auto"/>
                                                            <w:bottom w:val="none" w:sz="0" w:space="0" w:color="auto"/>
                                                            <w:right w:val="none" w:sz="0" w:space="0" w:color="auto"/>
                                                          </w:divBdr>
                                                          <w:divsChild>
                                                            <w:div w:id="499388351">
                                                              <w:marLeft w:val="0"/>
                                                              <w:marRight w:val="0"/>
                                                              <w:marTop w:val="0"/>
                                                              <w:marBottom w:val="0"/>
                                                              <w:divBdr>
                                                                <w:top w:val="none" w:sz="0" w:space="0" w:color="auto"/>
                                                                <w:left w:val="none" w:sz="0" w:space="0" w:color="auto"/>
                                                                <w:bottom w:val="none" w:sz="0" w:space="0" w:color="auto"/>
                                                                <w:right w:val="none" w:sz="0" w:space="0" w:color="auto"/>
                                                              </w:divBdr>
                                                              <w:divsChild>
                                                                <w:div w:id="977686130">
                                                                  <w:marLeft w:val="105"/>
                                                                  <w:marRight w:val="105"/>
                                                                  <w:marTop w:val="105"/>
                                                                  <w:marBottom w:val="105"/>
                                                                  <w:divBdr>
                                                                    <w:top w:val="none" w:sz="0" w:space="0" w:color="auto"/>
                                                                    <w:left w:val="none" w:sz="0" w:space="0" w:color="auto"/>
                                                                    <w:bottom w:val="none" w:sz="0" w:space="0" w:color="auto"/>
                                                                    <w:right w:val="none" w:sz="0" w:space="0" w:color="auto"/>
                                                                  </w:divBdr>
                                                                  <w:divsChild>
                                                                    <w:div w:id="1458719771">
                                                                      <w:marLeft w:val="0"/>
                                                                      <w:marRight w:val="0"/>
                                                                      <w:marTop w:val="0"/>
                                                                      <w:marBottom w:val="0"/>
                                                                      <w:divBdr>
                                                                        <w:top w:val="none" w:sz="0" w:space="0" w:color="auto"/>
                                                                        <w:left w:val="none" w:sz="0" w:space="0" w:color="auto"/>
                                                                        <w:bottom w:val="none" w:sz="0" w:space="0" w:color="auto"/>
                                                                        <w:right w:val="none" w:sz="0" w:space="0" w:color="auto"/>
                                                                      </w:divBdr>
                                                                      <w:divsChild>
                                                                        <w:div w:id="766733465">
                                                                          <w:marLeft w:val="0"/>
                                                                          <w:marRight w:val="0"/>
                                                                          <w:marTop w:val="0"/>
                                                                          <w:marBottom w:val="0"/>
                                                                          <w:divBdr>
                                                                            <w:top w:val="none" w:sz="0" w:space="0" w:color="auto"/>
                                                                            <w:left w:val="none" w:sz="0" w:space="0" w:color="auto"/>
                                                                            <w:bottom w:val="none" w:sz="0" w:space="0" w:color="auto"/>
                                                                            <w:right w:val="none" w:sz="0" w:space="0" w:color="auto"/>
                                                                          </w:divBdr>
                                                                          <w:divsChild>
                                                                            <w:div w:id="450705767">
                                                                              <w:marLeft w:val="0"/>
                                                                              <w:marRight w:val="0"/>
                                                                              <w:marTop w:val="0"/>
                                                                              <w:marBottom w:val="0"/>
                                                                              <w:divBdr>
                                                                                <w:top w:val="none" w:sz="0" w:space="0" w:color="auto"/>
                                                                                <w:left w:val="none" w:sz="0" w:space="0" w:color="auto"/>
                                                                                <w:bottom w:val="none" w:sz="0" w:space="0" w:color="auto"/>
                                                                                <w:right w:val="none" w:sz="0" w:space="0" w:color="auto"/>
                                                                              </w:divBdr>
                                                                              <w:divsChild>
                                                                                <w:div w:id="2125609455">
                                                                                  <w:marLeft w:val="0"/>
                                                                                  <w:marRight w:val="0"/>
                                                                                  <w:marTop w:val="0"/>
                                                                                  <w:marBottom w:val="0"/>
                                                                                  <w:divBdr>
                                                                                    <w:top w:val="none" w:sz="0" w:space="0" w:color="auto"/>
                                                                                    <w:left w:val="none" w:sz="0" w:space="0" w:color="auto"/>
                                                                                    <w:bottom w:val="none" w:sz="0" w:space="0" w:color="auto"/>
                                                                                    <w:right w:val="none" w:sz="0" w:space="0" w:color="auto"/>
                                                                                  </w:divBdr>
                                                                                  <w:divsChild>
                                                                                    <w:div w:id="729613989">
                                                                                      <w:marLeft w:val="0"/>
                                                                                      <w:marRight w:val="0"/>
                                                                                      <w:marTop w:val="0"/>
                                                                                      <w:marBottom w:val="0"/>
                                                                                      <w:divBdr>
                                                                                        <w:top w:val="none" w:sz="0" w:space="0" w:color="auto"/>
                                                                                        <w:left w:val="none" w:sz="0" w:space="0" w:color="auto"/>
                                                                                        <w:bottom w:val="none" w:sz="0" w:space="0" w:color="auto"/>
                                                                                        <w:right w:val="none" w:sz="0" w:space="0" w:color="auto"/>
                                                                                      </w:divBdr>
                                                                                      <w:divsChild>
                                                                                        <w:div w:id="1433623953">
                                                                                          <w:marLeft w:val="0"/>
                                                                                          <w:marRight w:val="0"/>
                                                                                          <w:marTop w:val="0"/>
                                                                                          <w:marBottom w:val="0"/>
                                                                                          <w:divBdr>
                                                                                            <w:top w:val="none" w:sz="0" w:space="0" w:color="auto"/>
                                                                                            <w:left w:val="none" w:sz="0" w:space="0" w:color="auto"/>
                                                                                            <w:bottom w:val="none" w:sz="0" w:space="0" w:color="auto"/>
                                                                                            <w:right w:val="none" w:sz="0" w:space="0" w:color="auto"/>
                                                                                          </w:divBdr>
                                                                                          <w:divsChild>
                                                                                            <w:div w:id="268590629">
                                                                                              <w:marLeft w:val="0"/>
                                                                                              <w:marRight w:val="0"/>
                                                                                              <w:marTop w:val="0"/>
                                                                                              <w:marBottom w:val="0"/>
                                                                                              <w:divBdr>
                                                                                                <w:top w:val="none" w:sz="0" w:space="0" w:color="auto"/>
                                                                                                <w:left w:val="none" w:sz="0" w:space="0" w:color="auto"/>
                                                                                                <w:bottom w:val="none" w:sz="0" w:space="0" w:color="auto"/>
                                                                                                <w:right w:val="none" w:sz="0" w:space="0" w:color="auto"/>
                                                                                              </w:divBdr>
                                                                                              <w:divsChild>
                                                                                                <w:div w:id="20319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4960">
      <w:bodyDiv w:val="1"/>
      <w:marLeft w:val="0"/>
      <w:marRight w:val="0"/>
      <w:marTop w:val="0"/>
      <w:marBottom w:val="0"/>
      <w:divBdr>
        <w:top w:val="none" w:sz="0" w:space="0" w:color="auto"/>
        <w:left w:val="none" w:sz="0" w:space="0" w:color="auto"/>
        <w:bottom w:val="none" w:sz="0" w:space="0" w:color="auto"/>
        <w:right w:val="none" w:sz="0" w:space="0" w:color="auto"/>
      </w:divBdr>
      <w:divsChild>
        <w:div w:id="1568566635">
          <w:marLeft w:val="0"/>
          <w:marRight w:val="0"/>
          <w:marTop w:val="0"/>
          <w:marBottom w:val="0"/>
          <w:divBdr>
            <w:top w:val="none" w:sz="0" w:space="0" w:color="auto"/>
            <w:left w:val="none" w:sz="0" w:space="0" w:color="auto"/>
            <w:bottom w:val="none" w:sz="0" w:space="0" w:color="auto"/>
            <w:right w:val="none" w:sz="0" w:space="0" w:color="auto"/>
          </w:divBdr>
        </w:div>
        <w:div w:id="1246722067">
          <w:marLeft w:val="0"/>
          <w:marRight w:val="0"/>
          <w:marTop w:val="0"/>
          <w:marBottom w:val="0"/>
          <w:divBdr>
            <w:top w:val="none" w:sz="0" w:space="0" w:color="auto"/>
            <w:left w:val="none" w:sz="0" w:space="0" w:color="auto"/>
            <w:bottom w:val="none" w:sz="0" w:space="0" w:color="auto"/>
            <w:right w:val="none" w:sz="0" w:space="0" w:color="auto"/>
          </w:divBdr>
        </w:div>
      </w:divsChild>
    </w:div>
    <w:div w:id="714163719">
      <w:bodyDiv w:val="1"/>
      <w:marLeft w:val="0"/>
      <w:marRight w:val="0"/>
      <w:marTop w:val="0"/>
      <w:marBottom w:val="0"/>
      <w:divBdr>
        <w:top w:val="none" w:sz="0" w:space="0" w:color="auto"/>
        <w:left w:val="none" w:sz="0" w:space="0" w:color="auto"/>
        <w:bottom w:val="none" w:sz="0" w:space="0" w:color="auto"/>
        <w:right w:val="none" w:sz="0" w:space="0" w:color="auto"/>
      </w:divBdr>
    </w:div>
    <w:div w:id="724183120">
      <w:bodyDiv w:val="1"/>
      <w:marLeft w:val="0"/>
      <w:marRight w:val="0"/>
      <w:marTop w:val="0"/>
      <w:marBottom w:val="0"/>
      <w:divBdr>
        <w:top w:val="none" w:sz="0" w:space="0" w:color="auto"/>
        <w:left w:val="none" w:sz="0" w:space="0" w:color="auto"/>
        <w:bottom w:val="none" w:sz="0" w:space="0" w:color="auto"/>
        <w:right w:val="none" w:sz="0" w:space="0" w:color="auto"/>
      </w:divBdr>
      <w:divsChild>
        <w:div w:id="1280140652">
          <w:marLeft w:val="0"/>
          <w:marRight w:val="0"/>
          <w:marTop w:val="0"/>
          <w:marBottom w:val="0"/>
          <w:divBdr>
            <w:top w:val="none" w:sz="0" w:space="0" w:color="auto"/>
            <w:left w:val="none" w:sz="0" w:space="0" w:color="auto"/>
            <w:bottom w:val="none" w:sz="0" w:space="0" w:color="auto"/>
            <w:right w:val="none" w:sz="0" w:space="0" w:color="auto"/>
          </w:divBdr>
        </w:div>
        <w:div w:id="2036417642">
          <w:marLeft w:val="0"/>
          <w:marRight w:val="0"/>
          <w:marTop w:val="0"/>
          <w:marBottom w:val="0"/>
          <w:divBdr>
            <w:top w:val="none" w:sz="0" w:space="0" w:color="auto"/>
            <w:left w:val="none" w:sz="0" w:space="0" w:color="auto"/>
            <w:bottom w:val="none" w:sz="0" w:space="0" w:color="auto"/>
            <w:right w:val="none" w:sz="0" w:space="0" w:color="auto"/>
          </w:divBdr>
        </w:div>
      </w:divsChild>
    </w:div>
    <w:div w:id="910625993">
      <w:bodyDiv w:val="1"/>
      <w:marLeft w:val="0"/>
      <w:marRight w:val="0"/>
      <w:marTop w:val="0"/>
      <w:marBottom w:val="0"/>
      <w:divBdr>
        <w:top w:val="none" w:sz="0" w:space="0" w:color="auto"/>
        <w:left w:val="none" w:sz="0" w:space="0" w:color="auto"/>
        <w:bottom w:val="none" w:sz="0" w:space="0" w:color="auto"/>
        <w:right w:val="none" w:sz="0" w:space="0" w:color="auto"/>
      </w:divBdr>
    </w:div>
    <w:div w:id="1196649812">
      <w:bodyDiv w:val="1"/>
      <w:marLeft w:val="0"/>
      <w:marRight w:val="0"/>
      <w:marTop w:val="0"/>
      <w:marBottom w:val="0"/>
      <w:divBdr>
        <w:top w:val="none" w:sz="0" w:space="0" w:color="auto"/>
        <w:left w:val="none" w:sz="0" w:space="0" w:color="auto"/>
        <w:bottom w:val="none" w:sz="0" w:space="0" w:color="auto"/>
        <w:right w:val="none" w:sz="0" w:space="0" w:color="auto"/>
      </w:divBdr>
      <w:divsChild>
        <w:div w:id="364714408">
          <w:marLeft w:val="0"/>
          <w:marRight w:val="0"/>
          <w:marTop w:val="90"/>
          <w:marBottom w:val="0"/>
          <w:divBdr>
            <w:top w:val="none" w:sz="0" w:space="0" w:color="auto"/>
            <w:left w:val="none" w:sz="0" w:space="0" w:color="auto"/>
            <w:bottom w:val="none" w:sz="0" w:space="0" w:color="auto"/>
            <w:right w:val="none" w:sz="0" w:space="0" w:color="auto"/>
          </w:divBdr>
        </w:div>
        <w:div w:id="1435782764">
          <w:marLeft w:val="0"/>
          <w:marRight w:val="0"/>
          <w:marTop w:val="0"/>
          <w:marBottom w:val="330"/>
          <w:divBdr>
            <w:top w:val="none" w:sz="0" w:space="0" w:color="auto"/>
            <w:left w:val="none" w:sz="0" w:space="0" w:color="auto"/>
            <w:bottom w:val="none" w:sz="0" w:space="0" w:color="auto"/>
            <w:right w:val="none" w:sz="0" w:space="0" w:color="auto"/>
          </w:divBdr>
        </w:div>
      </w:divsChild>
    </w:div>
    <w:div w:id="1314527495">
      <w:bodyDiv w:val="1"/>
      <w:marLeft w:val="0"/>
      <w:marRight w:val="0"/>
      <w:marTop w:val="0"/>
      <w:marBottom w:val="0"/>
      <w:divBdr>
        <w:top w:val="none" w:sz="0" w:space="0" w:color="auto"/>
        <w:left w:val="none" w:sz="0" w:space="0" w:color="auto"/>
        <w:bottom w:val="none" w:sz="0" w:space="0" w:color="auto"/>
        <w:right w:val="none" w:sz="0" w:space="0" w:color="auto"/>
      </w:divBdr>
      <w:divsChild>
        <w:div w:id="149489354">
          <w:marLeft w:val="0"/>
          <w:marRight w:val="0"/>
          <w:marTop w:val="0"/>
          <w:marBottom w:val="0"/>
          <w:divBdr>
            <w:top w:val="none" w:sz="0" w:space="0" w:color="auto"/>
            <w:left w:val="none" w:sz="0" w:space="0" w:color="auto"/>
            <w:bottom w:val="none" w:sz="0" w:space="0" w:color="auto"/>
            <w:right w:val="none" w:sz="0" w:space="0" w:color="auto"/>
          </w:divBdr>
        </w:div>
        <w:div w:id="10452916">
          <w:marLeft w:val="0"/>
          <w:marRight w:val="0"/>
          <w:marTop w:val="0"/>
          <w:marBottom w:val="0"/>
          <w:divBdr>
            <w:top w:val="none" w:sz="0" w:space="0" w:color="auto"/>
            <w:left w:val="none" w:sz="0" w:space="0" w:color="auto"/>
            <w:bottom w:val="none" w:sz="0" w:space="0" w:color="auto"/>
            <w:right w:val="none" w:sz="0" w:space="0" w:color="auto"/>
          </w:divBdr>
        </w:div>
      </w:divsChild>
    </w:div>
    <w:div w:id="1591425525">
      <w:bodyDiv w:val="1"/>
      <w:marLeft w:val="0"/>
      <w:marRight w:val="0"/>
      <w:marTop w:val="0"/>
      <w:marBottom w:val="0"/>
      <w:divBdr>
        <w:top w:val="none" w:sz="0" w:space="0" w:color="auto"/>
        <w:left w:val="none" w:sz="0" w:space="0" w:color="auto"/>
        <w:bottom w:val="none" w:sz="0" w:space="0" w:color="auto"/>
        <w:right w:val="none" w:sz="0" w:space="0" w:color="auto"/>
      </w:divBdr>
    </w:div>
    <w:div w:id="1645966100">
      <w:bodyDiv w:val="1"/>
      <w:marLeft w:val="0"/>
      <w:marRight w:val="0"/>
      <w:marTop w:val="0"/>
      <w:marBottom w:val="0"/>
      <w:divBdr>
        <w:top w:val="none" w:sz="0" w:space="0" w:color="auto"/>
        <w:left w:val="none" w:sz="0" w:space="0" w:color="auto"/>
        <w:bottom w:val="none" w:sz="0" w:space="0" w:color="auto"/>
        <w:right w:val="none" w:sz="0" w:space="0" w:color="auto"/>
      </w:divBdr>
      <w:divsChild>
        <w:div w:id="1121267087">
          <w:marLeft w:val="547"/>
          <w:marRight w:val="0"/>
          <w:marTop w:val="96"/>
          <w:marBottom w:val="0"/>
          <w:divBdr>
            <w:top w:val="none" w:sz="0" w:space="0" w:color="auto"/>
            <w:left w:val="none" w:sz="0" w:space="0" w:color="auto"/>
            <w:bottom w:val="none" w:sz="0" w:space="0" w:color="auto"/>
            <w:right w:val="none" w:sz="0" w:space="0" w:color="auto"/>
          </w:divBdr>
        </w:div>
      </w:divsChild>
    </w:div>
    <w:div w:id="1708984576">
      <w:bodyDiv w:val="1"/>
      <w:marLeft w:val="0"/>
      <w:marRight w:val="0"/>
      <w:marTop w:val="0"/>
      <w:marBottom w:val="0"/>
      <w:divBdr>
        <w:top w:val="none" w:sz="0" w:space="0" w:color="auto"/>
        <w:left w:val="none" w:sz="0" w:space="0" w:color="auto"/>
        <w:bottom w:val="none" w:sz="0" w:space="0" w:color="auto"/>
        <w:right w:val="none" w:sz="0" w:space="0" w:color="auto"/>
      </w:divBdr>
      <w:divsChild>
        <w:div w:id="1367371736">
          <w:marLeft w:val="0"/>
          <w:marRight w:val="0"/>
          <w:marTop w:val="100"/>
          <w:marBottom w:val="100"/>
          <w:divBdr>
            <w:top w:val="none" w:sz="0" w:space="0" w:color="auto"/>
            <w:left w:val="none" w:sz="0" w:space="0" w:color="auto"/>
            <w:bottom w:val="none" w:sz="0" w:space="0" w:color="auto"/>
            <w:right w:val="none" w:sz="0" w:space="0" w:color="auto"/>
          </w:divBdr>
          <w:divsChild>
            <w:div w:id="1294291032">
              <w:marLeft w:val="0"/>
              <w:marRight w:val="0"/>
              <w:marTop w:val="0"/>
              <w:marBottom w:val="0"/>
              <w:divBdr>
                <w:top w:val="none" w:sz="0" w:space="0" w:color="auto"/>
                <w:left w:val="none" w:sz="0" w:space="0" w:color="auto"/>
                <w:bottom w:val="none" w:sz="0" w:space="0" w:color="auto"/>
                <w:right w:val="none" w:sz="0" w:space="0" w:color="auto"/>
              </w:divBdr>
              <w:divsChild>
                <w:div w:id="528492215">
                  <w:marLeft w:val="105"/>
                  <w:marRight w:val="105"/>
                  <w:marTop w:val="105"/>
                  <w:marBottom w:val="105"/>
                  <w:divBdr>
                    <w:top w:val="none" w:sz="0" w:space="0" w:color="auto"/>
                    <w:left w:val="none" w:sz="0" w:space="0" w:color="auto"/>
                    <w:bottom w:val="none" w:sz="0" w:space="0" w:color="auto"/>
                    <w:right w:val="none" w:sz="0" w:space="0" w:color="auto"/>
                  </w:divBdr>
                  <w:divsChild>
                    <w:div w:id="748769853">
                      <w:marLeft w:val="0"/>
                      <w:marRight w:val="0"/>
                      <w:marTop w:val="0"/>
                      <w:marBottom w:val="0"/>
                      <w:divBdr>
                        <w:top w:val="none" w:sz="0" w:space="0" w:color="auto"/>
                        <w:left w:val="none" w:sz="0" w:space="0" w:color="auto"/>
                        <w:bottom w:val="none" w:sz="0" w:space="0" w:color="auto"/>
                        <w:right w:val="none" w:sz="0" w:space="0" w:color="auto"/>
                      </w:divBdr>
                      <w:divsChild>
                        <w:div w:id="184364850">
                          <w:marLeft w:val="0"/>
                          <w:marRight w:val="0"/>
                          <w:marTop w:val="0"/>
                          <w:marBottom w:val="0"/>
                          <w:divBdr>
                            <w:top w:val="none" w:sz="0" w:space="0" w:color="auto"/>
                            <w:left w:val="none" w:sz="0" w:space="0" w:color="auto"/>
                            <w:bottom w:val="none" w:sz="0" w:space="0" w:color="auto"/>
                            <w:right w:val="none" w:sz="0" w:space="0" w:color="auto"/>
                          </w:divBdr>
                          <w:divsChild>
                            <w:div w:id="43142553">
                              <w:marLeft w:val="0"/>
                              <w:marRight w:val="0"/>
                              <w:marTop w:val="0"/>
                              <w:marBottom w:val="0"/>
                              <w:divBdr>
                                <w:top w:val="none" w:sz="0" w:space="0" w:color="auto"/>
                                <w:left w:val="none" w:sz="0" w:space="0" w:color="auto"/>
                                <w:bottom w:val="none" w:sz="0" w:space="0" w:color="auto"/>
                                <w:right w:val="none" w:sz="0" w:space="0" w:color="auto"/>
                              </w:divBdr>
                              <w:divsChild>
                                <w:div w:id="12463557">
                                  <w:marLeft w:val="0"/>
                                  <w:marRight w:val="0"/>
                                  <w:marTop w:val="0"/>
                                  <w:marBottom w:val="0"/>
                                  <w:divBdr>
                                    <w:top w:val="none" w:sz="0" w:space="0" w:color="auto"/>
                                    <w:left w:val="none" w:sz="0" w:space="0" w:color="auto"/>
                                    <w:bottom w:val="none" w:sz="0" w:space="0" w:color="auto"/>
                                    <w:right w:val="none" w:sz="0" w:space="0" w:color="auto"/>
                                  </w:divBdr>
                                  <w:divsChild>
                                    <w:div w:id="1455948667">
                                      <w:marLeft w:val="105"/>
                                      <w:marRight w:val="105"/>
                                      <w:marTop w:val="105"/>
                                      <w:marBottom w:val="105"/>
                                      <w:divBdr>
                                        <w:top w:val="none" w:sz="0" w:space="0" w:color="auto"/>
                                        <w:left w:val="none" w:sz="0" w:space="0" w:color="auto"/>
                                        <w:bottom w:val="none" w:sz="0" w:space="0" w:color="auto"/>
                                        <w:right w:val="none" w:sz="0" w:space="0" w:color="auto"/>
                                      </w:divBdr>
                                      <w:divsChild>
                                        <w:div w:id="1573152741">
                                          <w:marLeft w:val="0"/>
                                          <w:marRight w:val="0"/>
                                          <w:marTop w:val="0"/>
                                          <w:marBottom w:val="0"/>
                                          <w:divBdr>
                                            <w:top w:val="none" w:sz="0" w:space="0" w:color="auto"/>
                                            <w:left w:val="none" w:sz="0" w:space="0" w:color="auto"/>
                                            <w:bottom w:val="none" w:sz="0" w:space="0" w:color="auto"/>
                                            <w:right w:val="none" w:sz="0" w:space="0" w:color="auto"/>
                                          </w:divBdr>
                                          <w:divsChild>
                                            <w:div w:id="220022755">
                                              <w:marLeft w:val="0"/>
                                              <w:marRight w:val="0"/>
                                              <w:marTop w:val="0"/>
                                              <w:marBottom w:val="0"/>
                                              <w:divBdr>
                                                <w:top w:val="none" w:sz="0" w:space="0" w:color="auto"/>
                                                <w:left w:val="none" w:sz="0" w:space="0" w:color="auto"/>
                                                <w:bottom w:val="none" w:sz="0" w:space="0" w:color="auto"/>
                                                <w:right w:val="none" w:sz="0" w:space="0" w:color="auto"/>
                                              </w:divBdr>
                                              <w:divsChild>
                                                <w:div w:id="443228216">
                                                  <w:marLeft w:val="0"/>
                                                  <w:marRight w:val="0"/>
                                                  <w:marTop w:val="0"/>
                                                  <w:marBottom w:val="0"/>
                                                  <w:divBdr>
                                                    <w:top w:val="none" w:sz="0" w:space="0" w:color="auto"/>
                                                    <w:left w:val="none" w:sz="0" w:space="0" w:color="auto"/>
                                                    <w:bottom w:val="none" w:sz="0" w:space="0" w:color="auto"/>
                                                    <w:right w:val="none" w:sz="0" w:space="0" w:color="auto"/>
                                                  </w:divBdr>
                                                  <w:divsChild>
                                                    <w:div w:id="1635941058">
                                                      <w:marLeft w:val="0"/>
                                                      <w:marRight w:val="0"/>
                                                      <w:marTop w:val="0"/>
                                                      <w:marBottom w:val="0"/>
                                                      <w:divBdr>
                                                        <w:top w:val="none" w:sz="0" w:space="0" w:color="auto"/>
                                                        <w:left w:val="none" w:sz="0" w:space="0" w:color="auto"/>
                                                        <w:bottom w:val="none" w:sz="0" w:space="0" w:color="auto"/>
                                                        <w:right w:val="none" w:sz="0" w:space="0" w:color="auto"/>
                                                      </w:divBdr>
                                                      <w:divsChild>
                                                        <w:div w:id="1293053025">
                                                          <w:marLeft w:val="0"/>
                                                          <w:marRight w:val="0"/>
                                                          <w:marTop w:val="0"/>
                                                          <w:marBottom w:val="0"/>
                                                          <w:divBdr>
                                                            <w:top w:val="none" w:sz="0" w:space="0" w:color="auto"/>
                                                            <w:left w:val="none" w:sz="0" w:space="0" w:color="auto"/>
                                                            <w:bottom w:val="none" w:sz="0" w:space="0" w:color="auto"/>
                                                            <w:right w:val="none" w:sz="0" w:space="0" w:color="auto"/>
                                                          </w:divBdr>
                                                          <w:divsChild>
                                                            <w:div w:id="918901935">
                                                              <w:marLeft w:val="0"/>
                                                              <w:marRight w:val="0"/>
                                                              <w:marTop w:val="0"/>
                                                              <w:marBottom w:val="0"/>
                                                              <w:divBdr>
                                                                <w:top w:val="none" w:sz="0" w:space="0" w:color="auto"/>
                                                                <w:left w:val="none" w:sz="0" w:space="0" w:color="auto"/>
                                                                <w:bottom w:val="none" w:sz="0" w:space="0" w:color="auto"/>
                                                                <w:right w:val="none" w:sz="0" w:space="0" w:color="auto"/>
                                                              </w:divBdr>
                                                              <w:divsChild>
                                                                <w:div w:id="1290819515">
                                                                  <w:marLeft w:val="105"/>
                                                                  <w:marRight w:val="105"/>
                                                                  <w:marTop w:val="105"/>
                                                                  <w:marBottom w:val="105"/>
                                                                  <w:divBdr>
                                                                    <w:top w:val="none" w:sz="0" w:space="0" w:color="auto"/>
                                                                    <w:left w:val="none" w:sz="0" w:space="0" w:color="auto"/>
                                                                    <w:bottom w:val="none" w:sz="0" w:space="0" w:color="auto"/>
                                                                    <w:right w:val="none" w:sz="0" w:space="0" w:color="auto"/>
                                                                  </w:divBdr>
                                                                  <w:divsChild>
                                                                    <w:div w:id="753361855">
                                                                      <w:marLeft w:val="0"/>
                                                                      <w:marRight w:val="0"/>
                                                                      <w:marTop w:val="0"/>
                                                                      <w:marBottom w:val="0"/>
                                                                      <w:divBdr>
                                                                        <w:top w:val="none" w:sz="0" w:space="0" w:color="auto"/>
                                                                        <w:left w:val="none" w:sz="0" w:space="0" w:color="auto"/>
                                                                        <w:bottom w:val="none" w:sz="0" w:space="0" w:color="auto"/>
                                                                        <w:right w:val="none" w:sz="0" w:space="0" w:color="auto"/>
                                                                      </w:divBdr>
                                                                      <w:divsChild>
                                                                        <w:div w:id="1230070775">
                                                                          <w:marLeft w:val="0"/>
                                                                          <w:marRight w:val="0"/>
                                                                          <w:marTop w:val="0"/>
                                                                          <w:marBottom w:val="0"/>
                                                                          <w:divBdr>
                                                                            <w:top w:val="none" w:sz="0" w:space="0" w:color="auto"/>
                                                                            <w:left w:val="none" w:sz="0" w:space="0" w:color="auto"/>
                                                                            <w:bottom w:val="none" w:sz="0" w:space="0" w:color="auto"/>
                                                                            <w:right w:val="none" w:sz="0" w:space="0" w:color="auto"/>
                                                                          </w:divBdr>
                                                                          <w:divsChild>
                                                                            <w:div w:id="1761290775">
                                                                              <w:marLeft w:val="0"/>
                                                                              <w:marRight w:val="0"/>
                                                                              <w:marTop w:val="0"/>
                                                                              <w:marBottom w:val="0"/>
                                                                              <w:divBdr>
                                                                                <w:top w:val="none" w:sz="0" w:space="0" w:color="auto"/>
                                                                                <w:left w:val="none" w:sz="0" w:space="0" w:color="auto"/>
                                                                                <w:bottom w:val="none" w:sz="0" w:space="0" w:color="auto"/>
                                                                                <w:right w:val="none" w:sz="0" w:space="0" w:color="auto"/>
                                                                              </w:divBdr>
                                                                              <w:divsChild>
                                                                                <w:div w:id="1328704339">
                                                                                  <w:marLeft w:val="0"/>
                                                                                  <w:marRight w:val="0"/>
                                                                                  <w:marTop w:val="0"/>
                                                                                  <w:marBottom w:val="0"/>
                                                                                  <w:divBdr>
                                                                                    <w:top w:val="none" w:sz="0" w:space="0" w:color="auto"/>
                                                                                    <w:left w:val="none" w:sz="0" w:space="0" w:color="auto"/>
                                                                                    <w:bottom w:val="none" w:sz="0" w:space="0" w:color="auto"/>
                                                                                    <w:right w:val="none" w:sz="0" w:space="0" w:color="auto"/>
                                                                                  </w:divBdr>
                                                                                  <w:divsChild>
                                                                                    <w:div w:id="1608998984">
                                                                                      <w:marLeft w:val="0"/>
                                                                                      <w:marRight w:val="0"/>
                                                                                      <w:marTop w:val="0"/>
                                                                                      <w:marBottom w:val="0"/>
                                                                                      <w:divBdr>
                                                                                        <w:top w:val="none" w:sz="0" w:space="0" w:color="auto"/>
                                                                                        <w:left w:val="none" w:sz="0" w:space="0" w:color="auto"/>
                                                                                        <w:bottom w:val="none" w:sz="0" w:space="0" w:color="auto"/>
                                                                                        <w:right w:val="none" w:sz="0" w:space="0" w:color="auto"/>
                                                                                      </w:divBdr>
                                                                                      <w:divsChild>
                                                                                        <w:div w:id="1205675974">
                                                                                          <w:marLeft w:val="0"/>
                                                                                          <w:marRight w:val="0"/>
                                                                                          <w:marTop w:val="0"/>
                                                                                          <w:marBottom w:val="0"/>
                                                                                          <w:divBdr>
                                                                                            <w:top w:val="none" w:sz="0" w:space="0" w:color="auto"/>
                                                                                            <w:left w:val="none" w:sz="0" w:space="0" w:color="auto"/>
                                                                                            <w:bottom w:val="none" w:sz="0" w:space="0" w:color="auto"/>
                                                                                            <w:right w:val="none" w:sz="0" w:space="0" w:color="auto"/>
                                                                                          </w:divBdr>
                                                                                          <w:divsChild>
                                                                                            <w:div w:id="1747453077">
                                                                                              <w:marLeft w:val="0"/>
                                                                                              <w:marRight w:val="0"/>
                                                                                              <w:marTop w:val="0"/>
                                                                                              <w:marBottom w:val="0"/>
                                                                                              <w:divBdr>
                                                                                                <w:top w:val="none" w:sz="0" w:space="0" w:color="auto"/>
                                                                                                <w:left w:val="none" w:sz="0" w:space="0" w:color="auto"/>
                                                                                                <w:bottom w:val="none" w:sz="0" w:space="0" w:color="auto"/>
                                                                                                <w:right w:val="none" w:sz="0" w:space="0" w:color="auto"/>
                                                                                              </w:divBdr>
                                                                                              <w:divsChild>
                                                                                                <w:div w:id="203754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156511">
      <w:bodyDiv w:val="1"/>
      <w:marLeft w:val="0"/>
      <w:marRight w:val="0"/>
      <w:marTop w:val="0"/>
      <w:marBottom w:val="0"/>
      <w:divBdr>
        <w:top w:val="none" w:sz="0" w:space="0" w:color="auto"/>
        <w:left w:val="none" w:sz="0" w:space="0" w:color="auto"/>
        <w:bottom w:val="none" w:sz="0" w:space="0" w:color="auto"/>
        <w:right w:val="none" w:sz="0" w:space="0" w:color="auto"/>
      </w:divBdr>
      <w:divsChild>
        <w:div w:id="182935948">
          <w:marLeft w:val="0"/>
          <w:marRight w:val="0"/>
          <w:marTop w:val="0"/>
          <w:marBottom w:val="0"/>
          <w:divBdr>
            <w:top w:val="none" w:sz="0" w:space="0" w:color="auto"/>
            <w:left w:val="none" w:sz="0" w:space="0" w:color="auto"/>
            <w:bottom w:val="none" w:sz="0" w:space="0" w:color="auto"/>
            <w:right w:val="none" w:sz="0" w:space="0" w:color="auto"/>
          </w:divBdr>
        </w:div>
        <w:div w:id="544487675">
          <w:marLeft w:val="0"/>
          <w:marRight w:val="0"/>
          <w:marTop w:val="0"/>
          <w:marBottom w:val="0"/>
          <w:divBdr>
            <w:top w:val="none" w:sz="0" w:space="0" w:color="auto"/>
            <w:left w:val="none" w:sz="0" w:space="0" w:color="auto"/>
            <w:bottom w:val="none" w:sz="0" w:space="0" w:color="auto"/>
            <w:right w:val="none" w:sz="0" w:space="0" w:color="auto"/>
          </w:divBdr>
          <w:divsChild>
            <w:div w:id="85657917">
              <w:marLeft w:val="1200"/>
              <w:marRight w:val="0"/>
              <w:marTop w:val="240"/>
              <w:marBottom w:val="240"/>
              <w:divBdr>
                <w:top w:val="none" w:sz="0" w:space="0" w:color="auto"/>
                <w:left w:val="none" w:sz="0" w:space="0" w:color="auto"/>
                <w:bottom w:val="none" w:sz="0" w:space="0" w:color="auto"/>
                <w:right w:val="none" w:sz="0" w:space="0" w:color="auto"/>
              </w:divBdr>
            </w:div>
            <w:div w:id="158929380">
              <w:marLeft w:val="1200"/>
              <w:marRight w:val="0"/>
              <w:marTop w:val="240"/>
              <w:marBottom w:val="240"/>
              <w:divBdr>
                <w:top w:val="none" w:sz="0" w:space="0" w:color="auto"/>
                <w:left w:val="none" w:sz="0" w:space="0" w:color="auto"/>
                <w:bottom w:val="none" w:sz="0" w:space="0" w:color="auto"/>
                <w:right w:val="none" w:sz="0" w:space="0" w:color="auto"/>
              </w:divBdr>
            </w:div>
            <w:div w:id="180898021">
              <w:marLeft w:val="1200"/>
              <w:marRight w:val="0"/>
              <w:marTop w:val="240"/>
              <w:marBottom w:val="240"/>
              <w:divBdr>
                <w:top w:val="none" w:sz="0" w:space="0" w:color="auto"/>
                <w:left w:val="none" w:sz="0" w:space="0" w:color="auto"/>
                <w:bottom w:val="none" w:sz="0" w:space="0" w:color="auto"/>
                <w:right w:val="none" w:sz="0" w:space="0" w:color="auto"/>
              </w:divBdr>
            </w:div>
            <w:div w:id="425882353">
              <w:marLeft w:val="1200"/>
              <w:marRight w:val="0"/>
              <w:marTop w:val="240"/>
              <w:marBottom w:val="240"/>
              <w:divBdr>
                <w:top w:val="none" w:sz="0" w:space="0" w:color="auto"/>
                <w:left w:val="none" w:sz="0" w:space="0" w:color="auto"/>
                <w:bottom w:val="none" w:sz="0" w:space="0" w:color="auto"/>
                <w:right w:val="none" w:sz="0" w:space="0" w:color="auto"/>
              </w:divBdr>
            </w:div>
            <w:div w:id="538511597">
              <w:marLeft w:val="1200"/>
              <w:marRight w:val="0"/>
              <w:marTop w:val="240"/>
              <w:marBottom w:val="240"/>
              <w:divBdr>
                <w:top w:val="none" w:sz="0" w:space="0" w:color="auto"/>
                <w:left w:val="none" w:sz="0" w:space="0" w:color="auto"/>
                <w:bottom w:val="none" w:sz="0" w:space="0" w:color="auto"/>
                <w:right w:val="none" w:sz="0" w:space="0" w:color="auto"/>
              </w:divBdr>
            </w:div>
            <w:div w:id="1289047366">
              <w:marLeft w:val="1200"/>
              <w:marRight w:val="0"/>
              <w:marTop w:val="240"/>
              <w:marBottom w:val="240"/>
              <w:divBdr>
                <w:top w:val="none" w:sz="0" w:space="0" w:color="auto"/>
                <w:left w:val="none" w:sz="0" w:space="0" w:color="auto"/>
                <w:bottom w:val="none" w:sz="0" w:space="0" w:color="auto"/>
                <w:right w:val="none" w:sz="0" w:space="0" w:color="auto"/>
              </w:divBdr>
            </w:div>
            <w:div w:id="1802529546">
              <w:marLeft w:val="1200"/>
              <w:marRight w:val="0"/>
              <w:marTop w:val="240"/>
              <w:marBottom w:val="240"/>
              <w:divBdr>
                <w:top w:val="none" w:sz="0" w:space="0" w:color="auto"/>
                <w:left w:val="none" w:sz="0" w:space="0" w:color="auto"/>
                <w:bottom w:val="none" w:sz="0" w:space="0" w:color="auto"/>
                <w:right w:val="none" w:sz="0" w:space="0" w:color="auto"/>
              </w:divBdr>
            </w:div>
            <w:div w:id="1837842273">
              <w:marLeft w:val="1200"/>
              <w:marRight w:val="0"/>
              <w:marTop w:val="240"/>
              <w:marBottom w:val="240"/>
              <w:divBdr>
                <w:top w:val="none" w:sz="0" w:space="0" w:color="auto"/>
                <w:left w:val="none" w:sz="0" w:space="0" w:color="auto"/>
                <w:bottom w:val="none" w:sz="0" w:space="0" w:color="auto"/>
                <w:right w:val="none" w:sz="0" w:space="0" w:color="auto"/>
              </w:divBdr>
            </w:div>
            <w:div w:id="1970241267">
              <w:marLeft w:val="1200"/>
              <w:marRight w:val="0"/>
              <w:marTop w:val="240"/>
              <w:marBottom w:val="240"/>
              <w:divBdr>
                <w:top w:val="none" w:sz="0" w:space="0" w:color="auto"/>
                <w:left w:val="none" w:sz="0" w:space="0" w:color="auto"/>
                <w:bottom w:val="none" w:sz="0" w:space="0" w:color="auto"/>
                <w:right w:val="none" w:sz="0" w:space="0" w:color="auto"/>
              </w:divBdr>
            </w:div>
          </w:divsChild>
        </w:div>
        <w:div w:id="1150711990">
          <w:marLeft w:val="0"/>
          <w:marRight w:val="0"/>
          <w:marTop w:val="0"/>
          <w:marBottom w:val="0"/>
          <w:divBdr>
            <w:top w:val="none" w:sz="0" w:space="0" w:color="auto"/>
            <w:left w:val="none" w:sz="0" w:space="0" w:color="auto"/>
            <w:bottom w:val="none" w:sz="0" w:space="0" w:color="auto"/>
            <w:right w:val="none" w:sz="0" w:space="0" w:color="auto"/>
          </w:divBdr>
          <w:divsChild>
            <w:div w:id="35281558">
              <w:marLeft w:val="1200"/>
              <w:marRight w:val="0"/>
              <w:marTop w:val="240"/>
              <w:marBottom w:val="240"/>
              <w:divBdr>
                <w:top w:val="none" w:sz="0" w:space="0" w:color="auto"/>
                <w:left w:val="none" w:sz="0" w:space="0" w:color="auto"/>
                <w:bottom w:val="none" w:sz="0" w:space="0" w:color="auto"/>
                <w:right w:val="none" w:sz="0" w:space="0" w:color="auto"/>
              </w:divBdr>
            </w:div>
            <w:div w:id="210115574">
              <w:marLeft w:val="1200"/>
              <w:marRight w:val="0"/>
              <w:marTop w:val="240"/>
              <w:marBottom w:val="240"/>
              <w:divBdr>
                <w:top w:val="none" w:sz="0" w:space="0" w:color="auto"/>
                <w:left w:val="none" w:sz="0" w:space="0" w:color="auto"/>
                <w:bottom w:val="none" w:sz="0" w:space="0" w:color="auto"/>
                <w:right w:val="none" w:sz="0" w:space="0" w:color="auto"/>
              </w:divBdr>
            </w:div>
            <w:div w:id="450131149">
              <w:marLeft w:val="1200"/>
              <w:marRight w:val="0"/>
              <w:marTop w:val="240"/>
              <w:marBottom w:val="240"/>
              <w:divBdr>
                <w:top w:val="none" w:sz="0" w:space="0" w:color="auto"/>
                <w:left w:val="none" w:sz="0" w:space="0" w:color="auto"/>
                <w:bottom w:val="none" w:sz="0" w:space="0" w:color="auto"/>
                <w:right w:val="none" w:sz="0" w:space="0" w:color="auto"/>
              </w:divBdr>
            </w:div>
            <w:div w:id="977764306">
              <w:marLeft w:val="1200"/>
              <w:marRight w:val="0"/>
              <w:marTop w:val="240"/>
              <w:marBottom w:val="240"/>
              <w:divBdr>
                <w:top w:val="none" w:sz="0" w:space="0" w:color="auto"/>
                <w:left w:val="none" w:sz="0" w:space="0" w:color="auto"/>
                <w:bottom w:val="none" w:sz="0" w:space="0" w:color="auto"/>
                <w:right w:val="none" w:sz="0" w:space="0" w:color="auto"/>
              </w:divBdr>
            </w:div>
            <w:div w:id="1231623389">
              <w:marLeft w:val="1200"/>
              <w:marRight w:val="0"/>
              <w:marTop w:val="240"/>
              <w:marBottom w:val="240"/>
              <w:divBdr>
                <w:top w:val="none" w:sz="0" w:space="0" w:color="auto"/>
                <w:left w:val="none" w:sz="0" w:space="0" w:color="auto"/>
                <w:bottom w:val="none" w:sz="0" w:space="0" w:color="auto"/>
                <w:right w:val="none" w:sz="0" w:space="0" w:color="auto"/>
              </w:divBdr>
            </w:div>
            <w:div w:id="1437942382">
              <w:marLeft w:val="1200"/>
              <w:marRight w:val="0"/>
              <w:marTop w:val="240"/>
              <w:marBottom w:val="240"/>
              <w:divBdr>
                <w:top w:val="none" w:sz="0" w:space="0" w:color="auto"/>
                <w:left w:val="none" w:sz="0" w:space="0" w:color="auto"/>
                <w:bottom w:val="none" w:sz="0" w:space="0" w:color="auto"/>
                <w:right w:val="none" w:sz="0" w:space="0" w:color="auto"/>
              </w:divBdr>
            </w:div>
            <w:div w:id="1943415178">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 w:id="1980987044">
      <w:bodyDiv w:val="1"/>
      <w:marLeft w:val="0"/>
      <w:marRight w:val="0"/>
      <w:marTop w:val="0"/>
      <w:marBottom w:val="0"/>
      <w:divBdr>
        <w:top w:val="none" w:sz="0" w:space="0" w:color="auto"/>
        <w:left w:val="none" w:sz="0" w:space="0" w:color="auto"/>
        <w:bottom w:val="none" w:sz="0" w:space="0" w:color="auto"/>
        <w:right w:val="none" w:sz="0" w:space="0" w:color="auto"/>
      </w:divBdr>
      <w:divsChild>
        <w:div w:id="403838964">
          <w:marLeft w:val="0"/>
          <w:marRight w:val="0"/>
          <w:marTop w:val="100"/>
          <w:marBottom w:val="100"/>
          <w:divBdr>
            <w:top w:val="none" w:sz="0" w:space="0" w:color="auto"/>
            <w:left w:val="none" w:sz="0" w:space="0" w:color="auto"/>
            <w:bottom w:val="none" w:sz="0" w:space="0" w:color="auto"/>
            <w:right w:val="none" w:sz="0" w:space="0" w:color="auto"/>
          </w:divBdr>
          <w:divsChild>
            <w:div w:id="36007831">
              <w:marLeft w:val="0"/>
              <w:marRight w:val="0"/>
              <w:marTop w:val="0"/>
              <w:marBottom w:val="0"/>
              <w:divBdr>
                <w:top w:val="none" w:sz="0" w:space="0" w:color="auto"/>
                <w:left w:val="none" w:sz="0" w:space="0" w:color="auto"/>
                <w:bottom w:val="none" w:sz="0" w:space="0" w:color="auto"/>
                <w:right w:val="none" w:sz="0" w:space="0" w:color="auto"/>
              </w:divBdr>
              <w:divsChild>
                <w:div w:id="1478449135">
                  <w:marLeft w:val="105"/>
                  <w:marRight w:val="105"/>
                  <w:marTop w:val="105"/>
                  <w:marBottom w:val="105"/>
                  <w:divBdr>
                    <w:top w:val="none" w:sz="0" w:space="0" w:color="auto"/>
                    <w:left w:val="none" w:sz="0" w:space="0" w:color="auto"/>
                    <w:bottom w:val="none" w:sz="0" w:space="0" w:color="auto"/>
                    <w:right w:val="none" w:sz="0" w:space="0" w:color="auto"/>
                  </w:divBdr>
                  <w:divsChild>
                    <w:div w:id="1307859506">
                      <w:marLeft w:val="0"/>
                      <w:marRight w:val="0"/>
                      <w:marTop w:val="0"/>
                      <w:marBottom w:val="0"/>
                      <w:divBdr>
                        <w:top w:val="none" w:sz="0" w:space="0" w:color="auto"/>
                        <w:left w:val="none" w:sz="0" w:space="0" w:color="auto"/>
                        <w:bottom w:val="none" w:sz="0" w:space="0" w:color="auto"/>
                        <w:right w:val="none" w:sz="0" w:space="0" w:color="auto"/>
                      </w:divBdr>
                      <w:divsChild>
                        <w:div w:id="639307232">
                          <w:marLeft w:val="0"/>
                          <w:marRight w:val="0"/>
                          <w:marTop w:val="0"/>
                          <w:marBottom w:val="0"/>
                          <w:divBdr>
                            <w:top w:val="none" w:sz="0" w:space="0" w:color="auto"/>
                            <w:left w:val="none" w:sz="0" w:space="0" w:color="auto"/>
                            <w:bottom w:val="none" w:sz="0" w:space="0" w:color="auto"/>
                            <w:right w:val="none" w:sz="0" w:space="0" w:color="auto"/>
                          </w:divBdr>
                          <w:divsChild>
                            <w:div w:id="419527292">
                              <w:marLeft w:val="0"/>
                              <w:marRight w:val="0"/>
                              <w:marTop w:val="0"/>
                              <w:marBottom w:val="0"/>
                              <w:divBdr>
                                <w:top w:val="none" w:sz="0" w:space="0" w:color="auto"/>
                                <w:left w:val="none" w:sz="0" w:space="0" w:color="auto"/>
                                <w:bottom w:val="none" w:sz="0" w:space="0" w:color="auto"/>
                                <w:right w:val="none" w:sz="0" w:space="0" w:color="auto"/>
                              </w:divBdr>
                              <w:divsChild>
                                <w:div w:id="984773314">
                                  <w:marLeft w:val="0"/>
                                  <w:marRight w:val="0"/>
                                  <w:marTop w:val="0"/>
                                  <w:marBottom w:val="0"/>
                                  <w:divBdr>
                                    <w:top w:val="none" w:sz="0" w:space="0" w:color="auto"/>
                                    <w:left w:val="none" w:sz="0" w:space="0" w:color="auto"/>
                                    <w:bottom w:val="none" w:sz="0" w:space="0" w:color="auto"/>
                                    <w:right w:val="none" w:sz="0" w:space="0" w:color="auto"/>
                                  </w:divBdr>
                                  <w:divsChild>
                                    <w:div w:id="1570773142">
                                      <w:marLeft w:val="105"/>
                                      <w:marRight w:val="105"/>
                                      <w:marTop w:val="105"/>
                                      <w:marBottom w:val="105"/>
                                      <w:divBdr>
                                        <w:top w:val="none" w:sz="0" w:space="0" w:color="auto"/>
                                        <w:left w:val="none" w:sz="0" w:space="0" w:color="auto"/>
                                        <w:bottom w:val="none" w:sz="0" w:space="0" w:color="auto"/>
                                        <w:right w:val="none" w:sz="0" w:space="0" w:color="auto"/>
                                      </w:divBdr>
                                      <w:divsChild>
                                        <w:div w:id="1401515135">
                                          <w:marLeft w:val="0"/>
                                          <w:marRight w:val="0"/>
                                          <w:marTop w:val="0"/>
                                          <w:marBottom w:val="0"/>
                                          <w:divBdr>
                                            <w:top w:val="none" w:sz="0" w:space="0" w:color="auto"/>
                                            <w:left w:val="none" w:sz="0" w:space="0" w:color="auto"/>
                                            <w:bottom w:val="none" w:sz="0" w:space="0" w:color="auto"/>
                                            <w:right w:val="none" w:sz="0" w:space="0" w:color="auto"/>
                                          </w:divBdr>
                                          <w:divsChild>
                                            <w:div w:id="1544438744">
                                              <w:marLeft w:val="0"/>
                                              <w:marRight w:val="0"/>
                                              <w:marTop w:val="0"/>
                                              <w:marBottom w:val="0"/>
                                              <w:divBdr>
                                                <w:top w:val="none" w:sz="0" w:space="0" w:color="auto"/>
                                                <w:left w:val="none" w:sz="0" w:space="0" w:color="auto"/>
                                                <w:bottom w:val="none" w:sz="0" w:space="0" w:color="auto"/>
                                                <w:right w:val="none" w:sz="0" w:space="0" w:color="auto"/>
                                              </w:divBdr>
                                              <w:divsChild>
                                                <w:div w:id="1441029896">
                                                  <w:marLeft w:val="0"/>
                                                  <w:marRight w:val="0"/>
                                                  <w:marTop w:val="0"/>
                                                  <w:marBottom w:val="0"/>
                                                  <w:divBdr>
                                                    <w:top w:val="none" w:sz="0" w:space="0" w:color="auto"/>
                                                    <w:left w:val="none" w:sz="0" w:space="0" w:color="auto"/>
                                                    <w:bottom w:val="none" w:sz="0" w:space="0" w:color="auto"/>
                                                    <w:right w:val="none" w:sz="0" w:space="0" w:color="auto"/>
                                                  </w:divBdr>
                                                  <w:divsChild>
                                                    <w:div w:id="1219167498">
                                                      <w:marLeft w:val="0"/>
                                                      <w:marRight w:val="0"/>
                                                      <w:marTop w:val="0"/>
                                                      <w:marBottom w:val="0"/>
                                                      <w:divBdr>
                                                        <w:top w:val="none" w:sz="0" w:space="0" w:color="auto"/>
                                                        <w:left w:val="none" w:sz="0" w:space="0" w:color="auto"/>
                                                        <w:bottom w:val="none" w:sz="0" w:space="0" w:color="auto"/>
                                                        <w:right w:val="none" w:sz="0" w:space="0" w:color="auto"/>
                                                      </w:divBdr>
                                                      <w:divsChild>
                                                        <w:div w:id="811215320">
                                                          <w:marLeft w:val="0"/>
                                                          <w:marRight w:val="0"/>
                                                          <w:marTop w:val="0"/>
                                                          <w:marBottom w:val="0"/>
                                                          <w:divBdr>
                                                            <w:top w:val="none" w:sz="0" w:space="0" w:color="auto"/>
                                                            <w:left w:val="none" w:sz="0" w:space="0" w:color="auto"/>
                                                            <w:bottom w:val="none" w:sz="0" w:space="0" w:color="auto"/>
                                                            <w:right w:val="none" w:sz="0" w:space="0" w:color="auto"/>
                                                          </w:divBdr>
                                                          <w:divsChild>
                                                            <w:div w:id="1235118519">
                                                              <w:marLeft w:val="0"/>
                                                              <w:marRight w:val="0"/>
                                                              <w:marTop w:val="0"/>
                                                              <w:marBottom w:val="0"/>
                                                              <w:divBdr>
                                                                <w:top w:val="none" w:sz="0" w:space="0" w:color="auto"/>
                                                                <w:left w:val="none" w:sz="0" w:space="0" w:color="auto"/>
                                                                <w:bottom w:val="none" w:sz="0" w:space="0" w:color="auto"/>
                                                                <w:right w:val="none" w:sz="0" w:space="0" w:color="auto"/>
                                                              </w:divBdr>
                                                              <w:divsChild>
                                                                <w:div w:id="1256859859">
                                                                  <w:marLeft w:val="105"/>
                                                                  <w:marRight w:val="105"/>
                                                                  <w:marTop w:val="105"/>
                                                                  <w:marBottom w:val="105"/>
                                                                  <w:divBdr>
                                                                    <w:top w:val="none" w:sz="0" w:space="0" w:color="auto"/>
                                                                    <w:left w:val="none" w:sz="0" w:space="0" w:color="auto"/>
                                                                    <w:bottom w:val="none" w:sz="0" w:space="0" w:color="auto"/>
                                                                    <w:right w:val="none" w:sz="0" w:space="0" w:color="auto"/>
                                                                  </w:divBdr>
                                                                  <w:divsChild>
                                                                    <w:div w:id="545222676">
                                                                      <w:marLeft w:val="0"/>
                                                                      <w:marRight w:val="0"/>
                                                                      <w:marTop w:val="0"/>
                                                                      <w:marBottom w:val="0"/>
                                                                      <w:divBdr>
                                                                        <w:top w:val="none" w:sz="0" w:space="0" w:color="auto"/>
                                                                        <w:left w:val="none" w:sz="0" w:space="0" w:color="auto"/>
                                                                        <w:bottom w:val="none" w:sz="0" w:space="0" w:color="auto"/>
                                                                        <w:right w:val="none" w:sz="0" w:space="0" w:color="auto"/>
                                                                      </w:divBdr>
                                                                      <w:divsChild>
                                                                        <w:div w:id="337463906">
                                                                          <w:marLeft w:val="0"/>
                                                                          <w:marRight w:val="0"/>
                                                                          <w:marTop w:val="0"/>
                                                                          <w:marBottom w:val="0"/>
                                                                          <w:divBdr>
                                                                            <w:top w:val="none" w:sz="0" w:space="0" w:color="auto"/>
                                                                            <w:left w:val="none" w:sz="0" w:space="0" w:color="auto"/>
                                                                            <w:bottom w:val="none" w:sz="0" w:space="0" w:color="auto"/>
                                                                            <w:right w:val="none" w:sz="0" w:space="0" w:color="auto"/>
                                                                          </w:divBdr>
                                                                          <w:divsChild>
                                                                            <w:div w:id="276648189">
                                                                              <w:marLeft w:val="0"/>
                                                                              <w:marRight w:val="0"/>
                                                                              <w:marTop w:val="0"/>
                                                                              <w:marBottom w:val="0"/>
                                                                              <w:divBdr>
                                                                                <w:top w:val="none" w:sz="0" w:space="0" w:color="auto"/>
                                                                                <w:left w:val="none" w:sz="0" w:space="0" w:color="auto"/>
                                                                                <w:bottom w:val="none" w:sz="0" w:space="0" w:color="auto"/>
                                                                                <w:right w:val="none" w:sz="0" w:space="0" w:color="auto"/>
                                                                              </w:divBdr>
                                                                              <w:divsChild>
                                                                                <w:div w:id="653141068">
                                                                                  <w:marLeft w:val="0"/>
                                                                                  <w:marRight w:val="0"/>
                                                                                  <w:marTop w:val="0"/>
                                                                                  <w:marBottom w:val="0"/>
                                                                                  <w:divBdr>
                                                                                    <w:top w:val="none" w:sz="0" w:space="0" w:color="auto"/>
                                                                                    <w:left w:val="none" w:sz="0" w:space="0" w:color="auto"/>
                                                                                    <w:bottom w:val="none" w:sz="0" w:space="0" w:color="auto"/>
                                                                                    <w:right w:val="none" w:sz="0" w:space="0" w:color="auto"/>
                                                                                  </w:divBdr>
                                                                                  <w:divsChild>
                                                                                    <w:div w:id="1113093673">
                                                                                      <w:marLeft w:val="0"/>
                                                                                      <w:marRight w:val="0"/>
                                                                                      <w:marTop w:val="0"/>
                                                                                      <w:marBottom w:val="0"/>
                                                                                      <w:divBdr>
                                                                                        <w:top w:val="none" w:sz="0" w:space="0" w:color="auto"/>
                                                                                        <w:left w:val="none" w:sz="0" w:space="0" w:color="auto"/>
                                                                                        <w:bottom w:val="none" w:sz="0" w:space="0" w:color="auto"/>
                                                                                        <w:right w:val="none" w:sz="0" w:space="0" w:color="auto"/>
                                                                                      </w:divBdr>
                                                                                      <w:divsChild>
                                                                                        <w:div w:id="948590333">
                                                                                          <w:marLeft w:val="0"/>
                                                                                          <w:marRight w:val="0"/>
                                                                                          <w:marTop w:val="0"/>
                                                                                          <w:marBottom w:val="0"/>
                                                                                          <w:divBdr>
                                                                                            <w:top w:val="none" w:sz="0" w:space="0" w:color="auto"/>
                                                                                            <w:left w:val="none" w:sz="0" w:space="0" w:color="auto"/>
                                                                                            <w:bottom w:val="none" w:sz="0" w:space="0" w:color="auto"/>
                                                                                            <w:right w:val="none" w:sz="0" w:space="0" w:color="auto"/>
                                                                                          </w:divBdr>
                                                                                          <w:divsChild>
                                                                                            <w:div w:id="454325401">
                                                                                              <w:marLeft w:val="0"/>
                                                                                              <w:marRight w:val="0"/>
                                                                                              <w:marTop w:val="0"/>
                                                                                              <w:marBottom w:val="0"/>
                                                                                              <w:divBdr>
                                                                                                <w:top w:val="none" w:sz="0" w:space="0" w:color="auto"/>
                                                                                                <w:left w:val="none" w:sz="0" w:space="0" w:color="auto"/>
                                                                                                <w:bottom w:val="none" w:sz="0" w:space="0" w:color="auto"/>
                                                                                                <w:right w:val="none" w:sz="0" w:space="0" w:color="auto"/>
                                                                                              </w:divBdr>
                                                                                              <w:divsChild>
                                                                                                <w:div w:id="16875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ckcentr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4438A74-F58D-4E21-A5A1-08EBDB9F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8311</Words>
  <Characters>47379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edsrn</dc:creator>
  <cp:keywords/>
  <dc:description/>
  <cp:lastModifiedBy>MS Tomlinson</cp:lastModifiedBy>
  <cp:revision>14</cp:revision>
  <cp:lastPrinted>2018-10-02T14:11:00Z</cp:lastPrinted>
  <dcterms:created xsi:type="dcterms:W3CDTF">2018-10-10T16:18:00Z</dcterms:created>
  <dcterms:modified xsi:type="dcterms:W3CDTF">2018-11-19T15:37:00Z</dcterms:modified>
</cp:coreProperties>
</file>