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AE72F" w14:textId="664533C8" w:rsidR="00844298" w:rsidRDefault="00D47C8E" w:rsidP="00521DCD">
      <w:pPr>
        <w:jc w:val="center"/>
        <w:rPr>
          <w:rFonts w:ascii="Times New Roman" w:hAnsi="Times New Roman" w:cs="Times New Roman"/>
          <w:b/>
        </w:rPr>
      </w:pPr>
      <w:bookmarkStart w:id="0" w:name="_GoBack"/>
      <w:bookmarkEnd w:id="0"/>
      <w:r w:rsidRPr="00E477AE">
        <w:rPr>
          <w:rFonts w:ascii="Times New Roman" w:hAnsi="Times New Roman" w:cs="Times New Roman"/>
          <w:b/>
        </w:rPr>
        <w:t>ILLEGALITY</w:t>
      </w:r>
      <w:r w:rsidR="00521DCD" w:rsidRPr="00E477AE">
        <w:rPr>
          <w:rFonts w:ascii="Times New Roman" w:hAnsi="Times New Roman" w:cs="Times New Roman"/>
          <w:b/>
        </w:rPr>
        <w:t xml:space="preserve"> </w:t>
      </w:r>
      <w:r w:rsidR="003A2261" w:rsidRPr="00E477AE">
        <w:rPr>
          <w:rFonts w:ascii="Times New Roman" w:hAnsi="Times New Roman" w:cs="Times New Roman"/>
          <w:b/>
        </w:rPr>
        <w:t>AND TRUSTS</w:t>
      </w:r>
      <w:r w:rsidRPr="00E477AE">
        <w:rPr>
          <w:rFonts w:ascii="Times New Roman" w:hAnsi="Times New Roman" w:cs="Times New Roman"/>
          <w:b/>
        </w:rPr>
        <w:t xml:space="preserve">: </w:t>
      </w:r>
      <w:r w:rsidR="003A2261" w:rsidRPr="00E477AE">
        <w:rPr>
          <w:rFonts w:ascii="Times New Roman" w:hAnsi="Times New Roman" w:cs="Times New Roman"/>
          <w:b/>
        </w:rPr>
        <w:t>TRUSTS-CREATING PRIMARY TRANSACTIONS AND UNLAWFUL</w:t>
      </w:r>
      <w:r w:rsidR="00B33B9B" w:rsidRPr="00E477AE">
        <w:rPr>
          <w:rFonts w:ascii="Times New Roman" w:hAnsi="Times New Roman" w:cs="Times New Roman"/>
          <w:b/>
        </w:rPr>
        <w:t xml:space="preserve"> ULTERIOR</w:t>
      </w:r>
      <w:r w:rsidR="003A2261" w:rsidRPr="00E477AE">
        <w:rPr>
          <w:rFonts w:ascii="Times New Roman" w:hAnsi="Times New Roman" w:cs="Times New Roman"/>
          <w:b/>
        </w:rPr>
        <w:t xml:space="preserve"> PURPOSES</w:t>
      </w:r>
    </w:p>
    <w:p w14:paraId="7606376A" w14:textId="6788E5E1" w:rsidR="006C46E2" w:rsidRPr="00E477AE" w:rsidRDefault="006C46E2" w:rsidP="00521DCD">
      <w:pPr>
        <w:jc w:val="center"/>
        <w:rPr>
          <w:rFonts w:ascii="Times New Roman" w:hAnsi="Times New Roman" w:cs="Times New Roman"/>
          <w:b/>
        </w:rPr>
      </w:pPr>
      <w:r>
        <w:rPr>
          <w:rFonts w:ascii="Times New Roman" w:hAnsi="Times New Roman" w:cs="Times New Roman"/>
          <w:b/>
        </w:rPr>
        <w:t>Remigius N Nwabueze*</w:t>
      </w:r>
    </w:p>
    <w:p w14:paraId="0F0483A2" w14:textId="77777777" w:rsidR="00D47C8E" w:rsidRPr="00E477AE" w:rsidRDefault="00D47C8E" w:rsidP="00521DCD">
      <w:pPr>
        <w:jc w:val="both"/>
        <w:rPr>
          <w:rFonts w:ascii="Times New Roman" w:hAnsi="Times New Roman" w:cs="Times New Roman"/>
        </w:rPr>
      </w:pPr>
    </w:p>
    <w:p w14:paraId="3B3AA14A" w14:textId="77777777" w:rsidR="00D47C8E" w:rsidRPr="00E477AE" w:rsidRDefault="00D47C8E" w:rsidP="00521DCD">
      <w:pPr>
        <w:jc w:val="both"/>
        <w:rPr>
          <w:rFonts w:ascii="Times New Roman" w:hAnsi="Times New Roman" w:cs="Times New Roman"/>
        </w:rPr>
      </w:pPr>
      <w:r w:rsidRPr="00E477AE">
        <w:rPr>
          <w:rFonts w:ascii="Times New Roman" w:hAnsi="Times New Roman" w:cs="Times New Roman"/>
          <w:b/>
        </w:rPr>
        <w:t>Introduction</w:t>
      </w:r>
      <w:r w:rsidRPr="00E477AE">
        <w:rPr>
          <w:rFonts w:ascii="Times New Roman" w:hAnsi="Times New Roman" w:cs="Times New Roman"/>
        </w:rPr>
        <w:t>:</w:t>
      </w:r>
    </w:p>
    <w:p w14:paraId="3F2C6AC2" w14:textId="6A34975E" w:rsidR="00F95C11" w:rsidRPr="00E477AE" w:rsidRDefault="00DA745C" w:rsidP="00521DCD">
      <w:pPr>
        <w:jc w:val="both"/>
        <w:rPr>
          <w:rFonts w:ascii="Times New Roman" w:hAnsi="Times New Roman" w:cs="Times New Roman"/>
        </w:rPr>
      </w:pPr>
      <w:r w:rsidRPr="00E477AE">
        <w:rPr>
          <w:rFonts w:ascii="Times New Roman" w:hAnsi="Times New Roman" w:cs="Times New Roman"/>
          <w:i/>
        </w:rPr>
        <w:t>Patel v Mirza</w:t>
      </w:r>
      <w:r w:rsidRPr="00E477AE">
        <w:rPr>
          <w:rFonts w:ascii="Times New Roman" w:hAnsi="Times New Roman" w:cs="Times New Roman"/>
        </w:rPr>
        <w:t xml:space="preserve"> provides an interesting opportunity to re-e</w:t>
      </w:r>
      <w:r w:rsidR="00AA6473" w:rsidRPr="00E477AE">
        <w:rPr>
          <w:rFonts w:ascii="Times New Roman" w:hAnsi="Times New Roman" w:cs="Times New Roman"/>
        </w:rPr>
        <w:t>xamine the role of illegality</w:t>
      </w:r>
      <w:r w:rsidRPr="00E477AE">
        <w:rPr>
          <w:rFonts w:ascii="Times New Roman" w:hAnsi="Times New Roman" w:cs="Times New Roman"/>
        </w:rPr>
        <w:t xml:space="preserve"> in the enforcement of trust</w:t>
      </w:r>
      <w:r w:rsidR="007D6E43" w:rsidRPr="00E477AE">
        <w:rPr>
          <w:rFonts w:ascii="Times New Roman" w:hAnsi="Times New Roman" w:cs="Times New Roman"/>
        </w:rPr>
        <w:t>s</w:t>
      </w:r>
      <w:r w:rsidRPr="00E477AE">
        <w:rPr>
          <w:rFonts w:ascii="Times New Roman" w:hAnsi="Times New Roman" w:cs="Times New Roman"/>
        </w:rPr>
        <w:t>.</w:t>
      </w:r>
      <w:r w:rsidR="005929DC" w:rsidRPr="00E477AE">
        <w:rPr>
          <w:rStyle w:val="FootnoteReference"/>
          <w:rFonts w:ascii="Times New Roman" w:hAnsi="Times New Roman" w:cs="Times New Roman"/>
        </w:rPr>
        <w:footnoteReference w:id="1"/>
      </w:r>
      <w:r w:rsidRPr="00E477AE">
        <w:rPr>
          <w:rFonts w:ascii="Times New Roman" w:hAnsi="Times New Roman" w:cs="Times New Roman"/>
        </w:rPr>
        <w:t xml:space="preserve"> Though </w:t>
      </w:r>
      <w:r w:rsidRPr="00E477AE">
        <w:rPr>
          <w:rFonts w:ascii="Times New Roman" w:hAnsi="Times New Roman" w:cs="Times New Roman"/>
          <w:i/>
        </w:rPr>
        <w:t>Patel</w:t>
      </w:r>
      <w:r w:rsidRPr="00E477AE">
        <w:rPr>
          <w:rFonts w:ascii="Times New Roman" w:hAnsi="Times New Roman" w:cs="Times New Roman"/>
        </w:rPr>
        <w:t xml:space="preserve"> was a</w:t>
      </w:r>
      <w:r w:rsidR="00DD048A" w:rsidRPr="00E477AE">
        <w:rPr>
          <w:rFonts w:ascii="Times New Roman" w:hAnsi="Times New Roman" w:cs="Times New Roman"/>
        </w:rPr>
        <w:t xml:space="preserve"> case o</w:t>
      </w:r>
      <w:r w:rsidR="00AA6473" w:rsidRPr="00E477AE">
        <w:rPr>
          <w:rFonts w:ascii="Times New Roman" w:hAnsi="Times New Roman" w:cs="Times New Roman"/>
        </w:rPr>
        <w:t>n unjust enrichment and contract</w:t>
      </w:r>
      <w:r w:rsidRPr="00E477AE">
        <w:rPr>
          <w:rFonts w:ascii="Times New Roman" w:hAnsi="Times New Roman" w:cs="Times New Roman"/>
        </w:rPr>
        <w:t>, its</w:t>
      </w:r>
      <w:r w:rsidR="00C749A5" w:rsidRPr="00E477AE">
        <w:rPr>
          <w:rFonts w:ascii="Times New Roman" w:hAnsi="Times New Roman" w:cs="Times New Roman"/>
        </w:rPr>
        <w:t xml:space="preserve"> ratio, to the effect that</w:t>
      </w:r>
      <w:r w:rsidRPr="00E477AE">
        <w:rPr>
          <w:rFonts w:ascii="Times New Roman" w:hAnsi="Times New Roman" w:cs="Times New Roman"/>
        </w:rPr>
        <w:t xml:space="preserve"> a re</w:t>
      </w:r>
      <w:r w:rsidR="00C749A5" w:rsidRPr="00E477AE">
        <w:rPr>
          <w:rFonts w:ascii="Times New Roman" w:hAnsi="Times New Roman" w:cs="Times New Roman"/>
        </w:rPr>
        <w:t>stitutionary claim would not</w:t>
      </w:r>
      <w:r w:rsidR="007D6E43" w:rsidRPr="00E477AE">
        <w:rPr>
          <w:rFonts w:ascii="Times New Roman" w:hAnsi="Times New Roman" w:cs="Times New Roman"/>
        </w:rPr>
        <w:t xml:space="preserve"> be</w:t>
      </w:r>
      <w:r w:rsidR="00C749A5" w:rsidRPr="00E477AE">
        <w:rPr>
          <w:rFonts w:ascii="Times New Roman" w:hAnsi="Times New Roman" w:cs="Times New Roman"/>
        </w:rPr>
        <w:t xml:space="preserve"> </w:t>
      </w:r>
      <w:r w:rsidRPr="00E477AE">
        <w:rPr>
          <w:rFonts w:ascii="Times New Roman" w:hAnsi="Times New Roman" w:cs="Times New Roman"/>
        </w:rPr>
        <w:t>necessarily</w:t>
      </w:r>
      <w:r w:rsidR="007D6E43" w:rsidRPr="00E477AE">
        <w:rPr>
          <w:rFonts w:ascii="Times New Roman" w:hAnsi="Times New Roman" w:cs="Times New Roman"/>
        </w:rPr>
        <w:t xml:space="preserve"> undermined b</w:t>
      </w:r>
      <w:r w:rsidRPr="00E477AE">
        <w:rPr>
          <w:rFonts w:ascii="Times New Roman" w:hAnsi="Times New Roman" w:cs="Times New Roman"/>
        </w:rPr>
        <w:t>y an underlying illegal</w:t>
      </w:r>
      <w:r w:rsidR="00AA6473" w:rsidRPr="00E477AE">
        <w:rPr>
          <w:rFonts w:ascii="Times New Roman" w:hAnsi="Times New Roman" w:cs="Times New Roman"/>
        </w:rPr>
        <w:t>ity</w:t>
      </w:r>
      <w:r w:rsidR="00C749A5" w:rsidRPr="00E477AE">
        <w:rPr>
          <w:rFonts w:ascii="Times New Roman" w:hAnsi="Times New Roman" w:cs="Times New Roman"/>
        </w:rPr>
        <w:t>,</w:t>
      </w:r>
      <w:r w:rsidRPr="00E477AE">
        <w:rPr>
          <w:rFonts w:ascii="Times New Roman" w:hAnsi="Times New Roman" w:cs="Times New Roman"/>
        </w:rPr>
        <w:t xml:space="preserve"> </w:t>
      </w:r>
      <w:r w:rsidR="00AA6473" w:rsidRPr="00E477AE">
        <w:rPr>
          <w:rFonts w:ascii="Times New Roman" w:hAnsi="Times New Roman" w:cs="Times New Roman"/>
        </w:rPr>
        <w:t>would definitely resonate with</w:t>
      </w:r>
      <w:r w:rsidR="00BC4C5D" w:rsidRPr="00E477AE">
        <w:rPr>
          <w:rFonts w:ascii="Times New Roman" w:hAnsi="Times New Roman" w:cs="Times New Roman"/>
        </w:rPr>
        <w:t xml:space="preserve"> a</w:t>
      </w:r>
      <w:r w:rsidR="00AA6473" w:rsidRPr="00E477AE">
        <w:rPr>
          <w:rFonts w:ascii="Times New Roman" w:hAnsi="Times New Roman" w:cs="Times New Roman"/>
        </w:rPr>
        <w:t xml:space="preserve"> </w:t>
      </w:r>
      <w:r w:rsidRPr="00E477AE">
        <w:rPr>
          <w:rFonts w:ascii="Times New Roman" w:hAnsi="Times New Roman" w:cs="Times New Roman"/>
        </w:rPr>
        <w:t>claim</w:t>
      </w:r>
      <w:r w:rsidR="00BC4C5D" w:rsidRPr="00E477AE">
        <w:rPr>
          <w:rFonts w:ascii="Times New Roman" w:hAnsi="Times New Roman" w:cs="Times New Roman"/>
        </w:rPr>
        <w:t xml:space="preserve"> in trust that has</w:t>
      </w:r>
      <w:r w:rsidR="00AA6473" w:rsidRPr="00E477AE">
        <w:rPr>
          <w:rFonts w:ascii="Times New Roman" w:hAnsi="Times New Roman" w:cs="Times New Roman"/>
        </w:rPr>
        <w:t xml:space="preserve"> an unlawful</w:t>
      </w:r>
      <w:r w:rsidR="00A1191A" w:rsidRPr="00E477AE">
        <w:rPr>
          <w:rFonts w:ascii="Times New Roman" w:hAnsi="Times New Roman" w:cs="Times New Roman"/>
        </w:rPr>
        <w:t xml:space="preserve"> ulterior</w:t>
      </w:r>
      <w:r w:rsidR="00AA6473" w:rsidRPr="00E477AE">
        <w:rPr>
          <w:rFonts w:ascii="Times New Roman" w:hAnsi="Times New Roman" w:cs="Times New Roman"/>
        </w:rPr>
        <w:t xml:space="preserve"> purpose.</w:t>
      </w:r>
      <w:r w:rsidR="00995641" w:rsidRPr="00E477AE">
        <w:rPr>
          <w:rStyle w:val="FootnoteReference"/>
          <w:rFonts w:ascii="Times New Roman" w:hAnsi="Times New Roman" w:cs="Times New Roman"/>
        </w:rPr>
        <w:footnoteReference w:id="2"/>
      </w:r>
      <w:r w:rsidRPr="00E477AE">
        <w:rPr>
          <w:rFonts w:ascii="Times New Roman" w:hAnsi="Times New Roman" w:cs="Times New Roman"/>
        </w:rPr>
        <w:t xml:space="preserve"> </w:t>
      </w:r>
    </w:p>
    <w:p w14:paraId="1D29EE0F" w14:textId="057CCBFA" w:rsidR="00DC57BF" w:rsidRPr="00E477AE" w:rsidRDefault="00F76856" w:rsidP="00521DCD">
      <w:pPr>
        <w:ind w:firstLine="720"/>
        <w:jc w:val="both"/>
        <w:rPr>
          <w:rFonts w:ascii="Times New Roman" w:hAnsi="Times New Roman" w:cs="Times New Roman"/>
        </w:rPr>
      </w:pPr>
      <w:r w:rsidRPr="00E477AE">
        <w:rPr>
          <w:rFonts w:ascii="Times New Roman" w:hAnsi="Times New Roman" w:cs="Times New Roman"/>
        </w:rPr>
        <w:t>I argue that</w:t>
      </w:r>
      <w:r w:rsidR="00694365">
        <w:rPr>
          <w:rFonts w:ascii="Times New Roman" w:hAnsi="Times New Roman" w:cs="Times New Roman"/>
        </w:rPr>
        <w:t xml:space="preserve"> </w:t>
      </w:r>
      <w:r w:rsidRPr="00E477AE">
        <w:rPr>
          <w:rFonts w:ascii="Times New Roman" w:hAnsi="Times New Roman" w:cs="Times New Roman"/>
        </w:rPr>
        <w:t>the</w:t>
      </w:r>
      <w:r w:rsidR="00482765" w:rsidRPr="00E477AE">
        <w:rPr>
          <w:rFonts w:ascii="Times New Roman" w:hAnsi="Times New Roman" w:cs="Times New Roman"/>
        </w:rPr>
        <w:t xml:space="preserve"> role </w:t>
      </w:r>
      <w:r w:rsidR="002C0099" w:rsidRPr="00E477AE">
        <w:rPr>
          <w:rFonts w:ascii="Times New Roman" w:hAnsi="Times New Roman" w:cs="Times New Roman"/>
        </w:rPr>
        <w:t>illegality</w:t>
      </w:r>
      <w:r w:rsidR="00DD6026" w:rsidRPr="00E477AE">
        <w:rPr>
          <w:rFonts w:ascii="Times New Roman" w:hAnsi="Times New Roman" w:cs="Times New Roman"/>
        </w:rPr>
        <w:t xml:space="preserve"> </w:t>
      </w:r>
      <w:r w:rsidR="00482765" w:rsidRPr="00E477AE">
        <w:rPr>
          <w:rFonts w:ascii="Times New Roman" w:hAnsi="Times New Roman" w:cs="Times New Roman"/>
        </w:rPr>
        <w:t>plays</w:t>
      </w:r>
      <w:r w:rsidR="002C0099" w:rsidRPr="00E477AE">
        <w:rPr>
          <w:rFonts w:ascii="Times New Roman" w:hAnsi="Times New Roman" w:cs="Times New Roman"/>
        </w:rPr>
        <w:t xml:space="preserve"> in the law of trusts</w:t>
      </w:r>
      <w:r w:rsidR="00694365">
        <w:rPr>
          <w:rFonts w:ascii="Times New Roman" w:hAnsi="Times New Roman" w:cs="Times New Roman"/>
        </w:rPr>
        <w:t xml:space="preserve"> is often exaggerated</w:t>
      </w:r>
      <w:r w:rsidR="002C0099" w:rsidRPr="00E477AE">
        <w:rPr>
          <w:rFonts w:ascii="Times New Roman" w:hAnsi="Times New Roman" w:cs="Times New Roman"/>
        </w:rPr>
        <w:t xml:space="preserve">. </w:t>
      </w:r>
      <w:r w:rsidR="007D0D96" w:rsidRPr="00E477AE">
        <w:rPr>
          <w:rFonts w:ascii="Times New Roman" w:hAnsi="Times New Roman" w:cs="Times New Roman"/>
        </w:rPr>
        <w:t xml:space="preserve">I hypothesize that </w:t>
      </w:r>
      <w:r w:rsidR="00E315E7" w:rsidRPr="00E477AE">
        <w:rPr>
          <w:rFonts w:ascii="Times New Roman" w:hAnsi="Times New Roman" w:cs="Times New Roman"/>
        </w:rPr>
        <w:t xml:space="preserve">a </w:t>
      </w:r>
      <w:r w:rsidR="007D0D96" w:rsidRPr="00E477AE">
        <w:rPr>
          <w:rFonts w:ascii="Times New Roman" w:hAnsi="Times New Roman" w:cs="Times New Roman"/>
        </w:rPr>
        <w:t xml:space="preserve">properly constituted trust, which </w:t>
      </w:r>
      <w:r w:rsidR="00482765" w:rsidRPr="00E477AE">
        <w:rPr>
          <w:rFonts w:ascii="Times New Roman" w:hAnsi="Times New Roman" w:cs="Times New Roman"/>
        </w:rPr>
        <w:t>arises</w:t>
      </w:r>
      <w:r w:rsidR="00E315E7" w:rsidRPr="00E477AE">
        <w:rPr>
          <w:rFonts w:ascii="Times New Roman" w:hAnsi="Times New Roman" w:cs="Times New Roman"/>
        </w:rPr>
        <w:t xml:space="preserve"> from the primary</w:t>
      </w:r>
      <w:r w:rsidR="00422E3A">
        <w:rPr>
          <w:rFonts w:ascii="Times New Roman" w:hAnsi="Times New Roman" w:cs="Times New Roman"/>
        </w:rPr>
        <w:t xml:space="preserve"> feature of a</w:t>
      </w:r>
      <w:r w:rsidR="00E315E7" w:rsidRPr="00E477AE">
        <w:rPr>
          <w:rFonts w:ascii="Times New Roman" w:hAnsi="Times New Roman" w:cs="Times New Roman"/>
        </w:rPr>
        <w:t xml:space="preserve"> transaction between the parties,</w:t>
      </w:r>
      <w:r w:rsidR="007D0D96" w:rsidRPr="00E477AE">
        <w:rPr>
          <w:rFonts w:ascii="Times New Roman" w:hAnsi="Times New Roman" w:cs="Times New Roman"/>
        </w:rPr>
        <w:t xml:space="preserve"> should be enforced despite </w:t>
      </w:r>
      <w:r w:rsidR="00E315E7" w:rsidRPr="00E477AE">
        <w:rPr>
          <w:rFonts w:ascii="Times New Roman" w:hAnsi="Times New Roman" w:cs="Times New Roman"/>
        </w:rPr>
        <w:t>some credible evidence that</w:t>
      </w:r>
      <w:r w:rsidR="007D0D96" w:rsidRPr="00E477AE">
        <w:rPr>
          <w:rFonts w:ascii="Times New Roman" w:hAnsi="Times New Roman" w:cs="Times New Roman"/>
        </w:rPr>
        <w:t xml:space="preserve"> the trust has an illegal ulterior purpose</w:t>
      </w:r>
      <w:r w:rsidR="00E315E7" w:rsidRPr="00E477AE">
        <w:rPr>
          <w:rFonts w:ascii="Times New Roman" w:hAnsi="Times New Roman" w:cs="Times New Roman"/>
        </w:rPr>
        <w:t>.</w:t>
      </w:r>
      <w:r w:rsidR="008C1A4C" w:rsidRPr="00E477AE">
        <w:rPr>
          <w:rStyle w:val="FootnoteReference"/>
          <w:rFonts w:ascii="Times New Roman" w:hAnsi="Times New Roman" w:cs="Times New Roman"/>
        </w:rPr>
        <w:footnoteReference w:id="3"/>
      </w:r>
      <w:r w:rsidR="00DD6026" w:rsidRPr="00E477AE">
        <w:rPr>
          <w:rFonts w:ascii="Times New Roman" w:hAnsi="Times New Roman" w:cs="Times New Roman"/>
        </w:rPr>
        <w:t xml:space="preserve"> Similarly, a trust that arises by operation of law from a given</w:t>
      </w:r>
      <w:r w:rsidR="007D0D96" w:rsidRPr="00E477AE">
        <w:rPr>
          <w:rFonts w:ascii="Times New Roman" w:hAnsi="Times New Roman" w:cs="Times New Roman"/>
        </w:rPr>
        <w:t xml:space="preserve"> primary</w:t>
      </w:r>
      <w:r w:rsidR="00422E3A">
        <w:rPr>
          <w:rFonts w:ascii="Times New Roman" w:hAnsi="Times New Roman" w:cs="Times New Roman"/>
        </w:rPr>
        <w:t xml:space="preserve"> feature of a</w:t>
      </w:r>
      <w:r w:rsidR="007D0D96" w:rsidRPr="00E477AE">
        <w:rPr>
          <w:rFonts w:ascii="Times New Roman" w:hAnsi="Times New Roman" w:cs="Times New Roman"/>
        </w:rPr>
        <w:t xml:space="preserve"> transaction </w:t>
      </w:r>
      <w:r w:rsidR="00E5485F">
        <w:rPr>
          <w:rFonts w:ascii="Times New Roman" w:hAnsi="Times New Roman" w:cs="Times New Roman"/>
        </w:rPr>
        <w:t>sh</w:t>
      </w:r>
      <w:r w:rsidR="007D0D96" w:rsidRPr="00E477AE">
        <w:rPr>
          <w:rFonts w:ascii="Times New Roman" w:hAnsi="Times New Roman" w:cs="Times New Roman"/>
        </w:rPr>
        <w:t>ould be enforced notwithstanding an underlying illegality.</w:t>
      </w:r>
      <w:r w:rsidR="00422E3A">
        <w:rPr>
          <w:rFonts w:ascii="Times New Roman" w:hAnsi="Times New Roman" w:cs="Times New Roman"/>
        </w:rPr>
        <w:t xml:space="preserve"> I argue that pre</w:t>
      </w:r>
      <w:r w:rsidR="008C6DCD">
        <w:rPr>
          <w:rFonts w:ascii="Times New Roman" w:hAnsi="Times New Roman" w:cs="Times New Roman"/>
        </w:rPr>
        <w:t>-</w:t>
      </w:r>
      <w:r w:rsidR="008C6DCD" w:rsidRPr="008C6DCD">
        <w:rPr>
          <w:rFonts w:ascii="Times New Roman" w:hAnsi="Times New Roman" w:cs="Times New Roman"/>
          <w:i/>
        </w:rPr>
        <w:t>Patel</w:t>
      </w:r>
      <w:r w:rsidR="008C6DCD">
        <w:rPr>
          <w:rFonts w:ascii="Times New Roman" w:hAnsi="Times New Roman" w:cs="Times New Roman"/>
        </w:rPr>
        <w:t>, and potentially p</w:t>
      </w:r>
      <w:r w:rsidR="004A01B0">
        <w:rPr>
          <w:rFonts w:ascii="Times New Roman" w:hAnsi="Times New Roman" w:cs="Times New Roman"/>
        </w:rPr>
        <w:t>ost</w:t>
      </w:r>
      <w:r w:rsidR="00422E3A">
        <w:rPr>
          <w:rFonts w:ascii="Times New Roman" w:hAnsi="Times New Roman" w:cs="Times New Roman"/>
        </w:rPr>
        <w:t>-</w:t>
      </w:r>
      <w:r w:rsidR="00422E3A" w:rsidRPr="00422E3A">
        <w:rPr>
          <w:rFonts w:ascii="Times New Roman" w:hAnsi="Times New Roman" w:cs="Times New Roman"/>
          <w:i/>
        </w:rPr>
        <w:t>Patel</w:t>
      </w:r>
      <w:r w:rsidR="00422E3A">
        <w:rPr>
          <w:rFonts w:ascii="Times New Roman" w:hAnsi="Times New Roman" w:cs="Times New Roman"/>
        </w:rPr>
        <w:t xml:space="preserve">, illegality obviated the enforcement of a trust only where the trust </w:t>
      </w:r>
      <w:r w:rsidR="00422E3A" w:rsidRPr="00422E3A">
        <w:rPr>
          <w:rFonts w:ascii="Times New Roman" w:hAnsi="Times New Roman" w:cs="Times New Roman"/>
          <w:i/>
        </w:rPr>
        <w:t>directly</w:t>
      </w:r>
      <w:r w:rsidR="00422E3A">
        <w:rPr>
          <w:rFonts w:ascii="Times New Roman" w:hAnsi="Times New Roman" w:cs="Times New Roman"/>
        </w:rPr>
        <w:t xml:space="preserve"> vi</w:t>
      </w:r>
      <w:r w:rsidR="00944F8C">
        <w:rPr>
          <w:rFonts w:ascii="Times New Roman" w:hAnsi="Times New Roman" w:cs="Times New Roman"/>
        </w:rPr>
        <w:t>olated the law or</w:t>
      </w:r>
      <w:r w:rsidR="001C43F1">
        <w:rPr>
          <w:rFonts w:ascii="Times New Roman" w:hAnsi="Times New Roman" w:cs="Times New Roman"/>
        </w:rPr>
        <w:t xml:space="preserve"> public policy; it is only within this narrow sphere that the illegality principle is relevant in trusts law. In other words, the illegality principle or </w:t>
      </w:r>
      <w:r w:rsidR="001C43F1" w:rsidRPr="001C43F1">
        <w:rPr>
          <w:rFonts w:ascii="Times New Roman" w:hAnsi="Times New Roman" w:cs="Times New Roman"/>
          <w:i/>
        </w:rPr>
        <w:t>Patel’s</w:t>
      </w:r>
      <w:r w:rsidR="001C43F1">
        <w:rPr>
          <w:rFonts w:ascii="Times New Roman" w:hAnsi="Times New Roman" w:cs="Times New Roman"/>
        </w:rPr>
        <w:t xml:space="preserve"> trio of considerations can only</w:t>
      </w:r>
      <w:r w:rsidR="006B172E">
        <w:rPr>
          <w:rFonts w:ascii="Times New Roman" w:hAnsi="Times New Roman" w:cs="Times New Roman"/>
        </w:rPr>
        <w:t xml:space="preserve"> be applied</w:t>
      </w:r>
      <w:r w:rsidR="004E25CD">
        <w:rPr>
          <w:rFonts w:ascii="Times New Roman" w:hAnsi="Times New Roman" w:cs="Times New Roman"/>
        </w:rPr>
        <w:t xml:space="preserve"> to</w:t>
      </w:r>
      <w:r w:rsidR="006B172E">
        <w:rPr>
          <w:rFonts w:ascii="Times New Roman" w:hAnsi="Times New Roman" w:cs="Times New Roman"/>
        </w:rPr>
        <w:t xml:space="preserve"> trusts where a given trust is</w:t>
      </w:r>
      <w:r w:rsidR="001C43F1">
        <w:rPr>
          <w:rFonts w:ascii="Times New Roman" w:hAnsi="Times New Roman" w:cs="Times New Roman"/>
        </w:rPr>
        <w:t xml:space="preserve"> directly</w:t>
      </w:r>
      <w:r w:rsidR="007D6C4E">
        <w:rPr>
          <w:rFonts w:ascii="Times New Roman" w:hAnsi="Times New Roman" w:cs="Times New Roman"/>
        </w:rPr>
        <w:t xml:space="preserve"> opposed to</w:t>
      </w:r>
      <w:r w:rsidR="001C43F1">
        <w:rPr>
          <w:rFonts w:ascii="Times New Roman" w:hAnsi="Times New Roman" w:cs="Times New Roman"/>
        </w:rPr>
        <w:t xml:space="preserve"> law o</w:t>
      </w:r>
      <w:r w:rsidR="006B172E">
        <w:rPr>
          <w:rFonts w:ascii="Times New Roman" w:hAnsi="Times New Roman" w:cs="Times New Roman"/>
        </w:rPr>
        <w:t xml:space="preserve">r </w:t>
      </w:r>
      <w:r w:rsidR="001C43F1">
        <w:rPr>
          <w:rFonts w:ascii="Times New Roman" w:hAnsi="Times New Roman" w:cs="Times New Roman"/>
        </w:rPr>
        <w:t>public policy,</w:t>
      </w:r>
      <w:r w:rsidR="006B172E">
        <w:rPr>
          <w:rFonts w:ascii="Times New Roman" w:hAnsi="Times New Roman" w:cs="Times New Roman"/>
        </w:rPr>
        <w:t xml:space="preserve"> as distinct from the trust being</w:t>
      </w:r>
      <w:r w:rsidR="004E25CD">
        <w:rPr>
          <w:rFonts w:ascii="Times New Roman" w:hAnsi="Times New Roman" w:cs="Times New Roman"/>
        </w:rPr>
        <w:t xml:space="preserve"> merely</w:t>
      </w:r>
      <w:r w:rsidR="006B172E">
        <w:rPr>
          <w:rFonts w:ascii="Times New Roman" w:hAnsi="Times New Roman" w:cs="Times New Roman"/>
        </w:rPr>
        <w:t xml:space="preserve"> impugned for having</w:t>
      </w:r>
      <w:r w:rsidR="001C43F1">
        <w:rPr>
          <w:rFonts w:ascii="Times New Roman" w:hAnsi="Times New Roman" w:cs="Times New Roman"/>
        </w:rPr>
        <w:t xml:space="preserve"> some ulterior unlawful motives.</w:t>
      </w:r>
      <w:r w:rsidR="007D0D96" w:rsidRPr="00E477AE">
        <w:rPr>
          <w:rFonts w:ascii="Times New Roman" w:hAnsi="Times New Roman" w:cs="Times New Roman"/>
        </w:rPr>
        <w:t xml:space="preserve"> </w:t>
      </w:r>
      <w:r w:rsidR="002C564A">
        <w:rPr>
          <w:rFonts w:ascii="Times New Roman" w:hAnsi="Times New Roman" w:cs="Times New Roman"/>
        </w:rPr>
        <w:t>Even</w:t>
      </w:r>
      <w:r w:rsidR="007D0D96" w:rsidRPr="00E477AE">
        <w:rPr>
          <w:rFonts w:ascii="Times New Roman" w:hAnsi="Times New Roman" w:cs="Times New Roman"/>
        </w:rPr>
        <w:t xml:space="preserve"> the cases</w:t>
      </w:r>
      <w:r w:rsidR="002C564A">
        <w:rPr>
          <w:rFonts w:ascii="Times New Roman" w:hAnsi="Times New Roman" w:cs="Times New Roman"/>
        </w:rPr>
        <w:t xml:space="preserve"> on presumption of advancement </w:t>
      </w:r>
      <w:r w:rsidR="002A176F" w:rsidRPr="00E477AE">
        <w:rPr>
          <w:rFonts w:ascii="Times New Roman" w:hAnsi="Times New Roman" w:cs="Times New Roman"/>
        </w:rPr>
        <w:t xml:space="preserve">are consistent with </w:t>
      </w:r>
      <w:r w:rsidR="00F71016" w:rsidRPr="00E477AE">
        <w:rPr>
          <w:rFonts w:ascii="Times New Roman" w:hAnsi="Times New Roman" w:cs="Times New Roman"/>
        </w:rPr>
        <w:t xml:space="preserve">my hypothesis above. </w:t>
      </w:r>
      <w:r w:rsidR="002A176F" w:rsidRPr="00E477AE">
        <w:rPr>
          <w:rFonts w:ascii="Times New Roman" w:hAnsi="Times New Roman" w:cs="Times New Roman"/>
        </w:rPr>
        <w:t>In advancement cases,</w:t>
      </w:r>
      <w:r w:rsidR="002C564A">
        <w:rPr>
          <w:rFonts w:ascii="Times New Roman" w:hAnsi="Times New Roman" w:cs="Times New Roman"/>
        </w:rPr>
        <w:t xml:space="preserve"> </w:t>
      </w:r>
      <w:r w:rsidR="002A176F" w:rsidRPr="00E477AE">
        <w:rPr>
          <w:rFonts w:ascii="Times New Roman" w:hAnsi="Times New Roman" w:cs="Times New Roman"/>
        </w:rPr>
        <w:t>the primary</w:t>
      </w:r>
      <w:r w:rsidR="006B172E">
        <w:rPr>
          <w:rFonts w:ascii="Times New Roman" w:hAnsi="Times New Roman" w:cs="Times New Roman"/>
        </w:rPr>
        <w:t xml:space="preserve"> feature of the</w:t>
      </w:r>
      <w:r w:rsidR="002A176F" w:rsidRPr="00E477AE">
        <w:rPr>
          <w:rFonts w:ascii="Times New Roman" w:hAnsi="Times New Roman" w:cs="Times New Roman"/>
        </w:rPr>
        <w:t xml:space="preserve"> transaction</w:t>
      </w:r>
      <w:r w:rsidR="00F71016" w:rsidRPr="00E477AE">
        <w:rPr>
          <w:rFonts w:ascii="Times New Roman" w:hAnsi="Times New Roman" w:cs="Times New Roman"/>
        </w:rPr>
        <w:t xml:space="preserve"> delineate</w:t>
      </w:r>
      <w:r w:rsidR="002A176F" w:rsidRPr="00E477AE">
        <w:rPr>
          <w:rFonts w:ascii="Times New Roman" w:hAnsi="Times New Roman" w:cs="Times New Roman"/>
        </w:rPr>
        <w:t>s a</w:t>
      </w:r>
      <w:r w:rsidR="00F86F08">
        <w:rPr>
          <w:rFonts w:ascii="Times New Roman" w:hAnsi="Times New Roman" w:cs="Times New Roman"/>
        </w:rPr>
        <w:t xml:space="preserve"> trust, although this trust is opposed by the presumption of advancement. In the bid to dislodge the presumption of advancement the claimant ends up establishing a trust that directly violates the law or public policy. Since such a trust comes within the narrow sphere of the illegality principle in trusts law, </w:t>
      </w:r>
      <w:r w:rsidR="00203567" w:rsidRPr="00E477AE">
        <w:rPr>
          <w:rFonts w:ascii="Times New Roman" w:hAnsi="Times New Roman" w:cs="Times New Roman"/>
        </w:rPr>
        <w:t>the court</w:t>
      </w:r>
      <w:r w:rsidR="002A176F" w:rsidRPr="00E477AE">
        <w:rPr>
          <w:rFonts w:ascii="Times New Roman" w:hAnsi="Times New Roman" w:cs="Times New Roman"/>
        </w:rPr>
        <w:t xml:space="preserve"> is justified </w:t>
      </w:r>
      <w:r w:rsidR="001D512F">
        <w:rPr>
          <w:rFonts w:ascii="Times New Roman" w:hAnsi="Times New Roman" w:cs="Times New Roman"/>
        </w:rPr>
        <w:t>in</w:t>
      </w:r>
      <w:r w:rsidR="002A176F" w:rsidRPr="00E477AE">
        <w:rPr>
          <w:rFonts w:ascii="Times New Roman" w:hAnsi="Times New Roman" w:cs="Times New Roman"/>
        </w:rPr>
        <w:t xml:space="preserve"> reject</w:t>
      </w:r>
      <w:r w:rsidR="001D512F">
        <w:rPr>
          <w:rFonts w:ascii="Times New Roman" w:hAnsi="Times New Roman" w:cs="Times New Roman"/>
        </w:rPr>
        <w:t>ing</w:t>
      </w:r>
      <w:r w:rsidR="002A176F" w:rsidRPr="00E477AE">
        <w:rPr>
          <w:rFonts w:ascii="Times New Roman" w:hAnsi="Times New Roman" w:cs="Times New Roman"/>
        </w:rPr>
        <w:t xml:space="preserve"> a trust claim</w:t>
      </w:r>
      <w:r w:rsidR="00A35525" w:rsidRPr="00E477AE">
        <w:rPr>
          <w:rFonts w:ascii="Times New Roman" w:hAnsi="Times New Roman" w:cs="Times New Roman"/>
        </w:rPr>
        <w:t xml:space="preserve"> in such</w:t>
      </w:r>
      <w:r w:rsidR="00F86F08">
        <w:rPr>
          <w:rFonts w:ascii="Times New Roman" w:hAnsi="Times New Roman" w:cs="Times New Roman"/>
        </w:rPr>
        <w:t xml:space="preserve"> cases relating to the presumption of advancement.</w:t>
      </w:r>
      <w:r w:rsidR="00944F8C">
        <w:rPr>
          <w:rFonts w:ascii="Times New Roman" w:hAnsi="Times New Roman" w:cs="Times New Roman"/>
        </w:rPr>
        <w:t xml:space="preserve"> </w:t>
      </w:r>
      <w:r w:rsidR="002C564A">
        <w:rPr>
          <w:rFonts w:ascii="Times New Roman" w:hAnsi="Times New Roman" w:cs="Times New Roman"/>
        </w:rPr>
        <w:t>H</w:t>
      </w:r>
      <w:r w:rsidR="00944F8C">
        <w:rPr>
          <w:rFonts w:ascii="Times New Roman" w:hAnsi="Times New Roman" w:cs="Times New Roman"/>
        </w:rPr>
        <w:t>owever,</w:t>
      </w:r>
      <w:r w:rsidR="00F86F08">
        <w:rPr>
          <w:rFonts w:ascii="Times New Roman" w:hAnsi="Times New Roman" w:cs="Times New Roman"/>
        </w:rPr>
        <w:t xml:space="preserve"> some advancement cases evince multipl</w:t>
      </w:r>
      <w:r w:rsidR="00DF71CC">
        <w:rPr>
          <w:rFonts w:ascii="Times New Roman" w:hAnsi="Times New Roman" w:cs="Times New Roman"/>
        </w:rPr>
        <w:t>e transactions rather than a single transaction. For instance, a transfer to the transferor’s wife</w:t>
      </w:r>
      <w:r w:rsidR="00435348">
        <w:rPr>
          <w:rFonts w:ascii="Times New Roman" w:hAnsi="Times New Roman" w:cs="Times New Roman"/>
        </w:rPr>
        <w:t>,</w:t>
      </w:r>
      <w:r w:rsidR="00DF71CC">
        <w:rPr>
          <w:rFonts w:ascii="Times New Roman" w:hAnsi="Times New Roman" w:cs="Times New Roman"/>
        </w:rPr>
        <w:t xml:space="preserve"> to evade the transferor’s creditors</w:t>
      </w:r>
      <w:r w:rsidR="00435348">
        <w:rPr>
          <w:rFonts w:ascii="Times New Roman" w:hAnsi="Times New Roman" w:cs="Times New Roman"/>
        </w:rPr>
        <w:t>,</w:t>
      </w:r>
      <w:r w:rsidR="00DF71CC">
        <w:rPr>
          <w:rFonts w:ascii="Times New Roman" w:hAnsi="Times New Roman" w:cs="Times New Roman"/>
        </w:rPr>
        <w:t xml:space="preserve"> might be followed by a declaration of trust by the transferor’s wife in favour of the transferor. In such</w:t>
      </w:r>
      <w:r w:rsidR="00A35525" w:rsidRPr="00E477AE">
        <w:rPr>
          <w:rFonts w:ascii="Times New Roman" w:hAnsi="Times New Roman" w:cs="Times New Roman"/>
        </w:rPr>
        <w:t xml:space="preserve"> advancement cases,</w:t>
      </w:r>
      <w:r w:rsidR="00507AAB" w:rsidRPr="00E477AE">
        <w:rPr>
          <w:rFonts w:ascii="Times New Roman" w:hAnsi="Times New Roman" w:cs="Times New Roman"/>
        </w:rPr>
        <w:t xml:space="preserve"> </w:t>
      </w:r>
      <w:r w:rsidR="00DF71CC">
        <w:rPr>
          <w:rFonts w:ascii="Times New Roman" w:hAnsi="Times New Roman" w:cs="Times New Roman"/>
        </w:rPr>
        <w:t>the</w:t>
      </w:r>
      <w:r w:rsidR="00DC57BF" w:rsidRPr="00E477AE">
        <w:rPr>
          <w:rFonts w:ascii="Times New Roman" w:hAnsi="Times New Roman" w:cs="Times New Roman"/>
        </w:rPr>
        <w:t xml:space="preserve"> supervening</w:t>
      </w:r>
      <w:r w:rsidR="00E9503E" w:rsidRPr="00E477AE">
        <w:rPr>
          <w:rFonts w:ascii="Times New Roman" w:hAnsi="Times New Roman" w:cs="Times New Roman"/>
        </w:rPr>
        <w:t xml:space="preserve"> and valid</w:t>
      </w:r>
      <w:r w:rsidR="00DC57BF" w:rsidRPr="00E477AE">
        <w:rPr>
          <w:rFonts w:ascii="Times New Roman" w:hAnsi="Times New Roman" w:cs="Times New Roman"/>
        </w:rPr>
        <w:t xml:space="preserve"> declaration of trust</w:t>
      </w:r>
      <w:r w:rsidR="007D6C4E">
        <w:rPr>
          <w:rFonts w:ascii="Times New Roman" w:hAnsi="Times New Roman" w:cs="Times New Roman"/>
        </w:rPr>
        <w:t xml:space="preserve"> by the transferee</w:t>
      </w:r>
      <w:r w:rsidR="00DC57BF" w:rsidRPr="00E477AE">
        <w:rPr>
          <w:rFonts w:ascii="Times New Roman" w:hAnsi="Times New Roman" w:cs="Times New Roman"/>
        </w:rPr>
        <w:t xml:space="preserve"> would constitute the</w:t>
      </w:r>
      <w:r w:rsidR="00A35525" w:rsidRPr="00E477AE">
        <w:rPr>
          <w:rFonts w:ascii="Times New Roman" w:hAnsi="Times New Roman" w:cs="Times New Roman"/>
        </w:rPr>
        <w:t xml:space="preserve"> critical primary transaction; accordingly</w:t>
      </w:r>
      <w:r w:rsidR="00E9503E" w:rsidRPr="00E477AE">
        <w:rPr>
          <w:rFonts w:ascii="Times New Roman" w:hAnsi="Times New Roman" w:cs="Times New Roman"/>
        </w:rPr>
        <w:t>, the trust embodied in</w:t>
      </w:r>
      <w:r w:rsidR="00507AAB" w:rsidRPr="00E477AE">
        <w:rPr>
          <w:rFonts w:ascii="Times New Roman" w:hAnsi="Times New Roman" w:cs="Times New Roman"/>
        </w:rPr>
        <w:t xml:space="preserve"> such a</w:t>
      </w:r>
      <w:r w:rsidR="00E9503E" w:rsidRPr="00E477AE">
        <w:rPr>
          <w:rFonts w:ascii="Times New Roman" w:hAnsi="Times New Roman" w:cs="Times New Roman"/>
        </w:rPr>
        <w:t xml:space="preserve"> declaration would be effectuated</w:t>
      </w:r>
      <w:r w:rsidR="002C564A">
        <w:rPr>
          <w:rFonts w:ascii="Times New Roman" w:hAnsi="Times New Roman" w:cs="Times New Roman"/>
        </w:rPr>
        <w:t xml:space="preserve"> </w:t>
      </w:r>
      <w:r w:rsidR="00DC57BF" w:rsidRPr="00E477AE">
        <w:rPr>
          <w:rFonts w:ascii="Times New Roman" w:hAnsi="Times New Roman" w:cs="Times New Roman"/>
        </w:rPr>
        <w:t>despite the</w:t>
      </w:r>
      <w:r w:rsidR="00E9503E" w:rsidRPr="00E477AE">
        <w:rPr>
          <w:rFonts w:ascii="Times New Roman" w:hAnsi="Times New Roman" w:cs="Times New Roman"/>
        </w:rPr>
        <w:t xml:space="preserve"> underlying </w:t>
      </w:r>
      <w:r w:rsidR="00DC57BF" w:rsidRPr="00E477AE">
        <w:rPr>
          <w:rFonts w:ascii="Times New Roman" w:hAnsi="Times New Roman" w:cs="Times New Roman"/>
        </w:rPr>
        <w:t>illegal purp</w:t>
      </w:r>
      <w:r w:rsidR="00E9503E" w:rsidRPr="00E477AE">
        <w:rPr>
          <w:rFonts w:ascii="Times New Roman" w:hAnsi="Times New Roman" w:cs="Times New Roman"/>
        </w:rPr>
        <w:t>ose</w:t>
      </w:r>
      <w:r w:rsidR="00DC57BF" w:rsidRPr="00E477AE">
        <w:rPr>
          <w:rFonts w:ascii="Times New Roman" w:hAnsi="Times New Roman" w:cs="Times New Roman"/>
        </w:rPr>
        <w:t xml:space="preserve">. </w:t>
      </w:r>
    </w:p>
    <w:p w14:paraId="534A59A4" w14:textId="1DFEF992" w:rsidR="00D47C8E" w:rsidRPr="00E477AE" w:rsidRDefault="00B75D3D" w:rsidP="00521DCD">
      <w:pPr>
        <w:ind w:firstLine="720"/>
        <w:jc w:val="both"/>
        <w:rPr>
          <w:rFonts w:ascii="Times New Roman" w:hAnsi="Times New Roman" w:cs="Times New Roman"/>
        </w:rPr>
      </w:pPr>
      <w:r w:rsidRPr="00E477AE">
        <w:rPr>
          <w:rFonts w:ascii="Times New Roman" w:hAnsi="Times New Roman" w:cs="Times New Roman"/>
        </w:rPr>
        <w:t xml:space="preserve">I argue that the hypothesis above provides a rational and consistent explanation of the relevant case law </w:t>
      </w:r>
      <w:r w:rsidR="00292A2D" w:rsidRPr="00E477AE">
        <w:rPr>
          <w:rFonts w:ascii="Times New Roman" w:hAnsi="Times New Roman" w:cs="Times New Roman"/>
        </w:rPr>
        <w:t xml:space="preserve">on the topic. </w:t>
      </w:r>
      <w:r w:rsidR="00113E8C" w:rsidRPr="00E477AE">
        <w:rPr>
          <w:rFonts w:ascii="Times New Roman" w:hAnsi="Times New Roman" w:cs="Times New Roman"/>
        </w:rPr>
        <w:t>Properly understood, therefore</w:t>
      </w:r>
      <w:r w:rsidR="006557C5" w:rsidRPr="00E477AE">
        <w:rPr>
          <w:rFonts w:ascii="Times New Roman" w:hAnsi="Times New Roman" w:cs="Times New Roman"/>
        </w:rPr>
        <w:t>, illegal</w:t>
      </w:r>
      <w:r w:rsidR="00113E8C" w:rsidRPr="00E477AE">
        <w:rPr>
          <w:rFonts w:ascii="Times New Roman" w:hAnsi="Times New Roman" w:cs="Times New Roman"/>
        </w:rPr>
        <w:t xml:space="preserve"> ulterior purposes are hardly</w:t>
      </w:r>
      <w:r w:rsidR="007D6C4E">
        <w:rPr>
          <w:rFonts w:ascii="Times New Roman" w:hAnsi="Times New Roman" w:cs="Times New Roman"/>
        </w:rPr>
        <w:t xml:space="preserve"> ever</w:t>
      </w:r>
      <w:r w:rsidR="00113E8C" w:rsidRPr="00E477AE">
        <w:rPr>
          <w:rFonts w:ascii="Times New Roman" w:hAnsi="Times New Roman" w:cs="Times New Roman"/>
        </w:rPr>
        <w:t xml:space="preserve"> relevant to the enforcement of trusts constituted by the primary transaction in a case.</w:t>
      </w:r>
    </w:p>
    <w:p w14:paraId="665DC689" w14:textId="77777777" w:rsidR="00D47C8E" w:rsidRDefault="00D47C8E" w:rsidP="00521DCD">
      <w:pPr>
        <w:jc w:val="both"/>
        <w:rPr>
          <w:rFonts w:ascii="Times New Roman" w:hAnsi="Times New Roman" w:cs="Times New Roman"/>
        </w:rPr>
      </w:pPr>
    </w:p>
    <w:p w14:paraId="3723AA06" w14:textId="77777777" w:rsidR="00435348" w:rsidRDefault="00435348" w:rsidP="00521DCD">
      <w:pPr>
        <w:jc w:val="both"/>
        <w:rPr>
          <w:rFonts w:ascii="Times New Roman" w:hAnsi="Times New Roman" w:cs="Times New Roman"/>
        </w:rPr>
      </w:pPr>
    </w:p>
    <w:p w14:paraId="48E98B16" w14:textId="77777777" w:rsidR="00A93041" w:rsidRDefault="00A93041" w:rsidP="00521DCD">
      <w:pPr>
        <w:jc w:val="both"/>
        <w:rPr>
          <w:rFonts w:ascii="Times New Roman" w:hAnsi="Times New Roman" w:cs="Times New Roman"/>
        </w:rPr>
      </w:pPr>
    </w:p>
    <w:p w14:paraId="4289A1FC" w14:textId="77777777" w:rsidR="00A93041" w:rsidRPr="00E477AE" w:rsidRDefault="00A93041" w:rsidP="00521DCD">
      <w:pPr>
        <w:jc w:val="both"/>
        <w:rPr>
          <w:rFonts w:ascii="Times New Roman" w:hAnsi="Times New Roman" w:cs="Times New Roman"/>
        </w:rPr>
      </w:pPr>
    </w:p>
    <w:p w14:paraId="36966D6E" w14:textId="49CFCDDD" w:rsidR="00D47C8E" w:rsidRPr="00E477AE" w:rsidRDefault="00D47C8E" w:rsidP="00521DCD">
      <w:pPr>
        <w:jc w:val="both"/>
        <w:rPr>
          <w:rFonts w:ascii="Times New Roman" w:hAnsi="Times New Roman" w:cs="Times New Roman"/>
          <w:b/>
        </w:rPr>
      </w:pPr>
      <w:r w:rsidRPr="00E477AE">
        <w:rPr>
          <w:rFonts w:ascii="Times New Roman" w:hAnsi="Times New Roman" w:cs="Times New Roman"/>
          <w:b/>
        </w:rPr>
        <w:t>Illegal Purposes</w:t>
      </w:r>
      <w:r w:rsidR="0078726F">
        <w:rPr>
          <w:rFonts w:ascii="Times New Roman" w:hAnsi="Times New Roman" w:cs="Times New Roman"/>
          <w:b/>
        </w:rPr>
        <w:t xml:space="preserve"> and Lawful Primary Transactions or</w:t>
      </w:r>
      <w:r w:rsidRPr="00E477AE">
        <w:rPr>
          <w:rFonts w:ascii="Times New Roman" w:hAnsi="Times New Roman" w:cs="Times New Roman"/>
          <w:b/>
        </w:rPr>
        <w:t xml:space="preserve"> </w:t>
      </w:r>
      <w:r w:rsidR="00D313A8" w:rsidRPr="00E477AE">
        <w:rPr>
          <w:rFonts w:ascii="Times New Roman" w:hAnsi="Times New Roman" w:cs="Times New Roman"/>
          <w:b/>
        </w:rPr>
        <w:t>Primary</w:t>
      </w:r>
      <w:r w:rsidR="0050597D">
        <w:rPr>
          <w:rFonts w:ascii="Times New Roman" w:hAnsi="Times New Roman" w:cs="Times New Roman"/>
          <w:b/>
        </w:rPr>
        <w:t xml:space="preserve"> Features of</w:t>
      </w:r>
      <w:r w:rsidR="00D313A8" w:rsidRPr="00E477AE">
        <w:rPr>
          <w:rFonts w:ascii="Times New Roman" w:hAnsi="Times New Roman" w:cs="Times New Roman"/>
          <w:b/>
        </w:rPr>
        <w:t xml:space="preserve"> </w:t>
      </w:r>
      <w:r w:rsidRPr="00E477AE">
        <w:rPr>
          <w:rFonts w:ascii="Times New Roman" w:hAnsi="Times New Roman" w:cs="Times New Roman"/>
          <w:b/>
        </w:rPr>
        <w:t>Transactions</w:t>
      </w:r>
    </w:p>
    <w:p w14:paraId="43F0F1DF" w14:textId="77777777" w:rsidR="005635A2" w:rsidRPr="00E477AE" w:rsidRDefault="005635A2" w:rsidP="00521DCD">
      <w:pPr>
        <w:jc w:val="both"/>
        <w:rPr>
          <w:rFonts w:ascii="Times New Roman" w:hAnsi="Times New Roman" w:cs="Times New Roman"/>
          <w:b/>
        </w:rPr>
      </w:pPr>
    </w:p>
    <w:p w14:paraId="70658C0B" w14:textId="28493EEC" w:rsidR="007D6C4E" w:rsidRDefault="00FF66AB" w:rsidP="00521DCD">
      <w:pPr>
        <w:jc w:val="both"/>
        <w:rPr>
          <w:rFonts w:ascii="Times New Roman" w:hAnsi="Times New Roman" w:cs="Times New Roman"/>
        </w:rPr>
      </w:pPr>
      <w:r w:rsidRPr="00E477AE">
        <w:rPr>
          <w:rFonts w:ascii="Times New Roman" w:hAnsi="Times New Roman" w:cs="Times New Roman"/>
        </w:rPr>
        <w:t>I suggest</w:t>
      </w:r>
      <w:r w:rsidR="005635A2" w:rsidRPr="00E477AE">
        <w:rPr>
          <w:rFonts w:ascii="Times New Roman" w:hAnsi="Times New Roman" w:cs="Times New Roman"/>
        </w:rPr>
        <w:t xml:space="preserve"> that a critical distinction exist</w:t>
      </w:r>
      <w:r w:rsidR="004A7620">
        <w:rPr>
          <w:rFonts w:ascii="Times New Roman" w:hAnsi="Times New Roman" w:cs="Times New Roman"/>
        </w:rPr>
        <w:t>s between the</w:t>
      </w:r>
      <w:r w:rsidR="00282E6B" w:rsidRPr="00E477AE">
        <w:rPr>
          <w:rFonts w:ascii="Times New Roman" w:hAnsi="Times New Roman" w:cs="Times New Roman"/>
        </w:rPr>
        <w:t xml:space="preserve"> lawful</w:t>
      </w:r>
      <w:r w:rsidR="0050597D">
        <w:rPr>
          <w:rFonts w:ascii="Times New Roman" w:hAnsi="Times New Roman" w:cs="Times New Roman"/>
        </w:rPr>
        <w:t xml:space="preserve"> and</w:t>
      </w:r>
      <w:r w:rsidR="00D313A8" w:rsidRPr="00E477AE">
        <w:rPr>
          <w:rFonts w:ascii="Times New Roman" w:hAnsi="Times New Roman" w:cs="Times New Roman"/>
        </w:rPr>
        <w:t xml:space="preserve"> </w:t>
      </w:r>
      <w:r w:rsidR="00F21288" w:rsidRPr="006C3039">
        <w:rPr>
          <w:rFonts w:ascii="Times New Roman" w:hAnsi="Times New Roman" w:cs="Times New Roman"/>
          <w:i/>
        </w:rPr>
        <w:t>primary</w:t>
      </w:r>
      <w:r w:rsidR="0050597D" w:rsidRPr="006C3039">
        <w:rPr>
          <w:rFonts w:ascii="Times New Roman" w:hAnsi="Times New Roman" w:cs="Times New Roman"/>
          <w:i/>
        </w:rPr>
        <w:t xml:space="preserve"> feature</w:t>
      </w:r>
      <w:r w:rsidR="0050597D">
        <w:rPr>
          <w:rFonts w:ascii="Times New Roman" w:hAnsi="Times New Roman" w:cs="Times New Roman"/>
        </w:rPr>
        <w:t xml:space="preserve"> of a </w:t>
      </w:r>
      <w:r w:rsidR="00765E56" w:rsidRPr="00E477AE">
        <w:rPr>
          <w:rFonts w:ascii="Times New Roman" w:hAnsi="Times New Roman" w:cs="Times New Roman"/>
        </w:rPr>
        <w:t xml:space="preserve">transaction that is </w:t>
      </w:r>
      <w:r w:rsidR="005635A2" w:rsidRPr="00E477AE">
        <w:rPr>
          <w:rFonts w:ascii="Times New Roman" w:hAnsi="Times New Roman" w:cs="Times New Roman"/>
        </w:rPr>
        <w:t xml:space="preserve">constitutive of a valid trust and the </w:t>
      </w:r>
      <w:r w:rsidR="00371434" w:rsidRPr="00E477AE">
        <w:rPr>
          <w:rFonts w:ascii="Times New Roman" w:hAnsi="Times New Roman" w:cs="Times New Roman"/>
        </w:rPr>
        <w:t xml:space="preserve">tainted </w:t>
      </w:r>
      <w:r w:rsidR="006F1EA2">
        <w:rPr>
          <w:rFonts w:ascii="Times New Roman" w:hAnsi="Times New Roman" w:cs="Times New Roman"/>
        </w:rPr>
        <w:t>motivations</w:t>
      </w:r>
      <w:r w:rsidR="005635A2" w:rsidRPr="00E477AE">
        <w:rPr>
          <w:rFonts w:ascii="Times New Roman" w:hAnsi="Times New Roman" w:cs="Times New Roman"/>
        </w:rPr>
        <w:t xml:space="preserve"> or purposes</w:t>
      </w:r>
      <w:r w:rsidR="00A9774A" w:rsidRPr="00E477AE">
        <w:rPr>
          <w:rFonts w:ascii="Times New Roman" w:hAnsi="Times New Roman" w:cs="Times New Roman"/>
        </w:rPr>
        <w:t xml:space="preserve"> of that </w:t>
      </w:r>
      <w:r w:rsidR="00B01FE2" w:rsidRPr="00E477AE">
        <w:rPr>
          <w:rFonts w:ascii="Times New Roman" w:hAnsi="Times New Roman" w:cs="Times New Roman"/>
        </w:rPr>
        <w:t>transaction</w:t>
      </w:r>
      <w:r w:rsidR="0050597D">
        <w:rPr>
          <w:rFonts w:ascii="Times New Roman" w:hAnsi="Times New Roman" w:cs="Times New Roman"/>
        </w:rPr>
        <w:t>,</w:t>
      </w:r>
      <w:r w:rsidR="005635A2" w:rsidRPr="00E477AE">
        <w:rPr>
          <w:rFonts w:ascii="Times New Roman" w:hAnsi="Times New Roman" w:cs="Times New Roman"/>
        </w:rPr>
        <w:t xml:space="preserve"> which might be</w:t>
      </w:r>
      <w:r w:rsidR="00371434" w:rsidRPr="00E477AE">
        <w:rPr>
          <w:rFonts w:ascii="Times New Roman" w:hAnsi="Times New Roman" w:cs="Times New Roman"/>
        </w:rPr>
        <w:t xml:space="preserve"> used to argue for the</w:t>
      </w:r>
      <w:r w:rsidR="005635A2" w:rsidRPr="00E477AE">
        <w:rPr>
          <w:rFonts w:ascii="Times New Roman" w:hAnsi="Times New Roman" w:cs="Times New Roman"/>
        </w:rPr>
        <w:t xml:space="preserve"> illegal</w:t>
      </w:r>
      <w:r w:rsidR="00371434" w:rsidRPr="00E477AE">
        <w:rPr>
          <w:rFonts w:ascii="Times New Roman" w:hAnsi="Times New Roman" w:cs="Times New Roman"/>
        </w:rPr>
        <w:t>ity of the trust that eventuated from the transaction.</w:t>
      </w:r>
      <w:r w:rsidR="00D76CEF" w:rsidRPr="00E477AE">
        <w:rPr>
          <w:rStyle w:val="FootnoteReference"/>
          <w:rFonts w:ascii="Times New Roman" w:hAnsi="Times New Roman" w:cs="Times New Roman"/>
        </w:rPr>
        <w:footnoteReference w:id="4"/>
      </w:r>
      <w:r w:rsidR="006C3039">
        <w:rPr>
          <w:rFonts w:ascii="Times New Roman" w:hAnsi="Times New Roman" w:cs="Times New Roman"/>
        </w:rPr>
        <w:t xml:space="preserve"> What qualifies as the </w:t>
      </w:r>
      <w:r w:rsidR="006C3039" w:rsidRPr="006C3039">
        <w:rPr>
          <w:rFonts w:ascii="Times New Roman" w:hAnsi="Times New Roman" w:cs="Times New Roman"/>
          <w:i/>
        </w:rPr>
        <w:t>primary feature</w:t>
      </w:r>
      <w:r w:rsidR="006C3039">
        <w:rPr>
          <w:rFonts w:ascii="Times New Roman" w:hAnsi="Times New Roman" w:cs="Times New Roman"/>
        </w:rPr>
        <w:t xml:space="preserve"> of a transaction is fact-dependent and would vary from case to case, but the answer should be obvious in most cases. For instance, if X</w:t>
      </w:r>
      <w:r w:rsidR="00082417">
        <w:rPr>
          <w:rFonts w:ascii="Times New Roman" w:hAnsi="Times New Roman" w:cs="Times New Roman"/>
        </w:rPr>
        <w:t xml:space="preserve"> made a voluntary transfer of his property to Y, albeit with the intention of defrauding X’s creditors, the primary feature of that transaction is sim</w:t>
      </w:r>
      <w:r w:rsidR="009F318B">
        <w:rPr>
          <w:rFonts w:ascii="Times New Roman" w:hAnsi="Times New Roman" w:cs="Times New Roman"/>
        </w:rPr>
        <w:t>ply the voluntary transfer to Y; the transfer itself, without more, is constitutive of a valid resulting trust.</w:t>
      </w:r>
      <w:r w:rsidR="0030688B">
        <w:rPr>
          <w:rFonts w:ascii="Times New Roman" w:hAnsi="Times New Roman" w:cs="Times New Roman"/>
        </w:rPr>
        <w:t xml:space="preserve"> The fact that the transfer to Y was</w:t>
      </w:r>
      <w:r w:rsidR="00406691">
        <w:rPr>
          <w:rFonts w:ascii="Times New Roman" w:hAnsi="Times New Roman" w:cs="Times New Roman"/>
        </w:rPr>
        <w:t xml:space="preserve"> done in order to a</w:t>
      </w:r>
      <w:r w:rsidR="0030688B">
        <w:rPr>
          <w:rFonts w:ascii="Times New Roman" w:hAnsi="Times New Roman" w:cs="Times New Roman"/>
        </w:rPr>
        <w:t>ccomplish an illegal purpose was just an incidental, but not a primary, feature of the transaction.</w:t>
      </w:r>
      <w:r w:rsidR="00406691">
        <w:rPr>
          <w:rFonts w:ascii="Times New Roman" w:hAnsi="Times New Roman" w:cs="Times New Roman"/>
        </w:rPr>
        <w:t xml:space="preserve"> In a</w:t>
      </w:r>
      <w:r w:rsidR="009F318B">
        <w:rPr>
          <w:rFonts w:ascii="Times New Roman" w:hAnsi="Times New Roman" w:cs="Times New Roman"/>
        </w:rPr>
        <w:t xml:space="preserve"> situation</w:t>
      </w:r>
      <w:r w:rsidR="00406691">
        <w:rPr>
          <w:rFonts w:ascii="Times New Roman" w:hAnsi="Times New Roman" w:cs="Times New Roman"/>
        </w:rPr>
        <w:t xml:space="preserve"> where there are two or</w:t>
      </w:r>
      <w:r w:rsidR="00082417">
        <w:rPr>
          <w:rFonts w:ascii="Times New Roman" w:hAnsi="Times New Roman" w:cs="Times New Roman"/>
        </w:rPr>
        <w:t xml:space="preserve"> more transaction</w:t>
      </w:r>
      <w:r w:rsidR="00406691">
        <w:rPr>
          <w:rFonts w:ascii="Times New Roman" w:hAnsi="Times New Roman" w:cs="Times New Roman"/>
        </w:rPr>
        <w:t>s</w:t>
      </w:r>
      <w:r w:rsidR="008001D1">
        <w:rPr>
          <w:rFonts w:ascii="Times New Roman" w:hAnsi="Times New Roman" w:cs="Times New Roman"/>
        </w:rPr>
        <w:t>, the focus sh</w:t>
      </w:r>
      <w:r w:rsidR="00082417">
        <w:rPr>
          <w:rFonts w:ascii="Times New Roman" w:hAnsi="Times New Roman" w:cs="Times New Roman"/>
        </w:rPr>
        <w:t xml:space="preserve">ould turn on the </w:t>
      </w:r>
      <w:r w:rsidR="00082417" w:rsidRPr="00082417">
        <w:rPr>
          <w:rFonts w:ascii="Times New Roman" w:hAnsi="Times New Roman" w:cs="Times New Roman"/>
          <w:i/>
        </w:rPr>
        <w:t>primary transaction</w:t>
      </w:r>
      <w:r w:rsidR="008001D1">
        <w:rPr>
          <w:rFonts w:ascii="Times New Roman" w:hAnsi="Times New Roman" w:cs="Times New Roman"/>
        </w:rPr>
        <w:t>, and the question sh</w:t>
      </w:r>
      <w:r w:rsidR="00082417">
        <w:rPr>
          <w:rFonts w:ascii="Times New Roman" w:hAnsi="Times New Roman" w:cs="Times New Roman"/>
        </w:rPr>
        <w:t>ould be whether that primary transaction is, in itself, constitutive of a valid trust despite the presence of some ulterior unlawful motives. For instance,</w:t>
      </w:r>
      <w:r w:rsidR="00707404">
        <w:rPr>
          <w:rFonts w:ascii="Times New Roman" w:hAnsi="Times New Roman" w:cs="Times New Roman"/>
        </w:rPr>
        <w:t xml:space="preserve"> X makes a voluntary transfer</w:t>
      </w:r>
      <w:r w:rsidR="00E64DFB">
        <w:rPr>
          <w:rFonts w:ascii="Times New Roman" w:hAnsi="Times New Roman" w:cs="Times New Roman"/>
        </w:rPr>
        <w:t xml:space="preserve"> of his property</w:t>
      </w:r>
      <w:r w:rsidR="00707404">
        <w:rPr>
          <w:rFonts w:ascii="Times New Roman" w:hAnsi="Times New Roman" w:cs="Times New Roman"/>
        </w:rPr>
        <w:t xml:space="preserve"> to Y</w:t>
      </w:r>
      <w:r w:rsidR="006F1EA2">
        <w:rPr>
          <w:rFonts w:ascii="Times New Roman" w:hAnsi="Times New Roman" w:cs="Times New Roman"/>
        </w:rPr>
        <w:t>, and</w:t>
      </w:r>
      <w:r w:rsidR="00707404">
        <w:rPr>
          <w:rFonts w:ascii="Times New Roman" w:hAnsi="Times New Roman" w:cs="Times New Roman"/>
        </w:rPr>
        <w:t xml:space="preserve"> the </w:t>
      </w:r>
      <w:r w:rsidR="00707404" w:rsidRPr="00E64DFB">
        <w:rPr>
          <w:rFonts w:ascii="Times New Roman" w:hAnsi="Times New Roman" w:cs="Times New Roman"/>
          <w:i/>
        </w:rPr>
        <w:t>transfer</w:t>
      </w:r>
      <w:r w:rsidR="00E64DFB" w:rsidRPr="00E64DFB">
        <w:rPr>
          <w:rFonts w:ascii="Times New Roman" w:hAnsi="Times New Roman" w:cs="Times New Roman"/>
          <w:i/>
        </w:rPr>
        <w:t xml:space="preserve"> contains a term</w:t>
      </w:r>
      <w:r w:rsidR="00E64DFB">
        <w:rPr>
          <w:rFonts w:ascii="Times New Roman" w:hAnsi="Times New Roman" w:cs="Times New Roman"/>
        </w:rPr>
        <w:t xml:space="preserve"> which </w:t>
      </w:r>
      <w:r w:rsidR="00707404">
        <w:rPr>
          <w:rFonts w:ascii="Times New Roman" w:hAnsi="Times New Roman" w:cs="Times New Roman"/>
        </w:rPr>
        <w:t>states that</w:t>
      </w:r>
      <w:r w:rsidR="001B198B">
        <w:rPr>
          <w:rFonts w:ascii="Times New Roman" w:hAnsi="Times New Roman" w:cs="Times New Roman"/>
        </w:rPr>
        <w:t xml:space="preserve"> the objective i</w:t>
      </w:r>
      <w:r w:rsidR="00717590">
        <w:rPr>
          <w:rFonts w:ascii="Times New Roman" w:hAnsi="Times New Roman" w:cs="Times New Roman"/>
        </w:rPr>
        <w:t>s to defeat X’s creditors.</w:t>
      </w:r>
      <w:r w:rsidR="008001D1">
        <w:rPr>
          <w:rStyle w:val="FootnoteReference"/>
          <w:rFonts w:ascii="Times New Roman" w:hAnsi="Times New Roman" w:cs="Times New Roman"/>
        </w:rPr>
        <w:footnoteReference w:id="5"/>
      </w:r>
      <w:r w:rsidR="00717590">
        <w:rPr>
          <w:rFonts w:ascii="Times New Roman" w:hAnsi="Times New Roman" w:cs="Times New Roman"/>
        </w:rPr>
        <w:t xml:space="preserve"> Subsequently, Y declares a trust over that property in favour of X.</w:t>
      </w:r>
      <w:r w:rsidR="00E64DFB">
        <w:rPr>
          <w:rStyle w:val="FootnoteReference"/>
          <w:rFonts w:ascii="Times New Roman" w:hAnsi="Times New Roman" w:cs="Times New Roman"/>
        </w:rPr>
        <w:footnoteReference w:id="6"/>
      </w:r>
      <w:r w:rsidR="00DA1BD9">
        <w:rPr>
          <w:rFonts w:ascii="Times New Roman" w:hAnsi="Times New Roman" w:cs="Times New Roman"/>
        </w:rPr>
        <w:t xml:space="preserve"> Here, there are two transactions: the voluntary transfer by X</w:t>
      </w:r>
      <w:r w:rsidR="001B198B">
        <w:rPr>
          <w:rFonts w:ascii="Times New Roman" w:hAnsi="Times New Roman" w:cs="Times New Roman"/>
        </w:rPr>
        <w:t xml:space="preserve"> to Y</w:t>
      </w:r>
      <w:r w:rsidR="00DA1BD9">
        <w:rPr>
          <w:rFonts w:ascii="Times New Roman" w:hAnsi="Times New Roman" w:cs="Times New Roman"/>
        </w:rPr>
        <w:t xml:space="preserve"> and the</w:t>
      </w:r>
      <w:r w:rsidR="001B198B">
        <w:rPr>
          <w:rFonts w:ascii="Times New Roman" w:hAnsi="Times New Roman" w:cs="Times New Roman"/>
        </w:rPr>
        <w:t xml:space="preserve"> subsequent</w:t>
      </w:r>
      <w:r w:rsidR="00DA1BD9">
        <w:rPr>
          <w:rFonts w:ascii="Times New Roman" w:hAnsi="Times New Roman" w:cs="Times New Roman"/>
        </w:rPr>
        <w:t xml:space="preserve"> declaration of trust by Y. Since the voluntary transfer by X is expressly and directly contrary to law and public policy, and</w:t>
      </w:r>
      <w:r w:rsidR="007B125F">
        <w:rPr>
          <w:rFonts w:ascii="Times New Roman" w:hAnsi="Times New Roman" w:cs="Times New Roman"/>
        </w:rPr>
        <w:t xml:space="preserve"> the trust</w:t>
      </w:r>
      <w:r w:rsidR="0096756E">
        <w:rPr>
          <w:rFonts w:ascii="Times New Roman" w:hAnsi="Times New Roman" w:cs="Times New Roman"/>
        </w:rPr>
        <w:t xml:space="preserve"> is therefore</w:t>
      </w:r>
      <w:r w:rsidR="00DB119A">
        <w:rPr>
          <w:rFonts w:ascii="Times New Roman" w:hAnsi="Times New Roman" w:cs="Times New Roman"/>
        </w:rPr>
        <w:t xml:space="preserve"> illegal</w:t>
      </w:r>
      <w:r w:rsidR="007D6C4E">
        <w:rPr>
          <w:rFonts w:ascii="Times New Roman" w:hAnsi="Times New Roman" w:cs="Times New Roman"/>
        </w:rPr>
        <w:t xml:space="preserve"> and</w:t>
      </w:r>
      <w:r w:rsidR="0096756E">
        <w:rPr>
          <w:rFonts w:ascii="Times New Roman" w:hAnsi="Times New Roman" w:cs="Times New Roman"/>
        </w:rPr>
        <w:t xml:space="preserve"> generally</w:t>
      </w:r>
      <w:r w:rsidR="00DA1BD9">
        <w:rPr>
          <w:rFonts w:ascii="Times New Roman" w:hAnsi="Times New Roman" w:cs="Times New Roman"/>
        </w:rPr>
        <w:t xml:space="preserve"> unenforceable (subject</w:t>
      </w:r>
      <w:r w:rsidR="009A37F8">
        <w:rPr>
          <w:rFonts w:ascii="Times New Roman" w:hAnsi="Times New Roman" w:cs="Times New Roman"/>
        </w:rPr>
        <w:t xml:space="preserve"> to my discussion on </w:t>
      </w:r>
      <w:r w:rsidR="009A37F8" w:rsidRPr="00301E0D">
        <w:rPr>
          <w:rFonts w:ascii="Times New Roman" w:hAnsi="Times New Roman" w:cs="Times New Roman"/>
          <w:i/>
        </w:rPr>
        <w:t>Patel</w:t>
      </w:r>
      <w:r w:rsidR="009A37F8">
        <w:rPr>
          <w:rFonts w:ascii="Times New Roman" w:hAnsi="Times New Roman" w:cs="Times New Roman"/>
        </w:rPr>
        <w:t xml:space="preserve"> below</w:t>
      </w:r>
      <w:r w:rsidR="007B125F">
        <w:rPr>
          <w:rFonts w:ascii="Times New Roman" w:hAnsi="Times New Roman" w:cs="Times New Roman"/>
        </w:rPr>
        <w:t>)</w:t>
      </w:r>
      <w:r w:rsidR="009A37F8">
        <w:rPr>
          <w:rFonts w:ascii="Times New Roman" w:hAnsi="Times New Roman" w:cs="Times New Roman"/>
        </w:rPr>
        <w:t>, the primary transaction</w:t>
      </w:r>
      <w:r w:rsidR="00717590">
        <w:rPr>
          <w:rFonts w:ascii="Times New Roman" w:hAnsi="Times New Roman" w:cs="Times New Roman"/>
        </w:rPr>
        <w:t xml:space="preserve"> </w:t>
      </w:r>
      <w:r w:rsidR="009A37F8">
        <w:rPr>
          <w:rFonts w:ascii="Times New Roman" w:hAnsi="Times New Roman" w:cs="Times New Roman"/>
        </w:rPr>
        <w:t>i</w:t>
      </w:r>
      <w:r w:rsidR="00717590">
        <w:rPr>
          <w:rFonts w:ascii="Times New Roman" w:hAnsi="Times New Roman" w:cs="Times New Roman"/>
        </w:rPr>
        <w:t>n this latter example</w:t>
      </w:r>
      <w:r w:rsidR="009A37F8">
        <w:rPr>
          <w:rFonts w:ascii="Times New Roman" w:hAnsi="Times New Roman" w:cs="Times New Roman"/>
        </w:rPr>
        <w:t xml:space="preserve"> should be taken to be</w:t>
      </w:r>
      <w:r w:rsidR="00717590">
        <w:rPr>
          <w:rFonts w:ascii="Times New Roman" w:hAnsi="Times New Roman" w:cs="Times New Roman"/>
        </w:rPr>
        <w:t xml:space="preserve"> the</w:t>
      </w:r>
      <w:r w:rsidR="007B125F">
        <w:rPr>
          <w:rFonts w:ascii="Times New Roman" w:hAnsi="Times New Roman" w:cs="Times New Roman"/>
        </w:rPr>
        <w:t xml:space="preserve"> subsequent</w:t>
      </w:r>
      <w:r w:rsidR="00717590">
        <w:rPr>
          <w:rFonts w:ascii="Times New Roman" w:hAnsi="Times New Roman" w:cs="Times New Roman"/>
        </w:rPr>
        <w:t xml:space="preserve"> declaration of trust by Y</w:t>
      </w:r>
      <w:r w:rsidR="00301E0D">
        <w:rPr>
          <w:rFonts w:ascii="Times New Roman" w:hAnsi="Times New Roman" w:cs="Times New Roman"/>
        </w:rPr>
        <w:t>.</w:t>
      </w:r>
      <w:r w:rsidR="007B125F">
        <w:rPr>
          <w:rFonts w:ascii="Times New Roman" w:hAnsi="Times New Roman" w:cs="Times New Roman"/>
        </w:rPr>
        <w:t xml:space="preserve"> Y’s</w:t>
      </w:r>
      <w:r w:rsidR="00DB119A">
        <w:rPr>
          <w:rFonts w:ascii="Times New Roman" w:hAnsi="Times New Roman" w:cs="Times New Roman"/>
        </w:rPr>
        <w:t xml:space="preserve"> subsequent</w:t>
      </w:r>
      <w:r w:rsidR="007B125F">
        <w:rPr>
          <w:rFonts w:ascii="Times New Roman" w:hAnsi="Times New Roman" w:cs="Times New Roman"/>
        </w:rPr>
        <w:t xml:space="preserve"> declaration of trust for X is ipso facto valid and enforceable.</w:t>
      </w:r>
      <w:r w:rsidR="007B125F">
        <w:rPr>
          <w:rStyle w:val="FootnoteReference"/>
          <w:rFonts w:ascii="Times New Roman" w:hAnsi="Times New Roman" w:cs="Times New Roman"/>
        </w:rPr>
        <w:footnoteReference w:id="7"/>
      </w:r>
      <w:r w:rsidR="00C85E51">
        <w:rPr>
          <w:rFonts w:ascii="Times New Roman" w:hAnsi="Times New Roman" w:cs="Times New Roman"/>
        </w:rPr>
        <w:t xml:space="preserve"> </w:t>
      </w:r>
    </w:p>
    <w:p w14:paraId="738BDBEE" w14:textId="52224CA6" w:rsidR="001A1759" w:rsidRPr="00E477AE" w:rsidRDefault="00774830" w:rsidP="007D6C4E">
      <w:pPr>
        <w:ind w:firstLine="720"/>
        <w:jc w:val="both"/>
        <w:rPr>
          <w:rFonts w:ascii="Times New Roman" w:hAnsi="Times New Roman" w:cs="Times New Roman"/>
        </w:rPr>
      </w:pPr>
      <w:r>
        <w:rPr>
          <w:rFonts w:ascii="Times New Roman" w:hAnsi="Times New Roman" w:cs="Times New Roman"/>
        </w:rPr>
        <w:t xml:space="preserve">Therefore, </w:t>
      </w:r>
      <w:r w:rsidR="00C85E51">
        <w:rPr>
          <w:rFonts w:ascii="Times New Roman" w:hAnsi="Times New Roman" w:cs="Times New Roman"/>
        </w:rPr>
        <w:t>I argue that</w:t>
      </w:r>
      <w:r w:rsidR="006C3039">
        <w:rPr>
          <w:rFonts w:ascii="Times New Roman" w:hAnsi="Times New Roman" w:cs="Times New Roman"/>
        </w:rPr>
        <w:t xml:space="preserve"> </w:t>
      </w:r>
      <w:r w:rsidR="00C85E51">
        <w:rPr>
          <w:rFonts w:ascii="Times New Roman" w:hAnsi="Times New Roman" w:cs="Times New Roman"/>
        </w:rPr>
        <w:t>i</w:t>
      </w:r>
      <w:r w:rsidR="00597A48" w:rsidRPr="00E477AE">
        <w:rPr>
          <w:rFonts w:ascii="Times New Roman" w:hAnsi="Times New Roman" w:cs="Times New Roman"/>
        </w:rPr>
        <w:t xml:space="preserve">f the </w:t>
      </w:r>
      <w:r w:rsidR="00597A48" w:rsidRPr="006C3039">
        <w:rPr>
          <w:rFonts w:ascii="Times New Roman" w:hAnsi="Times New Roman" w:cs="Times New Roman"/>
        </w:rPr>
        <w:t>primary</w:t>
      </w:r>
      <w:r w:rsidR="00C85E51">
        <w:rPr>
          <w:rFonts w:ascii="Times New Roman" w:hAnsi="Times New Roman" w:cs="Times New Roman"/>
        </w:rPr>
        <w:t xml:space="preserve"> transaction or the primary</w:t>
      </w:r>
      <w:r w:rsidR="004A7620" w:rsidRPr="006C3039">
        <w:rPr>
          <w:rFonts w:ascii="Times New Roman" w:hAnsi="Times New Roman" w:cs="Times New Roman"/>
        </w:rPr>
        <w:t xml:space="preserve"> feature</w:t>
      </w:r>
      <w:r w:rsidR="00597A48" w:rsidRPr="00E477AE">
        <w:rPr>
          <w:rFonts w:ascii="Times New Roman" w:hAnsi="Times New Roman" w:cs="Times New Roman"/>
        </w:rPr>
        <w:t xml:space="preserve"> </w:t>
      </w:r>
      <w:r w:rsidR="004A7620">
        <w:rPr>
          <w:rFonts w:ascii="Times New Roman" w:hAnsi="Times New Roman" w:cs="Times New Roman"/>
        </w:rPr>
        <w:t xml:space="preserve">of a </w:t>
      </w:r>
      <w:r w:rsidR="00597A48" w:rsidRPr="00E477AE">
        <w:rPr>
          <w:rFonts w:ascii="Times New Roman" w:hAnsi="Times New Roman" w:cs="Times New Roman"/>
        </w:rPr>
        <w:t>transaction i</w:t>
      </w:r>
      <w:r w:rsidR="00765E56" w:rsidRPr="00E477AE">
        <w:rPr>
          <w:rFonts w:ascii="Times New Roman" w:hAnsi="Times New Roman" w:cs="Times New Roman"/>
        </w:rPr>
        <w:t>n a</w:t>
      </w:r>
      <w:r w:rsidR="00597A48" w:rsidRPr="00E477AE">
        <w:rPr>
          <w:rFonts w:ascii="Times New Roman" w:hAnsi="Times New Roman" w:cs="Times New Roman"/>
        </w:rPr>
        <w:t>ny</w:t>
      </w:r>
      <w:r w:rsidR="00D313A8" w:rsidRPr="00E477AE">
        <w:rPr>
          <w:rFonts w:ascii="Times New Roman" w:hAnsi="Times New Roman" w:cs="Times New Roman"/>
        </w:rPr>
        <w:t xml:space="preserve"> given case</w:t>
      </w:r>
      <w:r w:rsidR="00C85E51">
        <w:rPr>
          <w:rFonts w:ascii="Times New Roman" w:hAnsi="Times New Roman" w:cs="Times New Roman"/>
        </w:rPr>
        <w:t xml:space="preserve"> </w:t>
      </w:r>
      <w:r w:rsidR="00D313A8" w:rsidRPr="00E477AE">
        <w:rPr>
          <w:rFonts w:ascii="Times New Roman" w:hAnsi="Times New Roman" w:cs="Times New Roman"/>
        </w:rPr>
        <w:t>were</w:t>
      </w:r>
      <w:r w:rsidR="00597A48" w:rsidRPr="00E477AE">
        <w:rPr>
          <w:rFonts w:ascii="Times New Roman" w:hAnsi="Times New Roman" w:cs="Times New Roman"/>
        </w:rPr>
        <w:t xml:space="preserve"> constit</w:t>
      </w:r>
      <w:r w:rsidR="00D76CEF" w:rsidRPr="00E477AE">
        <w:rPr>
          <w:rFonts w:ascii="Times New Roman" w:hAnsi="Times New Roman" w:cs="Times New Roman"/>
        </w:rPr>
        <w:t>utive of</w:t>
      </w:r>
      <w:r w:rsidR="00597A48" w:rsidRPr="00E477AE">
        <w:rPr>
          <w:rFonts w:ascii="Times New Roman" w:hAnsi="Times New Roman" w:cs="Times New Roman"/>
        </w:rPr>
        <w:t xml:space="preserve"> </w:t>
      </w:r>
      <w:r w:rsidR="00D76CEF" w:rsidRPr="00E477AE">
        <w:rPr>
          <w:rFonts w:ascii="Times New Roman" w:hAnsi="Times New Roman" w:cs="Times New Roman"/>
        </w:rPr>
        <w:t xml:space="preserve">a </w:t>
      </w:r>
      <w:r w:rsidR="00597A48" w:rsidRPr="00E477AE">
        <w:rPr>
          <w:rFonts w:ascii="Times New Roman" w:hAnsi="Times New Roman" w:cs="Times New Roman"/>
        </w:rPr>
        <w:t xml:space="preserve">valid </w:t>
      </w:r>
      <w:r w:rsidR="005A5446" w:rsidRPr="00E477AE">
        <w:rPr>
          <w:rFonts w:ascii="Times New Roman" w:hAnsi="Times New Roman" w:cs="Times New Roman"/>
        </w:rPr>
        <w:t>trust, in the sense that the trust</w:t>
      </w:r>
      <w:r w:rsidR="00734C5C" w:rsidRPr="00E477AE">
        <w:rPr>
          <w:rFonts w:ascii="Times New Roman" w:hAnsi="Times New Roman" w:cs="Times New Roman"/>
        </w:rPr>
        <w:t xml:space="preserve"> is properly constituted</w:t>
      </w:r>
      <w:r w:rsidR="009B042F" w:rsidRPr="00E477AE">
        <w:rPr>
          <w:rFonts w:ascii="Times New Roman" w:hAnsi="Times New Roman" w:cs="Times New Roman"/>
        </w:rPr>
        <w:t xml:space="preserve"> and complies with all the</w:t>
      </w:r>
      <w:r w:rsidR="00734C5C" w:rsidRPr="00E477AE">
        <w:rPr>
          <w:rFonts w:ascii="Times New Roman" w:hAnsi="Times New Roman" w:cs="Times New Roman"/>
        </w:rPr>
        <w:t xml:space="preserve"> essential</w:t>
      </w:r>
      <w:r w:rsidR="009B042F" w:rsidRPr="00E477AE">
        <w:rPr>
          <w:rFonts w:ascii="Times New Roman" w:hAnsi="Times New Roman" w:cs="Times New Roman"/>
        </w:rPr>
        <w:t xml:space="preserve"> criteria of validity, then the trust would be enforced</w:t>
      </w:r>
      <w:r w:rsidR="00734C5C" w:rsidRPr="00E477AE">
        <w:rPr>
          <w:rFonts w:ascii="Times New Roman" w:hAnsi="Times New Roman" w:cs="Times New Roman"/>
        </w:rPr>
        <w:t xml:space="preserve"> despite the illegality of its purpose.</w:t>
      </w:r>
      <w:r w:rsidR="00CA23E2" w:rsidRPr="00E477AE">
        <w:rPr>
          <w:rFonts w:ascii="Times New Roman" w:hAnsi="Times New Roman" w:cs="Times New Roman"/>
        </w:rPr>
        <w:t xml:space="preserve"> I argue that this proposition is supported by the cases on the subject</w:t>
      </w:r>
      <w:r w:rsidR="00824E3B">
        <w:rPr>
          <w:rFonts w:ascii="Times New Roman" w:hAnsi="Times New Roman" w:cs="Times New Roman"/>
        </w:rPr>
        <w:t xml:space="preserve"> discussed below</w:t>
      </w:r>
      <w:r w:rsidR="00CA23E2" w:rsidRPr="00E477AE">
        <w:rPr>
          <w:rFonts w:ascii="Times New Roman" w:hAnsi="Times New Roman" w:cs="Times New Roman"/>
        </w:rPr>
        <w:t xml:space="preserve">. Illegality comes </w:t>
      </w:r>
      <w:r w:rsidR="00340767" w:rsidRPr="00E477AE">
        <w:rPr>
          <w:rFonts w:ascii="Times New Roman" w:hAnsi="Times New Roman" w:cs="Times New Roman"/>
        </w:rPr>
        <w:t>to the fore and</w:t>
      </w:r>
      <w:r w:rsidR="00503C1A" w:rsidRPr="00E477AE">
        <w:rPr>
          <w:rFonts w:ascii="Times New Roman" w:hAnsi="Times New Roman" w:cs="Times New Roman"/>
        </w:rPr>
        <w:t xml:space="preserve"> potentially</w:t>
      </w:r>
      <w:r w:rsidR="00340767" w:rsidRPr="00E477AE">
        <w:rPr>
          <w:rFonts w:ascii="Times New Roman" w:hAnsi="Times New Roman" w:cs="Times New Roman"/>
        </w:rPr>
        <w:t xml:space="preserve"> obviates the enforcement o</w:t>
      </w:r>
      <w:r w:rsidR="008F7431" w:rsidRPr="00E477AE">
        <w:rPr>
          <w:rFonts w:ascii="Times New Roman" w:hAnsi="Times New Roman" w:cs="Times New Roman"/>
        </w:rPr>
        <w:t>f a trust only when the trust, a disposition under it or an essential element for its validity</w:t>
      </w:r>
      <w:r w:rsidR="00340767" w:rsidRPr="00E477AE">
        <w:rPr>
          <w:rFonts w:ascii="Times New Roman" w:hAnsi="Times New Roman" w:cs="Times New Roman"/>
        </w:rPr>
        <w:t xml:space="preserve"> </w:t>
      </w:r>
      <w:r w:rsidR="00340767" w:rsidRPr="00E477AE">
        <w:rPr>
          <w:rFonts w:ascii="Times New Roman" w:hAnsi="Times New Roman" w:cs="Times New Roman"/>
          <w:i/>
        </w:rPr>
        <w:t>directly</w:t>
      </w:r>
      <w:r w:rsidR="008F7431" w:rsidRPr="00E477AE">
        <w:rPr>
          <w:rFonts w:ascii="Times New Roman" w:hAnsi="Times New Roman" w:cs="Times New Roman"/>
        </w:rPr>
        <w:t xml:space="preserve"> violates a statute, common law or public policy</w:t>
      </w:r>
      <w:r w:rsidR="00F46685" w:rsidRPr="00E477AE">
        <w:rPr>
          <w:rFonts w:ascii="Times New Roman" w:hAnsi="Times New Roman" w:cs="Times New Roman"/>
        </w:rPr>
        <w:t>,</w:t>
      </w:r>
      <w:r w:rsidR="00301E0D">
        <w:rPr>
          <w:rStyle w:val="FootnoteReference"/>
          <w:rFonts w:ascii="Times New Roman" w:hAnsi="Times New Roman" w:cs="Times New Roman"/>
        </w:rPr>
        <w:footnoteReference w:id="8"/>
      </w:r>
      <w:r w:rsidR="00F46685" w:rsidRPr="00E477AE">
        <w:rPr>
          <w:rFonts w:ascii="Times New Roman" w:hAnsi="Times New Roman" w:cs="Times New Roman"/>
        </w:rPr>
        <w:t xml:space="preserve"> as opposed to</w:t>
      </w:r>
      <w:r w:rsidR="00CA23E2" w:rsidRPr="00E477AE">
        <w:rPr>
          <w:rFonts w:ascii="Times New Roman" w:hAnsi="Times New Roman" w:cs="Times New Roman"/>
        </w:rPr>
        <w:t xml:space="preserve"> the trust just being impugned for its </w:t>
      </w:r>
      <w:r w:rsidR="00F46685" w:rsidRPr="00E477AE">
        <w:rPr>
          <w:rFonts w:ascii="Times New Roman" w:hAnsi="Times New Roman" w:cs="Times New Roman"/>
        </w:rPr>
        <w:t xml:space="preserve">tainted </w:t>
      </w:r>
      <w:r w:rsidR="00055F3C" w:rsidRPr="00E477AE">
        <w:rPr>
          <w:rFonts w:ascii="Times New Roman" w:hAnsi="Times New Roman" w:cs="Times New Roman"/>
        </w:rPr>
        <w:t xml:space="preserve">or illegal </w:t>
      </w:r>
      <w:r w:rsidR="00F46685" w:rsidRPr="00E477AE">
        <w:rPr>
          <w:rFonts w:ascii="Times New Roman" w:hAnsi="Times New Roman" w:cs="Times New Roman"/>
        </w:rPr>
        <w:t>purpose.</w:t>
      </w:r>
      <w:r w:rsidR="00301E0D">
        <w:rPr>
          <w:rStyle w:val="FootnoteReference"/>
          <w:rFonts w:ascii="Times New Roman" w:hAnsi="Times New Roman" w:cs="Times New Roman"/>
        </w:rPr>
        <w:footnoteReference w:id="9"/>
      </w:r>
      <w:r w:rsidR="00CA23E2" w:rsidRPr="00E477AE">
        <w:rPr>
          <w:rFonts w:ascii="Times New Roman" w:hAnsi="Times New Roman" w:cs="Times New Roman"/>
        </w:rPr>
        <w:t xml:space="preserve"> In essence, save for trusts that directly violate the law or public policy, a trust that arises from the</w:t>
      </w:r>
      <w:r w:rsidR="00824E3B">
        <w:rPr>
          <w:rFonts w:ascii="Times New Roman" w:hAnsi="Times New Roman" w:cs="Times New Roman"/>
        </w:rPr>
        <w:t xml:space="preserve"> primary transaction or from the</w:t>
      </w:r>
      <w:r w:rsidR="00CA23E2" w:rsidRPr="00E477AE">
        <w:rPr>
          <w:rFonts w:ascii="Times New Roman" w:hAnsi="Times New Roman" w:cs="Times New Roman"/>
        </w:rPr>
        <w:t xml:space="preserve"> critical and primary</w:t>
      </w:r>
      <w:r w:rsidR="00301E0D">
        <w:rPr>
          <w:rFonts w:ascii="Times New Roman" w:hAnsi="Times New Roman" w:cs="Times New Roman"/>
        </w:rPr>
        <w:t xml:space="preserve"> feature of a</w:t>
      </w:r>
      <w:r w:rsidR="00CA23E2" w:rsidRPr="00E477AE">
        <w:rPr>
          <w:rFonts w:ascii="Times New Roman" w:hAnsi="Times New Roman" w:cs="Times New Roman"/>
        </w:rPr>
        <w:t xml:space="preserve"> transaction between the parties cannot be denied judicial enforcement on the ground of its alleged illegal purpose.</w:t>
      </w:r>
      <w:r w:rsidR="00FD0103" w:rsidRPr="00E477AE">
        <w:rPr>
          <w:rFonts w:ascii="Times New Roman" w:hAnsi="Times New Roman" w:cs="Times New Roman"/>
        </w:rPr>
        <w:t xml:space="preserve"> Properly understood, therefore, illegality</w:t>
      </w:r>
      <w:r w:rsidR="00503C1A" w:rsidRPr="00E477AE">
        <w:rPr>
          <w:rFonts w:ascii="Times New Roman" w:hAnsi="Times New Roman" w:cs="Times New Roman"/>
        </w:rPr>
        <w:t xml:space="preserve"> operates within a narrow sphere of trusts law; and it is in this narrow sphere that </w:t>
      </w:r>
      <w:r w:rsidR="00503C1A" w:rsidRPr="00E477AE">
        <w:rPr>
          <w:rFonts w:ascii="Times New Roman" w:hAnsi="Times New Roman" w:cs="Times New Roman"/>
          <w:i/>
        </w:rPr>
        <w:t>Patel’s</w:t>
      </w:r>
      <w:r w:rsidR="00503C1A" w:rsidRPr="00E477AE">
        <w:rPr>
          <w:rFonts w:ascii="Times New Roman" w:hAnsi="Times New Roman" w:cs="Times New Roman"/>
        </w:rPr>
        <w:t xml:space="preserve"> trio of considerations would be potentially engaged.</w:t>
      </w:r>
      <w:r w:rsidR="00CE78E7">
        <w:rPr>
          <w:rFonts w:ascii="Times New Roman" w:hAnsi="Times New Roman" w:cs="Times New Roman"/>
        </w:rPr>
        <w:t xml:space="preserve"> For instance, in the two examples I gave above, the trust</w:t>
      </w:r>
      <w:r w:rsidR="00DB119A">
        <w:rPr>
          <w:rFonts w:ascii="Times New Roman" w:hAnsi="Times New Roman" w:cs="Times New Roman"/>
        </w:rPr>
        <w:t>s</w:t>
      </w:r>
      <w:r w:rsidR="00CE78E7">
        <w:rPr>
          <w:rFonts w:ascii="Times New Roman" w:hAnsi="Times New Roman" w:cs="Times New Roman"/>
        </w:rPr>
        <w:t xml:space="preserve"> arising from the pri</w:t>
      </w:r>
      <w:r w:rsidR="00DB119A">
        <w:rPr>
          <w:rFonts w:ascii="Times New Roman" w:hAnsi="Times New Roman" w:cs="Times New Roman"/>
        </w:rPr>
        <w:t>mary feature of the transaction</w:t>
      </w:r>
      <w:r w:rsidR="00CE78E7">
        <w:rPr>
          <w:rFonts w:ascii="Times New Roman" w:hAnsi="Times New Roman" w:cs="Times New Roman"/>
        </w:rPr>
        <w:t xml:space="preserve"> a</w:t>
      </w:r>
      <w:r w:rsidR="00DB119A">
        <w:rPr>
          <w:rFonts w:ascii="Times New Roman" w:hAnsi="Times New Roman" w:cs="Times New Roman"/>
        </w:rPr>
        <w:t xml:space="preserve">nd from the </w:t>
      </w:r>
      <w:r w:rsidR="00DB119A">
        <w:rPr>
          <w:rFonts w:ascii="Times New Roman" w:hAnsi="Times New Roman" w:cs="Times New Roman"/>
        </w:rPr>
        <w:lastRenderedPageBreak/>
        <w:t>primary transaction are ex facie valid and enforceable; thus,</w:t>
      </w:r>
      <w:r w:rsidR="004248AD">
        <w:rPr>
          <w:rFonts w:ascii="Times New Roman" w:hAnsi="Times New Roman" w:cs="Times New Roman"/>
        </w:rPr>
        <w:t xml:space="preserve"> neither</w:t>
      </w:r>
      <w:r w:rsidR="00CE78E7">
        <w:rPr>
          <w:rFonts w:ascii="Times New Roman" w:hAnsi="Times New Roman" w:cs="Times New Roman"/>
        </w:rPr>
        <w:t xml:space="preserve"> the illegality doctrine</w:t>
      </w:r>
      <w:r w:rsidR="00FB50C7">
        <w:rPr>
          <w:rFonts w:ascii="Times New Roman" w:hAnsi="Times New Roman" w:cs="Times New Roman"/>
        </w:rPr>
        <w:t xml:space="preserve"> nor </w:t>
      </w:r>
      <w:r w:rsidR="00FB50C7" w:rsidRPr="00FB50C7">
        <w:rPr>
          <w:rFonts w:ascii="Times New Roman" w:hAnsi="Times New Roman" w:cs="Times New Roman"/>
          <w:i/>
        </w:rPr>
        <w:t>Patel’s</w:t>
      </w:r>
      <w:r w:rsidR="00FB50C7">
        <w:rPr>
          <w:rFonts w:ascii="Times New Roman" w:hAnsi="Times New Roman" w:cs="Times New Roman"/>
        </w:rPr>
        <w:t xml:space="preserve"> trio of considerations</w:t>
      </w:r>
      <w:r w:rsidR="00DB119A">
        <w:rPr>
          <w:rFonts w:ascii="Times New Roman" w:hAnsi="Times New Roman" w:cs="Times New Roman"/>
        </w:rPr>
        <w:t xml:space="preserve"> are</w:t>
      </w:r>
      <w:r w:rsidR="004248AD">
        <w:rPr>
          <w:rFonts w:ascii="Times New Roman" w:hAnsi="Times New Roman" w:cs="Times New Roman"/>
        </w:rPr>
        <w:t xml:space="preserve"> engaged.</w:t>
      </w:r>
    </w:p>
    <w:p w14:paraId="6C19AA73" w14:textId="19C245F5" w:rsidR="00283C77" w:rsidRDefault="00FD0103" w:rsidP="00521DCD">
      <w:pPr>
        <w:ind w:firstLine="720"/>
        <w:jc w:val="both"/>
        <w:rPr>
          <w:rFonts w:ascii="Times New Roman" w:hAnsi="Times New Roman" w:cs="Times New Roman"/>
        </w:rPr>
      </w:pPr>
      <w:r w:rsidRPr="00E477AE">
        <w:rPr>
          <w:rFonts w:ascii="Times New Roman" w:hAnsi="Times New Roman" w:cs="Times New Roman"/>
        </w:rPr>
        <w:t>Although the distinction above has not been</w:t>
      </w:r>
      <w:r w:rsidR="00DB42E6" w:rsidRPr="00E477AE">
        <w:rPr>
          <w:rFonts w:ascii="Times New Roman" w:hAnsi="Times New Roman" w:cs="Times New Roman"/>
        </w:rPr>
        <w:t xml:space="preserve"> explicitly</w:t>
      </w:r>
      <w:r w:rsidRPr="00E477AE">
        <w:rPr>
          <w:rFonts w:ascii="Times New Roman" w:hAnsi="Times New Roman" w:cs="Times New Roman"/>
        </w:rPr>
        <w:t xml:space="preserve"> explored in the cases and literature on the subject, it </w:t>
      </w:r>
      <w:r w:rsidR="001A1759" w:rsidRPr="00E477AE">
        <w:rPr>
          <w:rFonts w:ascii="Times New Roman" w:hAnsi="Times New Roman" w:cs="Times New Roman"/>
        </w:rPr>
        <w:t>might be useful in explaining and</w:t>
      </w:r>
      <w:r w:rsidRPr="00E477AE">
        <w:rPr>
          <w:rFonts w:ascii="Times New Roman" w:hAnsi="Times New Roman" w:cs="Times New Roman"/>
        </w:rPr>
        <w:t xml:space="preserve"> </w:t>
      </w:r>
      <w:r w:rsidR="001A1759" w:rsidRPr="00E477AE">
        <w:rPr>
          <w:rFonts w:ascii="Times New Roman" w:hAnsi="Times New Roman" w:cs="Times New Roman"/>
        </w:rPr>
        <w:t>rationalizing</w:t>
      </w:r>
      <w:r w:rsidRPr="00E477AE">
        <w:rPr>
          <w:rFonts w:ascii="Times New Roman" w:hAnsi="Times New Roman" w:cs="Times New Roman"/>
        </w:rPr>
        <w:t xml:space="preserve"> most of the reported cases </w:t>
      </w:r>
      <w:r w:rsidR="001A1759" w:rsidRPr="00E477AE">
        <w:rPr>
          <w:rFonts w:ascii="Times New Roman" w:hAnsi="Times New Roman" w:cs="Times New Roman"/>
        </w:rPr>
        <w:t>on trusts relating to illegalit</w:t>
      </w:r>
      <w:r w:rsidR="000773DB" w:rsidRPr="00E477AE">
        <w:rPr>
          <w:rFonts w:ascii="Times New Roman" w:hAnsi="Times New Roman" w:cs="Times New Roman"/>
        </w:rPr>
        <w:t>y</w:t>
      </w:r>
      <w:r w:rsidRPr="00E477AE">
        <w:rPr>
          <w:rFonts w:ascii="Times New Roman" w:hAnsi="Times New Roman" w:cs="Times New Roman"/>
        </w:rPr>
        <w:t xml:space="preserve">. </w:t>
      </w:r>
      <w:r w:rsidR="008D7521" w:rsidRPr="00E477AE">
        <w:rPr>
          <w:rFonts w:ascii="Times New Roman" w:hAnsi="Times New Roman" w:cs="Times New Roman"/>
        </w:rPr>
        <w:t xml:space="preserve">Even the cases on </w:t>
      </w:r>
      <w:r w:rsidR="000E6387" w:rsidRPr="00E477AE">
        <w:rPr>
          <w:rFonts w:ascii="Times New Roman" w:hAnsi="Times New Roman" w:cs="Times New Roman"/>
        </w:rPr>
        <w:t xml:space="preserve">the </w:t>
      </w:r>
      <w:r w:rsidR="008D7521" w:rsidRPr="00E477AE">
        <w:rPr>
          <w:rFonts w:ascii="Times New Roman" w:hAnsi="Times New Roman" w:cs="Times New Roman"/>
        </w:rPr>
        <w:t>presumption</w:t>
      </w:r>
      <w:r w:rsidRPr="00E477AE">
        <w:rPr>
          <w:rFonts w:ascii="Times New Roman" w:hAnsi="Times New Roman" w:cs="Times New Roman"/>
        </w:rPr>
        <w:t xml:space="preserve"> of advancement</w:t>
      </w:r>
      <w:r w:rsidR="008D7521" w:rsidRPr="00E477AE">
        <w:rPr>
          <w:rFonts w:ascii="Times New Roman" w:hAnsi="Times New Roman" w:cs="Times New Roman"/>
        </w:rPr>
        <w:t>, which complicated a principled approach to the i</w:t>
      </w:r>
      <w:r w:rsidR="000773DB" w:rsidRPr="00E477AE">
        <w:rPr>
          <w:rFonts w:ascii="Times New Roman" w:hAnsi="Times New Roman" w:cs="Times New Roman"/>
        </w:rPr>
        <w:t xml:space="preserve">llegality doctrine in trusts, are </w:t>
      </w:r>
      <w:r w:rsidR="008D7521" w:rsidRPr="00E477AE">
        <w:rPr>
          <w:rFonts w:ascii="Times New Roman" w:hAnsi="Times New Roman" w:cs="Times New Roman"/>
        </w:rPr>
        <w:t xml:space="preserve">consistent with </w:t>
      </w:r>
      <w:r w:rsidR="000773DB" w:rsidRPr="00E477AE">
        <w:rPr>
          <w:rFonts w:ascii="Times New Roman" w:hAnsi="Times New Roman" w:cs="Times New Roman"/>
        </w:rPr>
        <w:t>the</w:t>
      </w:r>
      <w:r w:rsidR="000E6387" w:rsidRPr="00E477AE">
        <w:rPr>
          <w:rFonts w:ascii="Times New Roman" w:hAnsi="Times New Roman" w:cs="Times New Roman"/>
        </w:rPr>
        <w:t xml:space="preserve"> hypothesis</w:t>
      </w:r>
      <w:r w:rsidR="008D7521" w:rsidRPr="00E477AE">
        <w:rPr>
          <w:rFonts w:ascii="Times New Roman" w:hAnsi="Times New Roman" w:cs="Times New Roman"/>
        </w:rPr>
        <w:t xml:space="preserve"> above.</w:t>
      </w:r>
      <w:r w:rsidRPr="00E477AE">
        <w:rPr>
          <w:rFonts w:ascii="Times New Roman" w:hAnsi="Times New Roman" w:cs="Times New Roman"/>
        </w:rPr>
        <w:t xml:space="preserve"> </w:t>
      </w:r>
      <w:r w:rsidR="008D7521" w:rsidRPr="00E477AE">
        <w:rPr>
          <w:rFonts w:ascii="Times New Roman" w:hAnsi="Times New Roman" w:cs="Times New Roman"/>
        </w:rPr>
        <w:t>As argued below, the critical and primary</w:t>
      </w:r>
      <w:r w:rsidR="004248AD">
        <w:rPr>
          <w:rFonts w:ascii="Times New Roman" w:hAnsi="Times New Roman" w:cs="Times New Roman"/>
        </w:rPr>
        <w:t xml:space="preserve"> feature of the</w:t>
      </w:r>
      <w:r w:rsidR="008D7521" w:rsidRPr="00E477AE">
        <w:rPr>
          <w:rFonts w:ascii="Times New Roman" w:hAnsi="Times New Roman" w:cs="Times New Roman"/>
        </w:rPr>
        <w:t xml:space="preserve"> transaction in</w:t>
      </w:r>
      <w:r w:rsidR="00B977BA" w:rsidRPr="00E477AE">
        <w:rPr>
          <w:rFonts w:ascii="Times New Roman" w:hAnsi="Times New Roman" w:cs="Times New Roman"/>
        </w:rPr>
        <w:t xml:space="preserve"> the</w:t>
      </w:r>
      <w:r w:rsidR="008D7521" w:rsidRPr="00E477AE">
        <w:rPr>
          <w:rFonts w:ascii="Times New Roman" w:hAnsi="Times New Roman" w:cs="Times New Roman"/>
        </w:rPr>
        <w:t xml:space="preserve"> cases</w:t>
      </w:r>
      <w:r w:rsidR="00D14CEB">
        <w:rPr>
          <w:rFonts w:ascii="Times New Roman" w:hAnsi="Times New Roman" w:cs="Times New Roman"/>
        </w:rPr>
        <w:t xml:space="preserve"> relating to</w:t>
      </w:r>
      <w:r w:rsidR="008D7521" w:rsidRPr="00E477AE">
        <w:rPr>
          <w:rFonts w:ascii="Times New Roman" w:hAnsi="Times New Roman" w:cs="Times New Roman"/>
        </w:rPr>
        <w:t xml:space="preserve"> advancemen</w:t>
      </w:r>
      <w:r w:rsidR="00DB42E6" w:rsidRPr="00E477AE">
        <w:rPr>
          <w:rFonts w:ascii="Times New Roman" w:hAnsi="Times New Roman" w:cs="Times New Roman"/>
        </w:rPr>
        <w:t>t evinced</w:t>
      </w:r>
      <w:r w:rsidR="00B977BA" w:rsidRPr="00E477AE">
        <w:rPr>
          <w:rFonts w:ascii="Times New Roman" w:hAnsi="Times New Roman" w:cs="Times New Roman"/>
        </w:rPr>
        <w:t xml:space="preserve"> a</w:t>
      </w:r>
      <w:r w:rsidR="004248AD">
        <w:rPr>
          <w:rFonts w:ascii="Times New Roman" w:hAnsi="Times New Roman" w:cs="Times New Roman"/>
        </w:rPr>
        <w:t xml:space="preserve"> trust, albeit a trust that directly violates the law or public policy</w:t>
      </w:r>
      <w:r w:rsidR="008D7521" w:rsidRPr="00E477AE">
        <w:rPr>
          <w:rFonts w:ascii="Times New Roman" w:hAnsi="Times New Roman" w:cs="Times New Roman"/>
        </w:rPr>
        <w:t>.</w:t>
      </w:r>
      <w:r w:rsidR="00D14CEB">
        <w:rPr>
          <w:rFonts w:ascii="Times New Roman" w:hAnsi="Times New Roman" w:cs="Times New Roman"/>
        </w:rPr>
        <w:t xml:space="preserve"> The illegality of the trust in such cases </w:t>
      </w:r>
      <w:r w:rsidR="00283C77">
        <w:rPr>
          <w:rFonts w:ascii="Times New Roman" w:hAnsi="Times New Roman" w:cs="Times New Roman"/>
        </w:rPr>
        <w:t xml:space="preserve">becomes </w:t>
      </w:r>
      <w:r w:rsidR="00D14CEB">
        <w:rPr>
          <w:rFonts w:ascii="Times New Roman" w:hAnsi="Times New Roman" w:cs="Times New Roman"/>
        </w:rPr>
        <w:t>apparent</w:t>
      </w:r>
      <w:r w:rsidR="00283C77">
        <w:rPr>
          <w:rFonts w:ascii="Times New Roman" w:hAnsi="Times New Roman" w:cs="Times New Roman"/>
        </w:rPr>
        <w:t xml:space="preserve"> when </w:t>
      </w:r>
      <w:r w:rsidR="00D14CEB">
        <w:rPr>
          <w:rFonts w:ascii="Times New Roman" w:hAnsi="Times New Roman" w:cs="Times New Roman"/>
        </w:rPr>
        <w:t>the claimant attempts</w:t>
      </w:r>
      <w:r w:rsidR="00550871" w:rsidRPr="00E477AE">
        <w:rPr>
          <w:rFonts w:ascii="Times New Roman" w:hAnsi="Times New Roman" w:cs="Times New Roman"/>
        </w:rPr>
        <w:t xml:space="preserve"> to dislodge the presumption of gift</w:t>
      </w:r>
      <w:r w:rsidR="00D902D7">
        <w:rPr>
          <w:rFonts w:ascii="Times New Roman" w:hAnsi="Times New Roman" w:cs="Times New Roman"/>
        </w:rPr>
        <w:t xml:space="preserve"> and</w:t>
      </w:r>
      <w:r w:rsidR="00550871" w:rsidRPr="00E477AE">
        <w:rPr>
          <w:rFonts w:ascii="Times New Roman" w:hAnsi="Times New Roman" w:cs="Times New Roman"/>
        </w:rPr>
        <w:t xml:space="preserve"> ends up establishing a trust</w:t>
      </w:r>
      <w:r w:rsidR="00D902D7">
        <w:rPr>
          <w:rFonts w:ascii="Times New Roman" w:hAnsi="Times New Roman" w:cs="Times New Roman"/>
        </w:rPr>
        <w:t xml:space="preserve"> that directly violates the law;</w:t>
      </w:r>
      <w:r w:rsidR="00550871" w:rsidRPr="00E477AE">
        <w:rPr>
          <w:rStyle w:val="FootnoteReference"/>
          <w:rFonts w:ascii="Times New Roman" w:hAnsi="Times New Roman" w:cs="Times New Roman"/>
        </w:rPr>
        <w:footnoteReference w:id="10"/>
      </w:r>
      <w:r w:rsidR="00D902D7">
        <w:rPr>
          <w:rFonts w:ascii="Times New Roman" w:hAnsi="Times New Roman" w:cs="Times New Roman"/>
        </w:rPr>
        <w:t xml:space="preserve"> such a trust </w:t>
      </w:r>
      <w:r w:rsidR="00550871" w:rsidRPr="00E477AE">
        <w:rPr>
          <w:rFonts w:ascii="Times New Roman" w:hAnsi="Times New Roman" w:cs="Times New Roman"/>
        </w:rPr>
        <w:t xml:space="preserve">falls within the narrow remit of illegality in the law of trusts. </w:t>
      </w:r>
      <w:r w:rsidR="00283C77">
        <w:rPr>
          <w:rFonts w:ascii="Times New Roman" w:hAnsi="Times New Roman" w:cs="Times New Roman"/>
        </w:rPr>
        <w:t xml:space="preserve"> </w:t>
      </w:r>
      <w:r w:rsidR="00550871">
        <w:rPr>
          <w:rFonts w:ascii="Times New Roman" w:hAnsi="Times New Roman" w:cs="Times New Roman"/>
        </w:rPr>
        <w:t>Because the</w:t>
      </w:r>
      <w:r w:rsidR="00283C77">
        <w:rPr>
          <w:rFonts w:ascii="Times New Roman" w:hAnsi="Times New Roman" w:cs="Times New Roman"/>
        </w:rPr>
        <w:t xml:space="preserve"> trust</w:t>
      </w:r>
      <w:r w:rsidR="00550871">
        <w:rPr>
          <w:rFonts w:ascii="Times New Roman" w:hAnsi="Times New Roman" w:cs="Times New Roman"/>
        </w:rPr>
        <w:t xml:space="preserve"> established by</w:t>
      </w:r>
      <w:r w:rsidR="00C50001">
        <w:rPr>
          <w:rFonts w:ascii="Times New Roman" w:hAnsi="Times New Roman" w:cs="Times New Roman"/>
        </w:rPr>
        <w:t xml:space="preserve"> the </w:t>
      </w:r>
      <w:r w:rsidR="00550871">
        <w:rPr>
          <w:rFonts w:ascii="Times New Roman" w:hAnsi="Times New Roman" w:cs="Times New Roman"/>
        </w:rPr>
        <w:t>claimant</w:t>
      </w:r>
      <w:r w:rsidR="00C50001">
        <w:rPr>
          <w:rFonts w:ascii="Times New Roman" w:hAnsi="Times New Roman" w:cs="Times New Roman"/>
        </w:rPr>
        <w:t xml:space="preserve"> in advancement cases</w:t>
      </w:r>
      <w:r w:rsidR="00283C77">
        <w:rPr>
          <w:rFonts w:ascii="Times New Roman" w:hAnsi="Times New Roman" w:cs="Times New Roman"/>
        </w:rPr>
        <w:t xml:space="preserve"> </w:t>
      </w:r>
      <w:r w:rsidR="00906373">
        <w:rPr>
          <w:rFonts w:ascii="Times New Roman" w:hAnsi="Times New Roman" w:cs="Times New Roman"/>
        </w:rPr>
        <w:t>wa</w:t>
      </w:r>
      <w:r w:rsidR="00283C77">
        <w:rPr>
          <w:rFonts w:ascii="Times New Roman" w:hAnsi="Times New Roman" w:cs="Times New Roman"/>
        </w:rPr>
        <w:t>s</w:t>
      </w:r>
      <w:r w:rsidR="00550871">
        <w:rPr>
          <w:rFonts w:ascii="Times New Roman" w:hAnsi="Times New Roman" w:cs="Times New Roman"/>
        </w:rPr>
        <w:t xml:space="preserve"> directly</w:t>
      </w:r>
      <w:r w:rsidR="00283C77">
        <w:rPr>
          <w:rFonts w:ascii="Times New Roman" w:hAnsi="Times New Roman" w:cs="Times New Roman"/>
        </w:rPr>
        <w:t xml:space="preserve"> illegal and unenforceable, at least before </w:t>
      </w:r>
      <w:r w:rsidR="00283C77" w:rsidRPr="00906373">
        <w:rPr>
          <w:rFonts w:ascii="Times New Roman" w:hAnsi="Times New Roman" w:cs="Times New Roman"/>
          <w:i/>
        </w:rPr>
        <w:t>Patel</w:t>
      </w:r>
      <w:r w:rsidR="00283C77">
        <w:rPr>
          <w:rFonts w:ascii="Times New Roman" w:hAnsi="Times New Roman" w:cs="Times New Roman"/>
        </w:rPr>
        <w:t>, there was</w:t>
      </w:r>
      <w:r w:rsidR="0096756E">
        <w:rPr>
          <w:rFonts w:ascii="Times New Roman" w:hAnsi="Times New Roman" w:cs="Times New Roman"/>
        </w:rPr>
        <w:t xml:space="preserve"> little to dislodge the </w:t>
      </w:r>
      <w:r w:rsidR="00283C77">
        <w:rPr>
          <w:rFonts w:ascii="Times New Roman" w:hAnsi="Times New Roman" w:cs="Times New Roman"/>
        </w:rPr>
        <w:t>presumption of advancement which had to prevail</w:t>
      </w:r>
      <w:r w:rsidR="00906373">
        <w:rPr>
          <w:rFonts w:ascii="Times New Roman" w:hAnsi="Times New Roman" w:cs="Times New Roman"/>
        </w:rPr>
        <w:t>.</w:t>
      </w:r>
      <w:r w:rsidR="00CD6F17" w:rsidRPr="00E477AE">
        <w:rPr>
          <w:rFonts w:ascii="Times New Roman" w:hAnsi="Times New Roman" w:cs="Times New Roman"/>
        </w:rPr>
        <w:t xml:space="preserve"> </w:t>
      </w:r>
      <w:r w:rsidR="007E5F40">
        <w:rPr>
          <w:rFonts w:ascii="Times New Roman" w:hAnsi="Times New Roman" w:cs="Times New Roman"/>
        </w:rPr>
        <w:t xml:space="preserve">However, in the cases of advancement </w:t>
      </w:r>
      <w:r w:rsidR="009D0EAD">
        <w:rPr>
          <w:rFonts w:ascii="Times New Roman" w:hAnsi="Times New Roman" w:cs="Times New Roman"/>
        </w:rPr>
        <w:t>where there wa</w:t>
      </w:r>
      <w:r w:rsidR="007E5F40">
        <w:rPr>
          <w:rFonts w:ascii="Times New Roman" w:hAnsi="Times New Roman" w:cs="Times New Roman"/>
        </w:rPr>
        <w:t>s a subsequent transaction involving a declaration of trust by the transferee for the transferor, the valid declaration of trust (as the primary transaction) pre</w:t>
      </w:r>
      <w:r w:rsidR="009D0EAD">
        <w:rPr>
          <w:rFonts w:ascii="Times New Roman" w:hAnsi="Times New Roman" w:cs="Times New Roman"/>
        </w:rPr>
        <w:t>vailed</w:t>
      </w:r>
      <w:r w:rsidR="007E5F40">
        <w:rPr>
          <w:rFonts w:ascii="Times New Roman" w:hAnsi="Times New Roman" w:cs="Times New Roman"/>
        </w:rPr>
        <w:t xml:space="preserve"> over the presumption of gift; this instantiates the driving force of </w:t>
      </w:r>
      <w:r w:rsidR="00A576D2">
        <w:rPr>
          <w:rFonts w:ascii="Times New Roman" w:hAnsi="Times New Roman" w:cs="Times New Roman"/>
        </w:rPr>
        <w:t>a</w:t>
      </w:r>
      <w:r w:rsidR="007E5F40">
        <w:rPr>
          <w:rFonts w:ascii="Times New Roman" w:hAnsi="Times New Roman" w:cs="Times New Roman"/>
        </w:rPr>
        <w:t xml:space="preserve"> primary transaction, because the</w:t>
      </w:r>
      <w:r w:rsidR="00A576D2">
        <w:rPr>
          <w:rFonts w:ascii="Times New Roman" w:hAnsi="Times New Roman" w:cs="Times New Roman"/>
        </w:rPr>
        <w:t xml:space="preserve"> lawful and</w:t>
      </w:r>
      <w:r w:rsidR="007E5F40">
        <w:rPr>
          <w:rFonts w:ascii="Times New Roman" w:hAnsi="Times New Roman" w:cs="Times New Roman"/>
        </w:rPr>
        <w:t xml:space="preserve"> supervening decl</w:t>
      </w:r>
      <w:r w:rsidR="00C75024">
        <w:rPr>
          <w:rFonts w:ascii="Times New Roman" w:hAnsi="Times New Roman" w:cs="Times New Roman"/>
        </w:rPr>
        <w:t xml:space="preserve">aration of trust </w:t>
      </w:r>
      <w:r w:rsidR="007E5F40">
        <w:rPr>
          <w:rFonts w:ascii="Times New Roman" w:hAnsi="Times New Roman" w:cs="Times New Roman"/>
        </w:rPr>
        <w:t>would be enforced despite</w:t>
      </w:r>
      <w:r w:rsidR="00C75024">
        <w:rPr>
          <w:rFonts w:ascii="Times New Roman" w:hAnsi="Times New Roman" w:cs="Times New Roman"/>
        </w:rPr>
        <w:t xml:space="preserve"> the illegality of the initial transfer.</w:t>
      </w:r>
    </w:p>
    <w:p w14:paraId="182E53AA" w14:textId="77777777" w:rsidR="00283C77" w:rsidRDefault="00283C77" w:rsidP="00521DCD">
      <w:pPr>
        <w:ind w:firstLine="720"/>
        <w:jc w:val="both"/>
        <w:rPr>
          <w:rFonts w:ascii="Times New Roman" w:hAnsi="Times New Roman" w:cs="Times New Roman"/>
        </w:rPr>
      </w:pPr>
    </w:p>
    <w:p w14:paraId="304063EB" w14:textId="77777777" w:rsidR="009C1334" w:rsidRPr="00E477AE" w:rsidRDefault="007902F4" w:rsidP="00521DCD">
      <w:pPr>
        <w:ind w:firstLine="720"/>
        <w:jc w:val="both"/>
        <w:rPr>
          <w:rFonts w:ascii="Times New Roman" w:hAnsi="Times New Roman" w:cs="Times New Roman"/>
        </w:rPr>
      </w:pPr>
      <w:r w:rsidRPr="00E477AE">
        <w:rPr>
          <w:rFonts w:ascii="Times New Roman" w:hAnsi="Times New Roman" w:cs="Times New Roman"/>
        </w:rPr>
        <w:t>I suggest that</w:t>
      </w:r>
      <w:r w:rsidR="00B9343C" w:rsidRPr="00E477AE">
        <w:rPr>
          <w:rFonts w:ascii="Times New Roman" w:hAnsi="Times New Roman" w:cs="Times New Roman"/>
        </w:rPr>
        <w:t xml:space="preserve"> the proposition above</w:t>
      </w:r>
      <w:r w:rsidRPr="00E477AE">
        <w:rPr>
          <w:rFonts w:ascii="Times New Roman" w:hAnsi="Times New Roman" w:cs="Times New Roman"/>
        </w:rPr>
        <w:t xml:space="preserve"> provides an analytical framework for rationalizing the relevant cases on the subject.</w:t>
      </w:r>
      <w:r w:rsidR="00BE3823" w:rsidRPr="00E477AE">
        <w:rPr>
          <w:rFonts w:ascii="Times New Roman" w:hAnsi="Times New Roman" w:cs="Times New Roman"/>
        </w:rPr>
        <w:t xml:space="preserve"> </w:t>
      </w:r>
      <w:r w:rsidR="003C5017" w:rsidRPr="00E477AE">
        <w:rPr>
          <w:rFonts w:ascii="Times New Roman" w:hAnsi="Times New Roman" w:cs="Times New Roman"/>
        </w:rPr>
        <w:t>In</w:t>
      </w:r>
      <w:r w:rsidR="004731DB" w:rsidRPr="00E477AE">
        <w:rPr>
          <w:rFonts w:ascii="Times New Roman" w:hAnsi="Times New Roman" w:cs="Times New Roman"/>
        </w:rPr>
        <w:t xml:space="preserve"> </w:t>
      </w:r>
      <w:r w:rsidR="004731DB" w:rsidRPr="00E477AE">
        <w:rPr>
          <w:rFonts w:ascii="Times New Roman" w:hAnsi="Times New Roman" w:cs="Times New Roman"/>
          <w:i/>
        </w:rPr>
        <w:t>Haigh v Kaye</w:t>
      </w:r>
      <w:r w:rsidR="004731DB" w:rsidRPr="00E477AE">
        <w:rPr>
          <w:rFonts w:ascii="Times New Roman" w:hAnsi="Times New Roman" w:cs="Times New Roman"/>
        </w:rPr>
        <w:t>,</w:t>
      </w:r>
      <w:r w:rsidR="00AC1019" w:rsidRPr="00E477AE">
        <w:rPr>
          <w:rStyle w:val="FootnoteReference"/>
          <w:rFonts w:ascii="Times New Roman" w:hAnsi="Times New Roman" w:cs="Times New Roman"/>
        </w:rPr>
        <w:footnoteReference w:id="11"/>
      </w:r>
      <w:r w:rsidR="00935AEA" w:rsidRPr="00E477AE">
        <w:rPr>
          <w:rFonts w:ascii="Times New Roman" w:hAnsi="Times New Roman" w:cs="Times New Roman"/>
        </w:rPr>
        <w:t xml:space="preserve"> for example,</w:t>
      </w:r>
      <w:r w:rsidR="004731DB" w:rsidRPr="00E477AE">
        <w:rPr>
          <w:rFonts w:ascii="Times New Roman" w:hAnsi="Times New Roman" w:cs="Times New Roman"/>
        </w:rPr>
        <w:t xml:space="preserve"> the claimant, worried about the possibility of a</w:t>
      </w:r>
      <w:r w:rsidR="00152530" w:rsidRPr="00E477AE">
        <w:rPr>
          <w:rFonts w:ascii="Times New Roman" w:hAnsi="Times New Roman" w:cs="Times New Roman"/>
        </w:rPr>
        <w:t xml:space="preserve">n adverse decision in a </w:t>
      </w:r>
      <w:r w:rsidR="004731DB" w:rsidRPr="00E477AE">
        <w:rPr>
          <w:rFonts w:ascii="Times New Roman" w:hAnsi="Times New Roman" w:cs="Times New Roman"/>
        </w:rPr>
        <w:t>suit</w:t>
      </w:r>
      <w:r w:rsidR="00152530" w:rsidRPr="00E477AE">
        <w:rPr>
          <w:rFonts w:ascii="Times New Roman" w:hAnsi="Times New Roman" w:cs="Times New Roman"/>
        </w:rPr>
        <w:t xml:space="preserve"> which was then pending between him and another party</w:t>
      </w:r>
      <w:r w:rsidR="004731DB" w:rsidRPr="00E477AE">
        <w:rPr>
          <w:rFonts w:ascii="Times New Roman" w:hAnsi="Times New Roman" w:cs="Times New Roman"/>
        </w:rPr>
        <w:t>,</w:t>
      </w:r>
      <w:r w:rsidR="002B63B0" w:rsidRPr="00E477AE">
        <w:rPr>
          <w:rFonts w:ascii="Times New Roman" w:hAnsi="Times New Roman" w:cs="Times New Roman"/>
        </w:rPr>
        <w:t xml:space="preserve"> conveyed his land to the defendant</w:t>
      </w:r>
      <w:r w:rsidR="004731DB" w:rsidRPr="00E477AE">
        <w:rPr>
          <w:rFonts w:ascii="Times New Roman" w:hAnsi="Times New Roman" w:cs="Times New Roman"/>
        </w:rPr>
        <w:t xml:space="preserve"> d</w:t>
      </w:r>
      <w:r w:rsidRPr="00E477AE">
        <w:rPr>
          <w:rFonts w:ascii="Times New Roman" w:hAnsi="Times New Roman" w:cs="Times New Roman"/>
        </w:rPr>
        <w:t xml:space="preserve">uring the pendency of that suit; there was no </w:t>
      </w:r>
      <w:r w:rsidR="004731DB" w:rsidRPr="00E477AE">
        <w:rPr>
          <w:rFonts w:ascii="Times New Roman" w:hAnsi="Times New Roman" w:cs="Times New Roman"/>
        </w:rPr>
        <w:t>consideration</w:t>
      </w:r>
      <w:r w:rsidRPr="00E477AE">
        <w:rPr>
          <w:rFonts w:ascii="Times New Roman" w:hAnsi="Times New Roman" w:cs="Times New Roman"/>
        </w:rPr>
        <w:t xml:space="preserve"> for the conveyance, and transfer of property during the pendency of a suit is generally unlawful</w:t>
      </w:r>
      <w:r w:rsidR="006C1DAE" w:rsidRPr="00E477AE">
        <w:rPr>
          <w:rFonts w:ascii="Times New Roman" w:hAnsi="Times New Roman" w:cs="Times New Roman"/>
        </w:rPr>
        <w:t xml:space="preserve"> (as fraud against creditors)</w:t>
      </w:r>
      <w:r w:rsidR="004731DB" w:rsidRPr="00E477AE">
        <w:rPr>
          <w:rFonts w:ascii="Times New Roman" w:hAnsi="Times New Roman" w:cs="Times New Roman"/>
        </w:rPr>
        <w:t>.</w:t>
      </w:r>
      <w:r w:rsidR="00EB0BC7" w:rsidRPr="00E477AE">
        <w:rPr>
          <w:rFonts w:ascii="Times New Roman" w:hAnsi="Times New Roman" w:cs="Times New Roman"/>
        </w:rPr>
        <w:t xml:space="preserve"> </w:t>
      </w:r>
      <w:r w:rsidR="009C1334" w:rsidRPr="00E477AE">
        <w:rPr>
          <w:rFonts w:ascii="Times New Roman" w:hAnsi="Times New Roman" w:cs="Times New Roman"/>
        </w:rPr>
        <w:t>Although the defendant refused to re-convey the land to the claimant, he</w:t>
      </w:r>
      <w:r w:rsidR="00EB0BC7" w:rsidRPr="00E477AE">
        <w:rPr>
          <w:rFonts w:ascii="Times New Roman" w:hAnsi="Times New Roman" w:cs="Times New Roman"/>
        </w:rPr>
        <w:t xml:space="preserve"> admitted that</w:t>
      </w:r>
      <w:r w:rsidR="009C1334" w:rsidRPr="00E477AE">
        <w:rPr>
          <w:rFonts w:ascii="Times New Roman" w:hAnsi="Times New Roman" w:cs="Times New Roman"/>
        </w:rPr>
        <w:t xml:space="preserve"> the parties entered into </w:t>
      </w:r>
      <w:r w:rsidR="00EB0BC7" w:rsidRPr="00E477AE">
        <w:rPr>
          <w:rFonts w:ascii="Times New Roman" w:hAnsi="Times New Roman" w:cs="Times New Roman"/>
        </w:rPr>
        <w:t>an</w:t>
      </w:r>
      <w:r w:rsidR="00E11756" w:rsidRPr="00E477AE">
        <w:rPr>
          <w:rFonts w:ascii="Times New Roman" w:hAnsi="Times New Roman" w:cs="Times New Roman"/>
        </w:rPr>
        <w:t xml:space="preserve"> oral</w:t>
      </w:r>
      <w:r w:rsidR="00EB0BC7" w:rsidRPr="00E477AE">
        <w:rPr>
          <w:rFonts w:ascii="Times New Roman" w:hAnsi="Times New Roman" w:cs="Times New Roman"/>
        </w:rPr>
        <w:t xml:space="preserve"> express agreement</w:t>
      </w:r>
      <w:r w:rsidR="009C1334" w:rsidRPr="00E477AE">
        <w:rPr>
          <w:rFonts w:ascii="Times New Roman" w:hAnsi="Times New Roman" w:cs="Times New Roman"/>
        </w:rPr>
        <w:t>, to the effect</w:t>
      </w:r>
      <w:r w:rsidR="00E11756" w:rsidRPr="00E477AE">
        <w:rPr>
          <w:rFonts w:ascii="Times New Roman" w:hAnsi="Times New Roman" w:cs="Times New Roman"/>
        </w:rPr>
        <w:t xml:space="preserve"> </w:t>
      </w:r>
      <w:r w:rsidR="009C1334" w:rsidRPr="00E477AE">
        <w:rPr>
          <w:rFonts w:ascii="Times New Roman" w:hAnsi="Times New Roman" w:cs="Times New Roman"/>
        </w:rPr>
        <w:t>that he</w:t>
      </w:r>
      <w:r w:rsidR="00EB0BC7" w:rsidRPr="00E477AE">
        <w:rPr>
          <w:rFonts w:ascii="Times New Roman" w:hAnsi="Times New Roman" w:cs="Times New Roman"/>
        </w:rPr>
        <w:t xml:space="preserve"> would hold the</w:t>
      </w:r>
      <w:r w:rsidR="00A20E5E" w:rsidRPr="00E477AE">
        <w:rPr>
          <w:rFonts w:ascii="Times New Roman" w:hAnsi="Times New Roman" w:cs="Times New Roman"/>
        </w:rPr>
        <w:t xml:space="preserve"> land on trust for the cl</w:t>
      </w:r>
      <w:r w:rsidR="009C1334" w:rsidRPr="00E477AE">
        <w:rPr>
          <w:rFonts w:ascii="Times New Roman" w:hAnsi="Times New Roman" w:cs="Times New Roman"/>
        </w:rPr>
        <w:t>aimant. The claimant brought an action</w:t>
      </w:r>
      <w:r w:rsidR="005C7B53" w:rsidRPr="00E477AE">
        <w:rPr>
          <w:rFonts w:ascii="Times New Roman" w:hAnsi="Times New Roman" w:cs="Times New Roman"/>
        </w:rPr>
        <w:t xml:space="preserve"> for a declaration of trust.</w:t>
      </w:r>
      <w:r w:rsidR="004731DB" w:rsidRPr="00E477AE">
        <w:rPr>
          <w:rFonts w:ascii="Times New Roman" w:hAnsi="Times New Roman" w:cs="Times New Roman"/>
        </w:rPr>
        <w:t xml:space="preserve"> </w:t>
      </w:r>
      <w:r w:rsidR="00A20E5E" w:rsidRPr="00E477AE">
        <w:rPr>
          <w:rFonts w:ascii="Times New Roman" w:hAnsi="Times New Roman" w:cs="Times New Roman"/>
        </w:rPr>
        <w:t>The claimant appeared</w:t>
      </w:r>
      <w:r w:rsidR="005C7B53" w:rsidRPr="00E477AE">
        <w:rPr>
          <w:rFonts w:ascii="Times New Roman" w:hAnsi="Times New Roman" w:cs="Times New Roman"/>
        </w:rPr>
        <w:t xml:space="preserve"> to have relied on two types of trust</w:t>
      </w:r>
      <w:r w:rsidR="00A20E5E" w:rsidRPr="00E477AE">
        <w:rPr>
          <w:rFonts w:ascii="Times New Roman" w:hAnsi="Times New Roman" w:cs="Times New Roman"/>
        </w:rPr>
        <w:t>, although the judgment of James LJ did not make such a distinction</w:t>
      </w:r>
      <w:r w:rsidR="005C7B53" w:rsidRPr="00E477AE">
        <w:rPr>
          <w:rFonts w:ascii="Times New Roman" w:hAnsi="Times New Roman" w:cs="Times New Roman"/>
        </w:rPr>
        <w:t xml:space="preserve"> – presumed resulting trust</w:t>
      </w:r>
      <w:r w:rsidR="00A20E5E" w:rsidRPr="00E477AE">
        <w:rPr>
          <w:rFonts w:ascii="Times New Roman" w:hAnsi="Times New Roman" w:cs="Times New Roman"/>
        </w:rPr>
        <w:t>,</w:t>
      </w:r>
      <w:r w:rsidR="005C7B53" w:rsidRPr="00E477AE">
        <w:rPr>
          <w:rFonts w:ascii="Times New Roman" w:hAnsi="Times New Roman" w:cs="Times New Roman"/>
        </w:rPr>
        <w:t xml:space="preserve"> arising from the voluntary transfer</w:t>
      </w:r>
      <w:r w:rsidR="00A20E5E" w:rsidRPr="00E477AE">
        <w:rPr>
          <w:rFonts w:ascii="Times New Roman" w:hAnsi="Times New Roman" w:cs="Times New Roman"/>
        </w:rPr>
        <w:t>;</w:t>
      </w:r>
      <w:r w:rsidR="005C7B53" w:rsidRPr="00E477AE">
        <w:rPr>
          <w:rFonts w:ascii="Times New Roman" w:hAnsi="Times New Roman" w:cs="Times New Roman"/>
        </w:rPr>
        <w:t xml:space="preserve"> and express trust</w:t>
      </w:r>
      <w:r w:rsidR="00A20E5E" w:rsidRPr="00E477AE">
        <w:rPr>
          <w:rFonts w:ascii="Times New Roman" w:hAnsi="Times New Roman" w:cs="Times New Roman"/>
        </w:rPr>
        <w:t>,</w:t>
      </w:r>
      <w:r w:rsidR="005C7B53" w:rsidRPr="00E477AE">
        <w:rPr>
          <w:rFonts w:ascii="Times New Roman" w:hAnsi="Times New Roman" w:cs="Times New Roman"/>
        </w:rPr>
        <w:t xml:space="preserve"> arising from the paro</w:t>
      </w:r>
      <w:r w:rsidR="00A20E5E" w:rsidRPr="00E477AE">
        <w:rPr>
          <w:rFonts w:ascii="Times New Roman" w:hAnsi="Times New Roman" w:cs="Times New Roman"/>
        </w:rPr>
        <w:t xml:space="preserve">l agreement between the parties. </w:t>
      </w:r>
    </w:p>
    <w:p w14:paraId="0D7BDAD8" w14:textId="299A4846" w:rsidR="005635A2" w:rsidRPr="00E477AE" w:rsidRDefault="00A20E5E" w:rsidP="00521DCD">
      <w:pPr>
        <w:ind w:firstLine="720"/>
        <w:jc w:val="both"/>
        <w:rPr>
          <w:rFonts w:ascii="Times New Roman" w:hAnsi="Times New Roman" w:cs="Times New Roman"/>
        </w:rPr>
      </w:pPr>
      <w:r w:rsidRPr="00E477AE">
        <w:rPr>
          <w:rFonts w:ascii="Times New Roman" w:hAnsi="Times New Roman" w:cs="Times New Roman"/>
        </w:rPr>
        <w:t>In response to the resulting trust alleged by the claimant, t</w:t>
      </w:r>
      <w:r w:rsidR="004731DB" w:rsidRPr="00E477AE">
        <w:rPr>
          <w:rFonts w:ascii="Times New Roman" w:hAnsi="Times New Roman" w:cs="Times New Roman"/>
        </w:rPr>
        <w:t>he defendant</w:t>
      </w:r>
      <w:r w:rsidR="00272626" w:rsidRPr="00E477AE">
        <w:rPr>
          <w:rFonts w:ascii="Times New Roman" w:hAnsi="Times New Roman" w:cs="Times New Roman"/>
        </w:rPr>
        <w:t xml:space="preserve"> argued </w:t>
      </w:r>
      <w:r w:rsidRPr="00E477AE">
        <w:rPr>
          <w:rFonts w:ascii="Times New Roman" w:hAnsi="Times New Roman" w:cs="Times New Roman"/>
        </w:rPr>
        <w:t>that since</w:t>
      </w:r>
      <w:r w:rsidR="00EC28C3" w:rsidRPr="00E477AE">
        <w:rPr>
          <w:rFonts w:ascii="Times New Roman" w:hAnsi="Times New Roman" w:cs="Times New Roman"/>
        </w:rPr>
        <w:t xml:space="preserve"> the purpose of the conveyance</w:t>
      </w:r>
      <w:r w:rsidR="004731DB" w:rsidRPr="00E477AE">
        <w:rPr>
          <w:rFonts w:ascii="Times New Roman" w:hAnsi="Times New Roman" w:cs="Times New Roman"/>
        </w:rPr>
        <w:t xml:space="preserve"> was to put the land out of the reach of the potential </w:t>
      </w:r>
      <w:r w:rsidR="00EC28C3" w:rsidRPr="00E477AE">
        <w:rPr>
          <w:rFonts w:ascii="Times New Roman" w:hAnsi="Times New Roman" w:cs="Times New Roman"/>
        </w:rPr>
        <w:t>judgment</w:t>
      </w:r>
      <w:r w:rsidR="004731DB" w:rsidRPr="00E477AE">
        <w:rPr>
          <w:rFonts w:ascii="Times New Roman" w:hAnsi="Times New Roman" w:cs="Times New Roman"/>
        </w:rPr>
        <w:t xml:space="preserve"> cre</w:t>
      </w:r>
      <w:r w:rsidR="00272626" w:rsidRPr="00E477AE">
        <w:rPr>
          <w:rFonts w:ascii="Times New Roman" w:hAnsi="Times New Roman" w:cs="Times New Roman"/>
        </w:rPr>
        <w:t>ditor in that pending suit, the conveyance was</w:t>
      </w:r>
      <w:r w:rsidR="004731DB" w:rsidRPr="00E477AE">
        <w:rPr>
          <w:rFonts w:ascii="Times New Roman" w:hAnsi="Times New Roman" w:cs="Times New Roman"/>
        </w:rPr>
        <w:t xml:space="preserve"> fraudulent and unenforceable for </w:t>
      </w:r>
      <w:r w:rsidR="00272626" w:rsidRPr="00E477AE">
        <w:rPr>
          <w:rFonts w:ascii="Times New Roman" w:hAnsi="Times New Roman" w:cs="Times New Roman"/>
        </w:rPr>
        <w:t xml:space="preserve">being contrary to public policy; and that the court should refuse its assistance to </w:t>
      </w:r>
      <w:r w:rsidR="00795049" w:rsidRPr="00E477AE">
        <w:rPr>
          <w:rFonts w:ascii="Times New Roman" w:hAnsi="Times New Roman" w:cs="Times New Roman"/>
        </w:rPr>
        <w:t xml:space="preserve">the </w:t>
      </w:r>
      <w:r w:rsidR="00272626" w:rsidRPr="00E477AE">
        <w:rPr>
          <w:rFonts w:ascii="Times New Roman" w:hAnsi="Times New Roman" w:cs="Times New Roman"/>
        </w:rPr>
        <w:t xml:space="preserve">claimant </w:t>
      </w:r>
      <w:r w:rsidR="00795049" w:rsidRPr="00E477AE">
        <w:rPr>
          <w:rFonts w:ascii="Times New Roman" w:hAnsi="Times New Roman" w:cs="Times New Roman"/>
        </w:rPr>
        <w:t xml:space="preserve">on the basis that </w:t>
      </w:r>
      <w:r w:rsidR="00795049" w:rsidRPr="00E477AE">
        <w:rPr>
          <w:rFonts w:ascii="Times New Roman" w:hAnsi="Times New Roman" w:cs="Times New Roman"/>
          <w:i/>
        </w:rPr>
        <w:t>in pari delicto melior est condition possidentis</w:t>
      </w:r>
      <w:r w:rsidR="00795049" w:rsidRPr="00E477AE">
        <w:rPr>
          <w:rFonts w:ascii="Times New Roman" w:hAnsi="Times New Roman" w:cs="Times New Roman"/>
        </w:rPr>
        <w:t>.</w:t>
      </w:r>
      <w:r w:rsidR="00DD06BB" w:rsidRPr="00E477AE">
        <w:rPr>
          <w:rFonts w:ascii="Times New Roman" w:hAnsi="Times New Roman" w:cs="Times New Roman"/>
        </w:rPr>
        <w:t xml:space="preserve"> As to the oral express trust</w:t>
      </w:r>
      <w:r w:rsidR="00725651" w:rsidRPr="00E477AE">
        <w:rPr>
          <w:rFonts w:ascii="Times New Roman" w:hAnsi="Times New Roman" w:cs="Times New Roman"/>
        </w:rPr>
        <w:t xml:space="preserve"> claim</w:t>
      </w:r>
      <w:r w:rsidR="00DD06BB" w:rsidRPr="00E477AE">
        <w:rPr>
          <w:rFonts w:ascii="Times New Roman" w:hAnsi="Times New Roman" w:cs="Times New Roman"/>
        </w:rPr>
        <w:t>, the defendant argued that it was unenforceable for being contrary to the Statute of Frauds.</w:t>
      </w:r>
      <w:r w:rsidR="00273243" w:rsidRPr="00E477AE">
        <w:rPr>
          <w:rFonts w:ascii="Times New Roman" w:hAnsi="Times New Roman" w:cs="Times New Roman"/>
        </w:rPr>
        <w:t xml:space="preserve"> Granting the claimant’s claim, James LJ dismissed the illegali</w:t>
      </w:r>
      <w:r w:rsidR="00725651" w:rsidRPr="00E477AE">
        <w:rPr>
          <w:rFonts w:ascii="Times New Roman" w:hAnsi="Times New Roman" w:cs="Times New Roman"/>
        </w:rPr>
        <w:t>ty defence on the ground</w:t>
      </w:r>
      <w:r w:rsidR="00273243" w:rsidRPr="00E477AE">
        <w:rPr>
          <w:rFonts w:ascii="Times New Roman" w:hAnsi="Times New Roman" w:cs="Times New Roman"/>
        </w:rPr>
        <w:t xml:space="preserve"> that the defendant had</w:t>
      </w:r>
      <w:r w:rsidR="00725651" w:rsidRPr="00E477AE">
        <w:rPr>
          <w:rFonts w:ascii="Times New Roman" w:hAnsi="Times New Roman" w:cs="Times New Roman"/>
        </w:rPr>
        <w:t xml:space="preserve"> not clearly pleaded it</w:t>
      </w:r>
      <w:r w:rsidR="00273243" w:rsidRPr="00E477AE">
        <w:rPr>
          <w:rFonts w:ascii="Times New Roman" w:hAnsi="Times New Roman" w:cs="Times New Roman"/>
        </w:rPr>
        <w:t>: ‘If a defendant means to say that he claims to hold property given to him for an immoral purpose, in violation of all honour and honesty, he must say so in plain terms, and must clearly put forward his own scoundrelism if he means to reap the benefit of it’.</w:t>
      </w:r>
      <w:r w:rsidR="00273243" w:rsidRPr="00E477AE">
        <w:rPr>
          <w:rStyle w:val="FootnoteReference"/>
          <w:rFonts w:ascii="Times New Roman" w:hAnsi="Times New Roman" w:cs="Times New Roman"/>
        </w:rPr>
        <w:footnoteReference w:id="12"/>
      </w:r>
      <w:r w:rsidR="00725651" w:rsidRPr="00E477AE">
        <w:rPr>
          <w:rFonts w:ascii="Times New Roman" w:hAnsi="Times New Roman" w:cs="Times New Roman"/>
        </w:rPr>
        <w:t xml:space="preserve"> The Statute of Frauds argument was dismissed on the basis </w:t>
      </w:r>
      <w:r w:rsidR="005E19FB" w:rsidRPr="00E477AE">
        <w:rPr>
          <w:rFonts w:ascii="Times New Roman" w:hAnsi="Times New Roman" w:cs="Times New Roman"/>
        </w:rPr>
        <w:t>that the statute did no</w:t>
      </w:r>
      <w:r w:rsidR="00725651" w:rsidRPr="00E477AE">
        <w:rPr>
          <w:rFonts w:ascii="Times New Roman" w:hAnsi="Times New Roman" w:cs="Times New Roman"/>
        </w:rPr>
        <w:t xml:space="preserve">t apply to </w:t>
      </w:r>
      <w:r w:rsidR="005E19FB" w:rsidRPr="00E477AE">
        <w:rPr>
          <w:rFonts w:ascii="Times New Roman" w:hAnsi="Times New Roman" w:cs="Times New Roman"/>
        </w:rPr>
        <w:t>trust</w:t>
      </w:r>
      <w:r w:rsidR="00725651" w:rsidRPr="00E477AE">
        <w:rPr>
          <w:rFonts w:ascii="Times New Roman" w:hAnsi="Times New Roman" w:cs="Times New Roman"/>
        </w:rPr>
        <w:t>s</w:t>
      </w:r>
      <w:r w:rsidR="005E19FB" w:rsidRPr="00E477AE">
        <w:rPr>
          <w:rFonts w:ascii="Times New Roman" w:hAnsi="Times New Roman" w:cs="Times New Roman"/>
        </w:rPr>
        <w:t xml:space="preserve"> arising from operation of law</w:t>
      </w:r>
      <w:r w:rsidR="00725651" w:rsidRPr="00E477AE">
        <w:rPr>
          <w:rFonts w:ascii="Times New Roman" w:hAnsi="Times New Roman" w:cs="Times New Roman"/>
        </w:rPr>
        <w:t xml:space="preserve"> (including resulting trusts)</w:t>
      </w:r>
      <w:r w:rsidR="005E19FB" w:rsidRPr="00E477AE">
        <w:rPr>
          <w:rFonts w:ascii="Times New Roman" w:hAnsi="Times New Roman" w:cs="Times New Roman"/>
        </w:rPr>
        <w:t>;</w:t>
      </w:r>
      <w:r w:rsidR="005E19FB" w:rsidRPr="00E477AE">
        <w:rPr>
          <w:rStyle w:val="FootnoteReference"/>
          <w:rFonts w:ascii="Times New Roman" w:hAnsi="Times New Roman" w:cs="Times New Roman"/>
        </w:rPr>
        <w:footnoteReference w:id="13"/>
      </w:r>
      <w:r w:rsidR="005E19FB" w:rsidRPr="00E477AE">
        <w:rPr>
          <w:rFonts w:ascii="Times New Roman" w:hAnsi="Times New Roman" w:cs="Times New Roman"/>
        </w:rPr>
        <w:t xml:space="preserve"> and</w:t>
      </w:r>
      <w:r w:rsidR="00725651" w:rsidRPr="00E477AE">
        <w:rPr>
          <w:rFonts w:ascii="Times New Roman" w:hAnsi="Times New Roman" w:cs="Times New Roman"/>
        </w:rPr>
        <w:t xml:space="preserve"> that the statute</w:t>
      </w:r>
      <w:r w:rsidR="005E19FB" w:rsidRPr="00E477AE">
        <w:rPr>
          <w:rFonts w:ascii="Times New Roman" w:hAnsi="Times New Roman" w:cs="Times New Roman"/>
        </w:rPr>
        <w:t xml:space="preserve"> was ‘never intended to prevent the Court of Equity from giving relief in a case of a pla</w:t>
      </w:r>
      <w:r w:rsidR="00C30A35" w:rsidRPr="00E477AE">
        <w:rPr>
          <w:rFonts w:ascii="Times New Roman" w:hAnsi="Times New Roman" w:cs="Times New Roman"/>
        </w:rPr>
        <w:t>in, clear, and deliberate fraud</w:t>
      </w:r>
      <w:r w:rsidR="005E19FB" w:rsidRPr="00E477AE">
        <w:rPr>
          <w:rFonts w:ascii="Times New Roman" w:hAnsi="Times New Roman" w:cs="Times New Roman"/>
        </w:rPr>
        <w:t>’</w:t>
      </w:r>
      <w:r w:rsidR="00C30A35" w:rsidRPr="00E477AE">
        <w:rPr>
          <w:rFonts w:ascii="Times New Roman" w:hAnsi="Times New Roman" w:cs="Times New Roman"/>
        </w:rPr>
        <w:t>.</w:t>
      </w:r>
      <w:r w:rsidR="005E19FB" w:rsidRPr="00E477AE">
        <w:rPr>
          <w:rStyle w:val="FootnoteReference"/>
          <w:rFonts w:ascii="Times New Roman" w:hAnsi="Times New Roman" w:cs="Times New Roman"/>
        </w:rPr>
        <w:footnoteReference w:id="14"/>
      </w:r>
      <w:r w:rsidR="005E19FB" w:rsidRPr="00E477AE">
        <w:rPr>
          <w:rFonts w:ascii="Times New Roman" w:hAnsi="Times New Roman" w:cs="Times New Roman"/>
        </w:rPr>
        <w:t xml:space="preserve"> </w:t>
      </w:r>
      <w:r w:rsidR="00C30A35" w:rsidRPr="00E477AE">
        <w:rPr>
          <w:rFonts w:ascii="Times New Roman" w:hAnsi="Times New Roman" w:cs="Times New Roman"/>
        </w:rPr>
        <w:t xml:space="preserve">Thus, </w:t>
      </w:r>
      <w:r w:rsidR="00B54E05" w:rsidRPr="00E477AE">
        <w:rPr>
          <w:rFonts w:ascii="Times New Roman" w:hAnsi="Times New Roman" w:cs="Times New Roman"/>
        </w:rPr>
        <w:t>James LJ</w:t>
      </w:r>
      <w:r w:rsidR="00C30A35" w:rsidRPr="00E477AE">
        <w:rPr>
          <w:rFonts w:ascii="Times New Roman" w:hAnsi="Times New Roman" w:cs="Times New Roman"/>
        </w:rPr>
        <w:t xml:space="preserve"> appears to have enforced </w:t>
      </w:r>
      <w:r w:rsidR="00B54E05" w:rsidRPr="00E477AE">
        <w:rPr>
          <w:rFonts w:ascii="Times New Roman" w:hAnsi="Times New Roman" w:cs="Times New Roman"/>
        </w:rPr>
        <w:t>the</w:t>
      </w:r>
      <w:r w:rsidR="003450EE" w:rsidRPr="00E477AE">
        <w:rPr>
          <w:rFonts w:ascii="Times New Roman" w:hAnsi="Times New Roman" w:cs="Times New Roman"/>
        </w:rPr>
        <w:t xml:space="preserve"> i</w:t>
      </w:r>
      <w:r w:rsidR="00C30A35" w:rsidRPr="00E477AE">
        <w:rPr>
          <w:rFonts w:ascii="Times New Roman" w:hAnsi="Times New Roman" w:cs="Times New Roman"/>
        </w:rPr>
        <w:t>nvalid oral express trust</w:t>
      </w:r>
      <w:r w:rsidR="003450EE" w:rsidRPr="00E477AE">
        <w:rPr>
          <w:rFonts w:ascii="Times New Roman" w:hAnsi="Times New Roman" w:cs="Times New Roman"/>
        </w:rPr>
        <w:t xml:space="preserve"> as a constructive trust.</w:t>
      </w:r>
      <w:r w:rsidR="003450EE" w:rsidRPr="00E477AE">
        <w:rPr>
          <w:rStyle w:val="FootnoteReference"/>
          <w:rFonts w:ascii="Times New Roman" w:hAnsi="Times New Roman" w:cs="Times New Roman"/>
        </w:rPr>
        <w:footnoteReference w:id="15"/>
      </w:r>
      <w:r w:rsidR="003450EE" w:rsidRPr="00E477AE">
        <w:rPr>
          <w:rFonts w:ascii="Times New Roman" w:hAnsi="Times New Roman" w:cs="Times New Roman"/>
        </w:rPr>
        <w:t xml:space="preserve"> </w:t>
      </w:r>
      <w:r w:rsidR="00C30A35" w:rsidRPr="00E477AE">
        <w:rPr>
          <w:rFonts w:ascii="Times New Roman" w:hAnsi="Times New Roman" w:cs="Times New Roman"/>
        </w:rPr>
        <w:t>Although</w:t>
      </w:r>
      <w:r w:rsidR="003450EE" w:rsidRPr="00E477AE">
        <w:rPr>
          <w:rFonts w:ascii="Times New Roman" w:hAnsi="Times New Roman" w:cs="Times New Roman"/>
        </w:rPr>
        <w:t xml:space="preserve"> the </w:t>
      </w:r>
      <w:r w:rsidR="00C30A35" w:rsidRPr="00E477AE">
        <w:rPr>
          <w:rFonts w:ascii="Times New Roman" w:hAnsi="Times New Roman" w:cs="Times New Roman"/>
        </w:rPr>
        <w:t xml:space="preserve">illegality defence was dismissed on </w:t>
      </w:r>
      <w:r w:rsidR="003450EE" w:rsidRPr="00E477AE">
        <w:rPr>
          <w:rFonts w:ascii="Times New Roman" w:hAnsi="Times New Roman" w:cs="Times New Roman"/>
        </w:rPr>
        <w:t>procedural ground</w:t>
      </w:r>
      <w:r w:rsidR="00C30A35" w:rsidRPr="00E477AE">
        <w:rPr>
          <w:rFonts w:ascii="Times New Roman" w:hAnsi="Times New Roman" w:cs="Times New Roman"/>
        </w:rPr>
        <w:t>s in</w:t>
      </w:r>
      <w:r w:rsidR="00C30A35" w:rsidRPr="00E477AE">
        <w:rPr>
          <w:rFonts w:ascii="Times New Roman" w:hAnsi="Times New Roman" w:cs="Times New Roman"/>
          <w:i/>
        </w:rPr>
        <w:t xml:space="preserve"> Haigh,</w:t>
      </w:r>
      <w:r w:rsidR="00C30A35" w:rsidRPr="00E477AE">
        <w:rPr>
          <w:rFonts w:ascii="Times New Roman" w:hAnsi="Times New Roman" w:cs="Times New Roman"/>
        </w:rPr>
        <w:t xml:space="preserve"> the outcome would</w:t>
      </w:r>
      <w:r w:rsidR="009A3241" w:rsidRPr="00E477AE">
        <w:rPr>
          <w:rFonts w:ascii="Times New Roman" w:hAnsi="Times New Roman" w:cs="Times New Roman"/>
        </w:rPr>
        <w:t xml:space="preserve"> not </w:t>
      </w:r>
      <w:r w:rsidR="00C30A35" w:rsidRPr="00E477AE">
        <w:rPr>
          <w:rFonts w:ascii="Times New Roman" w:hAnsi="Times New Roman" w:cs="Times New Roman"/>
        </w:rPr>
        <w:t>have been</w:t>
      </w:r>
      <w:r w:rsidR="009A3241" w:rsidRPr="00E477AE">
        <w:rPr>
          <w:rFonts w:ascii="Times New Roman" w:hAnsi="Times New Roman" w:cs="Times New Roman"/>
        </w:rPr>
        <w:t xml:space="preserve"> different had the defence </w:t>
      </w:r>
      <w:r w:rsidR="00C30A35" w:rsidRPr="00E477AE">
        <w:rPr>
          <w:rFonts w:ascii="Times New Roman" w:hAnsi="Times New Roman" w:cs="Times New Roman"/>
        </w:rPr>
        <w:t xml:space="preserve">been properly pleaded. The </w:t>
      </w:r>
      <w:r w:rsidR="003450EE" w:rsidRPr="00E477AE">
        <w:rPr>
          <w:rFonts w:ascii="Times New Roman" w:hAnsi="Times New Roman" w:cs="Times New Roman"/>
        </w:rPr>
        <w:t xml:space="preserve">primary transaction in </w:t>
      </w:r>
      <w:r w:rsidR="003450EE" w:rsidRPr="00E477AE">
        <w:rPr>
          <w:rFonts w:ascii="Times New Roman" w:hAnsi="Times New Roman" w:cs="Times New Roman"/>
          <w:i/>
        </w:rPr>
        <w:t>Haigh</w:t>
      </w:r>
      <w:r w:rsidR="003450EE" w:rsidRPr="00E477AE">
        <w:rPr>
          <w:rFonts w:ascii="Times New Roman" w:hAnsi="Times New Roman" w:cs="Times New Roman"/>
        </w:rPr>
        <w:t xml:space="preserve"> was</w:t>
      </w:r>
      <w:r w:rsidR="00C30A35" w:rsidRPr="00E477AE">
        <w:rPr>
          <w:rFonts w:ascii="Times New Roman" w:hAnsi="Times New Roman" w:cs="Times New Roman"/>
        </w:rPr>
        <w:t xml:space="preserve"> simply</w:t>
      </w:r>
      <w:r w:rsidR="003450EE" w:rsidRPr="00E477AE">
        <w:rPr>
          <w:rFonts w:ascii="Times New Roman" w:hAnsi="Times New Roman" w:cs="Times New Roman"/>
        </w:rPr>
        <w:t xml:space="preserve"> the voluntary transfer to the</w:t>
      </w:r>
      <w:r w:rsidR="001B043F" w:rsidRPr="00E477AE">
        <w:rPr>
          <w:rFonts w:ascii="Times New Roman" w:hAnsi="Times New Roman" w:cs="Times New Roman"/>
        </w:rPr>
        <w:t xml:space="preserve"> defendant</w:t>
      </w:r>
      <w:r w:rsidR="00C30A35" w:rsidRPr="00E477AE">
        <w:rPr>
          <w:rFonts w:ascii="Times New Roman" w:hAnsi="Times New Roman" w:cs="Times New Roman"/>
        </w:rPr>
        <w:t xml:space="preserve">, which was </w:t>
      </w:r>
      <w:r w:rsidR="003450EE" w:rsidRPr="00E477AE">
        <w:rPr>
          <w:rFonts w:ascii="Times New Roman" w:hAnsi="Times New Roman" w:cs="Times New Roman"/>
        </w:rPr>
        <w:t>constitutive</w:t>
      </w:r>
      <w:r w:rsidR="00C30A35" w:rsidRPr="00E477AE">
        <w:rPr>
          <w:rFonts w:ascii="Times New Roman" w:hAnsi="Times New Roman" w:cs="Times New Roman"/>
        </w:rPr>
        <w:t xml:space="preserve"> of a valid and enforceable resulting trust.</w:t>
      </w:r>
      <w:r w:rsidR="001B043F" w:rsidRPr="00E477AE">
        <w:rPr>
          <w:rFonts w:ascii="Times New Roman" w:hAnsi="Times New Roman" w:cs="Times New Roman"/>
        </w:rPr>
        <w:t xml:space="preserve"> </w:t>
      </w:r>
      <w:r w:rsidR="00C30A35" w:rsidRPr="00E477AE">
        <w:rPr>
          <w:rFonts w:ascii="Times New Roman" w:hAnsi="Times New Roman" w:cs="Times New Roman"/>
        </w:rPr>
        <w:t>A</w:t>
      </w:r>
      <w:r w:rsidR="003450EE" w:rsidRPr="00E477AE">
        <w:rPr>
          <w:rFonts w:ascii="Times New Roman" w:hAnsi="Times New Roman" w:cs="Times New Roman"/>
        </w:rPr>
        <w:t>lternatively</w:t>
      </w:r>
      <w:r w:rsidR="001B043F" w:rsidRPr="00E477AE">
        <w:rPr>
          <w:rFonts w:ascii="Times New Roman" w:hAnsi="Times New Roman" w:cs="Times New Roman"/>
        </w:rPr>
        <w:t>,</w:t>
      </w:r>
      <w:r w:rsidR="00C30A35" w:rsidRPr="00E477AE">
        <w:rPr>
          <w:rFonts w:ascii="Times New Roman" w:hAnsi="Times New Roman" w:cs="Times New Roman"/>
        </w:rPr>
        <w:t xml:space="preserve"> there was a supervening declaration of</w:t>
      </w:r>
      <w:r w:rsidR="001B043F" w:rsidRPr="00E477AE">
        <w:rPr>
          <w:rFonts w:ascii="Times New Roman" w:hAnsi="Times New Roman" w:cs="Times New Roman"/>
        </w:rPr>
        <w:t xml:space="preserve"> trust</w:t>
      </w:r>
      <w:r w:rsidR="00207ADD" w:rsidRPr="00E477AE">
        <w:rPr>
          <w:rFonts w:ascii="Times New Roman" w:hAnsi="Times New Roman" w:cs="Times New Roman"/>
        </w:rPr>
        <w:t>,</w:t>
      </w:r>
      <w:r w:rsidR="001B043F" w:rsidRPr="00E477AE">
        <w:rPr>
          <w:rFonts w:ascii="Times New Roman" w:hAnsi="Times New Roman" w:cs="Times New Roman"/>
        </w:rPr>
        <w:t xml:space="preserve"> which, albeit unenforceable for lack of writing, was enfo</w:t>
      </w:r>
      <w:r w:rsidR="00207ADD" w:rsidRPr="00E477AE">
        <w:rPr>
          <w:rFonts w:ascii="Times New Roman" w:hAnsi="Times New Roman" w:cs="Times New Roman"/>
        </w:rPr>
        <w:t>rceable as a constructive trust.</w:t>
      </w:r>
      <w:r w:rsidR="00207ADD" w:rsidRPr="00E477AE">
        <w:rPr>
          <w:rStyle w:val="FootnoteReference"/>
          <w:rFonts w:ascii="Times New Roman" w:hAnsi="Times New Roman" w:cs="Times New Roman"/>
        </w:rPr>
        <w:footnoteReference w:id="16"/>
      </w:r>
      <w:r w:rsidR="009A3241" w:rsidRPr="00E477AE">
        <w:rPr>
          <w:rFonts w:ascii="Times New Roman" w:hAnsi="Times New Roman" w:cs="Times New Roman"/>
        </w:rPr>
        <w:t xml:space="preserve"> W</w:t>
      </w:r>
      <w:r w:rsidR="001B043F" w:rsidRPr="00E477AE">
        <w:rPr>
          <w:rFonts w:ascii="Times New Roman" w:hAnsi="Times New Roman" w:cs="Times New Roman"/>
        </w:rPr>
        <w:t>hichever way you look at it,</w:t>
      </w:r>
      <w:r w:rsidR="009A3241" w:rsidRPr="00E477AE">
        <w:rPr>
          <w:rFonts w:ascii="Times New Roman" w:hAnsi="Times New Roman" w:cs="Times New Roman"/>
        </w:rPr>
        <w:t xml:space="preserve"> therefore,</w:t>
      </w:r>
      <w:r w:rsidR="001B043F" w:rsidRPr="00E477AE">
        <w:rPr>
          <w:rFonts w:ascii="Times New Roman" w:hAnsi="Times New Roman" w:cs="Times New Roman"/>
        </w:rPr>
        <w:t xml:space="preserve"> there was a valid trust constituted by the</w:t>
      </w:r>
      <w:r w:rsidR="009A3241" w:rsidRPr="00E477AE">
        <w:rPr>
          <w:rFonts w:ascii="Times New Roman" w:hAnsi="Times New Roman" w:cs="Times New Roman"/>
        </w:rPr>
        <w:t xml:space="preserve"> primary</w:t>
      </w:r>
      <w:r w:rsidR="001B043F" w:rsidRPr="00E477AE">
        <w:rPr>
          <w:rFonts w:ascii="Times New Roman" w:hAnsi="Times New Roman" w:cs="Times New Roman"/>
        </w:rPr>
        <w:t xml:space="preserve"> transaction</w:t>
      </w:r>
      <w:r w:rsidR="009A3241" w:rsidRPr="00E477AE">
        <w:rPr>
          <w:rFonts w:ascii="Times New Roman" w:hAnsi="Times New Roman" w:cs="Times New Roman"/>
        </w:rPr>
        <w:t xml:space="preserve"> in </w:t>
      </w:r>
      <w:r w:rsidR="009A3241" w:rsidRPr="00E477AE">
        <w:rPr>
          <w:rFonts w:ascii="Times New Roman" w:hAnsi="Times New Roman" w:cs="Times New Roman"/>
          <w:i/>
        </w:rPr>
        <w:t>Haigh.</w:t>
      </w:r>
      <w:r w:rsidR="009A3241" w:rsidRPr="00E477AE">
        <w:rPr>
          <w:rFonts w:ascii="Times New Roman" w:hAnsi="Times New Roman" w:cs="Times New Roman"/>
        </w:rPr>
        <w:t xml:space="preserve"> Thus, the court was right to enforce the trust despite its underlying tainted motive.</w:t>
      </w:r>
    </w:p>
    <w:p w14:paraId="0C3417F8" w14:textId="2DD0B4A6" w:rsidR="00732B61" w:rsidRPr="00E477AE" w:rsidRDefault="00B04A79" w:rsidP="00521DCD">
      <w:pPr>
        <w:ind w:firstLine="720"/>
        <w:jc w:val="both"/>
        <w:rPr>
          <w:rFonts w:ascii="Times New Roman" w:hAnsi="Times New Roman" w:cs="Times New Roman"/>
        </w:rPr>
      </w:pPr>
      <w:r w:rsidRPr="00E477AE">
        <w:rPr>
          <w:rFonts w:ascii="Times New Roman" w:hAnsi="Times New Roman" w:cs="Times New Roman"/>
        </w:rPr>
        <w:t>The analysis above</w:t>
      </w:r>
      <w:r w:rsidR="00573945" w:rsidRPr="00E477AE">
        <w:rPr>
          <w:rFonts w:ascii="Times New Roman" w:hAnsi="Times New Roman" w:cs="Times New Roman"/>
        </w:rPr>
        <w:t xml:space="preserve"> is supported by </w:t>
      </w:r>
      <w:r w:rsidR="00573945" w:rsidRPr="00E477AE">
        <w:rPr>
          <w:rFonts w:ascii="Times New Roman" w:hAnsi="Times New Roman" w:cs="Times New Roman"/>
          <w:i/>
        </w:rPr>
        <w:t>Ayerst v Jenkins</w:t>
      </w:r>
      <w:r w:rsidR="00573945" w:rsidRPr="00E477AE">
        <w:rPr>
          <w:rFonts w:ascii="Times New Roman" w:hAnsi="Times New Roman" w:cs="Times New Roman"/>
        </w:rPr>
        <w:t>.</w:t>
      </w:r>
      <w:r w:rsidR="00573945" w:rsidRPr="00E477AE">
        <w:rPr>
          <w:rStyle w:val="FootnoteReference"/>
          <w:rFonts w:ascii="Times New Roman" w:hAnsi="Times New Roman" w:cs="Times New Roman"/>
        </w:rPr>
        <w:footnoteReference w:id="17"/>
      </w:r>
      <w:r w:rsidR="00441DC4" w:rsidRPr="00E477AE">
        <w:rPr>
          <w:rFonts w:ascii="Times New Roman" w:hAnsi="Times New Roman" w:cs="Times New Roman"/>
        </w:rPr>
        <w:t xml:space="preserve"> There, William (a widower), by trust deed, transferred shares to trustees </w:t>
      </w:r>
      <w:r w:rsidR="005A7291" w:rsidRPr="00E477AE">
        <w:rPr>
          <w:rFonts w:ascii="Times New Roman" w:hAnsi="Times New Roman" w:cs="Times New Roman"/>
        </w:rPr>
        <w:t xml:space="preserve">to hold </w:t>
      </w:r>
      <w:r w:rsidR="00441DC4" w:rsidRPr="00E477AE">
        <w:rPr>
          <w:rFonts w:ascii="Times New Roman" w:hAnsi="Times New Roman" w:cs="Times New Roman"/>
        </w:rPr>
        <w:t>on t</w:t>
      </w:r>
      <w:r w:rsidR="005A7291" w:rsidRPr="00E477AE">
        <w:rPr>
          <w:rFonts w:ascii="Times New Roman" w:hAnsi="Times New Roman" w:cs="Times New Roman"/>
        </w:rPr>
        <w:t>rust for the absolute benefit of Isabella, his deceased wife’s sister. Two days after the transfer, William married Isabella, but the marriage, to their knowledge, was void for being contrary to public policy and law</w:t>
      </w:r>
      <w:r w:rsidR="00E6166B" w:rsidRPr="00E477AE">
        <w:rPr>
          <w:rFonts w:ascii="Times New Roman" w:hAnsi="Times New Roman" w:cs="Times New Roman"/>
        </w:rPr>
        <w:t>,</w:t>
      </w:r>
      <w:r w:rsidR="005A7291" w:rsidRPr="00E477AE">
        <w:rPr>
          <w:rFonts w:ascii="Times New Roman" w:hAnsi="Times New Roman" w:cs="Times New Roman"/>
        </w:rPr>
        <w:t xml:space="preserve"> because the parties were within the statutorily prohibited degrees of consanguinity o</w:t>
      </w:r>
      <w:r w:rsidR="007045DB" w:rsidRPr="00E477AE">
        <w:rPr>
          <w:rFonts w:ascii="Times New Roman" w:hAnsi="Times New Roman" w:cs="Times New Roman"/>
        </w:rPr>
        <w:t xml:space="preserve">r affinity. </w:t>
      </w:r>
      <w:r w:rsidR="005A7291" w:rsidRPr="00E477AE">
        <w:rPr>
          <w:rFonts w:ascii="Times New Roman" w:hAnsi="Times New Roman" w:cs="Times New Roman"/>
        </w:rPr>
        <w:t>William died intestate, and Isabella married Mr. Jenkins a few years later. The claimant, William’s legal personal representative, brought the action</w:t>
      </w:r>
      <w:r w:rsidR="007045DB" w:rsidRPr="00E477AE">
        <w:rPr>
          <w:rFonts w:ascii="Times New Roman" w:hAnsi="Times New Roman" w:cs="Times New Roman"/>
        </w:rPr>
        <w:t xml:space="preserve"> and sought</w:t>
      </w:r>
      <w:r w:rsidR="005A7291" w:rsidRPr="00E477AE">
        <w:rPr>
          <w:rFonts w:ascii="Times New Roman" w:hAnsi="Times New Roman" w:cs="Times New Roman"/>
        </w:rPr>
        <w:t xml:space="preserve"> a declaration</w:t>
      </w:r>
      <w:r w:rsidR="00E71133" w:rsidRPr="00E477AE">
        <w:rPr>
          <w:rFonts w:ascii="Times New Roman" w:hAnsi="Times New Roman" w:cs="Times New Roman"/>
        </w:rPr>
        <w:t xml:space="preserve"> that the trust constituted by the trust deed was void,</w:t>
      </w:r>
      <w:r w:rsidR="007045DB" w:rsidRPr="00E477AE">
        <w:rPr>
          <w:rFonts w:ascii="Times New Roman" w:hAnsi="Times New Roman" w:cs="Times New Roman"/>
        </w:rPr>
        <w:t xml:space="preserve"> on the ground that the trust deed</w:t>
      </w:r>
      <w:r w:rsidR="00E71133" w:rsidRPr="00E477AE">
        <w:rPr>
          <w:rFonts w:ascii="Times New Roman" w:hAnsi="Times New Roman" w:cs="Times New Roman"/>
        </w:rPr>
        <w:t xml:space="preserve"> was made in contemplatio</w:t>
      </w:r>
      <w:r w:rsidR="008C2E74" w:rsidRPr="00E477AE">
        <w:rPr>
          <w:rFonts w:ascii="Times New Roman" w:hAnsi="Times New Roman" w:cs="Times New Roman"/>
        </w:rPr>
        <w:t>n</w:t>
      </w:r>
      <w:r w:rsidR="007045DB" w:rsidRPr="00E477AE">
        <w:rPr>
          <w:rFonts w:ascii="Times New Roman" w:hAnsi="Times New Roman" w:cs="Times New Roman"/>
        </w:rPr>
        <w:t>,</w:t>
      </w:r>
      <w:r w:rsidR="008C2E74" w:rsidRPr="00E477AE">
        <w:rPr>
          <w:rFonts w:ascii="Times New Roman" w:hAnsi="Times New Roman" w:cs="Times New Roman"/>
        </w:rPr>
        <w:t xml:space="preserve"> and</w:t>
      </w:r>
      <w:r w:rsidR="007045DB" w:rsidRPr="00E477AE">
        <w:rPr>
          <w:rFonts w:ascii="Times New Roman" w:hAnsi="Times New Roman" w:cs="Times New Roman"/>
        </w:rPr>
        <w:t xml:space="preserve"> in</w:t>
      </w:r>
      <w:r w:rsidR="008C2E74" w:rsidRPr="00E477AE">
        <w:rPr>
          <w:rFonts w:ascii="Times New Roman" w:hAnsi="Times New Roman" w:cs="Times New Roman"/>
        </w:rPr>
        <w:t xml:space="preserve"> consideration</w:t>
      </w:r>
      <w:r w:rsidR="007045DB" w:rsidRPr="00E477AE">
        <w:rPr>
          <w:rFonts w:ascii="Times New Roman" w:hAnsi="Times New Roman" w:cs="Times New Roman"/>
        </w:rPr>
        <w:t>,</w:t>
      </w:r>
      <w:r w:rsidR="008C2E74" w:rsidRPr="00E477AE">
        <w:rPr>
          <w:rFonts w:ascii="Times New Roman" w:hAnsi="Times New Roman" w:cs="Times New Roman"/>
        </w:rPr>
        <w:t xml:space="preserve"> of the </w:t>
      </w:r>
      <w:r w:rsidR="00E71133" w:rsidRPr="00E477AE">
        <w:rPr>
          <w:rFonts w:ascii="Times New Roman" w:hAnsi="Times New Roman" w:cs="Times New Roman"/>
        </w:rPr>
        <w:t>intended unlawf</w:t>
      </w:r>
      <w:r w:rsidR="008C2E74" w:rsidRPr="00E477AE">
        <w:rPr>
          <w:rFonts w:ascii="Times New Roman" w:hAnsi="Times New Roman" w:cs="Times New Roman"/>
        </w:rPr>
        <w:t>ul marriage between</w:t>
      </w:r>
      <w:r w:rsidR="007045DB" w:rsidRPr="00E477AE">
        <w:rPr>
          <w:rFonts w:ascii="Times New Roman" w:hAnsi="Times New Roman" w:cs="Times New Roman"/>
        </w:rPr>
        <w:t xml:space="preserve"> William and Isabella. Thus,</w:t>
      </w:r>
      <w:r w:rsidR="008C2E74" w:rsidRPr="00E477AE">
        <w:rPr>
          <w:rFonts w:ascii="Times New Roman" w:hAnsi="Times New Roman" w:cs="Times New Roman"/>
        </w:rPr>
        <w:t xml:space="preserve"> the claimant argued that</w:t>
      </w:r>
      <w:r w:rsidR="007045DB" w:rsidRPr="00E477AE">
        <w:rPr>
          <w:rFonts w:ascii="Times New Roman" w:hAnsi="Times New Roman" w:cs="Times New Roman"/>
        </w:rPr>
        <w:t xml:space="preserve"> there should be a resulting trust for </w:t>
      </w:r>
      <w:r w:rsidR="008C2E74" w:rsidRPr="00E477AE">
        <w:rPr>
          <w:rFonts w:ascii="Times New Roman" w:hAnsi="Times New Roman" w:cs="Times New Roman"/>
        </w:rPr>
        <w:t>William’s estate.</w:t>
      </w:r>
      <w:r w:rsidR="002D4AC3" w:rsidRPr="00E477AE">
        <w:rPr>
          <w:rFonts w:ascii="Times New Roman" w:hAnsi="Times New Roman" w:cs="Times New Roman"/>
        </w:rPr>
        <w:t xml:space="preserve"> Thus, in contrast to </w:t>
      </w:r>
      <w:r w:rsidR="002D4AC3" w:rsidRPr="00E477AE">
        <w:rPr>
          <w:rFonts w:ascii="Times New Roman" w:hAnsi="Times New Roman" w:cs="Times New Roman"/>
          <w:i/>
        </w:rPr>
        <w:t>Haigh,</w:t>
      </w:r>
      <w:r w:rsidR="00E6166B" w:rsidRPr="00E477AE">
        <w:rPr>
          <w:rFonts w:ascii="Times New Roman" w:hAnsi="Times New Roman" w:cs="Times New Roman"/>
        </w:rPr>
        <w:t xml:space="preserve"> </w:t>
      </w:r>
      <w:r w:rsidR="002D4AC3" w:rsidRPr="00E477AE">
        <w:rPr>
          <w:rFonts w:ascii="Times New Roman" w:hAnsi="Times New Roman" w:cs="Times New Roman"/>
        </w:rPr>
        <w:t xml:space="preserve">illegality was properly pleaded in </w:t>
      </w:r>
      <w:r w:rsidR="002D4AC3" w:rsidRPr="00E477AE">
        <w:rPr>
          <w:rFonts w:ascii="Times New Roman" w:hAnsi="Times New Roman" w:cs="Times New Roman"/>
          <w:i/>
        </w:rPr>
        <w:t>Ayerst</w:t>
      </w:r>
      <w:r w:rsidR="002D4AC3" w:rsidRPr="00E477AE">
        <w:rPr>
          <w:rFonts w:ascii="Times New Roman" w:hAnsi="Times New Roman" w:cs="Times New Roman"/>
        </w:rPr>
        <w:t xml:space="preserve">, a point emphasized in </w:t>
      </w:r>
      <w:r w:rsidR="00E6166B" w:rsidRPr="00E477AE">
        <w:rPr>
          <w:rFonts w:ascii="Times New Roman" w:hAnsi="Times New Roman" w:cs="Times New Roman"/>
        </w:rPr>
        <w:t>Lord Selborne LC</w:t>
      </w:r>
      <w:r w:rsidR="002D4AC3" w:rsidRPr="00E477AE">
        <w:rPr>
          <w:rFonts w:ascii="Times New Roman" w:hAnsi="Times New Roman" w:cs="Times New Roman"/>
        </w:rPr>
        <w:t>’s observation</w:t>
      </w:r>
      <w:r w:rsidR="00E6166B" w:rsidRPr="00E477AE">
        <w:rPr>
          <w:rFonts w:ascii="Times New Roman" w:hAnsi="Times New Roman" w:cs="Times New Roman"/>
        </w:rPr>
        <w:t xml:space="preserve"> that the relief sought by the claima</w:t>
      </w:r>
      <w:r w:rsidR="002D4AC3" w:rsidRPr="00E477AE">
        <w:rPr>
          <w:rFonts w:ascii="Times New Roman" w:hAnsi="Times New Roman" w:cs="Times New Roman"/>
        </w:rPr>
        <w:t xml:space="preserve">nt </w:t>
      </w:r>
      <w:r w:rsidR="00E6166B" w:rsidRPr="00E477AE">
        <w:rPr>
          <w:rFonts w:ascii="Times New Roman" w:hAnsi="Times New Roman" w:cs="Times New Roman"/>
        </w:rPr>
        <w:t>was ‘on the naked ground of the illegality of his own intention and purpose’.</w:t>
      </w:r>
      <w:r w:rsidR="00E6166B" w:rsidRPr="00E477AE">
        <w:rPr>
          <w:rStyle w:val="FootnoteReference"/>
          <w:rFonts w:ascii="Times New Roman" w:hAnsi="Times New Roman" w:cs="Times New Roman"/>
        </w:rPr>
        <w:footnoteReference w:id="18"/>
      </w:r>
      <w:r w:rsidR="005E3EA9" w:rsidRPr="00E477AE">
        <w:rPr>
          <w:rFonts w:ascii="Times New Roman" w:hAnsi="Times New Roman" w:cs="Times New Roman"/>
        </w:rPr>
        <w:t xml:space="preserve"> </w:t>
      </w:r>
      <w:r w:rsidR="002D4AC3" w:rsidRPr="00E477AE">
        <w:rPr>
          <w:rFonts w:ascii="Times New Roman" w:hAnsi="Times New Roman" w:cs="Times New Roman"/>
        </w:rPr>
        <w:t>More interestingly for this piece</w:t>
      </w:r>
      <w:r w:rsidR="005E3EA9" w:rsidRPr="00E477AE">
        <w:rPr>
          <w:rFonts w:ascii="Times New Roman" w:hAnsi="Times New Roman" w:cs="Times New Roman"/>
        </w:rPr>
        <w:t>, the</w:t>
      </w:r>
      <w:r w:rsidR="00142EF2" w:rsidRPr="00E477AE">
        <w:rPr>
          <w:rFonts w:ascii="Times New Roman" w:hAnsi="Times New Roman" w:cs="Times New Roman"/>
        </w:rPr>
        <w:t xml:space="preserve"> defendant argued that ‘in equity</w:t>
      </w:r>
      <w:r w:rsidR="003111EE" w:rsidRPr="00E477AE">
        <w:rPr>
          <w:rFonts w:ascii="Times New Roman" w:hAnsi="Times New Roman" w:cs="Times New Roman"/>
        </w:rPr>
        <w:t xml:space="preserve"> the transaction must be looked upon as complete; Mrs. Jenkins (Isabella) is as much mistress of the property as if it were money in her pocket, and she cannot be deprived of it’.</w:t>
      </w:r>
      <w:r w:rsidR="003111EE" w:rsidRPr="00E477AE">
        <w:rPr>
          <w:rStyle w:val="FootnoteReference"/>
          <w:rFonts w:ascii="Times New Roman" w:hAnsi="Times New Roman" w:cs="Times New Roman"/>
        </w:rPr>
        <w:footnoteReference w:id="19"/>
      </w:r>
      <w:r w:rsidR="002D4AC3" w:rsidRPr="00E477AE">
        <w:rPr>
          <w:rFonts w:ascii="Times New Roman" w:hAnsi="Times New Roman" w:cs="Times New Roman"/>
        </w:rPr>
        <w:t xml:space="preserve"> This implies that</w:t>
      </w:r>
      <w:r w:rsidR="003111EE" w:rsidRPr="00E477AE">
        <w:rPr>
          <w:rFonts w:ascii="Times New Roman" w:hAnsi="Times New Roman" w:cs="Times New Roman"/>
        </w:rPr>
        <w:t xml:space="preserve"> since the</w:t>
      </w:r>
      <w:r w:rsidR="002D4AC3" w:rsidRPr="00E477AE">
        <w:rPr>
          <w:rFonts w:ascii="Times New Roman" w:hAnsi="Times New Roman" w:cs="Times New Roman"/>
        </w:rPr>
        <w:t xml:space="preserve"> completed primary </w:t>
      </w:r>
      <w:r w:rsidR="003111EE" w:rsidRPr="00E477AE">
        <w:rPr>
          <w:rFonts w:ascii="Times New Roman" w:hAnsi="Times New Roman" w:cs="Times New Roman"/>
        </w:rPr>
        <w:t>transaction was constitutive of a vali</w:t>
      </w:r>
      <w:r w:rsidR="002D4AC3" w:rsidRPr="00E477AE">
        <w:rPr>
          <w:rFonts w:ascii="Times New Roman" w:hAnsi="Times New Roman" w:cs="Times New Roman"/>
        </w:rPr>
        <w:t>d express trust</w:t>
      </w:r>
      <w:r w:rsidR="00732B61" w:rsidRPr="00E477AE">
        <w:rPr>
          <w:rFonts w:ascii="Times New Roman" w:hAnsi="Times New Roman" w:cs="Times New Roman"/>
        </w:rPr>
        <w:t xml:space="preserve"> (transfer to trustees)</w:t>
      </w:r>
      <w:r w:rsidR="002D4AC3" w:rsidRPr="00E477AE">
        <w:rPr>
          <w:rFonts w:ascii="Times New Roman" w:hAnsi="Times New Roman" w:cs="Times New Roman"/>
        </w:rPr>
        <w:t>, the underlying</w:t>
      </w:r>
      <w:r w:rsidR="003111EE" w:rsidRPr="00E477AE">
        <w:rPr>
          <w:rFonts w:ascii="Times New Roman" w:hAnsi="Times New Roman" w:cs="Times New Roman"/>
        </w:rPr>
        <w:t xml:space="preserve"> illegal purpose</w:t>
      </w:r>
      <w:r w:rsidR="002D4AC3" w:rsidRPr="00E477AE">
        <w:rPr>
          <w:rFonts w:ascii="Times New Roman" w:hAnsi="Times New Roman" w:cs="Times New Roman"/>
        </w:rPr>
        <w:t xml:space="preserve"> was irrelevant</w:t>
      </w:r>
      <w:r w:rsidR="003111EE" w:rsidRPr="00E477AE">
        <w:rPr>
          <w:rFonts w:ascii="Times New Roman" w:hAnsi="Times New Roman" w:cs="Times New Roman"/>
        </w:rPr>
        <w:t>. Lo</w:t>
      </w:r>
      <w:r w:rsidR="00732B61" w:rsidRPr="00E477AE">
        <w:rPr>
          <w:rFonts w:ascii="Times New Roman" w:hAnsi="Times New Roman" w:cs="Times New Roman"/>
        </w:rPr>
        <w:t xml:space="preserve">rd Selborne LC </w:t>
      </w:r>
      <w:r w:rsidR="003111EE" w:rsidRPr="00E477AE">
        <w:rPr>
          <w:rFonts w:ascii="Times New Roman" w:hAnsi="Times New Roman" w:cs="Times New Roman"/>
        </w:rPr>
        <w:t>accepte</w:t>
      </w:r>
      <w:r w:rsidR="00732B61" w:rsidRPr="00E477AE">
        <w:rPr>
          <w:rFonts w:ascii="Times New Roman" w:hAnsi="Times New Roman" w:cs="Times New Roman"/>
        </w:rPr>
        <w:t>d this argument, observing</w:t>
      </w:r>
      <w:r w:rsidR="00D71E44" w:rsidRPr="00E477AE">
        <w:rPr>
          <w:rFonts w:ascii="Times New Roman" w:hAnsi="Times New Roman" w:cs="Times New Roman"/>
        </w:rPr>
        <w:t xml:space="preserve"> that the relief sought was against</w:t>
      </w:r>
      <w:r w:rsidR="004D73E3" w:rsidRPr="00E477AE">
        <w:rPr>
          <w:rFonts w:ascii="Times New Roman" w:hAnsi="Times New Roman" w:cs="Times New Roman"/>
        </w:rPr>
        <w:t>:</w:t>
      </w:r>
      <w:r w:rsidR="00D71E44" w:rsidRPr="00E477AE">
        <w:rPr>
          <w:rFonts w:ascii="Times New Roman" w:hAnsi="Times New Roman" w:cs="Times New Roman"/>
        </w:rPr>
        <w:t xml:space="preserve"> </w:t>
      </w:r>
    </w:p>
    <w:p w14:paraId="57BE372A" w14:textId="77777777" w:rsidR="00732B61" w:rsidRPr="00E477AE" w:rsidRDefault="00732B61" w:rsidP="00521DCD">
      <w:pPr>
        <w:jc w:val="both"/>
        <w:rPr>
          <w:rFonts w:ascii="Times New Roman" w:hAnsi="Times New Roman" w:cs="Times New Roman"/>
        </w:rPr>
      </w:pPr>
    </w:p>
    <w:p w14:paraId="140660B3" w14:textId="6A290A74" w:rsidR="00732B61" w:rsidRPr="00E477AE" w:rsidRDefault="00D71E44" w:rsidP="00521DCD">
      <w:pPr>
        <w:ind w:left="720"/>
        <w:jc w:val="both"/>
        <w:rPr>
          <w:rFonts w:ascii="Times New Roman" w:hAnsi="Times New Roman" w:cs="Times New Roman"/>
        </w:rPr>
      </w:pPr>
      <w:r w:rsidRPr="00E477AE">
        <w:rPr>
          <w:rFonts w:ascii="Times New Roman" w:hAnsi="Times New Roman" w:cs="Times New Roman"/>
        </w:rPr>
        <w:t>a completed transfer of specific chattels, by which the legal estate in those chattels was absolutely vested in trustees…for the sole benefit of the Defendant. I know no doctrine of public policy which requires, or authorizes, a Court of Equity to give assistance to such a Pla</w:t>
      </w:r>
      <w:r w:rsidR="00732B61" w:rsidRPr="00E477AE">
        <w:rPr>
          <w:rFonts w:ascii="Times New Roman" w:hAnsi="Times New Roman" w:cs="Times New Roman"/>
        </w:rPr>
        <w:t>intiff under such circumstances</w:t>
      </w:r>
      <w:r w:rsidRPr="00E477AE">
        <w:rPr>
          <w:rFonts w:ascii="Times New Roman" w:hAnsi="Times New Roman" w:cs="Times New Roman"/>
        </w:rPr>
        <w:t>.</w:t>
      </w:r>
      <w:r w:rsidRPr="00E477AE">
        <w:rPr>
          <w:rStyle w:val="FootnoteReference"/>
          <w:rFonts w:ascii="Times New Roman" w:hAnsi="Times New Roman" w:cs="Times New Roman"/>
        </w:rPr>
        <w:footnoteReference w:id="20"/>
      </w:r>
      <w:r w:rsidR="00272BEE" w:rsidRPr="00E477AE">
        <w:rPr>
          <w:rFonts w:ascii="Times New Roman" w:hAnsi="Times New Roman" w:cs="Times New Roman"/>
        </w:rPr>
        <w:t xml:space="preserve"> </w:t>
      </w:r>
    </w:p>
    <w:p w14:paraId="65B123FB" w14:textId="77777777" w:rsidR="00732B61" w:rsidRPr="00E477AE" w:rsidRDefault="00732B61" w:rsidP="00521DCD">
      <w:pPr>
        <w:jc w:val="both"/>
        <w:rPr>
          <w:rFonts w:ascii="Times New Roman" w:hAnsi="Times New Roman" w:cs="Times New Roman"/>
        </w:rPr>
      </w:pPr>
    </w:p>
    <w:p w14:paraId="6EFAA2A8" w14:textId="14905F6E" w:rsidR="00D13E54" w:rsidRPr="00E477AE" w:rsidRDefault="00DD2084" w:rsidP="00521DCD">
      <w:pPr>
        <w:jc w:val="both"/>
        <w:rPr>
          <w:rFonts w:ascii="Times New Roman" w:hAnsi="Times New Roman" w:cs="Times New Roman"/>
        </w:rPr>
      </w:pPr>
      <w:r w:rsidRPr="00E477AE">
        <w:rPr>
          <w:rFonts w:ascii="Times New Roman" w:hAnsi="Times New Roman" w:cs="Times New Roman"/>
        </w:rPr>
        <w:t>Furthermore</w:t>
      </w:r>
      <w:r w:rsidR="00272BEE" w:rsidRPr="00E477AE">
        <w:rPr>
          <w:rFonts w:ascii="Times New Roman" w:hAnsi="Times New Roman" w:cs="Times New Roman"/>
        </w:rPr>
        <w:t xml:space="preserve">, Lord Selborne LC noted that the ‘voluntary gift of part of his own property by one </w:t>
      </w:r>
      <w:r w:rsidR="00272BEE" w:rsidRPr="00E477AE">
        <w:rPr>
          <w:rFonts w:ascii="Times New Roman" w:hAnsi="Times New Roman" w:cs="Times New Roman"/>
          <w:i/>
        </w:rPr>
        <w:t>particeps criminis</w:t>
      </w:r>
      <w:r w:rsidR="00272BEE" w:rsidRPr="00E477AE">
        <w:rPr>
          <w:rFonts w:ascii="Times New Roman" w:hAnsi="Times New Roman" w:cs="Times New Roman"/>
        </w:rPr>
        <w:t xml:space="preserve"> to another, is in itself neither fraudulent nor prohibited by law’, implying that since the critical transaction effectuated a valid transfer to the trustees</w:t>
      </w:r>
      <w:r w:rsidR="00CB7B35" w:rsidRPr="00E477AE">
        <w:rPr>
          <w:rFonts w:ascii="Times New Roman" w:hAnsi="Times New Roman" w:cs="Times New Roman"/>
        </w:rPr>
        <w:t>,</w:t>
      </w:r>
      <w:r w:rsidR="00272BEE" w:rsidRPr="00E477AE">
        <w:rPr>
          <w:rFonts w:ascii="Times New Roman" w:hAnsi="Times New Roman" w:cs="Times New Roman"/>
        </w:rPr>
        <w:t xml:space="preserve"> on trust for Isabella, the court would not void that trust on the basis of its subterranean illegality</w:t>
      </w:r>
      <w:r w:rsidR="00DE5544">
        <w:rPr>
          <w:rFonts w:ascii="Times New Roman" w:hAnsi="Times New Roman" w:cs="Times New Roman"/>
        </w:rPr>
        <w:t xml:space="preserve">. </w:t>
      </w:r>
      <w:r w:rsidR="00BB0214" w:rsidRPr="00E477AE">
        <w:rPr>
          <w:rFonts w:ascii="Times New Roman" w:hAnsi="Times New Roman" w:cs="Times New Roman"/>
          <w:i/>
        </w:rPr>
        <w:t>Ayerst</w:t>
      </w:r>
      <w:r w:rsidR="00BB0214" w:rsidRPr="00E477AE">
        <w:rPr>
          <w:rFonts w:ascii="Times New Roman" w:hAnsi="Times New Roman" w:cs="Times New Roman"/>
        </w:rPr>
        <w:t xml:space="preserve"> is equally explicable on the basis of the public policy rule that a court would not allow a party to benefit from their own wrong, something Lord Selborne</w:t>
      </w:r>
      <w:r w:rsidR="00D13E54" w:rsidRPr="00E477AE">
        <w:rPr>
          <w:rFonts w:ascii="Times New Roman" w:hAnsi="Times New Roman" w:cs="Times New Roman"/>
        </w:rPr>
        <w:t xml:space="preserve"> LC</w:t>
      </w:r>
      <w:r w:rsidR="00BB0214" w:rsidRPr="00E477AE">
        <w:rPr>
          <w:rFonts w:ascii="Times New Roman" w:hAnsi="Times New Roman" w:cs="Times New Roman"/>
        </w:rPr>
        <w:t xml:space="preserve"> alluded to when he quoted from </w:t>
      </w:r>
      <w:r w:rsidR="00BB0214" w:rsidRPr="00E477AE">
        <w:rPr>
          <w:rFonts w:ascii="Times New Roman" w:hAnsi="Times New Roman" w:cs="Times New Roman"/>
          <w:i/>
        </w:rPr>
        <w:t>Benyon v Nettlefold</w:t>
      </w:r>
      <w:r w:rsidR="00BB0214" w:rsidRPr="00E477AE">
        <w:rPr>
          <w:rFonts w:ascii="Times New Roman" w:hAnsi="Times New Roman" w:cs="Times New Roman"/>
        </w:rPr>
        <w:t>,</w:t>
      </w:r>
      <w:r w:rsidR="00896283" w:rsidRPr="00E477AE">
        <w:rPr>
          <w:rStyle w:val="FootnoteReference"/>
          <w:rFonts w:ascii="Times New Roman" w:hAnsi="Times New Roman" w:cs="Times New Roman"/>
        </w:rPr>
        <w:footnoteReference w:id="21"/>
      </w:r>
      <w:r w:rsidR="00BB0214" w:rsidRPr="00E477AE">
        <w:rPr>
          <w:rFonts w:ascii="Times New Roman" w:hAnsi="Times New Roman" w:cs="Times New Roman"/>
        </w:rPr>
        <w:t xml:space="preserve"> to the effect that ‘on the grounds of public policy…those who violate the law must not apply to the law for protection’.</w:t>
      </w:r>
      <w:r w:rsidR="00896283" w:rsidRPr="00E477AE">
        <w:rPr>
          <w:rStyle w:val="FootnoteReference"/>
          <w:rFonts w:ascii="Times New Roman" w:hAnsi="Times New Roman" w:cs="Times New Roman"/>
        </w:rPr>
        <w:footnoteReference w:id="22"/>
      </w:r>
      <w:r w:rsidR="00BB0214" w:rsidRPr="00E477AE">
        <w:rPr>
          <w:rFonts w:ascii="Times New Roman" w:hAnsi="Times New Roman" w:cs="Times New Roman"/>
        </w:rPr>
        <w:t xml:space="preserve">  </w:t>
      </w:r>
    </w:p>
    <w:p w14:paraId="7CB4C953" w14:textId="49594DC1" w:rsidR="00C175EA" w:rsidRPr="00E477AE" w:rsidRDefault="00896283" w:rsidP="00521DCD">
      <w:pPr>
        <w:ind w:firstLine="720"/>
        <w:jc w:val="both"/>
        <w:rPr>
          <w:rFonts w:ascii="Times New Roman" w:hAnsi="Times New Roman" w:cs="Times New Roman"/>
        </w:rPr>
      </w:pPr>
      <w:r w:rsidRPr="00E477AE">
        <w:rPr>
          <w:rFonts w:ascii="Times New Roman" w:hAnsi="Times New Roman" w:cs="Times New Roman"/>
        </w:rPr>
        <w:t>Furthermore,</w:t>
      </w:r>
      <w:r w:rsidR="00BB0214" w:rsidRPr="00E477AE">
        <w:rPr>
          <w:rFonts w:ascii="Times New Roman" w:hAnsi="Times New Roman" w:cs="Times New Roman"/>
        </w:rPr>
        <w:t xml:space="preserve"> while Lord Selborne</w:t>
      </w:r>
      <w:r w:rsidR="00D13E54" w:rsidRPr="00E477AE">
        <w:rPr>
          <w:rFonts w:ascii="Times New Roman" w:hAnsi="Times New Roman" w:cs="Times New Roman"/>
        </w:rPr>
        <w:t xml:space="preserve"> LC</w:t>
      </w:r>
      <w:r w:rsidR="00BB0214" w:rsidRPr="00E477AE">
        <w:rPr>
          <w:rFonts w:ascii="Times New Roman" w:hAnsi="Times New Roman" w:cs="Times New Roman"/>
        </w:rPr>
        <w:t xml:space="preserve"> observed</w:t>
      </w:r>
      <w:r w:rsidR="00B03549">
        <w:rPr>
          <w:rFonts w:ascii="Times New Roman" w:hAnsi="Times New Roman" w:cs="Times New Roman"/>
        </w:rPr>
        <w:t>, in passing,</w:t>
      </w:r>
      <w:r w:rsidR="00BB0214" w:rsidRPr="00E477AE">
        <w:rPr>
          <w:rFonts w:ascii="Times New Roman" w:hAnsi="Times New Roman" w:cs="Times New Roman"/>
        </w:rPr>
        <w:t xml:space="preserve"> that ‘It is a maxim of law not opposed to any equity, that “</w:t>
      </w:r>
      <w:r w:rsidR="00BB0214" w:rsidRPr="00E477AE">
        <w:rPr>
          <w:rFonts w:ascii="Times New Roman" w:hAnsi="Times New Roman" w:cs="Times New Roman"/>
          <w:i/>
        </w:rPr>
        <w:t>in pari delicto melior est condition possidentis</w:t>
      </w:r>
      <w:r w:rsidRPr="00E477AE">
        <w:rPr>
          <w:rFonts w:ascii="Times New Roman" w:hAnsi="Times New Roman" w:cs="Times New Roman"/>
        </w:rPr>
        <w:t>”’</w:t>
      </w:r>
      <w:r w:rsidR="00BB0214" w:rsidRPr="00E477AE">
        <w:rPr>
          <w:rFonts w:ascii="Times New Roman" w:hAnsi="Times New Roman" w:cs="Times New Roman"/>
        </w:rPr>
        <w:t>,</w:t>
      </w:r>
      <w:r w:rsidRPr="00E477AE">
        <w:rPr>
          <w:rStyle w:val="FootnoteReference"/>
          <w:rFonts w:ascii="Times New Roman" w:hAnsi="Times New Roman" w:cs="Times New Roman"/>
        </w:rPr>
        <w:footnoteReference w:id="23"/>
      </w:r>
      <w:r w:rsidR="00BB0214" w:rsidRPr="00E477AE">
        <w:rPr>
          <w:rFonts w:ascii="Times New Roman" w:hAnsi="Times New Roman" w:cs="Times New Roman"/>
        </w:rPr>
        <w:t xml:space="preserve"> it is not clear</w:t>
      </w:r>
      <w:r w:rsidR="00D13E54" w:rsidRPr="00E477AE">
        <w:rPr>
          <w:rFonts w:ascii="Times New Roman" w:hAnsi="Times New Roman" w:cs="Times New Roman"/>
        </w:rPr>
        <w:t xml:space="preserve"> that he based his judgment on the </w:t>
      </w:r>
      <w:r w:rsidRPr="00E477AE">
        <w:rPr>
          <w:rFonts w:ascii="Times New Roman" w:hAnsi="Times New Roman" w:cs="Times New Roman"/>
        </w:rPr>
        <w:t xml:space="preserve">ground of William’s </w:t>
      </w:r>
      <w:r w:rsidR="00BB0214" w:rsidRPr="00E477AE">
        <w:rPr>
          <w:rFonts w:ascii="Times New Roman" w:hAnsi="Times New Roman" w:cs="Times New Roman"/>
        </w:rPr>
        <w:t xml:space="preserve">illegality.  I suggest that the main ground of the decision in </w:t>
      </w:r>
      <w:r w:rsidR="00BB0214" w:rsidRPr="00E477AE">
        <w:rPr>
          <w:rFonts w:ascii="Times New Roman" w:hAnsi="Times New Roman" w:cs="Times New Roman"/>
          <w:i/>
        </w:rPr>
        <w:t xml:space="preserve">Ayerst </w:t>
      </w:r>
      <w:r w:rsidR="00D13E54" w:rsidRPr="00E477AE">
        <w:rPr>
          <w:rFonts w:ascii="Times New Roman" w:hAnsi="Times New Roman" w:cs="Times New Roman"/>
        </w:rPr>
        <w:t xml:space="preserve">was that the </w:t>
      </w:r>
      <w:r w:rsidR="00BB0214" w:rsidRPr="00E477AE">
        <w:rPr>
          <w:rFonts w:ascii="Times New Roman" w:hAnsi="Times New Roman" w:cs="Times New Roman"/>
        </w:rPr>
        <w:t xml:space="preserve">primary transaction </w:t>
      </w:r>
      <w:r w:rsidR="00D13E54" w:rsidRPr="00E477AE">
        <w:rPr>
          <w:rFonts w:ascii="Times New Roman" w:hAnsi="Times New Roman" w:cs="Times New Roman"/>
        </w:rPr>
        <w:t xml:space="preserve">in that case clearly established an express and </w:t>
      </w:r>
      <w:r w:rsidR="00BB0214" w:rsidRPr="00E477AE">
        <w:rPr>
          <w:rFonts w:ascii="Times New Roman" w:hAnsi="Times New Roman" w:cs="Times New Roman"/>
        </w:rPr>
        <w:t>valid trust</w:t>
      </w:r>
      <w:r w:rsidR="00D13E54" w:rsidRPr="00E477AE">
        <w:rPr>
          <w:rFonts w:ascii="Times New Roman" w:hAnsi="Times New Roman" w:cs="Times New Roman"/>
        </w:rPr>
        <w:t>.</w:t>
      </w:r>
      <w:r w:rsidR="00BB0214" w:rsidRPr="00E477AE">
        <w:rPr>
          <w:rFonts w:ascii="Times New Roman" w:hAnsi="Times New Roman" w:cs="Times New Roman"/>
        </w:rPr>
        <w:t xml:space="preserve"> </w:t>
      </w:r>
      <w:r w:rsidR="00602884" w:rsidRPr="00E477AE">
        <w:rPr>
          <w:rFonts w:ascii="Times New Roman" w:hAnsi="Times New Roman" w:cs="Times New Roman"/>
        </w:rPr>
        <w:t>This line of reasoning was captu</w:t>
      </w:r>
      <w:r w:rsidR="00C175EA" w:rsidRPr="00E477AE">
        <w:rPr>
          <w:rFonts w:ascii="Times New Roman" w:hAnsi="Times New Roman" w:cs="Times New Roman"/>
        </w:rPr>
        <w:t xml:space="preserve">red in </w:t>
      </w:r>
      <w:r w:rsidR="00602884" w:rsidRPr="00E477AE">
        <w:rPr>
          <w:rFonts w:ascii="Times New Roman" w:hAnsi="Times New Roman" w:cs="Times New Roman"/>
        </w:rPr>
        <w:t>Lord Selborne</w:t>
      </w:r>
      <w:r w:rsidR="00C175EA" w:rsidRPr="00E477AE">
        <w:rPr>
          <w:rFonts w:ascii="Times New Roman" w:hAnsi="Times New Roman" w:cs="Times New Roman"/>
        </w:rPr>
        <w:t xml:space="preserve"> LC’s observation</w:t>
      </w:r>
      <w:r w:rsidR="00602884" w:rsidRPr="00E477AE">
        <w:rPr>
          <w:rFonts w:ascii="Times New Roman" w:hAnsi="Times New Roman" w:cs="Times New Roman"/>
        </w:rPr>
        <w:t xml:space="preserve"> that</w:t>
      </w:r>
      <w:r w:rsidR="002C7464" w:rsidRPr="00E477AE">
        <w:rPr>
          <w:rFonts w:ascii="Times New Roman" w:hAnsi="Times New Roman" w:cs="Times New Roman"/>
        </w:rPr>
        <w:t>:</w:t>
      </w:r>
      <w:r w:rsidR="00BB0214" w:rsidRPr="00E477AE">
        <w:rPr>
          <w:rFonts w:ascii="Times New Roman" w:hAnsi="Times New Roman" w:cs="Times New Roman"/>
        </w:rPr>
        <w:t xml:space="preserve"> </w:t>
      </w:r>
    </w:p>
    <w:p w14:paraId="6AB69BB2" w14:textId="77777777" w:rsidR="00C175EA" w:rsidRPr="00E477AE" w:rsidRDefault="00C175EA" w:rsidP="00521DCD">
      <w:pPr>
        <w:jc w:val="both"/>
        <w:rPr>
          <w:rFonts w:ascii="Times New Roman" w:hAnsi="Times New Roman" w:cs="Times New Roman"/>
        </w:rPr>
      </w:pPr>
    </w:p>
    <w:p w14:paraId="129CBDD4" w14:textId="4C0110EF" w:rsidR="00C175EA" w:rsidRPr="00E477AE" w:rsidRDefault="00BB0214" w:rsidP="00521DCD">
      <w:pPr>
        <w:ind w:left="720"/>
        <w:jc w:val="both"/>
        <w:rPr>
          <w:rFonts w:ascii="Times New Roman" w:hAnsi="Times New Roman" w:cs="Times New Roman"/>
        </w:rPr>
      </w:pPr>
      <w:r w:rsidRPr="00E477AE">
        <w:rPr>
          <w:rFonts w:ascii="Times New Roman" w:hAnsi="Times New Roman" w:cs="Times New Roman"/>
        </w:rPr>
        <w:t>I think it consistent with all sound principle, and with all authority, to recognize the importance of the distinction between a completed voluntary gift, valid and irrevocable in law (as I hold the transfer of these shares to the Defendant’s trustees to be</w:t>
      </w:r>
      <w:r w:rsidR="00304640">
        <w:rPr>
          <w:rFonts w:ascii="Times New Roman" w:hAnsi="Times New Roman" w:cs="Times New Roman"/>
        </w:rPr>
        <w:t>)</w:t>
      </w:r>
      <w:r w:rsidRPr="00E477AE">
        <w:rPr>
          <w:rFonts w:ascii="Times New Roman" w:hAnsi="Times New Roman" w:cs="Times New Roman"/>
        </w:rPr>
        <w:t>, and a bond or covenant for an illegal consideration, which</w:t>
      </w:r>
      <w:r w:rsidR="00C175EA" w:rsidRPr="00E477AE">
        <w:rPr>
          <w:rFonts w:ascii="Times New Roman" w:hAnsi="Times New Roman" w:cs="Times New Roman"/>
        </w:rPr>
        <w:t xml:space="preserve"> has no effect whatever in law</w:t>
      </w:r>
      <w:r w:rsidR="00C13C43" w:rsidRPr="00E477AE">
        <w:rPr>
          <w:rFonts w:ascii="Times New Roman" w:hAnsi="Times New Roman" w:cs="Times New Roman"/>
        </w:rPr>
        <w:t>.</w:t>
      </w:r>
      <w:r w:rsidR="00C13C43" w:rsidRPr="00E477AE">
        <w:rPr>
          <w:rStyle w:val="FootnoteReference"/>
          <w:rFonts w:ascii="Times New Roman" w:hAnsi="Times New Roman" w:cs="Times New Roman"/>
        </w:rPr>
        <w:footnoteReference w:id="24"/>
      </w:r>
      <w:r w:rsidR="00602884" w:rsidRPr="00E477AE">
        <w:rPr>
          <w:rFonts w:ascii="Times New Roman" w:hAnsi="Times New Roman" w:cs="Times New Roman"/>
        </w:rPr>
        <w:t xml:space="preserve"> </w:t>
      </w:r>
    </w:p>
    <w:p w14:paraId="7A7FE250" w14:textId="77777777" w:rsidR="00C175EA" w:rsidRPr="00E477AE" w:rsidRDefault="00C175EA" w:rsidP="00521DCD">
      <w:pPr>
        <w:jc w:val="both"/>
        <w:rPr>
          <w:rFonts w:ascii="Times New Roman" w:hAnsi="Times New Roman" w:cs="Times New Roman"/>
        </w:rPr>
      </w:pPr>
    </w:p>
    <w:p w14:paraId="15259A93" w14:textId="42B79861" w:rsidR="00BB0214" w:rsidRPr="00E477AE" w:rsidRDefault="00602884" w:rsidP="00521DCD">
      <w:pPr>
        <w:jc w:val="both"/>
        <w:rPr>
          <w:rFonts w:ascii="Times New Roman" w:hAnsi="Times New Roman" w:cs="Times New Roman"/>
        </w:rPr>
      </w:pPr>
      <w:r w:rsidRPr="00E477AE">
        <w:rPr>
          <w:rFonts w:ascii="Times New Roman" w:hAnsi="Times New Roman" w:cs="Times New Roman"/>
        </w:rPr>
        <w:t>In other words, the trust having been properly constituted by the effective transfer of the shares to the trustees (the primary transaction), the court would enforce</w:t>
      </w:r>
      <w:r w:rsidR="00C175EA" w:rsidRPr="00E477AE">
        <w:rPr>
          <w:rFonts w:ascii="Times New Roman" w:hAnsi="Times New Roman" w:cs="Times New Roman"/>
        </w:rPr>
        <w:t xml:space="preserve"> or uphold the trust despite the alleged unlawful cohabitation between the settlor and the beneficiary.</w:t>
      </w:r>
    </w:p>
    <w:p w14:paraId="49322D1D" w14:textId="672AB0E4" w:rsidR="00E453B5" w:rsidRPr="00E477AE" w:rsidRDefault="00851C14" w:rsidP="00521DCD">
      <w:pPr>
        <w:pStyle w:val="FootnoteText"/>
        <w:ind w:firstLine="720"/>
        <w:jc w:val="both"/>
        <w:rPr>
          <w:rFonts w:ascii="Times New Roman" w:hAnsi="Times New Roman" w:cs="Times New Roman"/>
        </w:rPr>
      </w:pPr>
      <w:r w:rsidRPr="00E477AE">
        <w:rPr>
          <w:rFonts w:ascii="Times New Roman" w:hAnsi="Times New Roman" w:cs="Times New Roman"/>
          <w:i/>
        </w:rPr>
        <w:t>Rider v Kidd</w:t>
      </w:r>
      <w:r w:rsidR="001F187B" w:rsidRPr="00E477AE">
        <w:rPr>
          <w:rFonts w:ascii="Times New Roman" w:hAnsi="Times New Roman" w:cs="Times New Roman"/>
          <w:i/>
        </w:rPr>
        <w:t>e</w:t>
      </w:r>
      <w:r w:rsidRPr="00E477AE">
        <w:rPr>
          <w:rFonts w:ascii="Times New Roman" w:hAnsi="Times New Roman" w:cs="Times New Roman"/>
          <w:i/>
        </w:rPr>
        <w:t>r</w:t>
      </w:r>
      <w:r w:rsidR="003E30A6" w:rsidRPr="00E477AE">
        <w:rPr>
          <w:rFonts w:ascii="Times New Roman" w:hAnsi="Times New Roman" w:cs="Times New Roman"/>
        </w:rPr>
        <w:t xml:space="preserve"> </w:t>
      </w:r>
      <w:r w:rsidR="003E0060" w:rsidRPr="00E477AE">
        <w:rPr>
          <w:rFonts w:ascii="Times New Roman" w:hAnsi="Times New Roman" w:cs="Times New Roman"/>
        </w:rPr>
        <w:t>makes a useful comparison</w:t>
      </w:r>
      <w:r w:rsidRPr="00E477AE">
        <w:rPr>
          <w:rFonts w:ascii="Times New Roman" w:hAnsi="Times New Roman" w:cs="Times New Roman"/>
        </w:rPr>
        <w:t xml:space="preserve"> to </w:t>
      </w:r>
      <w:r w:rsidRPr="00E477AE">
        <w:rPr>
          <w:rFonts w:ascii="Times New Roman" w:hAnsi="Times New Roman" w:cs="Times New Roman"/>
          <w:i/>
        </w:rPr>
        <w:t>Ayerst</w:t>
      </w:r>
      <w:r w:rsidRPr="00E477AE">
        <w:rPr>
          <w:rFonts w:ascii="Times New Roman" w:hAnsi="Times New Roman" w:cs="Times New Roman"/>
        </w:rPr>
        <w:t>.</w:t>
      </w:r>
      <w:r w:rsidR="001F187B" w:rsidRPr="00E477AE">
        <w:rPr>
          <w:rStyle w:val="FootnoteReference"/>
          <w:rFonts w:ascii="Times New Roman" w:hAnsi="Times New Roman" w:cs="Times New Roman"/>
        </w:rPr>
        <w:footnoteReference w:id="25"/>
      </w:r>
      <w:r w:rsidR="001F187B" w:rsidRPr="00E477AE">
        <w:rPr>
          <w:rFonts w:ascii="Times New Roman" w:hAnsi="Times New Roman" w:cs="Times New Roman"/>
        </w:rPr>
        <w:t xml:space="preserve"> In </w:t>
      </w:r>
      <w:r w:rsidR="001F187B" w:rsidRPr="00E477AE">
        <w:rPr>
          <w:rFonts w:ascii="Times New Roman" w:hAnsi="Times New Roman" w:cs="Times New Roman"/>
          <w:i/>
        </w:rPr>
        <w:t>Rider</w:t>
      </w:r>
      <w:r w:rsidR="001F187B" w:rsidRPr="00E477AE">
        <w:rPr>
          <w:rFonts w:ascii="Times New Roman" w:hAnsi="Times New Roman" w:cs="Times New Roman"/>
        </w:rPr>
        <w:t>, Rider, while lawful</w:t>
      </w:r>
      <w:r w:rsidR="00BB46ED" w:rsidRPr="00E477AE">
        <w:rPr>
          <w:rFonts w:ascii="Times New Roman" w:hAnsi="Times New Roman" w:cs="Times New Roman"/>
        </w:rPr>
        <w:t>ly</w:t>
      </w:r>
      <w:r w:rsidR="001F187B" w:rsidRPr="00E477AE">
        <w:rPr>
          <w:rFonts w:ascii="Times New Roman" w:hAnsi="Times New Roman" w:cs="Times New Roman"/>
        </w:rPr>
        <w:t xml:space="preserve"> married to Catharine, was involved in</w:t>
      </w:r>
      <w:r w:rsidR="00AD6278" w:rsidRPr="00E477AE">
        <w:rPr>
          <w:rFonts w:ascii="Times New Roman" w:hAnsi="Times New Roman" w:cs="Times New Roman"/>
        </w:rPr>
        <w:t xml:space="preserve"> an</w:t>
      </w:r>
      <w:r w:rsidR="001F187B" w:rsidRPr="00E477AE">
        <w:rPr>
          <w:rFonts w:ascii="Times New Roman" w:hAnsi="Times New Roman" w:cs="Times New Roman"/>
        </w:rPr>
        <w:t xml:space="preserve"> adulterous and imm</w:t>
      </w:r>
      <w:r w:rsidR="00BB46ED" w:rsidRPr="00E477AE">
        <w:rPr>
          <w:rFonts w:ascii="Times New Roman" w:hAnsi="Times New Roman" w:cs="Times New Roman"/>
        </w:rPr>
        <w:t>oral cohabitation with the defendant, Anne Kidder. Rider had covenanted</w:t>
      </w:r>
      <w:r w:rsidR="004D73E3" w:rsidRPr="00E477AE">
        <w:rPr>
          <w:rFonts w:ascii="Times New Roman" w:hAnsi="Times New Roman" w:cs="Times New Roman"/>
        </w:rPr>
        <w:t>,</w:t>
      </w:r>
      <w:r w:rsidR="00BB46ED" w:rsidRPr="00E477AE">
        <w:rPr>
          <w:rFonts w:ascii="Times New Roman" w:hAnsi="Times New Roman" w:cs="Times New Roman"/>
        </w:rPr>
        <w:t xml:space="preserve"> in a marriage settlement</w:t>
      </w:r>
      <w:r w:rsidR="004D73E3" w:rsidRPr="00E477AE">
        <w:rPr>
          <w:rFonts w:ascii="Times New Roman" w:hAnsi="Times New Roman" w:cs="Times New Roman"/>
        </w:rPr>
        <w:t>,</w:t>
      </w:r>
      <w:r w:rsidR="00BB46ED" w:rsidRPr="00E477AE">
        <w:rPr>
          <w:rFonts w:ascii="Times New Roman" w:hAnsi="Times New Roman" w:cs="Times New Roman"/>
        </w:rPr>
        <w:t xml:space="preserve"> that certain sums should be paid to Catherine (his wife)</w:t>
      </w:r>
      <w:r w:rsidR="00AD6278" w:rsidRPr="00E477AE">
        <w:rPr>
          <w:rFonts w:ascii="Times New Roman" w:hAnsi="Times New Roman" w:cs="Times New Roman"/>
        </w:rPr>
        <w:t>,</w:t>
      </w:r>
      <w:r w:rsidR="00BB46ED" w:rsidRPr="00E477AE">
        <w:rPr>
          <w:rFonts w:ascii="Times New Roman" w:hAnsi="Times New Roman" w:cs="Times New Roman"/>
        </w:rPr>
        <w:t xml:space="preserve"> twelve months after his death. Thereafter, Rider boug</w:t>
      </w:r>
      <w:r w:rsidR="003D48BC" w:rsidRPr="00E477AE">
        <w:rPr>
          <w:rFonts w:ascii="Times New Roman" w:hAnsi="Times New Roman" w:cs="Times New Roman"/>
        </w:rPr>
        <w:t>ht some stock/annuity and</w:t>
      </w:r>
      <w:r w:rsidR="00BB46ED" w:rsidRPr="00E477AE">
        <w:rPr>
          <w:rFonts w:ascii="Times New Roman" w:hAnsi="Times New Roman" w:cs="Times New Roman"/>
        </w:rPr>
        <w:t xml:space="preserve"> transferred</w:t>
      </w:r>
      <w:r w:rsidR="003D48BC" w:rsidRPr="00E477AE">
        <w:rPr>
          <w:rFonts w:ascii="Times New Roman" w:hAnsi="Times New Roman" w:cs="Times New Roman"/>
        </w:rPr>
        <w:t xml:space="preserve"> it</w:t>
      </w:r>
      <w:r w:rsidR="00BB46ED" w:rsidRPr="00E477AE">
        <w:rPr>
          <w:rFonts w:ascii="Times New Roman" w:hAnsi="Times New Roman" w:cs="Times New Roman"/>
        </w:rPr>
        <w:t xml:space="preserve"> into the joint names of himself and the defendant; they both signed a power of attorney</w:t>
      </w:r>
      <w:r w:rsidR="003D48BC" w:rsidRPr="00E477AE">
        <w:rPr>
          <w:rFonts w:ascii="Times New Roman" w:hAnsi="Times New Roman" w:cs="Times New Roman"/>
        </w:rPr>
        <w:t>, which empowered</w:t>
      </w:r>
      <w:r w:rsidR="00061F15" w:rsidRPr="00E477AE">
        <w:rPr>
          <w:rFonts w:ascii="Times New Roman" w:hAnsi="Times New Roman" w:cs="Times New Roman"/>
        </w:rPr>
        <w:t xml:space="preserve"> an agent </w:t>
      </w:r>
      <w:r w:rsidR="00BB46ED" w:rsidRPr="00E477AE">
        <w:rPr>
          <w:rFonts w:ascii="Times New Roman" w:hAnsi="Times New Roman" w:cs="Times New Roman"/>
        </w:rPr>
        <w:t>to receive the dividends and pay the proceeds to the defendant</w:t>
      </w:r>
      <w:r w:rsidR="003D48BC" w:rsidRPr="00E477AE">
        <w:rPr>
          <w:rFonts w:ascii="Times New Roman" w:hAnsi="Times New Roman" w:cs="Times New Roman"/>
        </w:rPr>
        <w:t>. Subsequently, Rider died and Catherine brought an action asking the court to declare the defendant a resulting trustee of the stock for Rider’s estate, of which Catherine was the legal personal representative. The defendant alleged that the stock was an absolute gift to her from Rider. If it was a</w:t>
      </w:r>
      <w:r w:rsidR="00061F15" w:rsidRPr="00E477AE">
        <w:rPr>
          <w:rFonts w:ascii="Times New Roman" w:hAnsi="Times New Roman" w:cs="Times New Roman"/>
        </w:rPr>
        <w:t xml:space="preserve"> gift, Catherine countered,</w:t>
      </w:r>
      <w:r w:rsidR="003D48BC" w:rsidRPr="00E477AE">
        <w:rPr>
          <w:rFonts w:ascii="Times New Roman" w:hAnsi="Times New Roman" w:cs="Times New Roman"/>
        </w:rPr>
        <w:t xml:space="preserve"> it was unenforceable for being in fraud of creditors under the marriage </w:t>
      </w:r>
      <w:r w:rsidR="00222195" w:rsidRPr="00E477AE">
        <w:rPr>
          <w:rFonts w:ascii="Times New Roman" w:hAnsi="Times New Roman" w:cs="Times New Roman"/>
        </w:rPr>
        <w:t>settlement (that is, Catherine and</w:t>
      </w:r>
      <w:r w:rsidR="003D48BC" w:rsidRPr="00E477AE">
        <w:rPr>
          <w:rFonts w:ascii="Times New Roman" w:hAnsi="Times New Roman" w:cs="Times New Roman"/>
        </w:rPr>
        <w:t xml:space="preserve"> trustees </w:t>
      </w:r>
      <w:r w:rsidR="00061F15" w:rsidRPr="00E477AE">
        <w:rPr>
          <w:rFonts w:ascii="Times New Roman" w:hAnsi="Times New Roman" w:cs="Times New Roman"/>
        </w:rPr>
        <w:t xml:space="preserve">of the marriage settlement). Catherine further argued, though not in terms, that the gift was </w:t>
      </w:r>
      <w:r w:rsidR="00E453B5" w:rsidRPr="00E477AE">
        <w:rPr>
          <w:rFonts w:ascii="Times New Roman" w:hAnsi="Times New Roman" w:cs="Times New Roman"/>
        </w:rPr>
        <w:t>unenforceable because it was made for the purpose of nurturing an immoral cohabitation between Rider and the defendant.</w:t>
      </w:r>
    </w:p>
    <w:p w14:paraId="41B1EDE2" w14:textId="5094C212" w:rsidR="00056A44" w:rsidRPr="00E477AE" w:rsidRDefault="00222195" w:rsidP="00521DCD">
      <w:pPr>
        <w:pStyle w:val="FootnoteText"/>
        <w:ind w:firstLine="720"/>
        <w:jc w:val="both"/>
        <w:rPr>
          <w:rFonts w:ascii="Times New Roman" w:hAnsi="Times New Roman" w:cs="Times New Roman"/>
        </w:rPr>
      </w:pPr>
      <w:r w:rsidRPr="00E477AE">
        <w:rPr>
          <w:rFonts w:ascii="Times New Roman" w:hAnsi="Times New Roman" w:cs="Times New Roman"/>
        </w:rPr>
        <w:t xml:space="preserve"> The Chancellor, Lord Eldon, held that the transaction, the transfer of the stock into the joint names of Rider and the defendant, did not create a gift, because the parties were not in a gift-giving relationship that could give rise to the presumption of advancement</w:t>
      </w:r>
      <w:r w:rsidR="00D8260E" w:rsidRPr="00E477AE">
        <w:rPr>
          <w:rFonts w:ascii="Times New Roman" w:hAnsi="Times New Roman" w:cs="Times New Roman"/>
        </w:rPr>
        <w:t>,</w:t>
      </w:r>
      <w:r w:rsidRPr="00E477AE">
        <w:rPr>
          <w:rFonts w:ascii="Times New Roman" w:hAnsi="Times New Roman" w:cs="Times New Roman"/>
        </w:rPr>
        <w:t xml:space="preserve"> and there was no evidence that Rider intended to part with his beneficial interest in the stock. Consequently, Lord Eldon held that the transact</w:t>
      </w:r>
      <w:r w:rsidR="004D73E3" w:rsidRPr="00E477AE">
        <w:rPr>
          <w:rFonts w:ascii="Times New Roman" w:hAnsi="Times New Roman" w:cs="Times New Roman"/>
        </w:rPr>
        <w:t xml:space="preserve">ion gave rise to a resulting </w:t>
      </w:r>
      <w:r w:rsidRPr="00E477AE">
        <w:rPr>
          <w:rFonts w:ascii="Times New Roman" w:hAnsi="Times New Roman" w:cs="Times New Roman"/>
        </w:rPr>
        <w:t>trust in favour of Rider’s estate, and therefore, ordered the defendant to transfer the stock to Catherine.</w:t>
      </w:r>
      <w:r w:rsidR="004D73E3" w:rsidRPr="00E477AE">
        <w:rPr>
          <w:rFonts w:ascii="Times New Roman" w:hAnsi="Times New Roman" w:cs="Times New Roman"/>
        </w:rPr>
        <w:t xml:space="preserve"> The point of</w:t>
      </w:r>
      <w:r w:rsidR="00EC7928" w:rsidRPr="00E477AE">
        <w:rPr>
          <w:rFonts w:ascii="Times New Roman" w:hAnsi="Times New Roman" w:cs="Times New Roman"/>
        </w:rPr>
        <w:t xml:space="preserve"> </w:t>
      </w:r>
      <w:r w:rsidR="00EC7928" w:rsidRPr="00E477AE">
        <w:rPr>
          <w:rFonts w:ascii="Times New Roman" w:hAnsi="Times New Roman" w:cs="Times New Roman"/>
          <w:i/>
        </w:rPr>
        <w:t>Rider</w:t>
      </w:r>
      <w:r w:rsidR="00EC7928" w:rsidRPr="00E477AE">
        <w:rPr>
          <w:rFonts w:ascii="Times New Roman" w:hAnsi="Times New Roman" w:cs="Times New Roman"/>
        </w:rPr>
        <w:t xml:space="preserve"> is that the primary transaction</w:t>
      </w:r>
      <w:r w:rsidR="005556B6" w:rsidRPr="00E477AE">
        <w:rPr>
          <w:rFonts w:ascii="Times New Roman" w:hAnsi="Times New Roman" w:cs="Times New Roman"/>
        </w:rPr>
        <w:t xml:space="preserve"> therein</w:t>
      </w:r>
      <w:r w:rsidR="00EC7928" w:rsidRPr="00E477AE">
        <w:rPr>
          <w:rFonts w:ascii="Times New Roman" w:hAnsi="Times New Roman" w:cs="Times New Roman"/>
        </w:rPr>
        <w:t xml:space="preserve"> triggered a valid trust by operation of law (</w:t>
      </w:r>
      <w:r w:rsidR="002E7020" w:rsidRPr="00E477AE">
        <w:rPr>
          <w:rFonts w:ascii="Times New Roman" w:hAnsi="Times New Roman" w:cs="Times New Roman"/>
        </w:rPr>
        <w:t xml:space="preserve">that is, </w:t>
      </w:r>
      <w:r w:rsidR="00EC7928" w:rsidRPr="00E477AE">
        <w:rPr>
          <w:rFonts w:ascii="Times New Roman" w:hAnsi="Times New Roman" w:cs="Times New Roman"/>
        </w:rPr>
        <w:t>the resulting trust</w:t>
      </w:r>
      <w:r w:rsidR="008D303A" w:rsidRPr="00E477AE">
        <w:rPr>
          <w:rFonts w:ascii="Times New Roman" w:hAnsi="Times New Roman" w:cs="Times New Roman"/>
        </w:rPr>
        <w:t xml:space="preserve">, which arose </w:t>
      </w:r>
      <w:r w:rsidR="002E7020" w:rsidRPr="00E477AE">
        <w:rPr>
          <w:rFonts w:ascii="Times New Roman" w:hAnsi="Times New Roman" w:cs="Times New Roman"/>
        </w:rPr>
        <w:t>from Rider’s payment for the stock</w:t>
      </w:r>
      <w:r w:rsidR="008D303A" w:rsidRPr="00E477AE">
        <w:rPr>
          <w:rFonts w:ascii="Times New Roman" w:hAnsi="Times New Roman" w:cs="Times New Roman"/>
        </w:rPr>
        <w:t>); thus, the e</w:t>
      </w:r>
      <w:r w:rsidR="00EC7928" w:rsidRPr="00E477AE">
        <w:rPr>
          <w:rFonts w:ascii="Times New Roman" w:hAnsi="Times New Roman" w:cs="Times New Roman"/>
        </w:rPr>
        <w:t>nforcement of this</w:t>
      </w:r>
      <w:r w:rsidR="002E7020" w:rsidRPr="00E477AE">
        <w:rPr>
          <w:rFonts w:ascii="Times New Roman" w:hAnsi="Times New Roman" w:cs="Times New Roman"/>
        </w:rPr>
        <w:t xml:space="preserve"> (resulting)</w:t>
      </w:r>
      <w:r w:rsidR="00EC7928" w:rsidRPr="00E477AE">
        <w:rPr>
          <w:rFonts w:ascii="Times New Roman" w:hAnsi="Times New Roman" w:cs="Times New Roman"/>
        </w:rPr>
        <w:t xml:space="preserve"> trust was unaffected by the illicit or illegitimate intentions that motivated its creation.</w:t>
      </w:r>
      <w:r w:rsidR="005556B6" w:rsidRPr="00E477AE">
        <w:rPr>
          <w:rFonts w:ascii="Times New Roman" w:hAnsi="Times New Roman" w:cs="Times New Roman"/>
        </w:rPr>
        <w:t xml:space="preserve"> </w:t>
      </w:r>
      <w:r w:rsidR="008D303A" w:rsidRPr="00E477AE">
        <w:rPr>
          <w:rFonts w:ascii="Times New Roman" w:hAnsi="Times New Roman" w:cs="Times New Roman"/>
        </w:rPr>
        <w:t>Lord Eldon hinted at this when he suggested that if a complete and valid trust had</w:t>
      </w:r>
      <w:r w:rsidR="006C5E35" w:rsidRPr="00E477AE">
        <w:rPr>
          <w:rFonts w:ascii="Times New Roman" w:hAnsi="Times New Roman" w:cs="Times New Roman"/>
        </w:rPr>
        <w:t xml:space="preserve"> emerged </w:t>
      </w:r>
      <w:r w:rsidR="008D303A" w:rsidRPr="00E477AE">
        <w:rPr>
          <w:rFonts w:ascii="Times New Roman" w:hAnsi="Times New Roman" w:cs="Times New Roman"/>
        </w:rPr>
        <w:t>from the transaction in favour of the defendant</w:t>
      </w:r>
      <w:r w:rsidR="0090638E" w:rsidRPr="00E477AE">
        <w:rPr>
          <w:rFonts w:ascii="Times New Roman" w:hAnsi="Times New Roman" w:cs="Times New Roman"/>
        </w:rPr>
        <w:t>, it would have been enforced despite</w:t>
      </w:r>
      <w:r w:rsidR="006C5E35" w:rsidRPr="00E477AE">
        <w:rPr>
          <w:rFonts w:ascii="Times New Roman" w:hAnsi="Times New Roman" w:cs="Times New Roman"/>
        </w:rPr>
        <w:t xml:space="preserve"> being motivated by</w:t>
      </w:r>
      <w:r w:rsidR="0090638E" w:rsidRPr="00E477AE">
        <w:rPr>
          <w:rFonts w:ascii="Times New Roman" w:hAnsi="Times New Roman" w:cs="Times New Roman"/>
        </w:rPr>
        <w:t xml:space="preserve"> the unlawful and i</w:t>
      </w:r>
      <w:r w:rsidR="003D1B92">
        <w:rPr>
          <w:rFonts w:ascii="Times New Roman" w:hAnsi="Times New Roman" w:cs="Times New Roman"/>
        </w:rPr>
        <w:t xml:space="preserve">mmoral cohabitation between </w:t>
      </w:r>
      <w:r w:rsidR="0090638E" w:rsidRPr="00E477AE">
        <w:rPr>
          <w:rFonts w:ascii="Times New Roman" w:hAnsi="Times New Roman" w:cs="Times New Roman"/>
        </w:rPr>
        <w:t>Rider and the defendant.</w:t>
      </w:r>
      <w:r w:rsidR="00400A96" w:rsidRPr="00E477AE">
        <w:rPr>
          <w:rStyle w:val="FootnoteReference"/>
          <w:rFonts w:ascii="Times New Roman" w:hAnsi="Times New Roman" w:cs="Times New Roman"/>
        </w:rPr>
        <w:footnoteReference w:id="26"/>
      </w:r>
      <w:r w:rsidR="00400A96" w:rsidRPr="00E477AE">
        <w:rPr>
          <w:rFonts w:ascii="Times New Roman" w:hAnsi="Times New Roman" w:cs="Times New Roman"/>
        </w:rPr>
        <w:t xml:space="preserve"> This suggestion was made in response to the argument made on behalf</w:t>
      </w:r>
      <w:r w:rsidR="006C5E35" w:rsidRPr="00E477AE">
        <w:rPr>
          <w:rFonts w:ascii="Times New Roman" w:hAnsi="Times New Roman" w:cs="Times New Roman"/>
        </w:rPr>
        <w:t xml:space="preserve"> of</w:t>
      </w:r>
      <w:r w:rsidR="00400A96" w:rsidRPr="00E477AE">
        <w:rPr>
          <w:rFonts w:ascii="Times New Roman" w:hAnsi="Times New Roman" w:cs="Times New Roman"/>
        </w:rPr>
        <w:t xml:space="preserve"> the claimant, to the effect that</w:t>
      </w:r>
      <w:r w:rsidR="006C5E35" w:rsidRPr="00E477AE">
        <w:rPr>
          <w:rFonts w:ascii="Times New Roman" w:hAnsi="Times New Roman" w:cs="Times New Roman"/>
        </w:rPr>
        <w:t xml:space="preserve"> any trust (or gift) arising from the transaction in favour of the defendant would</w:t>
      </w:r>
      <w:r w:rsidR="00056A44" w:rsidRPr="00E477AE">
        <w:rPr>
          <w:rFonts w:ascii="Times New Roman" w:hAnsi="Times New Roman" w:cs="Times New Roman"/>
        </w:rPr>
        <w:t xml:space="preserve"> be practically</w:t>
      </w:r>
      <w:r w:rsidR="006C5E35" w:rsidRPr="00E477AE">
        <w:rPr>
          <w:rFonts w:ascii="Times New Roman" w:hAnsi="Times New Roman" w:cs="Times New Roman"/>
        </w:rPr>
        <w:t xml:space="preserve"> ‘a provision for a criminal and adulterous intercourse. The distinction between a recompence for past, and a provision for future, cohabitation, has never been made in the instance of a married man’.</w:t>
      </w:r>
      <w:r w:rsidR="006C5E35" w:rsidRPr="00E477AE">
        <w:rPr>
          <w:rStyle w:val="FootnoteReference"/>
          <w:rFonts w:ascii="Times New Roman" w:hAnsi="Times New Roman" w:cs="Times New Roman"/>
        </w:rPr>
        <w:footnoteReference w:id="27"/>
      </w:r>
      <w:r w:rsidR="00AF2C62" w:rsidRPr="00E477AE">
        <w:rPr>
          <w:rFonts w:ascii="Times New Roman" w:hAnsi="Times New Roman" w:cs="Times New Roman"/>
        </w:rPr>
        <w:t xml:space="preserve"> In response to the</w:t>
      </w:r>
      <w:r w:rsidR="005A4A08" w:rsidRPr="00E477AE">
        <w:rPr>
          <w:rFonts w:ascii="Times New Roman" w:hAnsi="Times New Roman" w:cs="Times New Roman"/>
        </w:rPr>
        <w:t xml:space="preserve"> submission</w:t>
      </w:r>
      <w:r w:rsidR="00AF2C62" w:rsidRPr="00E477AE">
        <w:rPr>
          <w:rFonts w:ascii="Times New Roman" w:hAnsi="Times New Roman" w:cs="Times New Roman"/>
        </w:rPr>
        <w:t xml:space="preserve"> above</w:t>
      </w:r>
      <w:r w:rsidR="005A4A08" w:rsidRPr="00E477AE">
        <w:rPr>
          <w:rFonts w:ascii="Times New Roman" w:hAnsi="Times New Roman" w:cs="Times New Roman"/>
        </w:rPr>
        <w:t xml:space="preserve">, Lord Eldon asked: </w:t>
      </w:r>
    </w:p>
    <w:p w14:paraId="2FD40A25" w14:textId="77777777" w:rsidR="00056A44" w:rsidRPr="00E477AE" w:rsidRDefault="00056A44" w:rsidP="00521DCD">
      <w:pPr>
        <w:pStyle w:val="FootnoteText"/>
        <w:jc w:val="both"/>
        <w:rPr>
          <w:rFonts w:ascii="Times New Roman" w:hAnsi="Times New Roman" w:cs="Times New Roman"/>
        </w:rPr>
      </w:pPr>
    </w:p>
    <w:p w14:paraId="7495F346" w14:textId="3533DA96" w:rsidR="00056A44" w:rsidRPr="00E477AE" w:rsidRDefault="005A4A08" w:rsidP="00521DCD">
      <w:pPr>
        <w:pStyle w:val="FootnoteText"/>
        <w:ind w:left="720"/>
        <w:jc w:val="both"/>
        <w:rPr>
          <w:rFonts w:ascii="Times New Roman" w:hAnsi="Times New Roman" w:cs="Times New Roman"/>
        </w:rPr>
      </w:pPr>
      <w:r w:rsidRPr="00E477AE">
        <w:rPr>
          <w:rFonts w:ascii="Times New Roman" w:hAnsi="Times New Roman" w:cs="Times New Roman"/>
        </w:rPr>
        <w:t>Has there been any case upon that distinction, where the Court</w:t>
      </w:r>
      <w:r w:rsidR="00AF2C62" w:rsidRPr="00E477AE">
        <w:rPr>
          <w:rFonts w:ascii="Times New Roman" w:hAnsi="Times New Roman" w:cs="Times New Roman"/>
        </w:rPr>
        <w:t xml:space="preserve"> finding the woman in actual possession of the property has upon that ground taken it out of her hands? The distinction upon the doctrine of </w:t>
      </w:r>
      <w:r w:rsidR="00AF2C62" w:rsidRPr="00E477AE">
        <w:rPr>
          <w:rFonts w:ascii="Times New Roman" w:hAnsi="Times New Roman" w:cs="Times New Roman"/>
          <w:i/>
        </w:rPr>
        <w:t>praemium pudicitae</w:t>
      </w:r>
      <w:r w:rsidR="00AF2C62" w:rsidRPr="00E477AE">
        <w:rPr>
          <w:rFonts w:ascii="Times New Roman" w:hAnsi="Times New Roman" w:cs="Times New Roman"/>
        </w:rPr>
        <w:t xml:space="preserve"> has prevailed in the case of restraining her from enforcing a security. But I doubt, whether there is any instance of taking the property out of he</w:t>
      </w:r>
      <w:r w:rsidR="00056A44" w:rsidRPr="00E477AE">
        <w:rPr>
          <w:rFonts w:ascii="Times New Roman" w:hAnsi="Times New Roman" w:cs="Times New Roman"/>
        </w:rPr>
        <w:t>r hands, except as to creditors</w:t>
      </w:r>
      <w:r w:rsidR="00AF2C62" w:rsidRPr="00E477AE">
        <w:rPr>
          <w:rFonts w:ascii="Times New Roman" w:hAnsi="Times New Roman" w:cs="Times New Roman"/>
        </w:rPr>
        <w:t>.</w:t>
      </w:r>
      <w:r w:rsidR="00AF2C62" w:rsidRPr="00E477AE">
        <w:rPr>
          <w:rStyle w:val="FootnoteReference"/>
          <w:rFonts w:ascii="Times New Roman" w:hAnsi="Times New Roman" w:cs="Times New Roman"/>
        </w:rPr>
        <w:footnoteReference w:id="28"/>
      </w:r>
      <w:r w:rsidR="00AF2C62" w:rsidRPr="00E477AE">
        <w:rPr>
          <w:rFonts w:ascii="Times New Roman" w:hAnsi="Times New Roman" w:cs="Times New Roman"/>
        </w:rPr>
        <w:t xml:space="preserve"> </w:t>
      </w:r>
    </w:p>
    <w:p w14:paraId="7647FBAC" w14:textId="77777777" w:rsidR="00056A44" w:rsidRPr="00E477AE" w:rsidRDefault="00056A44" w:rsidP="00521DCD">
      <w:pPr>
        <w:pStyle w:val="FootnoteText"/>
        <w:jc w:val="both"/>
        <w:rPr>
          <w:rFonts w:ascii="Times New Roman" w:hAnsi="Times New Roman" w:cs="Times New Roman"/>
        </w:rPr>
      </w:pPr>
    </w:p>
    <w:p w14:paraId="51CB45AC" w14:textId="3352EF02" w:rsidR="00851C14" w:rsidRPr="00E477AE" w:rsidRDefault="00AF2C62" w:rsidP="00521DCD">
      <w:pPr>
        <w:pStyle w:val="FootnoteText"/>
        <w:jc w:val="both"/>
        <w:rPr>
          <w:rFonts w:ascii="Times New Roman" w:hAnsi="Times New Roman" w:cs="Times New Roman"/>
        </w:rPr>
      </w:pPr>
      <w:r w:rsidRPr="00E477AE">
        <w:rPr>
          <w:rFonts w:ascii="Times New Roman" w:hAnsi="Times New Roman" w:cs="Times New Roman"/>
        </w:rPr>
        <w:t>Thus, Lord Eldon</w:t>
      </w:r>
      <w:r w:rsidR="00917A00" w:rsidRPr="00E477AE">
        <w:rPr>
          <w:rFonts w:ascii="Times New Roman" w:hAnsi="Times New Roman" w:cs="Times New Roman"/>
        </w:rPr>
        <w:t xml:space="preserve"> implied </w:t>
      </w:r>
      <w:r w:rsidRPr="00E477AE">
        <w:rPr>
          <w:rFonts w:ascii="Times New Roman" w:hAnsi="Times New Roman" w:cs="Times New Roman"/>
        </w:rPr>
        <w:t xml:space="preserve">that if the completed primary transaction in </w:t>
      </w:r>
      <w:r w:rsidRPr="00E477AE">
        <w:rPr>
          <w:rFonts w:ascii="Times New Roman" w:hAnsi="Times New Roman" w:cs="Times New Roman"/>
          <w:i/>
        </w:rPr>
        <w:t>Rider</w:t>
      </w:r>
      <w:r w:rsidR="00917A00" w:rsidRPr="00E477AE">
        <w:rPr>
          <w:rFonts w:ascii="Times New Roman" w:hAnsi="Times New Roman" w:cs="Times New Roman"/>
        </w:rPr>
        <w:t xml:space="preserve"> had given rise to a</w:t>
      </w:r>
      <w:r w:rsidRPr="00E477AE">
        <w:rPr>
          <w:rFonts w:ascii="Times New Roman" w:hAnsi="Times New Roman" w:cs="Times New Roman"/>
        </w:rPr>
        <w:t xml:space="preserve"> trust in favour of the defendant-paramour, the trust would have been enfor</w:t>
      </w:r>
      <w:r w:rsidR="00917A00" w:rsidRPr="00E477AE">
        <w:rPr>
          <w:rFonts w:ascii="Times New Roman" w:hAnsi="Times New Roman" w:cs="Times New Roman"/>
        </w:rPr>
        <w:t>ced (</w:t>
      </w:r>
      <w:r w:rsidRPr="00E477AE">
        <w:rPr>
          <w:rFonts w:ascii="Times New Roman" w:hAnsi="Times New Roman" w:cs="Times New Roman"/>
        </w:rPr>
        <w:t xml:space="preserve">as in </w:t>
      </w:r>
      <w:r w:rsidRPr="00E477AE">
        <w:rPr>
          <w:rFonts w:ascii="Times New Roman" w:hAnsi="Times New Roman" w:cs="Times New Roman"/>
          <w:i/>
        </w:rPr>
        <w:t>Ayerst</w:t>
      </w:r>
      <w:r w:rsidR="00917A00" w:rsidRPr="00E477AE">
        <w:rPr>
          <w:rFonts w:ascii="Times New Roman" w:hAnsi="Times New Roman" w:cs="Times New Roman"/>
          <w:i/>
        </w:rPr>
        <w:t>)</w:t>
      </w:r>
      <w:r w:rsidRPr="00E477AE">
        <w:rPr>
          <w:rFonts w:ascii="Times New Roman" w:hAnsi="Times New Roman" w:cs="Times New Roman"/>
        </w:rPr>
        <w:t xml:space="preserve">, </w:t>
      </w:r>
      <w:r w:rsidR="000C73F4" w:rsidRPr="00E477AE">
        <w:rPr>
          <w:rFonts w:ascii="Times New Roman" w:hAnsi="Times New Roman" w:cs="Times New Roman"/>
        </w:rPr>
        <w:t>notwithstanding</w:t>
      </w:r>
      <w:r w:rsidRPr="00E477AE">
        <w:rPr>
          <w:rFonts w:ascii="Times New Roman" w:hAnsi="Times New Roman" w:cs="Times New Roman"/>
        </w:rPr>
        <w:t xml:space="preserve"> its immoral or unlawful purpose.</w:t>
      </w:r>
    </w:p>
    <w:p w14:paraId="31EB2ED1" w14:textId="3F5A2F8C" w:rsidR="002F0FDD" w:rsidRPr="00E477AE" w:rsidRDefault="002F0FDD" w:rsidP="00521DCD">
      <w:pPr>
        <w:pStyle w:val="FootnoteText"/>
        <w:ind w:firstLine="720"/>
        <w:jc w:val="both"/>
        <w:rPr>
          <w:rFonts w:ascii="Times New Roman" w:hAnsi="Times New Roman" w:cs="Times New Roman"/>
        </w:rPr>
      </w:pPr>
      <w:r w:rsidRPr="00E477AE">
        <w:rPr>
          <w:rFonts w:ascii="Times New Roman" w:hAnsi="Times New Roman" w:cs="Times New Roman"/>
          <w:i/>
        </w:rPr>
        <w:t>Symes v Hughes</w:t>
      </w:r>
      <w:r w:rsidR="003F5AEA" w:rsidRPr="00E477AE">
        <w:rPr>
          <w:rFonts w:ascii="Times New Roman" w:hAnsi="Times New Roman" w:cs="Times New Roman"/>
        </w:rPr>
        <w:t xml:space="preserve"> is</w:t>
      </w:r>
      <w:r w:rsidR="00A35D9E" w:rsidRPr="00E477AE">
        <w:rPr>
          <w:rFonts w:ascii="Times New Roman" w:hAnsi="Times New Roman" w:cs="Times New Roman"/>
        </w:rPr>
        <w:t xml:space="preserve"> another</w:t>
      </w:r>
      <w:r w:rsidR="003F5AEA" w:rsidRPr="00E477AE">
        <w:rPr>
          <w:rFonts w:ascii="Times New Roman" w:hAnsi="Times New Roman" w:cs="Times New Roman"/>
        </w:rPr>
        <w:t xml:space="preserve"> relevant and</w:t>
      </w:r>
      <w:r w:rsidR="00A35D9E" w:rsidRPr="00E477AE">
        <w:rPr>
          <w:rFonts w:ascii="Times New Roman" w:hAnsi="Times New Roman" w:cs="Times New Roman"/>
        </w:rPr>
        <w:t xml:space="preserve"> </w:t>
      </w:r>
      <w:r w:rsidR="00551385" w:rsidRPr="00E477AE">
        <w:rPr>
          <w:rFonts w:ascii="Times New Roman" w:hAnsi="Times New Roman" w:cs="Times New Roman"/>
        </w:rPr>
        <w:t>important</w:t>
      </w:r>
      <w:r w:rsidR="003F5AEA" w:rsidRPr="00E477AE">
        <w:rPr>
          <w:rFonts w:ascii="Times New Roman" w:hAnsi="Times New Roman" w:cs="Times New Roman"/>
        </w:rPr>
        <w:t xml:space="preserve"> case, though</w:t>
      </w:r>
      <w:r w:rsidR="0059269F" w:rsidRPr="00E477AE">
        <w:rPr>
          <w:rFonts w:ascii="Times New Roman" w:hAnsi="Times New Roman" w:cs="Times New Roman"/>
        </w:rPr>
        <w:t xml:space="preserve"> it is, more often, rather used </w:t>
      </w:r>
      <w:r w:rsidRPr="00E477AE">
        <w:rPr>
          <w:rFonts w:ascii="Times New Roman" w:hAnsi="Times New Roman" w:cs="Times New Roman"/>
        </w:rPr>
        <w:t>to support the view that</w:t>
      </w:r>
      <w:r w:rsidR="007247BC" w:rsidRPr="00E477AE">
        <w:rPr>
          <w:rFonts w:ascii="Times New Roman" w:hAnsi="Times New Roman" w:cs="Times New Roman"/>
        </w:rPr>
        <w:t xml:space="preserve"> an unexecuted illegal purpose</w:t>
      </w:r>
      <w:r w:rsidR="003F5AEA" w:rsidRPr="00E477AE">
        <w:rPr>
          <w:rFonts w:ascii="Times New Roman" w:hAnsi="Times New Roman" w:cs="Times New Roman"/>
        </w:rPr>
        <w:t xml:space="preserve"> </w:t>
      </w:r>
      <w:r w:rsidRPr="00E477AE">
        <w:rPr>
          <w:rFonts w:ascii="Times New Roman" w:hAnsi="Times New Roman" w:cs="Times New Roman"/>
        </w:rPr>
        <w:t>would not</w:t>
      </w:r>
      <w:r w:rsidR="007247BC" w:rsidRPr="00E477AE">
        <w:rPr>
          <w:rFonts w:ascii="Times New Roman" w:hAnsi="Times New Roman" w:cs="Times New Roman"/>
        </w:rPr>
        <w:t xml:space="preserve"> impair </w:t>
      </w:r>
      <w:r w:rsidRPr="00E477AE">
        <w:rPr>
          <w:rFonts w:ascii="Times New Roman" w:hAnsi="Times New Roman" w:cs="Times New Roman"/>
        </w:rPr>
        <w:t>the enforcemen</w:t>
      </w:r>
      <w:r w:rsidR="0059269F" w:rsidRPr="00E477AE">
        <w:rPr>
          <w:rFonts w:ascii="Times New Roman" w:hAnsi="Times New Roman" w:cs="Times New Roman"/>
        </w:rPr>
        <w:t>t of a</w:t>
      </w:r>
      <w:r w:rsidRPr="00E477AE">
        <w:rPr>
          <w:rFonts w:ascii="Times New Roman" w:hAnsi="Times New Roman" w:cs="Times New Roman"/>
        </w:rPr>
        <w:t xml:space="preserve"> trust</w:t>
      </w:r>
      <w:r w:rsidR="00244037" w:rsidRPr="00E477AE">
        <w:rPr>
          <w:rFonts w:ascii="Times New Roman" w:hAnsi="Times New Roman" w:cs="Times New Roman"/>
        </w:rPr>
        <w:t>;</w:t>
      </w:r>
      <w:r w:rsidR="00C81B0E" w:rsidRPr="00E477AE">
        <w:rPr>
          <w:rStyle w:val="FootnoteReference"/>
          <w:rFonts w:ascii="Times New Roman" w:hAnsi="Times New Roman" w:cs="Times New Roman"/>
        </w:rPr>
        <w:footnoteReference w:id="29"/>
      </w:r>
      <w:r w:rsidR="007247BC" w:rsidRPr="00E477AE">
        <w:rPr>
          <w:rFonts w:ascii="Times New Roman" w:hAnsi="Times New Roman" w:cs="Times New Roman"/>
        </w:rPr>
        <w:t xml:space="preserve"> </w:t>
      </w:r>
      <w:r w:rsidR="00551385" w:rsidRPr="00E477AE">
        <w:rPr>
          <w:rFonts w:ascii="Times New Roman" w:hAnsi="Times New Roman" w:cs="Times New Roman"/>
        </w:rPr>
        <w:t>that is, the so-called withdrawal exception to the illegality doctrine, which allows a claimant, who is a party to an illegality, to enforce a claim grounded in the illegal transaction, provided the illegality was not executed.</w:t>
      </w:r>
      <w:r w:rsidR="00551385" w:rsidRPr="00E477AE">
        <w:rPr>
          <w:rStyle w:val="FootnoteReference"/>
          <w:rFonts w:ascii="Times New Roman" w:hAnsi="Times New Roman" w:cs="Times New Roman"/>
        </w:rPr>
        <w:footnoteReference w:id="30"/>
      </w:r>
      <w:r w:rsidR="00551385" w:rsidRPr="00E477AE">
        <w:rPr>
          <w:rFonts w:ascii="Times New Roman" w:hAnsi="Times New Roman" w:cs="Times New Roman"/>
        </w:rPr>
        <w:t xml:space="preserve"> </w:t>
      </w:r>
      <w:r w:rsidR="001133C4" w:rsidRPr="00E477AE">
        <w:rPr>
          <w:rFonts w:ascii="Times New Roman" w:hAnsi="Times New Roman" w:cs="Times New Roman"/>
        </w:rPr>
        <w:t xml:space="preserve">Apart from this exception, </w:t>
      </w:r>
      <w:r w:rsidRPr="00E477AE">
        <w:rPr>
          <w:rFonts w:ascii="Times New Roman" w:hAnsi="Times New Roman" w:cs="Times New Roman"/>
          <w:i/>
        </w:rPr>
        <w:t>Symes</w:t>
      </w:r>
      <w:r w:rsidRPr="00E477AE">
        <w:rPr>
          <w:rFonts w:ascii="Times New Roman" w:hAnsi="Times New Roman" w:cs="Times New Roman"/>
        </w:rPr>
        <w:t xml:space="preserve"> </w:t>
      </w:r>
      <w:r w:rsidR="001133C4" w:rsidRPr="00E477AE">
        <w:rPr>
          <w:rFonts w:ascii="Times New Roman" w:hAnsi="Times New Roman" w:cs="Times New Roman"/>
        </w:rPr>
        <w:t>could be used to reinforce</w:t>
      </w:r>
      <w:r w:rsidR="00F1704F" w:rsidRPr="00E477AE">
        <w:rPr>
          <w:rFonts w:ascii="Times New Roman" w:hAnsi="Times New Roman" w:cs="Times New Roman"/>
        </w:rPr>
        <w:t xml:space="preserve"> </w:t>
      </w:r>
      <w:r w:rsidR="00A35D9E" w:rsidRPr="00E477AE">
        <w:rPr>
          <w:rFonts w:ascii="Times New Roman" w:hAnsi="Times New Roman" w:cs="Times New Roman"/>
        </w:rPr>
        <w:t xml:space="preserve">my </w:t>
      </w:r>
      <w:r w:rsidRPr="00E477AE">
        <w:rPr>
          <w:rFonts w:ascii="Times New Roman" w:hAnsi="Times New Roman" w:cs="Times New Roman"/>
        </w:rPr>
        <w:t>p</w:t>
      </w:r>
      <w:r w:rsidR="00F1704F" w:rsidRPr="00E477AE">
        <w:rPr>
          <w:rFonts w:ascii="Times New Roman" w:hAnsi="Times New Roman" w:cs="Times New Roman"/>
        </w:rPr>
        <w:t>roposition</w:t>
      </w:r>
      <w:r w:rsidR="001133C4" w:rsidRPr="00E477AE">
        <w:rPr>
          <w:rFonts w:ascii="Times New Roman" w:hAnsi="Times New Roman" w:cs="Times New Roman"/>
        </w:rPr>
        <w:t xml:space="preserve"> above.</w:t>
      </w:r>
      <w:r w:rsidR="00CE6387" w:rsidRPr="00E477AE">
        <w:rPr>
          <w:rFonts w:ascii="Times New Roman" w:hAnsi="Times New Roman" w:cs="Times New Roman"/>
        </w:rPr>
        <w:t xml:space="preserve"> In </w:t>
      </w:r>
      <w:r w:rsidR="00CE6387" w:rsidRPr="00E477AE">
        <w:rPr>
          <w:rFonts w:ascii="Times New Roman" w:hAnsi="Times New Roman" w:cs="Times New Roman"/>
          <w:i/>
        </w:rPr>
        <w:t>Symes</w:t>
      </w:r>
      <w:r w:rsidR="00CE6387" w:rsidRPr="00E477AE">
        <w:rPr>
          <w:rFonts w:ascii="Times New Roman" w:hAnsi="Times New Roman" w:cs="Times New Roman"/>
        </w:rPr>
        <w:t>, the claimant was in financial difficulties</w:t>
      </w:r>
      <w:r w:rsidR="00741299" w:rsidRPr="00E477AE">
        <w:rPr>
          <w:rFonts w:ascii="Times New Roman" w:hAnsi="Times New Roman" w:cs="Times New Roman"/>
        </w:rPr>
        <w:t xml:space="preserve"> and</w:t>
      </w:r>
      <w:r w:rsidR="00BF388E" w:rsidRPr="00E477AE">
        <w:rPr>
          <w:rFonts w:ascii="Times New Roman" w:hAnsi="Times New Roman" w:cs="Times New Roman"/>
        </w:rPr>
        <w:t>,</w:t>
      </w:r>
      <w:r w:rsidR="00741299" w:rsidRPr="00E477AE">
        <w:rPr>
          <w:rFonts w:ascii="Times New Roman" w:hAnsi="Times New Roman" w:cs="Times New Roman"/>
        </w:rPr>
        <w:t xml:space="preserve"> consequently, </w:t>
      </w:r>
      <w:r w:rsidR="00BF388E" w:rsidRPr="00E477AE">
        <w:rPr>
          <w:rFonts w:ascii="Times New Roman" w:hAnsi="Times New Roman" w:cs="Times New Roman"/>
        </w:rPr>
        <w:t xml:space="preserve">he </w:t>
      </w:r>
      <w:r w:rsidR="00CE6387" w:rsidRPr="00E477AE">
        <w:rPr>
          <w:rFonts w:ascii="Times New Roman" w:hAnsi="Times New Roman" w:cs="Times New Roman"/>
        </w:rPr>
        <w:t xml:space="preserve">allowed a pecuniary </w:t>
      </w:r>
      <w:r w:rsidR="00EE4A6F" w:rsidRPr="00E477AE">
        <w:rPr>
          <w:rFonts w:ascii="Times New Roman" w:hAnsi="Times New Roman" w:cs="Times New Roman"/>
        </w:rPr>
        <w:t>default judgment to be entered and executed</w:t>
      </w:r>
      <w:r w:rsidR="00CE6387" w:rsidRPr="00E477AE">
        <w:rPr>
          <w:rFonts w:ascii="Times New Roman" w:hAnsi="Times New Roman" w:cs="Times New Roman"/>
        </w:rPr>
        <w:t xml:space="preserve"> against him. In order to secure his leasehold property against</w:t>
      </w:r>
      <w:r w:rsidR="00BF388E" w:rsidRPr="00E477AE">
        <w:rPr>
          <w:rFonts w:ascii="Times New Roman" w:hAnsi="Times New Roman" w:cs="Times New Roman"/>
        </w:rPr>
        <w:t xml:space="preserve"> his creditors, the claimant </w:t>
      </w:r>
      <w:r w:rsidR="006027D2" w:rsidRPr="00E477AE">
        <w:rPr>
          <w:rFonts w:ascii="Times New Roman" w:hAnsi="Times New Roman" w:cs="Times New Roman"/>
        </w:rPr>
        <w:t>made a voluntary conveyance of the property t</w:t>
      </w:r>
      <w:r w:rsidR="00EE4A6F" w:rsidRPr="00E477AE">
        <w:rPr>
          <w:rFonts w:ascii="Times New Roman" w:hAnsi="Times New Roman" w:cs="Times New Roman"/>
        </w:rPr>
        <w:t>o his lover, Mr</w:t>
      </w:r>
      <w:r w:rsidR="00370ED4" w:rsidRPr="00E477AE">
        <w:rPr>
          <w:rFonts w:ascii="Times New Roman" w:hAnsi="Times New Roman" w:cs="Times New Roman"/>
        </w:rPr>
        <w:t>s. Maddox</w:t>
      </w:r>
      <w:r w:rsidR="00EE4A6F" w:rsidRPr="00E477AE">
        <w:rPr>
          <w:rFonts w:ascii="Times New Roman" w:hAnsi="Times New Roman" w:cs="Times New Roman"/>
        </w:rPr>
        <w:t>; they both intended that Mrs. Maddox would hold the property on trust for the claimant. A few m</w:t>
      </w:r>
      <w:r w:rsidR="00244037" w:rsidRPr="00E477AE">
        <w:rPr>
          <w:rFonts w:ascii="Times New Roman" w:hAnsi="Times New Roman" w:cs="Times New Roman"/>
        </w:rPr>
        <w:t>onths later, Mrs. Maddox denied the claimant’s request</w:t>
      </w:r>
      <w:r w:rsidR="00EE4A6F" w:rsidRPr="00E477AE">
        <w:rPr>
          <w:rFonts w:ascii="Times New Roman" w:hAnsi="Times New Roman" w:cs="Times New Roman"/>
        </w:rPr>
        <w:t xml:space="preserve"> to re-assign the property to</w:t>
      </w:r>
      <w:r w:rsidR="00244037" w:rsidRPr="00E477AE">
        <w:rPr>
          <w:rFonts w:ascii="Times New Roman" w:hAnsi="Times New Roman" w:cs="Times New Roman"/>
        </w:rPr>
        <w:t xml:space="preserve"> him</w:t>
      </w:r>
      <w:r w:rsidR="00370ED4" w:rsidRPr="00E477AE">
        <w:rPr>
          <w:rFonts w:ascii="Times New Roman" w:hAnsi="Times New Roman" w:cs="Times New Roman"/>
        </w:rPr>
        <w:t>, and</w:t>
      </w:r>
      <w:r w:rsidR="00244037" w:rsidRPr="00E477AE">
        <w:rPr>
          <w:rFonts w:ascii="Times New Roman" w:hAnsi="Times New Roman" w:cs="Times New Roman"/>
        </w:rPr>
        <w:t xml:space="preserve"> instead, she conveyed the property to</w:t>
      </w:r>
      <w:r w:rsidR="00EE4A6F" w:rsidRPr="00E477AE">
        <w:rPr>
          <w:rFonts w:ascii="Times New Roman" w:hAnsi="Times New Roman" w:cs="Times New Roman"/>
        </w:rPr>
        <w:t xml:space="preserve"> the</w:t>
      </w:r>
      <w:r w:rsidR="00244037" w:rsidRPr="00E477AE">
        <w:rPr>
          <w:rFonts w:ascii="Times New Roman" w:hAnsi="Times New Roman" w:cs="Times New Roman"/>
        </w:rPr>
        <w:t xml:space="preserve"> defendant, her son-in-law, who had knowledge of the claimant’s beneficial entitlement.</w:t>
      </w:r>
      <w:r w:rsidR="00705CC0" w:rsidRPr="00E477AE">
        <w:rPr>
          <w:rFonts w:ascii="Times New Roman" w:hAnsi="Times New Roman" w:cs="Times New Roman"/>
        </w:rPr>
        <w:t xml:space="preserve"> T</w:t>
      </w:r>
      <w:r w:rsidR="00370ED4" w:rsidRPr="00E477AE">
        <w:rPr>
          <w:rFonts w:ascii="Times New Roman" w:hAnsi="Times New Roman" w:cs="Times New Roman"/>
        </w:rPr>
        <w:t>he claimant</w:t>
      </w:r>
      <w:r w:rsidR="00705CC0" w:rsidRPr="00E477AE">
        <w:rPr>
          <w:rFonts w:ascii="Times New Roman" w:hAnsi="Times New Roman" w:cs="Times New Roman"/>
        </w:rPr>
        <w:t xml:space="preserve"> sought a declaration </w:t>
      </w:r>
      <w:r w:rsidR="00370ED4" w:rsidRPr="00E477AE">
        <w:rPr>
          <w:rFonts w:ascii="Times New Roman" w:hAnsi="Times New Roman" w:cs="Times New Roman"/>
        </w:rPr>
        <w:t>that the defendant</w:t>
      </w:r>
      <w:r w:rsidR="00705CC0" w:rsidRPr="00E477AE">
        <w:rPr>
          <w:rFonts w:ascii="Times New Roman" w:hAnsi="Times New Roman" w:cs="Times New Roman"/>
        </w:rPr>
        <w:t xml:space="preserve"> was</w:t>
      </w:r>
      <w:r w:rsidR="00370ED4" w:rsidRPr="00E477AE">
        <w:rPr>
          <w:rFonts w:ascii="Times New Roman" w:hAnsi="Times New Roman" w:cs="Times New Roman"/>
        </w:rPr>
        <w:t xml:space="preserve"> a trustee of the property for the claimant</w:t>
      </w:r>
      <w:r w:rsidR="00705CC0" w:rsidRPr="00E477AE">
        <w:rPr>
          <w:rFonts w:ascii="Times New Roman" w:hAnsi="Times New Roman" w:cs="Times New Roman"/>
        </w:rPr>
        <w:t>, and an order for a re-transfer of the property to the claimant</w:t>
      </w:r>
      <w:r w:rsidR="00370ED4" w:rsidRPr="00E477AE">
        <w:rPr>
          <w:rFonts w:ascii="Times New Roman" w:hAnsi="Times New Roman" w:cs="Times New Roman"/>
        </w:rPr>
        <w:t>. The defendant argued that since the trust alleged by th</w:t>
      </w:r>
      <w:r w:rsidR="00705CC0" w:rsidRPr="00E477AE">
        <w:rPr>
          <w:rFonts w:ascii="Times New Roman" w:hAnsi="Times New Roman" w:cs="Times New Roman"/>
        </w:rPr>
        <w:t xml:space="preserve">e claimant was illegal, </w:t>
      </w:r>
      <w:r w:rsidR="00370ED4" w:rsidRPr="00E477AE">
        <w:rPr>
          <w:rFonts w:ascii="Times New Roman" w:hAnsi="Times New Roman" w:cs="Times New Roman"/>
        </w:rPr>
        <w:t>it</w:t>
      </w:r>
      <w:r w:rsidR="002B3F36" w:rsidRPr="00E477AE">
        <w:rPr>
          <w:rFonts w:ascii="Times New Roman" w:hAnsi="Times New Roman" w:cs="Times New Roman"/>
        </w:rPr>
        <w:t>s manifest purpose</w:t>
      </w:r>
      <w:r w:rsidR="00705CC0" w:rsidRPr="00E477AE">
        <w:rPr>
          <w:rFonts w:ascii="Times New Roman" w:hAnsi="Times New Roman" w:cs="Times New Roman"/>
        </w:rPr>
        <w:t xml:space="preserve"> being </w:t>
      </w:r>
      <w:r w:rsidR="00370ED4" w:rsidRPr="00E477AE">
        <w:rPr>
          <w:rFonts w:ascii="Times New Roman" w:hAnsi="Times New Roman" w:cs="Times New Roman"/>
        </w:rPr>
        <w:t xml:space="preserve">to </w:t>
      </w:r>
      <w:r w:rsidR="002B3F36" w:rsidRPr="00E477AE">
        <w:rPr>
          <w:rFonts w:ascii="Times New Roman" w:hAnsi="Times New Roman" w:cs="Times New Roman"/>
        </w:rPr>
        <w:t>defraud the claimant’s creditor</w:t>
      </w:r>
      <w:r w:rsidR="00370ED4" w:rsidRPr="00E477AE">
        <w:rPr>
          <w:rFonts w:ascii="Times New Roman" w:hAnsi="Times New Roman" w:cs="Times New Roman"/>
        </w:rPr>
        <w:t>s, the court should not entertain the claimant</w:t>
      </w:r>
      <w:r w:rsidR="003563E6">
        <w:rPr>
          <w:rFonts w:ascii="Times New Roman" w:hAnsi="Times New Roman" w:cs="Times New Roman"/>
        </w:rPr>
        <w:t>’</w:t>
      </w:r>
      <w:r w:rsidR="00370ED4" w:rsidRPr="00E477AE">
        <w:rPr>
          <w:rFonts w:ascii="Times New Roman" w:hAnsi="Times New Roman" w:cs="Times New Roman"/>
        </w:rPr>
        <w:t>s action on the</w:t>
      </w:r>
      <w:r w:rsidR="002B3F36" w:rsidRPr="00E477AE">
        <w:rPr>
          <w:rFonts w:ascii="Times New Roman" w:hAnsi="Times New Roman" w:cs="Times New Roman"/>
        </w:rPr>
        <w:t xml:space="preserve"> basis of the maxim that </w:t>
      </w:r>
      <w:r w:rsidR="002B3F36" w:rsidRPr="00E477AE">
        <w:rPr>
          <w:rFonts w:ascii="Times New Roman" w:hAnsi="Times New Roman" w:cs="Times New Roman"/>
          <w:i/>
        </w:rPr>
        <w:t>in pari delicto potior est condition possidentis</w:t>
      </w:r>
      <w:r w:rsidR="002B3F36" w:rsidRPr="00E477AE">
        <w:rPr>
          <w:rFonts w:ascii="Times New Roman" w:hAnsi="Times New Roman" w:cs="Times New Roman"/>
        </w:rPr>
        <w:t>.</w:t>
      </w:r>
      <w:r w:rsidR="003F6DE8" w:rsidRPr="00E477AE">
        <w:rPr>
          <w:rStyle w:val="FootnoteReference"/>
          <w:rFonts w:ascii="Times New Roman" w:hAnsi="Times New Roman" w:cs="Times New Roman"/>
        </w:rPr>
        <w:footnoteReference w:id="31"/>
      </w:r>
      <w:r w:rsidR="00481BDD" w:rsidRPr="00E477AE">
        <w:rPr>
          <w:rFonts w:ascii="Times New Roman" w:hAnsi="Times New Roman" w:cs="Times New Roman"/>
        </w:rPr>
        <w:t xml:space="preserve"> Lord Romilly</w:t>
      </w:r>
      <w:r w:rsidR="003F6DE8" w:rsidRPr="00E477AE">
        <w:rPr>
          <w:rFonts w:ascii="Times New Roman" w:hAnsi="Times New Roman" w:cs="Times New Roman"/>
        </w:rPr>
        <w:t xml:space="preserve"> MR agreed with the claimant’s answer to this defence, to the effect that the illegal purpose was of no consequence because it had not been executed. More interestingly, however,</w:t>
      </w:r>
      <w:r w:rsidR="00481BDD" w:rsidRPr="00E477AE">
        <w:rPr>
          <w:rFonts w:ascii="Times New Roman" w:hAnsi="Times New Roman" w:cs="Times New Roman"/>
        </w:rPr>
        <w:t xml:space="preserve"> Lord Romilly</w:t>
      </w:r>
      <w:r w:rsidR="00504D3E" w:rsidRPr="00E477AE">
        <w:rPr>
          <w:rFonts w:ascii="Times New Roman" w:hAnsi="Times New Roman" w:cs="Times New Roman"/>
        </w:rPr>
        <w:t xml:space="preserve"> MR observed that ‘the mere intention to effect an illegal object when the assignment was executed does not deprive the assignor of his right to recover the property from the assignee who has given no consideration for it’.</w:t>
      </w:r>
      <w:r w:rsidR="00504D3E" w:rsidRPr="00E477AE">
        <w:rPr>
          <w:rStyle w:val="FootnoteReference"/>
          <w:rFonts w:ascii="Times New Roman" w:hAnsi="Times New Roman" w:cs="Times New Roman"/>
        </w:rPr>
        <w:footnoteReference w:id="32"/>
      </w:r>
      <w:r w:rsidR="006A4C0E" w:rsidRPr="00E477AE">
        <w:rPr>
          <w:rFonts w:ascii="Times New Roman" w:hAnsi="Times New Roman" w:cs="Times New Roman"/>
        </w:rPr>
        <w:t xml:space="preserve"> Thus, an illegal intention</w:t>
      </w:r>
      <w:r w:rsidR="00705CC0" w:rsidRPr="00E477AE">
        <w:rPr>
          <w:rFonts w:ascii="Times New Roman" w:hAnsi="Times New Roman" w:cs="Times New Roman"/>
        </w:rPr>
        <w:t xml:space="preserve"> would not impair a trust constituted by the primary fact</w:t>
      </w:r>
      <w:r w:rsidR="006A4C0E" w:rsidRPr="00E477AE">
        <w:rPr>
          <w:rFonts w:ascii="Times New Roman" w:hAnsi="Times New Roman" w:cs="Times New Roman"/>
        </w:rPr>
        <w:t>s</w:t>
      </w:r>
      <w:r w:rsidR="00705CC0" w:rsidRPr="00E477AE">
        <w:rPr>
          <w:rFonts w:ascii="Times New Roman" w:hAnsi="Times New Roman" w:cs="Times New Roman"/>
        </w:rPr>
        <w:t>.</w:t>
      </w:r>
      <w:r w:rsidR="006A4C0E" w:rsidRPr="00E477AE">
        <w:rPr>
          <w:rFonts w:ascii="Times New Roman" w:hAnsi="Times New Roman" w:cs="Times New Roman"/>
        </w:rPr>
        <w:t xml:space="preserve"> </w:t>
      </w:r>
    </w:p>
    <w:p w14:paraId="6F5039D1" w14:textId="0B7F5C57" w:rsidR="00E8108C" w:rsidRPr="00E477AE" w:rsidRDefault="00085935" w:rsidP="00521DCD">
      <w:pPr>
        <w:pStyle w:val="FootnoteText"/>
        <w:ind w:firstLine="720"/>
        <w:jc w:val="both"/>
        <w:rPr>
          <w:rFonts w:ascii="Times New Roman" w:hAnsi="Times New Roman" w:cs="Times New Roman"/>
        </w:rPr>
      </w:pPr>
      <w:r w:rsidRPr="00E477AE">
        <w:rPr>
          <w:rFonts w:ascii="Times New Roman" w:hAnsi="Times New Roman" w:cs="Times New Roman"/>
          <w:i/>
        </w:rPr>
        <w:t>In re Great Berlin Steamboat Co</w:t>
      </w:r>
      <w:r w:rsidRPr="00E477AE">
        <w:rPr>
          <w:rFonts w:ascii="Times New Roman" w:hAnsi="Times New Roman" w:cs="Times New Roman"/>
        </w:rPr>
        <w:t>.</w:t>
      </w:r>
      <w:r w:rsidR="007558A1" w:rsidRPr="00E477AE">
        <w:rPr>
          <w:rFonts w:ascii="Times New Roman" w:hAnsi="Times New Roman" w:cs="Times New Roman"/>
        </w:rPr>
        <w:t xml:space="preserve"> provides a good challenge to</w:t>
      </w:r>
      <w:r w:rsidR="006002CD">
        <w:rPr>
          <w:rFonts w:ascii="Times New Roman" w:hAnsi="Times New Roman" w:cs="Times New Roman"/>
        </w:rPr>
        <w:t xml:space="preserve"> my hypothesis</w:t>
      </w:r>
      <w:r w:rsidR="007558A1" w:rsidRPr="00E477AE">
        <w:rPr>
          <w:rFonts w:ascii="Times New Roman" w:hAnsi="Times New Roman" w:cs="Times New Roman"/>
        </w:rPr>
        <w:t xml:space="preserve"> above.</w:t>
      </w:r>
      <w:r w:rsidRPr="00E477AE">
        <w:rPr>
          <w:rStyle w:val="FootnoteReference"/>
          <w:rFonts w:ascii="Times New Roman" w:hAnsi="Times New Roman" w:cs="Times New Roman"/>
        </w:rPr>
        <w:footnoteReference w:id="33"/>
      </w:r>
      <w:r w:rsidRPr="00E477AE">
        <w:rPr>
          <w:rFonts w:ascii="Times New Roman" w:hAnsi="Times New Roman" w:cs="Times New Roman"/>
        </w:rPr>
        <w:t xml:space="preserve"> There,</w:t>
      </w:r>
      <w:r w:rsidR="00571D1F" w:rsidRPr="00E477AE">
        <w:rPr>
          <w:rFonts w:ascii="Times New Roman" w:hAnsi="Times New Roman" w:cs="Times New Roman"/>
        </w:rPr>
        <w:t xml:space="preserve"> th</w:t>
      </w:r>
      <w:r w:rsidR="00FC2957" w:rsidRPr="00E477AE">
        <w:rPr>
          <w:rFonts w:ascii="Times New Roman" w:hAnsi="Times New Roman" w:cs="Times New Roman"/>
        </w:rPr>
        <w:t>e claimant agreed</w:t>
      </w:r>
      <w:r w:rsidR="00371045" w:rsidRPr="00E477AE">
        <w:rPr>
          <w:rFonts w:ascii="Times New Roman" w:hAnsi="Times New Roman" w:cs="Times New Roman"/>
        </w:rPr>
        <w:t xml:space="preserve"> to deposit </w:t>
      </w:r>
      <w:r w:rsidR="00FC2957" w:rsidRPr="00E477AE">
        <w:rPr>
          <w:rFonts w:ascii="Times New Roman" w:hAnsi="Times New Roman" w:cs="Times New Roman"/>
        </w:rPr>
        <w:t>£1000 into a</w:t>
      </w:r>
      <w:r w:rsidR="00371045" w:rsidRPr="00E477AE">
        <w:rPr>
          <w:rFonts w:ascii="Times New Roman" w:hAnsi="Times New Roman" w:cs="Times New Roman"/>
        </w:rPr>
        <w:t xml:space="preserve"> company’s </w:t>
      </w:r>
      <w:r w:rsidR="00FC2957" w:rsidRPr="00E477AE">
        <w:rPr>
          <w:rFonts w:ascii="Times New Roman" w:hAnsi="Times New Roman" w:cs="Times New Roman"/>
        </w:rPr>
        <w:t>bank account. T</w:t>
      </w:r>
      <w:r w:rsidR="00371045" w:rsidRPr="00E477AE">
        <w:rPr>
          <w:rFonts w:ascii="Times New Roman" w:hAnsi="Times New Roman" w:cs="Times New Roman"/>
        </w:rPr>
        <w:t>he purpose</w:t>
      </w:r>
      <w:r w:rsidR="008C45A5" w:rsidRPr="00E477AE">
        <w:rPr>
          <w:rFonts w:ascii="Times New Roman" w:hAnsi="Times New Roman" w:cs="Times New Roman"/>
        </w:rPr>
        <w:t xml:space="preserve"> of the deposit</w:t>
      </w:r>
      <w:r w:rsidR="00371045" w:rsidRPr="00E477AE">
        <w:rPr>
          <w:rFonts w:ascii="Times New Roman" w:hAnsi="Times New Roman" w:cs="Times New Roman"/>
        </w:rPr>
        <w:t xml:space="preserve"> was to give the company a positive</w:t>
      </w:r>
      <w:r w:rsidR="00915FEB" w:rsidRPr="00E477AE">
        <w:rPr>
          <w:rFonts w:ascii="Times New Roman" w:hAnsi="Times New Roman" w:cs="Times New Roman"/>
        </w:rPr>
        <w:t>, but fictitious,</w:t>
      </w:r>
      <w:r w:rsidR="00371045" w:rsidRPr="00E477AE">
        <w:rPr>
          <w:rFonts w:ascii="Times New Roman" w:hAnsi="Times New Roman" w:cs="Times New Roman"/>
        </w:rPr>
        <w:t xml:space="preserve"> credit</w:t>
      </w:r>
      <w:r w:rsidR="00915FEB" w:rsidRPr="00E477AE">
        <w:rPr>
          <w:rFonts w:ascii="Times New Roman" w:hAnsi="Times New Roman" w:cs="Times New Roman"/>
        </w:rPr>
        <w:t xml:space="preserve"> profile</w:t>
      </w:r>
      <w:r w:rsidR="008C45A5" w:rsidRPr="00E477AE">
        <w:rPr>
          <w:rFonts w:ascii="Times New Roman" w:hAnsi="Times New Roman" w:cs="Times New Roman"/>
        </w:rPr>
        <w:t>,</w:t>
      </w:r>
      <w:r w:rsidR="00915FEB" w:rsidRPr="00E477AE">
        <w:rPr>
          <w:rFonts w:ascii="Times New Roman" w:hAnsi="Times New Roman" w:cs="Times New Roman"/>
        </w:rPr>
        <w:t xml:space="preserve"> which</w:t>
      </w:r>
      <w:r w:rsidR="00FC2957" w:rsidRPr="00E477AE">
        <w:rPr>
          <w:rFonts w:ascii="Times New Roman" w:hAnsi="Times New Roman" w:cs="Times New Roman"/>
        </w:rPr>
        <w:t xml:space="preserve"> might help to attract investors to</w:t>
      </w:r>
      <w:r w:rsidR="00915FEB" w:rsidRPr="00E477AE">
        <w:rPr>
          <w:rFonts w:ascii="Times New Roman" w:hAnsi="Times New Roman" w:cs="Times New Roman"/>
        </w:rPr>
        <w:t xml:space="preserve"> the company</w:t>
      </w:r>
      <w:r w:rsidR="00FC2957" w:rsidRPr="00E477AE">
        <w:rPr>
          <w:rFonts w:ascii="Times New Roman" w:hAnsi="Times New Roman" w:cs="Times New Roman"/>
        </w:rPr>
        <w:t>.</w:t>
      </w:r>
      <w:r w:rsidR="00136DD1" w:rsidRPr="00E477AE">
        <w:rPr>
          <w:rFonts w:ascii="Times New Roman" w:hAnsi="Times New Roman" w:cs="Times New Roman"/>
        </w:rPr>
        <w:t xml:space="preserve"> The resolution of the company authorizing the transaction expressly stated that the money was to be</w:t>
      </w:r>
      <w:r w:rsidR="00FC2957" w:rsidRPr="00E477AE">
        <w:rPr>
          <w:rFonts w:ascii="Times New Roman" w:hAnsi="Times New Roman" w:cs="Times New Roman"/>
        </w:rPr>
        <w:t xml:space="preserve"> held </w:t>
      </w:r>
      <w:r w:rsidR="00136DD1" w:rsidRPr="00E477AE">
        <w:rPr>
          <w:rFonts w:ascii="Times New Roman" w:hAnsi="Times New Roman" w:cs="Times New Roman"/>
        </w:rPr>
        <w:t>on trust for the claimant</w:t>
      </w:r>
      <w:r w:rsidR="00FC2957" w:rsidRPr="00E477AE">
        <w:rPr>
          <w:rFonts w:ascii="Times New Roman" w:hAnsi="Times New Roman" w:cs="Times New Roman"/>
        </w:rPr>
        <w:t>,</w:t>
      </w:r>
      <w:r w:rsidR="00136DD1" w:rsidRPr="00E477AE">
        <w:rPr>
          <w:rFonts w:ascii="Times New Roman" w:hAnsi="Times New Roman" w:cs="Times New Roman"/>
        </w:rPr>
        <w:t xml:space="preserve"> and</w:t>
      </w:r>
      <w:r w:rsidR="00FC2957" w:rsidRPr="00E477AE">
        <w:rPr>
          <w:rFonts w:ascii="Times New Roman" w:hAnsi="Times New Roman" w:cs="Times New Roman"/>
        </w:rPr>
        <w:t xml:space="preserve"> that no part of it w</w:t>
      </w:r>
      <w:r w:rsidR="00733519" w:rsidRPr="00E477AE">
        <w:rPr>
          <w:rFonts w:ascii="Times New Roman" w:hAnsi="Times New Roman" w:cs="Times New Roman"/>
        </w:rPr>
        <w:t>ould be spent without the claimant’s consent; it further provided that the mo</w:t>
      </w:r>
      <w:r w:rsidR="00FC2957" w:rsidRPr="00E477AE">
        <w:rPr>
          <w:rFonts w:ascii="Times New Roman" w:hAnsi="Times New Roman" w:cs="Times New Roman"/>
        </w:rPr>
        <w:t>ney w</w:t>
      </w:r>
      <w:r w:rsidR="00733519" w:rsidRPr="00E477AE">
        <w:rPr>
          <w:rFonts w:ascii="Times New Roman" w:hAnsi="Times New Roman" w:cs="Times New Roman"/>
        </w:rPr>
        <w:t>ould be paid back to the claimant at the expiration of one month from the date of receipt.</w:t>
      </w:r>
      <w:r w:rsidR="00F55803" w:rsidRPr="00E477AE">
        <w:rPr>
          <w:rFonts w:ascii="Times New Roman" w:hAnsi="Times New Roman" w:cs="Times New Roman"/>
        </w:rPr>
        <w:t xml:space="preserve"> However, the expected investment did not materialize</w:t>
      </w:r>
      <w:r w:rsidR="00902C17" w:rsidRPr="00E477AE">
        <w:rPr>
          <w:rFonts w:ascii="Times New Roman" w:hAnsi="Times New Roman" w:cs="Times New Roman"/>
        </w:rPr>
        <w:t xml:space="preserve"> and an order was made for the compulsory winding-</w:t>
      </w:r>
      <w:r w:rsidR="00F55803" w:rsidRPr="00E477AE">
        <w:rPr>
          <w:rFonts w:ascii="Times New Roman" w:hAnsi="Times New Roman" w:cs="Times New Roman"/>
        </w:rPr>
        <w:t>up</w:t>
      </w:r>
      <w:r w:rsidR="00902C17" w:rsidRPr="00E477AE">
        <w:rPr>
          <w:rFonts w:ascii="Times New Roman" w:hAnsi="Times New Roman" w:cs="Times New Roman"/>
        </w:rPr>
        <w:t xml:space="preserve"> of the company</w:t>
      </w:r>
      <w:r w:rsidR="00FC2957" w:rsidRPr="00E477AE">
        <w:rPr>
          <w:rFonts w:ascii="Times New Roman" w:hAnsi="Times New Roman" w:cs="Times New Roman"/>
        </w:rPr>
        <w:t>. I</w:t>
      </w:r>
      <w:r w:rsidR="00902C17" w:rsidRPr="00E477AE">
        <w:rPr>
          <w:rFonts w:ascii="Times New Roman" w:hAnsi="Times New Roman" w:cs="Times New Roman"/>
        </w:rPr>
        <w:t>n the winding-up proceeding,</w:t>
      </w:r>
      <w:r w:rsidR="00F55803" w:rsidRPr="00E477AE">
        <w:rPr>
          <w:rFonts w:ascii="Times New Roman" w:hAnsi="Times New Roman" w:cs="Times New Roman"/>
        </w:rPr>
        <w:t xml:space="preserve"> the clai</w:t>
      </w:r>
      <w:r w:rsidR="00FC2957" w:rsidRPr="00E477AE">
        <w:rPr>
          <w:rFonts w:ascii="Times New Roman" w:hAnsi="Times New Roman" w:cs="Times New Roman"/>
        </w:rPr>
        <w:t>mant argued</w:t>
      </w:r>
      <w:r w:rsidR="00F55803" w:rsidRPr="00E477AE">
        <w:rPr>
          <w:rFonts w:ascii="Times New Roman" w:hAnsi="Times New Roman" w:cs="Times New Roman"/>
        </w:rPr>
        <w:t xml:space="preserve"> that the remainder of the </w:t>
      </w:r>
      <w:r w:rsidR="00FC2957" w:rsidRPr="00E477AE">
        <w:rPr>
          <w:rFonts w:ascii="Times New Roman" w:hAnsi="Times New Roman" w:cs="Times New Roman"/>
        </w:rPr>
        <w:t>£</w:t>
      </w:r>
      <w:r w:rsidR="00F55803" w:rsidRPr="00E477AE">
        <w:rPr>
          <w:rFonts w:ascii="Times New Roman" w:hAnsi="Times New Roman" w:cs="Times New Roman"/>
        </w:rPr>
        <w:t>1000 pounds (</w:t>
      </w:r>
      <w:r w:rsidR="00FC2957" w:rsidRPr="00E477AE">
        <w:rPr>
          <w:rFonts w:ascii="Times New Roman" w:hAnsi="Times New Roman" w:cs="Times New Roman"/>
        </w:rPr>
        <w:t>that is, £</w:t>
      </w:r>
      <w:r w:rsidR="00F55803" w:rsidRPr="00E477AE">
        <w:rPr>
          <w:rFonts w:ascii="Times New Roman" w:hAnsi="Times New Roman" w:cs="Times New Roman"/>
        </w:rPr>
        <w:t>99.15, the rest having been spent by the company with the</w:t>
      </w:r>
      <w:r w:rsidR="00FC2957" w:rsidRPr="00E477AE">
        <w:rPr>
          <w:rFonts w:ascii="Times New Roman" w:hAnsi="Times New Roman" w:cs="Times New Roman"/>
        </w:rPr>
        <w:t xml:space="preserve"> consent of the claimant</w:t>
      </w:r>
      <w:r w:rsidR="00F55803" w:rsidRPr="00E477AE">
        <w:rPr>
          <w:rFonts w:ascii="Times New Roman" w:hAnsi="Times New Roman" w:cs="Times New Roman"/>
        </w:rPr>
        <w:t>) was held on trust for him</w:t>
      </w:r>
      <w:r w:rsidR="00FC2957" w:rsidRPr="00E477AE">
        <w:rPr>
          <w:rFonts w:ascii="Times New Roman" w:hAnsi="Times New Roman" w:cs="Times New Roman"/>
        </w:rPr>
        <w:t>. The</w:t>
      </w:r>
      <w:r w:rsidR="00371045" w:rsidRPr="00E477AE">
        <w:rPr>
          <w:rFonts w:ascii="Times New Roman" w:hAnsi="Times New Roman" w:cs="Times New Roman"/>
        </w:rPr>
        <w:t xml:space="preserve"> </w:t>
      </w:r>
      <w:r w:rsidR="00FC2957" w:rsidRPr="00E477AE">
        <w:rPr>
          <w:rFonts w:ascii="Times New Roman" w:hAnsi="Times New Roman" w:cs="Times New Roman"/>
        </w:rPr>
        <w:t>defence was that the alleged trust was unenforceable, because</w:t>
      </w:r>
      <w:r w:rsidR="00902C17" w:rsidRPr="00E477AE">
        <w:rPr>
          <w:rFonts w:ascii="Times New Roman" w:hAnsi="Times New Roman" w:cs="Times New Roman"/>
        </w:rPr>
        <w:t xml:space="preserve"> it </w:t>
      </w:r>
      <w:r w:rsidR="00A265FB" w:rsidRPr="00E477AE">
        <w:rPr>
          <w:rFonts w:ascii="Times New Roman" w:hAnsi="Times New Roman" w:cs="Times New Roman"/>
        </w:rPr>
        <w:t>amounted to</w:t>
      </w:r>
      <w:r w:rsidR="00902C17" w:rsidRPr="00E477AE">
        <w:rPr>
          <w:rFonts w:ascii="Times New Roman" w:hAnsi="Times New Roman" w:cs="Times New Roman"/>
        </w:rPr>
        <w:t xml:space="preserve"> a fraud</w:t>
      </w:r>
      <w:r w:rsidR="00FC2957" w:rsidRPr="00E477AE">
        <w:rPr>
          <w:rFonts w:ascii="Times New Roman" w:hAnsi="Times New Roman" w:cs="Times New Roman"/>
        </w:rPr>
        <w:t xml:space="preserve"> against potential investors and the</w:t>
      </w:r>
      <w:r w:rsidR="00EB4772" w:rsidRPr="00E477AE">
        <w:rPr>
          <w:rFonts w:ascii="Times New Roman" w:hAnsi="Times New Roman" w:cs="Times New Roman"/>
        </w:rPr>
        <w:t xml:space="preserve"> general</w:t>
      </w:r>
      <w:r w:rsidR="00FC2957" w:rsidRPr="00E477AE">
        <w:rPr>
          <w:rFonts w:ascii="Times New Roman" w:hAnsi="Times New Roman" w:cs="Times New Roman"/>
        </w:rPr>
        <w:t xml:space="preserve"> public. </w:t>
      </w:r>
      <w:r w:rsidR="0073670A" w:rsidRPr="00E477AE">
        <w:rPr>
          <w:rFonts w:ascii="Times New Roman" w:hAnsi="Times New Roman" w:cs="Times New Roman"/>
        </w:rPr>
        <w:t>T</w:t>
      </w:r>
      <w:r w:rsidR="00A265FB" w:rsidRPr="00E477AE">
        <w:rPr>
          <w:rFonts w:ascii="Times New Roman" w:hAnsi="Times New Roman" w:cs="Times New Roman"/>
        </w:rPr>
        <w:t>he Court of Appeal</w:t>
      </w:r>
      <w:r w:rsidR="0073670A" w:rsidRPr="00E477AE">
        <w:rPr>
          <w:rFonts w:ascii="Times New Roman" w:hAnsi="Times New Roman" w:cs="Times New Roman"/>
        </w:rPr>
        <w:t xml:space="preserve"> appeared to have accepted this argument, and held that </w:t>
      </w:r>
      <w:r w:rsidR="00A265FB" w:rsidRPr="00E477AE">
        <w:rPr>
          <w:rFonts w:ascii="Times New Roman" w:hAnsi="Times New Roman" w:cs="Times New Roman"/>
        </w:rPr>
        <w:t>it was too late for the claimant to</w:t>
      </w:r>
      <w:r w:rsidR="0073670A" w:rsidRPr="00E477AE">
        <w:rPr>
          <w:rFonts w:ascii="Times New Roman" w:hAnsi="Times New Roman" w:cs="Times New Roman"/>
        </w:rPr>
        <w:t xml:space="preserve"> withdraw from</w:t>
      </w:r>
      <w:r w:rsidR="00A265FB" w:rsidRPr="00E477AE">
        <w:rPr>
          <w:rFonts w:ascii="Times New Roman" w:hAnsi="Times New Roman" w:cs="Times New Roman"/>
        </w:rPr>
        <w:t xml:space="preserve"> the transaction.</w:t>
      </w:r>
    </w:p>
    <w:p w14:paraId="7D1226BD" w14:textId="1941BD29" w:rsidR="00AC4515" w:rsidRPr="00E477AE" w:rsidRDefault="009133FD" w:rsidP="00521DCD">
      <w:pPr>
        <w:pStyle w:val="FootnoteText"/>
        <w:ind w:firstLine="720"/>
        <w:jc w:val="both"/>
        <w:rPr>
          <w:rFonts w:ascii="Times New Roman" w:hAnsi="Times New Roman" w:cs="Times New Roman"/>
        </w:rPr>
      </w:pPr>
      <w:r w:rsidRPr="00E477AE">
        <w:rPr>
          <w:rFonts w:ascii="Times New Roman" w:hAnsi="Times New Roman" w:cs="Times New Roman"/>
        </w:rPr>
        <w:t>I argue</w:t>
      </w:r>
      <w:r w:rsidR="00EB4772" w:rsidRPr="00E477AE">
        <w:rPr>
          <w:rFonts w:ascii="Times New Roman" w:hAnsi="Times New Roman" w:cs="Times New Roman"/>
        </w:rPr>
        <w:t>, however,</w:t>
      </w:r>
      <w:r w:rsidRPr="00E477AE">
        <w:rPr>
          <w:rFonts w:ascii="Times New Roman" w:hAnsi="Times New Roman" w:cs="Times New Roman"/>
        </w:rPr>
        <w:t xml:space="preserve"> that the primary and critical transaction in</w:t>
      </w:r>
      <w:r w:rsidRPr="00E477AE">
        <w:rPr>
          <w:rFonts w:ascii="Times New Roman" w:hAnsi="Times New Roman" w:cs="Times New Roman"/>
          <w:i/>
        </w:rPr>
        <w:t xml:space="preserve"> In re Great Berlin Steamboat Co.</w:t>
      </w:r>
      <w:r w:rsidR="003D630B" w:rsidRPr="00E477AE">
        <w:rPr>
          <w:rFonts w:ascii="Times New Roman" w:hAnsi="Times New Roman" w:cs="Times New Roman"/>
        </w:rPr>
        <w:t xml:space="preserve"> actually evinced a </w:t>
      </w:r>
      <w:r w:rsidRPr="00E477AE">
        <w:rPr>
          <w:rFonts w:ascii="Times New Roman" w:hAnsi="Times New Roman" w:cs="Times New Roman"/>
        </w:rPr>
        <w:t>contractual or debtor-creditor relationship</w:t>
      </w:r>
      <w:r w:rsidR="00726D58" w:rsidRPr="00E477AE">
        <w:rPr>
          <w:rFonts w:ascii="Times New Roman" w:hAnsi="Times New Roman" w:cs="Times New Roman"/>
        </w:rPr>
        <w:t>,</w:t>
      </w:r>
      <w:r w:rsidRPr="00E477AE">
        <w:rPr>
          <w:rFonts w:ascii="Times New Roman" w:hAnsi="Times New Roman" w:cs="Times New Roman"/>
        </w:rPr>
        <w:t xml:space="preserve"> rath</w:t>
      </w:r>
      <w:r w:rsidR="003D630B" w:rsidRPr="00E477AE">
        <w:rPr>
          <w:rFonts w:ascii="Times New Roman" w:hAnsi="Times New Roman" w:cs="Times New Roman"/>
        </w:rPr>
        <w:t>er than a trust; it is immaterial that</w:t>
      </w:r>
      <w:r w:rsidRPr="00E477AE">
        <w:rPr>
          <w:rFonts w:ascii="Times New Roman" w:hAnsi="Times New Roman" w:cs="Times New Roman"/>
        </w:rPr>
        <w:t xml:space="preserve"> the resolution of the company</w:t>
      </w:r>
      <w:r w:rsidR="003D630B" w:rsidRPr="00E477AE">
        <w:rPr>
          <w:rFonts w:ascii="Times New Roman" w:hAnsi="Times New Roman" w:cs="Times New Roman"/>
        </w:rPr>
        <w:t xml:space="preserve"> described </w:t>
      </w:r>
      <w:r w:rsidRPr="00E477AE">
        <w:rPr>
          <w:rFonts w:ascii="Times New Roman" w:hAnsi="Times New Roman" w:cs="Times New Roman"/>
        </w:rPr>
        <w:t xml:space="preserve">the transaction as a trust. </w:t>
      </w:r>
      <w:r w:rsidR="001E45A6" w:rsidRPr="00E477AE">
        <w:rPr>
          <w:rFonts w:ascii="Times New Roman" w:hAnsi="Times New Roman" w:cs="Times New Roman"/>
        </w:rPr>
        <w:t xml:space="preserve">If </w:t>
      </w:r>
      <w:r w:rsidR="001E45A6" w:rsidRPr="00E477AE">
        <w:rPr>
          <w:rFonts w:ascii="Times New Roman" w:hAnsi="Times New Roman" w:cs="Times New Roman"/>
          <w:i/>
        </w:rPr>
        <w:t>In re Great Berlin Steamboat Co</w:t>
      </w:r>
      <w:r w:rsidR="00DF07BC" w:rsidRPr="00E477AE">
        <w:rPr>
          <w:rFonts w:ascii="Times New Roman" w:hAnsi="Times New Roman" w:cs="Times New Roman"/>
          <w:i/>
        </w:rPr>
        <w:t>.</w:t>
      </w:r>
      <w:r w:rsidR="001E45A6" w:rsidRPr="00E477AE">
        <w:rPr>
          <w:rFonts w:ascii="Times New Roman" w:hAnsi="Times New Roman" w:cs="Times New Roman"/>
        </w:rPr>
        <w:t xml:space="preserve"> was a case of debt, as I contend here, then the court’s acknowledgment of the relevance of the fraudulent purpose</w:t>
      </w:r>
      <w:r w:rsidR="00192362" w:rsidRPr="00E477AE">
        <w:rPr>
          <w:rFonts w:ascii="Times New Roman" w:hAnsi="Times New Roman" w:cs="Times New Roman"/>
        </w:rPr>
        <w:t xml:space="preserve"> of the loan c</w:t>
      </w:r>
      <w:r w:rsidR="005B493F" w:rsidRPr="00E477AE">
        <w:rPr>
          <w:rFonts w:ascii="Times New Roman" w:hAnsi="Times New Roman" w:cs="Times New Roman"/>
        </w:rPr>
        <w:t xml:space="preserve">ould </w:t>
      </w:r>
      <w:r w:rsidR="001E45A6" w:rsidRPr="00E477AE">
        <w:rPr>
          <w:rFonts w:ascii="Times New Roman" w:hAnsi="Times New Roman" w:cs="Times New Roman"/>
        </w:rPr>
        <w:t>not</w:t>
      </w:r>
      <w:r w:rsidR="00641A0F" w:rsidRPr="00E477AE">
        <w:rPr>
          <w:rFonts w:ascii="Times New Roman" w:hAnsi="Times New Roman" w:cs="Times New Roman"/>
        </w:rPr>
        <w:t xml:space="preserve"> have</w:t>
      </w:r>
      <w:r w:rsidR="00192362" w:rsidRPr="00E477AE">
        <w:rPr>
          <w:rFonts w:ascii="Times New Roman" w:hAnsi="Times New Roman" w:cs="Times New Roman"/>
        </w:rPr>
        <w:t xml:space="preserve"> mean</w:t>
      </w:r>
      <w:r w:rsidR="00E17F83" w:rsidRPr="00E477AE">
        <w:rPr>
          <w:rFonts w:ascii="Times New Roman" w:hAnsi="Times New Roman" w:cs="Times New Roman"/>
        </w:rPr>
        <w:t>t that an</w:t>
      </w:r>
      <w:r w:rsidR="00E82021" w:rsidRPr="00E477AE">
        <w:rPr>
          <w:rFonts w:ascii="Times New Roman" w:hAnsi="Times New Roman" w:cs="Times New Roman"/>
        </w:rPr>
        <w:t xml:space="preserve"> </w:t>
      </w:r>
      <w:r w:rsidR="00192362" w:rsidRPr="00E477AE">
        <w:rPr>
          <w:rFonts w:ascii="Times New Roman" w:hAnsi="Times New Roman" w:cs="Times New Roman"/>
        </w:rPr>
        <w:t>illegal purpose w</w:t>
      </w:r>
      <w:r w:rsidR="00E17F83" w:rsidRPr="00E477AE">
        <w:rPr>
          <w:rFonts w:ascii="Times New Roman" w:hAnsi="Times New Roman" w:cs="Times New Roman"/>
        </w:rPr>
        <w:t>ould also</w:t>
      </w:r>
      <w:r w:rsidR="001E45A6" w:rsidRPr="00E477AE">
        <w:rPr>
          <w:rFonts w:ascii="Times New Roman" w:hAnsi="Times New Roman" w:cs="Times New Roman"/>
        </w:rPr>
        <w:t xml:space="preserve"> impair the enforcement of </w:t>
      </w:r>
      <w:r w:rsidR="00E82021" w:rsidRPr="00E477AE">
        <w:rPr>
          <w:rFonts w:ascii="Times New Roman" w:hAnsi="Times New Roman" w:cs="Times New Roman"/>
        </w:rPr>
        <w:t xml:space="preserve">a </w:t>
      </w:r>
      <w:r w:rsidR="001E45A6" w:rsidRPr="00E477AE">
        <w:rPr>
          <w:rFonts w:ascii="Times New Roman" w:hAnsi="Times New Roman" w:cs="Times New Roman"/>
        </w:rPr>
        <w:t>properly co</w:t>
      </w:r>
      <w:r w:rsidR="00E82021" w:rsidRPr="00E477AE">
        <w:rPr>
          <w:rFonts w:ascii="Times New Roman" w:hAnsi="Times New Roman" w:cs="Times New Roman"/>
        </w:rPr>
        <w:t>nstituted trust</w:t>
      </w:r>
      <w:r w:rsidR="005E65BC" w:rsidRPr="00E477AE">
        <w:rPr>
          <w:rFonts w:ascii="Times New Roman" w:hAnsi="Times New Roman" w:cs="Times New Roman"/>
        </w:rPr>
        <w:t xml:space="preserve">. </w:t>
      </w:r>
      <w:r w:rsidR="00DF07BC" w:rsidRPr="00E477AE">
        <w:rPr>
          <w:rFonts w:ascii="Times New Roman" w:hAnsi="Times New Roman" w:cs="Times New Roman"/>
        </w:rPr>
        <w:t xml:space="preserve">This rendition of </w:t>
      </w:r>
      <w:r w:rsidR="001E45A6" w:rsidRPr="00E477AE">
        <w:rPr>
          <w:rFonts w:ascii="Times New Roman" w:hAnsi="Times New Roman" w:cs="Times New Roman"/>
          <w:i/>
        </w:rPr>
        <w:t>In re Great Berlin Steamboat Co</w:t>
      </w:r>
      <w:r w:rsidR="00DF07BC" w:rsidRPr="00E477AE">
        <w:rPr>
          <w:rFonts w:ascii="Times New Roman" w:hAnsi="Times New Roman" w:cs="Times New Roman"/>
        </w:rPr>
        <w:t xml:space="preserve">. finds </w:t>
      </w:r>
      <w:r w:rsidR="005E65BC" w:rsidRPr="00E477AE">
        <w:rPr>
          <w:rFonts w:ascii="Times New Roman" w:hAnsi="Times New Roman" w:cs="Times New Roman"/>
        </w:rPr>
        <w:t xml:space="preserve">support in the pertinent observation of </w:t>
      </w:r>
      <w:r w:rsidR="0073490A" w:rsidRPr="00E477AE">
        <w:rPr>
          <w:rFonts w:ascii="Times New Roman" w:hAnsi="Times New Roman" w:cs="Times New Roman"/>
        </w:rPr>
        <w:t xml:space="preserve">Cotton LJ, </w:t>
      </w:r>
      <w:r w:rsidR="00DF07BC" w:rsidRPr="00E477AE">
        <w:rPr>
          <w:rFonts w:ascii="Times New Roman" w:hAnsi="Times New Roman" w:cs="Times New Roman"/>
        </w:rPr>
        <w:t xml:space="preserve">in </w:t>
      </w:r>
      <w:r w:rsidR="0073490A" w:rsidRPr="00E477AE">
        <w:rPr>
          <w:rFonts w:ascii="Times New Roman" w:hAnsi="Times New Roman" w:cs="Times New Roman"/>
        </w:rPr>
        <w:t>which</w:t>
      </w:r>
      <w:r w:rsidR="00DF07BC" w:rsidRPr="00E477AE">
        <w:rPr>
          <w:rFonts w:ascii="Times New Roman" w:hAnsi="Times New Roman" w:cs="Times New Roman"/>
        </w:rPr>
        <w:t xml:space="preserve"> he</w:t>
      </w:r>
      <w:r w:rsidR="0073490A" w:rsidRPr="00E477AE">
        <w:rPr>
          <w:rFonts w:ascii="Times New Roman" w:hAnsi="Times New Roman" w:cs="Times New Roman"/>
        </w:rPr>
        <w:t xml:space="preserve"> cast some doubt on the claimant’s cause of action grounded in trust</w:t>
      </w:r>
      <w:r w:rsidR="00B74D2C" w:rsidRPr="00E477AE">
        <w:rPr>
          <w:rFonts w:ascii="Times New Roman" w:hAnsi="Times New Roman" w:cs="Times New Roman"/>
        </w:rPr>
        <w:t>: ‘But that declaration of trust (</w:t>
      </w:r>
      <w:r w:rsidR="001F5075" w:rsidRPr="00E477AE">
        <w:rPr>
          <w:rFonts w:ascii="Times New Roman" w:hAnsi="Times New Roman" w:cs="Times New Roman"/>
        </w:rPr>
        <w:t xml:space="preserve">contained </w:t>
      </w:r>
      <w:r w:rsidR="00B74D2C" w:rsidRPr="00E477AE">
        <w:rPr>
          <w:rFonts w:ascii="Times New Roman" w:hAnsi="Times New Roman" w:cs="Times New Roman"/>
        </w:rPr>
        <w:t xml:space="preserve">in the company’s resolution) </w:t>
      </w:r>
      <w:r w:rsidR="00B74D2C" w:rsidRPr="00E477AE">
        <w:rPr>
          <w:rFonts w:ascii="Times New Roman" w:hAnsi="Times New Roman" w:cs="Times New Roman"/>
          <w:i/>
        </w:rPr>
        <w:t>is coupled with a statement that the</w:t>
      </w:r>
      <w:r w:rsidR="00B74D2C" w:rsidRPr="00E477AE">
        <w:rPr>
          <w:rFonts w:ascii="Times New Roman" w:hAnsi="Times New Roman" w:cs="Times New Roman"/>
        </w:rPr>
        <w:t xml:space="preserve"> </w:t>
      </w:r>
      <w:r w:rsidR="00B74D2C" w:rsidRPr="00E477AE">
        <w:rPr>
          <w:rFonts w:ascii="Times New Roman" w:hAnsi="Times New Roman" w:cs="Times New Roman"/>
          <w:i/>
        </w:rPr>
        <w:t>advance</w:t>
      </w:r>
      <w:r w:rsidR="00B74D2C" w:rsidRPr="00E477AE">
        <w:rPr>
          <w:rFonts w:ascii="Times New Roman" w:hAnsi="Times New Roman" w:cs="Times New Roman"/>
        </w:rPr>
        <w:t xml:space="preserve"> is made in order that the company may appear to have a creditable balance at their bankers’.</w:t>
      </w:r>
      <w:r w:rsidR="00B74D2C" w:rsidRPr="00E477AE">
        <w:rPr>
          <w:rStyle w:val="FootnoteReference"/>
          <w:rFonts w:ascii="Times New Roman" w:hAnsi="Times New Roman" w:cs="Times New Roman"/>
        </w:rPr>
        <w:footnoteReference w:id="34"/>
      </w:r>
      <w:r w:rsidR="00E42ED0" w:rsidRPr="00E477AE">
        <w:rPr>
          <w:rFonts w:ascii="Times New Roman" w:hAnsi="Times New Roman" w:cs="Times New Roman"/>
        </w:rPr>
        <w:t xml:space="preserve"> </w:t>
      </w:r>
      <w:r w:rsidR="000A3487" w:rsidRPr="00E477AE">
        <w:rPr>
          <w:rFonts w:ascii="Times New Roman" w:hAnsi="Times New Roman" w:cs="Times New Roman"/>
        </w:rPr>
        <w:t xml:space="preserve">The italicized part of the quotation above, particularly the use of the word ‘advance’, clearly shows that Cotton LJ thought that the transaction was a loan, not a trust. </w:t>
      </w:r>
      <w:r w:rsidR="00E42ED0" w:rsidRPr="00E477AE">
        <w:rPr>
          <w:rFonts w:ascii="Times New Roman" w:hAnsi="Times New Roman" w:cs="Times New Roman"/>
        </w:rPr>
        <w:t>Lindley LJ</w:t>
      </w:r>
      <w:r w:rsidR="000A3487" w:rsidRPr="00E477AE">
        <w:rPr>
          <w:rFonts w:ascii="Times New Roman" w:hAnsi="Times New Roman" w:cs="Times New Roman"/>
        </w:rPr>
        <w:t xml:space="preserve"> put the matter beyond peradventure when he observed</w:t>
      </w:r>
      <w:r w:rsidR="00E42ED0" w:rsidRPr="00E477AE">
        <w:rPr>
          <w:rFonts w:ascii="Times New Roman" w:hAnsi="Times New Roman" w:cs="Times New Roman"/>
        </w:rPr>
        <w:t xml:space="preserve">: ‘I am not satisfied that this was not a case of loan as </w:t>
      </w:r>
      <w:r w:rsidR="00CE13A8" w:rsidRPr="00E477AE">
        <w:rPr>
          <w:rFonts w:ascii="Times New Roman" w:hAnsi="Times New Roman" w:cs="Times New Roman"/>
        </w:rPr>
        <w:t>distinguished from trust, and if</w:t>
      </w:r>
      <w:r w:rsidR="00E42ED0" w:rsidRPr="00E477AE">
        <w:rPr>
          <w:rFonts w:ascii="Times New Roman" w:hAnsi="Times New Roman" w:cs="Times New Roman"/>
        </w:rPr>
        <w:t xml:space="preserve"> that is the true view it is fatal to the Appellant’s (claimant) case’.</w:t>
      </w:r>
      <w:r w:rsidR="00E42ED0" w:rsidRPr="00E477AE">
        <w:rPr>
          <w:rStyle w:val="FootnoteReference"/>
          <w:rFonts w:ascii="Times New Roman" w:hAnsi="Times New Roman" w:cs="Times New Roman"/>
        </w:rPr>
        <w:footnoteReference w:id="35"/>
      </w:r>
      <w:r w:rsidR="007F5AD3" w:rsidRPr="00E477AE">
        <w:rPr>
          <w:rFonts w:ascii="Times New Roman" w:hAnsi="Times New Roman" w:cs="Times New Roman"/>
        </w:rPr>
        <w:t xml:space="preserve"> </w:t>
      </w:r>
      <w:r w:rsidR="00DF07BC" w:rsidRPr="00E477AE">
        <w:rPr>
          <w:rFonts w:ascii="Times New Roman" w:hAnsi="Times New Roman" w:cs="Times New Roman"/>
        </w:rPr>
        <w:t xml:space="preserve">Basically, therefore, </w:t>
      </w:r>
      <w:r w:rsidR="00E42ED0" w:rsidRPr="00E477AE">
        <w:rPr>
          <w:rFonts w:ascii="Times New Roman" w:hAnsi="Times New Roman" w:cs="Times New Roman"/>
          <w:i/>
        </w:rPr>
        <w:t>In re Great Berlin Steamboat Co</w:t>
      </w:r>
      <w:r w:rsidR="00DF07BC" w:rsidRPr="00E477AE">
        <w:rPr>
          <w:rFonts w:ascii="Times New Roman" w:hAnsi="Times New Roman" w:cs="Times New Roman"/>
          <w:i/>
        </w:rPr>
        <w:t>.</w:t>
      </w:r>
      <w:r w:rsidR="00E42ED0" w:rsidRPr="00E477AE">
        <w:rPr>
          <w:rFonts w:ascii="Times New Roman" w:hAnsi="Times New Roman" w:cs="Times New Roman"/>
        </w:rPr>
        <w:t xml:space="preserve"> was</w:t>
      </w:r>
      <w:r w:rsidR="00DF07BC" w:rsidRPr="00E477AE">
        <w:rPr>
          <w:rFonts w:ascii="Times New Roman" w:hAnsi="Times New Roman" w:cs="Times New Roman"/>
        </w:rPr>
        <w:t xml:space="preserve"> </w:t>
      </w:r>
      <w:r w:rsidR="00E42ED0" w:rsidRPr="00E477AE">
        <w:rPr>
          <w:rFonts w:ascii="Times New Roman" w:hAnsi="Times New Roman" w:cs="Times New Roman"/>
        </w:rPr>
        <w:t>a case of fraudulent loan, where a non-secured lender attempted to</w:t>
      </w:r>
      <w:r w:rsidR="00EF718E" w:rsidRPr="00E477AE">
        <w:rPr>
          <w:rFonts w:ascii="Times New Roman" w:hAnsi="Times New Roman" w:cs="Times New Roman"/>
        </w:rPr>
        <w:t xml:space="preserve"> be paid in full.</w:t>
      </w:r>
      <w:r w:rsidR="00E42ED0" w:rsidRPr="00E477AE">
        <w:rPr>
          <w:rFonts w:ascii="Times New Roman" w:hAnsi="Times New Roman" w:cs="Times New Roman"/>
        </w:rPr>
        <w:t xml:space="preserve">  </w:t>
      </w:r>
    </w:p>
    <w:p w14:paraId="2292389C" w14:textId="50BE5214" w:rsidR="00745E3D" w:rsidRPr="00E477AE" w:rsidRDefault="00E42ED0" w:rsidP="00521DCD">
      <w:pPr>
        <w:pStyle w:val="FootnoteText"/>
        <w:ind w:firstLine="720"/>
        <w:jc w:val="both"/>
        <w:rPr>
          <w:rFonts w:ascii="Times New Roman" w:hAnsi="Times New Roman" w:cs="Times New Roman"/>
        </w:rPr>
      </w:pPr>
      <w:r w:rsidRPr="00E477AE">
        <w:rPr>
          <w:rFonts w:ascii="Times New Roman" w:hAnsi="Times New Roman" w:cs="Times New Roman"/>
        </w:rPr>
        <w:t xml:space="preserve">Even if the primary and critical transaction in </w:t>
      </w:r>
      <w:r w:rsidRPr="00E477AE">
        <w:rPr>
          <w:rFonts w:ascii="Times New Roman" w:hAnsi="Times New Roman" w:cs="Times New Roman"/>
          <w:i/>
        </w:rPr>
        <w:t>In re Great Berlin Steamboat Co</w:t>
      </w:r>
      <w:r w:rsidR="00544B21" w:rsidRPr="00E477AE">
        <w:rPr>
          <w:rFonts w:ascii="Times New Roman" w:hAnsi="Times New Roman" w:cs="Times New Roman"/>
          <w:i/>
        </w:rPr>
        <w:t>.</w:t>
      </w:r>
      <w:r w:rsidR="00A63840" w:rsidRPr="00E477AE">
        <w:rPr>
          <w:rFonts w:ascii="Times New Roman" w:hAnsi="Times New Roman" w:cs="Times New Roman"/>
        </w:rPr>
        <w:t xml:space="preserve"> were</w:t>
      </w:r>
      <w:r w:rsidRPr="00E477AE">
        <w:rPr>
          <w:rFonts w:ascii="Times New Roman" w:hAnsi="Times New Roman" w:cs="Times New Roman"/>
        </w:rPr>
        <w:t xml:space="preserve"> reg</w:t>
      </w:r>
      <w:r w:rsidR="00E0303A" w:rsidRPr="00E477AE">
        <w:rPr>
          <w:rFonts w:ascii="Times New Roman" w:hAnsi="Times New Roman" w:cs="Times New Roman"/>
        </w:rPr>
        <w:t>arded as giving rise to a trust</w:t>
      </w:r>
      <w:r w:rsidRPr="00E477AE">
        <w:rPr>
          <w:rFonts w:ascii="Times New Roman" w:hAnsi="Times New Roman" w:cs="Times New Roman"/>
        </w:rPr>
        <w:t xml:space="preserve"> </w:t>
      </w:r>
      <w:r w:rsidR="00E0303A" w:rsidRPr="00E477AE">
        <w:rPr>
          <w:rFonts w:ascii="Times New Roman" w:hAnsi="Times New Roman" w:cs="Times New Roman"/>
        </w:rPr>
        <w:t>(instead of a loan)</w:t>
      </w:r>
      <w:r w:rsidR="00882822" w:rsidRPr="00E477AE">
        <w:rPr>
          <w:rFonts w:ascii="Times New Roman" w:hAnsi="Times New Roman" w:cs="Times New Roman"/>
        </w:rPr>
        <w:t>, I would argue that t</w:t>
      </w:r>
      <w:r w:rsidR="00803833" w:rsidRPr="00E477AE">
        <w:rPr>
          <w:rFonts w:ascii="Times New Roman" w:hAnsi="Times New Roman" w:cs="Times New Roman"/>
        </w:rPr>
        <w:t xml:space="preserve">he relevant trust </w:t>
      </w:r>
      <w:r w:rsidR="00882822" w:rsidRPr="00E477AE">
        <w:rPr>
          <w:rFonts w:ascii="Times New Roman" w:hAnsi="Times New Roman" w:cs="Times New Roman"/>
        </w:rPr>
        <w:t>directly infringed the law</w:t>
      </w:r>
      <w:r w:rsidR="00E0303A" w:rsidRPr="00E477AE">
        <w:rPr>
          <w:rFonts w:ascii="Times New Roman" w:hAnsi="Times New Roman" w:cs="Times New Roman"/>
        </w:rPr>
        <w:t>, and</w:t>
      </w:r>
      <w:r w:rsidR="00882822" w:rsidRPr="00E477AE">
        <w:rPr>
          <w:rFonts w:ascii="Times New Roman" w:hAnsi="Times New Roman" w:cs="Times New Roman"/>
        </w:rPr>
        <w:t xml:space="preserve"> therefore, falls within</w:t>
      </w:r>
      <w:r w:rsidR="00E0303A" w:rsidRPr="00E477AE">
        <w:rPr>
          <w:rFonts w:ascii="Times New Roman" w:hAnsi="Times New Roman" w:cs="Times New Roman"/>
        </w:rPr>
        <w:t xml:space="preserve"> what I consider to be the legitimate and</w:t>
      </w:r>
      <w:r w:rsidR="00882822" w:rsidRPr="00E477AE">
        <w:rPr>
          <w:rFonts w:ascii="Times New Roman" w:hAnsi="Times New Roman" w:cs="Times New Roman"/>
        </w:rPr>
        <w:t xml:space="preserve"> narrow</w:t>
      </w:r>
      <w:r w:rsidR="00E0303A" w:rsidRPr="00E477AE">
        <w:rPr>
          <w:rFonts w:ascii="Times New Roman" w:hAnsi="Times New Roman" w:cs="Times New Roman"/>
        </w:rPr>
        <w:t xml:space="preserve"> </w:t>
      </w:r>
      <w:r w:rsidR="00803833" w:rsidRPr="00E477AE">
        <w:rPr>
          <w:rFonts w:ascii="Times New Roman" w:hAnsi="Times New Roman" w:cs="Times New Roman"/>
        </w:rPr>
        <w:t>sphere of illegality in trust</w:t>
      </w:r>
      <w:r w:rsidR="00E0303A" w:rsidRPr="00E477AE">
        <w:rPr>
          <w:rFonts w:ascii="Times New Roman" w:hAnsi="Times New Roman" w:cs="Times New Roman"/>
        </w:rPr>
        <w:t xml:space="preserve">s law. </w:t>
      </w:r>
      <w:r w:rsidR="00803833" w:rsidRPr="00E477AE">
        <w:rPr>
          <w:rFonts w:ascii="Times New Roman" w:hAnsi="Times New Roman" w:cs="Times New Roman"/>
        </w:rPr>
        <w:t>Notice that</w:t>
      </w:r>
      <w:r w:rsidR="00882822" w:rsidRPr="00E477AE">
        <w:rPr>
          <w:rFonts w:ascii="Times New Roman" w:hAnsi="Times New Roman" w:cs="Times New Roman"/>
        </w:rPr>
        <w:t xml:space="preserve"> the</w:t>
      </w:r>
      <w:r w:rsidR="00544B21" w:rsidRPr="00E477AE">
        <w:rPr>
          <w:rFonts w:ascii="Times New Roman" w:hAnsi="Times New Roman" w:cs="Times New Roman"/>
        </w:rPr>
        <w:t xml:space="preserve"> alleged</w:t>
      </w:r>
      <w:r w:rsidR="00882822" w:rsidRPr="00E477AE">
        <w:rPr>
          <w:rFonts w:ascii="Times New Roman" w:hAnsi="Times New Roman" w:cs="Times New Roman"/>
        </w:rPr>
        <w:t xml:space="preserve"> trust in </w:t>
      </w:r>
      <w:r w:rsidR="00882822" w:rsidRPr="00E477AE">
        <w:rPr>
          <w:rFonts w:ascii="Times New Roman" w:hAnsi="Times New Roman" w:cs="Times New Roman"/>
          <w:i/>
        </w:rPr>
        <w:t>In re Great Berlin Steamboat Co</w:t>
      </w:r>
      <w:r w:rsidR="00544B21" w:rsidRPr="00E477AE">
        <w:rPr>
          <w:rFonts w:ascii="Times New Roman" w:hAnsi="Times New Roman" w:cs="Times New Roman"/>
          <w:i/>
        </w:rPr>
        <w:t>.</w:t>
      </w:r>
      <w:r w:rsidR="00882822" w:rsidRPr="00E477AE">
        <w:rPr>
          <w:rFonts w:ascii="Times New Roman" w:hAnsi="Times New Roman" w:cs="Times New Roman"/>
        </w:rPr>
        <w:t xml:space="preserve"> was wholly</w:t>
      </w:r>
      <w:r w:rsidR="00803833" w:rsidRPr="00E477AE">
        <w:rPr>
          <w:rFonts w:ascii="Times New Roman" w:hAnsi="Times New Roman" w:cs="Times New Roman"/>
        </w:rPr>
        <w:t xml:space="preserve"> and expressly created to give the</w:t>
      </w:r>
      <w:r w:rsidR="00882822" w:rsidRPr="00E477AE">
        <w:rPr>
          <w:rFonts w:ascii="Times New Roman" w:hAnsi="Times New Roman" w:cs="Times New Roman"/>
        </w:rPr>
        <w:t xml:space="preserve"> company a </w:t>
      </w:r>
      <w:r w:rsidR="00544B21" w:rsidRPr="00E477AE">
        <w:rPr>
          <w:rFonts w:ascii="Times New Roman" w:hAnsi="Times New Roman" w:cs="Times New Roman"/>
        </w:rPr>
        <w:t xml:space="preserve">misleading credit balance; thus, the trust was </w:t>
      </w:r>
      <w:r w:rsidR="00882822" w:rsidRPr="00E477AE">
        <w:rPr>
          <w:rFonts w:ascii="Times New Roman" w:hAnsi="Times New Roman" w:cs="Times New Roman"/>
        </w:rPr>
        <w:t>t</w:t>
      </w:r>
      <w:r w:rsidR="00544B21" w:rsidRPr="00E477AE">
        <w:rPr>
          <w:rFonts w:ascii="Times New Roman" w:hAnsi="Times New Roman" w:cs="Times New Roman"/>
        </w:rPr>
        <w:t>antamount to</w:t>
      </w:r>
      <w:r w:rsidR="00882822" w:rsidRPr="00E477AE">
        <w:rPr>
          <w:rFonts w:ascii="Times New Roman" w:hAnsi="Times New Roman" w:cs="Times New Roman"/>
        </w:rPr>
        <w:t xml:space="preserve"> fraud</w:t>
      </w:r>
      <w:r w:rsidR="00544B21" w:rsidRPr="00E477AE">
        <w:rPr>
          <w:rFonts w:ascii="Times New Roman" w:hAnsi="Times New Roman" w:cs="Times New Roman"/>
        </w:rPr>
        <w:t xml:space="preserve"> directly</w:t>
      </w:r>
      <w:r w:rsidR="00316A13" w:rsidRPr="00E477AE">
        <w:rPr>
          <w:rFonts w:ascii="Times New Roman" w:hAnsi="Times New Roman" w:cs="Times New Roman"/>
        </w:rPr>
        <w:t xml:space="preserve"> practiced</w:t>
      </w:r>
      <w:r w:rsidR="00882822" w:rsidRPr="00E477AE">
        <w:rPr>
          <w:rFonts w:ascii="Times New Roman" w:hAnsi="Times New Roman" w:cs="Times New Roman"/>
        </w:rPr>
        <w:t xml:space="preserve"> on members of the public</w:t>
      </w:r>
      <w:r w:rsidR="00544B21" w:rsidRPr="00E477AE">
        <w:rPr>
          <w:rFonts w:ascii="Times New Roman" w:hAnsi="Times New Roman" w:cs="Times New Roman"/>
        </w:rPr>
        <w:t xml:space="preserve"> who dealt</w:t>
      </w:r>
      <w:r w:rsidR="00882822" w:rsidRPr="00E477AE">
        <w:rPr>
          <w:rFonts w:ascii="Times New Roman" w:hAnsi="Times New Roman" w:cs="Times New Roman"/>
        </w:rPr>
        <w:t xml:space="preserve"> with the company</w:t>
      </w:r>
      <w:r w:rsidR="00760E6C" w:rsidRPr="00E477AE">
        <w:rPr>
          <w:rFonts w:ascii="Times New Roman" w:hAnsi="Times New Roman" w:cs="Times New Roman"/>
        </w:rPr>
        <w:t>.</w:t>
      </w:r>
      <w:r w:rsidR="00316A13" w:rsidRPr="00E477AE">
        <w:rPr>
          <w:rFonts w:ascii="Times New Roman" w:hAnsi="Times New Roman" w:cs="Times New Roman"/>
        </w:rPr>
        <w:t xml:space="preserve"> </w:t>
      </w:r>
      <w:r w:rsidR="00760E6C" w:rsidRPr="00E477AE">
        <w:rPr>
          <w:rFonts w:ascii="Times New Roman" w:hAnsi="Times New Roman" w:cs="Times New Roman"/>
        </w:rPr>
        <w:t>Much of th</w:t>
      </w:r>
      <w:r w:rsidR="00BA7849" w:rsidRPr="00E477AE">
        <w:rPr>
          <w:rFonts w:ascii="Times New Roman" w:hAnsi="Times New Roman" w:cs="Times New Roman"/>
        </w:rPr>
        <w:t>is was</w:t>
      </w:r>
      <w:r w:rsidR="00D04260" w:rsidRPr="00E477AE">
        <w:rPr>
          <w:rFonts w:ascii="Times New Roman" w:hAnsi="Times New Roman" w:cs="Times New Roman"/>
        </w:rPr>
        <w:t xml:space="preserve"> evident </w:t>
      </w:r>
      <w:r w:rsidR="00BA7849" w:rsidRPr="00E477AE">
        <w:rPr>
          <w:rFonts w:ascii="Times New Roman" w:hAnsi="Times New Roman" w:cs="Times New Roman"/>
        </w:rPr>
        <w:t xml:space="preserve">in the </w:t>
      </w:r>
      <w:r w:rsidR="00760E6C" w:rsidRPr="00E477AE">
        <w:rPr>
          <w:rFonts w:ascii="Times New Roman" w:hAnsi="Times New Roman" w:cs="Times New Roman"/>
        </w:rPr>
        <w:t>observation</w:t>
      </w:r>
      <w:r w:rsidR="00BA7849" w:rsidRPr="00E477AE">
        <w:rPr>
          <w:rFonts w:ascii="Times New Roman" w:hAnsi="Times New Roman" w:cs="Times New Roman"/>
        </w:rPr>
        <w:t xml:space="preserve"> of Lindley LJ</w:t>
      </w:r>
      <w:r w:rsidR="00D04260" w:rsidRPr="00E477AE">
        <w:rPr>
          <w:rFonts w:ascii="Times New Roman" w:hAnsi="Times New Roman" w:cs="Times New Roman"/>
        </w:rPr>
        <w:t>,</w:t>
      </w:r>
      <w:r w:rsidR="00760E6C" w:rsidRPr="00E477AE">
        <w:rPr>
          <w:rFonts w:ascii="Times New Roman" w:hAnsi="Times New Roman" w:cs="Times New Roman"/>
        </w:rPr>
        <w:t xml:space="preserve"> that ‘if it was a case of trust…He (claimant/appellant)…shews an illegal trust, since the purpose of the advance was to give a fictitious credit to the company’.</w:t>
      </w:r>
      <w:r w:rsidR="00760E6C" w:rsidRPr="00E477AE">
        <w:rPr>
          <w:rStyle w:val="FootnoteReference"/>
          <w:rFonts w:ascii="Times New Roman" w:hAnsi="Times New Roman" w:cs="Times New Roman"/>
        </w:rPr>
        <w:footnoteReference w:id="36"/>
      </w:r>
      <w:r w:rsidR="00BA7849" w:rsidRPr="00E477AE">
        <w:rPr>
          <w:rFonts w:ascii="Times New Roman" w:hAnsi="Times New Roman" w:cs="Times New Roman"/>
        </w:rPr>
        <w:t xml:space="preserve"> </w:t>
      </w:r>
      <w:r w:rsidR="00D04260" w:rsidRPr="00E477AE">
        <w:rPr>
          <w:rFonts w:ascii="Times New Roman" w:hAnsi="Times New Roman" w:cs="Times New Roman"/>
        </w:rPr>
        <w:t xml:space="preserve">Thus, </w:t>
      </w:r>
      <w:r w:rsidR="00BA7849" w:rsidRPr="00E477AE">
        <w:rPr>
          <w:rFonts w:ascii="Times New Roman" w:hAnsi="Times New Roman" w:cs="Times New Roman"/>
          <w:i/>
        </w:rPr>
        <w:t>In re Great Berlin Steamboat Co</w:t>
      </w:r>
      <w:r w:rsidR="00D04260" w:rsidRPr="00E477AE">
        <w:rPr>
          <w:rFonts w:ascii="Times New Roman" w:hAnsi="Times New Roman" w:cs="Times New Roman"/>
          <w:i/>
        </w:rPr>
        <w:t>.</w:t>
      </w:r>
      <w:r w:rsidR="00BA7849" w:rsidRPr="00E477AE">
        <w:rPr>
          <w:rFonts w:ascii="Times New Roman" w:hAnsi="Times New Roman" w:cs="Times New Roman"/>
        </w:rPr>
        <w:t xml:space="preserve"> does</w:t>
      </w:r>
      <w:r w:rsidR="00D04260" w:rsidRPr="00E477AE">
        <w:rPr>
          <w:rFonts w:ascii="Times New Roman" w:hAnsi="Times New Roman" w:cs="Times New Roman"/>
        </w:rPr>
        <w:t xml:space="preserve"> really not depart</w:t>
      </w:r>
      <w:r w:rsidR="00BA7849" w:rsidRPr="00E477AE">
        <w:rPr>
          <w:rFonts w:ascii="Times New Roman" w:hAnsi="Times New Roman" w:cs="Times New Roman"/>
        </w:rPr>
        <w:t xml:space="preserve"> from my proposition</w:t>
      </w:r>
      <w:r w:rsidR="00D04260" w:rsidRPr="00E477AE">
        <w:rPr>
          <w:rFonts w:ascii="Times New Roman" w:hAnsi="Times New Roman" w:cs="Times New Roman"/>
        </w:rPr>
        <w:t xml:space="preserve"> above.</w:t>
      </w:r>
    </w:p>
    <w:p w14:paraId="5B404EEF" w14:textId="45151145" w:rsidR="00DA0467" w:rsidRPr="00E477AE" w:rsidRDefault="006B0893" w:rsidP="00521DCD">
      <w:pPr>
        <w:pStyle w:val="FootnoteText"/>
        <w:ind w:firstLine="720"/>
        <w:jc w:val="both"/>
        <w:rPr>
          <w:rFonts w:ascii="Times New Roman" w:hAnsi="Times New Roman" w:cs="Times New Roman"/>
        </w:rPr>
      </w:pPr>
      <w:r w:rsidRPr="00E477AE">
        <w:rPr>
          <w:rFonts w:ascii="Times New Roman" w:hAnsi="Times New Roman" w:cs="Times New Roman"/>
          <w:i/>
        </w:rPr>
        <w:t>Cott</w:t>
      </w:r>
      <w:r w:rsidR="00DA0467" w:rsidRPr="00E477AE">
        <w:rPr>
          <w:rFonts w:ascii="Times New Roman" w:hAnsi="Times New Roman" w:cs="Times New Roman"/>
          <w:i/>
        </w:rPr>
        <w:t>ington v Fletcher</w:t>
      </w:r>
      <w:r w:rsidR="00DA0467" w:rsidRPr="00E477AE">
        <w:rPr>
          <w:rFonts w:ascii="Times New Roman" w:hAnsi="Times New Roman" w:cs="Times New Roman"/>
        </w:rPr>
        <w:t xml:space="preserve"> </w:t>
      </w:r>
      <w:r w:rsidR="000E6185" w:rsidRPr="00E477AE">
        <w:rPr>
          <w:rFonts w:ascii="Times New Roman" w:hAnsi="Times New Roman" w:cs="Times New Roman"/>
        </w:rPr>
        <w:t xml:space="preserve">is </w:t>
      </w:r>
      <w:r w:rsidR="00DA0467" w:rsidRPr="00E477AE">
        <w:rPr>
          <w:rFonts w:ascii="Times New Roman" w:hAnsi="Times New Roman" w:cs="Times New Roman"/>
        </w:rPr>
        <w:t>equally</w:t>
      </w:r>
      <w:r w:rsidR="000E6185" w:rsidRPr="00E477AE">
        <w:rPr>
          <w:rFonts w:ascii="Times New Roman" w:hAnsi="Times New Roman" w:cs="Times New Roman"/>
        </w:rPr>
        <w:t xml:space="preserve"> relevant</w:t>
      </w:r>
      <w:r w:rsidR="00DA0467" w:rsidRPr="00E477AE">
        <w:rPr>
          <w:rFonts w:ascii="Times New Roman" w:hAnsi="Times New Roman" w:cs="Times New Roman"/>
        </w:rPr>
        <w:t>.</w:t>
      </w:r>
      <w:r w:rsidR="00DA0467" w:rsidRPr="00E477AE">
        <w:rPr>
          <w:rStyle w:val="FootnoteReference"/>
          <w:rFonts w:ascii="Times New Roman" w:hAnsi="Times New Roman" w:cs="Times New Roman"/>
        </w:rPr>
        <w:footnoteReference w:id="37"/>
      </w:r>
      <w:r w:rsidR="001D5BBE" w:rsidRPr="00E477AE">
        <w:rPr>
          <w:rFonts w:ascii="Times New Roman" w:hAnsi="Times New Roman" w:cs="Times New Roman"/>
        </w:rPr>
        <w:t xml:space="preserve"> There, the claimant, at a</w:t>
      </w:r>
      <w:r w:rsidR="00DA0467" w:rsidRPr="00E477AE">
        <w:rPr>
          <w:rFonts w:ascii="Times New Roman" w:hAnsi="Times New Roman" w:cs="Times New Roman"/>
        </w:rPr>
        <w:t xml:space="preserve"> time he was a Roman Catholic</w:t>
      </w:r>
      <w:r w:rsidR="000E6185" w:rsidRPr="00E477AE">
        <w:rPr>
          <w:rFonts w:ascii="Times New Roman" w:hAnsi="Times New Roman" w:cs="Times New Roman"/>
        </w:rPr>
        <w:t>,</w:t>
      </w:r>
      <w:r w:rsidR="00DA0467" w:rsidRPr="00E477AE">
        <w:rPr>
          <w:rFonts w:ascii="Times New Roman" w:hAnsi="Times New Roman" w:cs="Times New Roman"/>
        </w:rPr>
        <w:t xml:space="preserve"> purchased an advowson,</w:t>
      </w:r>
      <w:r w:rsidR="00DA0467" w:rsidRPr="00E477AE">
        <w:rPr>
          <w:rStyle w:val="FootnoteReference"/>
          <w:rFonts w:ascii="Times New Roman" w:hAnsi="Times New Roman" w:cs="Times New Roman"/>
        </w:rPr>
        <w:footnoteReference w:id="38"/>
      </w:r>
      <w:r w:rsidR="00DA0467" w:rsidRPr="00E477AE">
        <w:rPr>
          <w:rFonts w:ascii="Times New Roman" w:hAnsi="Times New Roman" w:cs="Times New Roman"/>
        </w:rPr>
        <w:t xml:space="preserve"> which was</w:t>
      </w:r>
      <w:r w:rsidR="004948BA" w:rsidRPr="00E477AE">
        <w:rPr>
          <w:rFonts w:ascii="Times New Roman" w:hAnsi="Times New Roman" w:cs="Times New Roman"/>
        </w:rPr>
        <w:t xml:space="preserve"> a</w:t>
      </w:r>
      <w:r w:rsidR="00DA0467" w:rsidRPr="00E477AE">
        <w:rPr>
          <w:rFonts w:ascii="Times New Roman" w:hAnsi="Times New Roman" w:cs="Times New Roman"/>
        </w:rPr>
        <w:t xml:space="preserve"> recognized</w:t>
      </w:r>
      <w:r w:rsidR="004948BA" w:rsidRPr="00E477AE">
        <w:rPr>
          <w:rFonts w:ascii="Times New Roman" w:hAnsi="Times New Roman" w:cs="Times New Roman"/>
        </w:rPr>
        <w:t xml:space="preserve"> </w:t>
      </w:r>
      <w:r w:rsidR="006F3033" w:rsidRPr="00E477AE">
        <w:rPr>
          <w:rFonts w:ascii="Times New Roman" w:hAnsi="Times New Roman" w:cs="Times New Roman"/>
        </w:rPr>
        <w:t>property right. Because an advowson could only be owned by a Protestant, and was liable to forfeiture under certain statutes if acquired by a non-Protestant, the claimant assigne</w:t>
      </w:r>
      <w:r w:rsidR="000E23F9" w:rsidRPr="00E477AE">
        <w:rPr>
          <w:rFonts w:ascii="Times New Roman" w:hAnsi="Times New Roman" w:cs="Times New Roman"/>
        </w:rPr>
        <w:t>d his advowson to the defendan</w:t>
      </w:r>
      <w:r w:rsidR="00784B32">
        <w:rPr>
          <w:rFonts w:ascii="Times New Roman" w:hAnsi="Times New Roman" w:cs="Times New Roman"/>
        </w:rPr>
        <w:t>t; the claimant</w:t>
      </w:r>
      <w:r w:rsidR="000E23F9" w:rsidRPr="00E477AE">
        <w:rPr>
          <w:rFonts w:ascii="Times New Roman" w:hAnsi="Times New Roman" w:cs="Times New Roman"/>
        </w:rPr>
        <w:t xml:space="preserve"> intended </w:t>
      </w:r>
      <w:r w:rsidR="004036E5" w:rsidRPr="00E477AE">
        <w:rPr>
          <w:rFonts w:ascii="Times New Roman" w:hAnsi="Times New Roman" w:cs="Times New Roman"/>
        </w:rPr>
        <w:t>that the defendant would</w:t>
      </w:r>
      <w:r w:rsidR="00211925">
        <w:rPr>
          <w:rFonts w:ascii="Times New Roman" w:hAnsi="Times New Roman" w:cs="Times New Roman"/>
        </w:rPr>
        <w:t xml:space="preserve"> hold</w:t>
      </w:r>
      <w:r w:rsidR="004036E5" w:rsidRPr="00E477AE">
        <w:rPr>
          <w:rFonts w:ascii="Times New Roman" w:hAnsi="Times New Roman" w:cs="Times New Roman"/>
        </w:rPr>
        <w:t xml:space="preserve"> the property </w:t>
      </w:r>
      <w:r w:rsidR="000E23F9" w:rsidRPr="00E477AE">
        <w:rPr>
          <w:rFonts w:ascii="Times New Roman" w:hAnsi="Times New Roman" w:cs="Times New Roman"/>
        </w:rPr>
        <w:t>on trust for the claimant. T</w:t>
      </w:r>
      <w:r w:rsidR="006F3033" w:rsidRPr="00E477AE">
        <w:rPr>
          <w:rFonts w:ascii="Times New Roman" w:hAnsi="Times New Roman" w:cs="Times New Roman"/>
        </w:rPr>
        <w:t>he purpose of the arrangement was to conceal the claimant’s beneficial interest in the property</w:t>
      </w:r>
      <w:r w:rsidR="000E23F9" w:rsidRPr="00E477AE">
        <w:rPr>
          <w:rFonts w:ascii="Times New Roman" w:hAnsi="Times New Roman" w:cs="Times New Roman"/>
        </w:rPr>
        <w:t>, and to protect it from</w:t>
      </w:r>
      <w:r w:rsidR="006F3033" w:rsidRPr="00E477AE">
        <w:rPr>
          <w:rFonts w:ascii="Times New Roman" w:hAnsi="Times New Roman" w:cs="Times New Roman"/>
        </w:rPr>
        <w:t xml:space="preserve"> forfeitur</w:t>
      </w:r>
      <w:r w:rsidR="000E23F9" w:rsidRPr="00E477AE">
        <w:rPr>
          <w:rFonts w:ascii="Times New Roman" w:hAnsi="Times New Roman" w:cs="Times New Roman"/>
        </w:rPr>
        <w:t>e under the relevant statutes. Afterwards,</w:t>
      </w:r>
      <w:r w:rsidR="00C16985" w:rsidRPr="00E477AE">
        <w:rPr>
          <w:rFonts w:ascii="Times New Roman" w:hAnsi="Times New Roman" w:cs="Times New Roman"/>
        </w:rPr>
        <w:t xml:space="preserve"> the claimant became a Protestant</w:t>
      </w:r>
      <w:r w:rsidR="006F3033" w:rsidRPr="00E477AE">
        <w:rPr>
          <w:rFonts w:ascii="Times New Roman" w:hAnsi="Times New Roman" w:cs="Times New Roman"/>
        </w:rPr>
        <w:t xml:space="preserve"> and requested a reassignment of the property to him,</w:t>
      </w:r>
      <w:r w:rsidR="00C16985" w:rsidRPr="00E477AE">
        <w:rPr>
          <w:rFonts w:ascii="Times New Roman" w:hAnsi="Times New Roman" w:cs="Times New Roman"/>
        </w:rPr>
        <w:t xml:space="preserve"> but</w:t>
      </w:r>
      <w:r w:rsidR="006F3033" w:rsidRPr="00E477AE">
        <w:rPr>
          <w:rFonts w:ascii="Times New Roman" w:hAnsi="Times New Roman" w:cs="Times New Roman"/>
        </w:rPr>
        <w:t xml:space="preserve"> the defendant refused</w:t>
      </w:r>
      <w:r w:rsidR="00C16985" w:rsidRPr="00E477AE">
        <w:rPr>
          <w:rFonts w:ascii="Times New Roman" w:hAnsi="Times New Roman" w:cs="Times New Roman"/>
        </w:rPr>
        <w:t>, hence the claimant’s action</w:t>
      </w:r>
      <w:r w:rsidR="000E23F9" w:rsidRPr="00E477AE">
        <w:rPr>
          <w:rFonts w:ascii="Times New Roman" w:hAnsi="Times New Roman" w:cs="Times New Roman"/>
        </w:rPr>
        <w:t xml:space="preserve"> for</w:t>
      </w:r>
      <w:r w:rsidR="00C16985" w:rsidRPr="00E477AE">
        <w:rPr>
          <w:rFonts w:ascii="Times New Roman" w:hAnsi="Times New Roman" w:cs="Times New Roman"/>
        </w:rPr>
        <w:t xml:space="preserve"> a declaration</w:t>
      </w:r>
      <w:r w:rsidR="000E23F9" w:rsidRPr="00E477AE">
        <w:rPr>
          <w:rFonts w:ascii="Times New Roman" w:hAnsi="Times New Roman" w:cs="Times New Roman"/>
        </w:rPr>
        <w:t xml:space="preserve"> of trust.</w:t>
      </w:r>
      <w:r w:rsidR="00241366" w:rsidRPr="00E477AE">
        <w:rPr>
          <w:rFonts w:ascii="Times New Roman" w:hAnsi="Times New Roman" w:cs="Times New Roman"/>
        </w:rPr>
        <w:t xml:space="preserve"> T</w:t>
      </w:r>
      <w:r w:rsidR="00C16985" w:rsidRPr="00E477AE">
        <w:rPr>
          <w:rFonts w:ascii="Times New Roman" w:hAnsi="Times New Roman" w:cs="Times New Roman"/>
        </w:rPr>
        <w:t>he defendant admitted that he held</w:t>
      </w:r>
      <w:r w:rsidR="00241366" w:rsidRPr="00E477AE">
        <w:rPr>
          <w:rFonts w:ascii="Times New Roman" w:hAnsi="Times New Roman" w:cs="Times New Roman"/>
        </w:rPr>
        <w:t xml:space="preserve"> the property</w:t>
      </w:r>
      <w:r w:rsidR="00C16985" w:rsidRPr="00E477AE">
        <w:rPr>
          <w:rFonts w:ascii="Times New Roman" w:hAnsi="Times New Roman" w:cs="Times New Roman"/>
        </w:rPr>
        <w:t xml:space="preserve"> on trust, </w:t>
      </w:r>
      <w:r w:rsidR="002B2688" w:rsidRPr="00E477AE">
        <w:rPr>
          <w:rFonts w:ascii="Times New Roman" w:hAnsi="Times New Roman" w:cs="Times New Roman"/>
        </w:rPr>
        <w:t>but</w:t>
      </w:r>
      <w:r w:rsidR="00C16985" w:rsidRPr="00E477AE">
        <w:rPr>
          <w:rFonts w:ascii="Times New Roman" w:hAnsi="Times New Roman" w:cs="Times New Roman"/>
        </w:rPr>
        <w:t xml:space="preserve"> he pleaded the Statute of Frauds. On</w:t>
      </w:r>
      <w:r w:rsidR="002B2688" w:rsidRPr="00E477AE">
        <w:rPr>
          <w:rFonts w:ascii="Times New Roman" w:hAnsi="Times New Roman" w:cs="Times New Roman"/>
        </w:rPr>
        <w:t xml:space="preserve"> the basis of that</w:t>
      </w:r>
      <w:r w:rsidR="00C16985" w:rsidRPr="00E477AE">
        <w:rPr>
          <w:rFonts w:ascii="Times New Roman" w:hAnsi="Times New Roman" w:cs="Times New Roman"/>
        </w:rPr>
        <w:t xml:space="preserve"> admission, Lord Hardwicke held that</w:t>
      </w:r>
      <w:r w:rsidR="00241366" w:rsidRPr="00E477AE">
        <w:rPr>
          <w:rFonts w:ascii="Times New Roman" w:hAnsi="Times New Roman" w:cs="Times New Roman"/>
        </w:rPr>
        <w:t xml:space="preserve"> the trust was enforceable.</w:t>
      </w:r>
      <w:r w:rsidR="00C16985" w:rsidRPr="00E477AE">
        <w:rPr>
          <w:rFonts w:ascii="Times New Roman" w:hAnsi="Times New Roman" w:cs="Times New Roman"/>
        </w:rPr>
        <w:t xml:space="preserve"> </w:t>
      </w:r>
      <w:r w:rsidR="00CF7634" w:rsidRPr="00E477AE">
        <w:rPr>
          <w:rFonts w:ascii="Times New Roman" w:hAnsi="Times New Roman" w:cs="Times New Roman"/>
        </w:rPr>
        <w:t>Although</w:t>
      </w:r>
      <w:r w:rsidR="00C16985" w:rsidRPr="00E477AE">
        <w:rPr>
          <w:rFonts w:ascii="Times New Roman" w:hAnsi="Times New Roman" w:cs="Times New Roman"/>
        </w:rPr>
        <w:t xml:space="preserve"> Lord Hardwicke implied that the decision might have been different if the defendant had denied the trust,</w:t>
      </w:r>
      <w:r w:rsidR="002B2688" w:rsidRPr="00E477AE">
        <w:rPr>
          <w:rStyle w:val="FootnoteReference"/>
          <w:rFonts w:ascii="Times New Roman" w:hAnsi="Times New Roman" w:cs="Times New Roman"/>
        </w:rPr>
        <w:footnoteReference w:id="39"/>
      </w:r>
      <w:r w:rsidR="00C16985" w:rsidRPr="00E477AE">
        <w:rPr>
          <w:rFonts w:ascii="Times New Roman" w:hAnsi="Times New Roman" w:cs="Times New Roman"/>
        </w:rPr>
        <w:t xml:space="preserve"> the actual</w:t>
      </w:r>
      <w:r w:rsidR="00241366" w:rsidRPr="00E477AE">
        <w:rPr>
          <w:rFonts w:ascii="Times New Roman" w:hAnsi="Times New Roman" w:cs="Times New Roman"/>
        </w:rPr>
        <w:t xml:space="preserve"> ratio of </w:t>
      </w:r>
      <w:r w:rsidR="00C16985" w:rsidRPr="00E477AE">
        <w:rPr>
          <w:rFonts w:ascii="Times New Roman" w:hAnsi="Times New Roman" w:cs="Times New Roman"/>
        </w:rPr>
        <w:t>that case should no</w:t>
      </w:r>
      <w:r w:rsidR="00241366" w:rsidRPr="00E477AE">
        <w:rPr>
          <w:rFonts w:ascii="Times New Roman" w:hAnsi="Times New Roman" w:cs="Times New Roman"/>
        </w:rPr>
        <w:t xml:space="preserve">t be easily dismissed, </w:t>
      </w:r>
      <w:r w:rsidR="00C16985" w:rsidRPr="00E477AE">
        <w:rPr>
          <w:rFonts w:ascii="Times New Roman" w:hAnsi="Times New Roman" w:cs="Times New Roman"/>
        </w:rPr>
        <w:t>that</w:t>
      </w:r>
      <w:r w:rsidR="00241366" w:rsidRPr="00E477AE">
        <w:rPr>
          <w:rFonts w:ascii="Times New Roman" w:hAnsi="Times New Roman" w:cs="Times New Roman"/>
        </w:rPr>
        <w:t xml:space="preserve"> is</w:t>
      </w:r>
      <w:r w:rsidR="00C16985" w:rsidRPr="00E477AE">
        <w:rPr>
          <w:rFonts w:ascii="Times New Roman" w:hAnsi="Times New Roman" w:cs="Times New Roman"/>
        </w:rPr>
        <w:t>, the court</w:t>
      </w:r>
      <w:r w:rsidR="00246BD5" w:rsidRPr="00E477AE">
        <w:rPr>
          <w:rFonts w:ascii="Times New Roman" w:hAnsi="Times New Roman" w:cs="Times New Roman"/>
        </w:rPr>
        <w:t xml:space="preserve"> clearly</w:t>
      </w:r>
      <w:r w:rsidR="00C16985" w:rsidRPr="00E477AE">
        <w:rPr>
          <w:rFonts w:ascii="Times New Roman" w:hAnsi="Times New Roman" w:cs="Times New Roman"/>
        </w:rPr>
        <w:t xml:space="preserve"> upheld or enforced a trust</w:t>
      </w:r>
      <w:r w:rsidR="006F7398" w:rsidRPr="00E477AE">
        <w:rPr>
          <w:rFonts w:ascii="Times New Roman" w:hAnsi="Times New Roman" w:cs="Times New Roman"/>
        </w:rPr>
        <w:t>,</w:t>
      </w:r>
      <w:r w:rsidR="000D5B22" w:rsidRPr="00E477AE">
        <w:rPr>
          <w:rFonts w:ascii="Times New Roman" w:hAnsi="Times New Roman" w:cs="Times New Roman"/>
        </w:rPr>
        <w:t xml:space="preserve"> which, al</w:t>
      </w:r>
      <w:r w:rsidR="00246BD5" w:rsidRPr="00E477AE">
        <w:rPr>
          <w:rFonts w:ascii="Times New Roman" w:hAnsi="Times New Roman" w:cs="Times New Roman"/>
        </w:rPr>
        <w:t>beit</w:t>
      </w:r>
      <w:r w:rsidR="000D5B22" w:rsidRPr="00E477AE">
        <w:rPr>
          <w:rFonts w:ascii="Times New Roman" w:hAnsi="Times New Roman" w:cs="Times New Roman"/>
        </w:rPr>
        <w:t xml:space="preserve"> created for an illegal purpose, was valid</w:t>
      </w:r>
      <w:r w:rsidR="00246BD5" w:rsidRPr="00E477AE">
        <w:rPr>
          <w:rFonts w:ascii="Times New Roman" w:hAnsi="Times New Roman" w:cs="Times New Roman"/>
        </w:rPr>
        <w:t>ly constituted by the primary</w:t>
      </w:r>
      <w:r w:rsidR="00E95EF6">
        <w:rPr>
          <w:rFonts w:ascii="Times New Roman" w:hAnsi="Times New Roman" w:cs="Times New Roman"/>
        </w:rPr>
        <w:t xml:space="preserve"> feature of the</w:t>
      </w:r>
      <w:r w:rsidR="00246BD5" w:rsidRPr="00E477AE">
        <w:rPr>
          <w:rFonts w:ascii="Times New Roman" w:hAnsi="Times New Roman" w:cs="Times New Roman"/>
        </w:rPr>
        <w:t xml:space="preserve"> transaction in that case.</w:t>
      </w:r>
      <w:r w:rsidR="006F3033" w:rsidRPr="00E477AE">
        <w:rPr>
          <w:rFonts w:ascii="Times New Roman" w:hAnsi="Times New Roman" w:cs="Times New Roman"/>
        </w:rPr>
        <w:t xml:space="preserve"> </w:t>
      </w:r>
    </w:p>
    <w:p w14:paraId="611829AE" w14:textId="020CB26B" w:rsidR="00973F6C" w:rsidRPr="00E477AE" w:rsidRDefault="00973F6C" w:rsidP="00521DCD">
      <w:pPr>
        <w:pStyle w:val="FootnoteText"/>
        <w:ind w:firstLine="720"/>
        <w:jc w:val="both"/>
        <w:rPr>
          <w:rFonts w:ascii="Times New Roman" w:hAnsi="Times New Roman" w:cs="Times New Roman"/>
        </w:rPr>
      </w:pPr>
      <w:r w:rsidRPr="00E477AE">
        <w:rPr>
          <w:rFonts w:ascii="Times New Roman" w:hAnsi="Times New Roman" w:cs="Times New Roman"/>
        </w:rPr>
        <w:t xml:space="preserve">Finally, in </w:t>
      </w:r>
      <w:r w:rsidRPr="00E477AE">
        <w:rPr>
          <w:rFonts w:ascii="Times New Roman" w:hAnsi="Times New Roman" w:cs="Times New Roman"/>
          <w:i/>
        </w:rPr>
        <w:t>Davies v Otty</w:t>
      </w:r>
      <w:r w:rsidRPr="00E477AE">
        <w:rPr>
          <w:rFonts w:ascii="Times New Roman" w:hAnsi="Times New Roman" w:cs="Times New Roman"/>
        </w:rPr>
        <w:t>,</w:t>
      </w:r>
      <w:r w:rsidR="00002C07" w:rsidRPr="00E477AE">
        <w:rPr>
          <w:rStyle w:val="FootnoteReference"/>
          <w:rFonts w:ascii="Times New Roman" w:hAnsi="Times New Roman" w:cs="Times New Roman"/>
        </w:rPr>
        <w:footnoteReference w:id="40"/>
      </w:r>
      <w:r w:rsidRPr="00E477AE">
        <w:rPr>
          <w:rFonts w:ascii="Times New Roman" w:hAnsi="Times New Roman" w:cs="Times New Roman"/>
        </w:rPr>
        <w:t xml:space="preserve"> the claimant married a woman</w:t>
      </w:r>
      <w:r w:rsidR="001D4CED" w:rsidRPr="00E477AE">
        <w:rPr>
          <w:rFonts w:ascii="Times New Roman" w:hAnsi="Times New Roman" w:cs="Times New Roman"/>
        </w:rPr>
        <w:t xml:space="preserve"> ten years after his wife had deserted him</w:t>
      </w:r>
      <w:r w:rsidR="008E0E61">
        <w:rPr>
          <w:rFonts w:ascii="Times New Roman" w:hAnsi="Times New Roman" w:cs="Times New Roman"/>
        </w:rPr>
        <w:t>, in the belief</w:t>
      </w:r>
      <w:r w:rsidRPr="00E477AE">
        <w:rPr>
          <w:rFonts w:ascii="Times New Roman" w:hAnsi="Times New Roman" w:cs="Times New Roman"/>
        </w:rPr>
        <w:t xml:space="preserve"> that his wife, who</w:t>
      </w:r>
      <w:r w:rsidR="001D4CED" w:rsidRPr="00E477AE">
        <w:rPr>
          <w:rFonts w:ascii="Times New Roman" w:hAnsi="Times New Roman" w:cs="Times New Roman"/>
        </w:rPr>
        <w:t>m he</w:t>
      </w:r>
      <w:r w:rsidRPr="00E477AE">
        <w:rPr>
          <w:rFonts w:ascii="Times New Roman" w:hAnsi="Times New Roman" w:cs="Times New Roman"/>
        </w:rPr>
        <w:t xml:space="preserve"> had</w:t>
      </w:r>
      <w:r w:rsidR="001D4CED" w:rsidRPr="00E477AE">
        <w:rPr>
          <w:rFonts w:ascii="Times New Roman" w:hAnsi="Times New Roman" w:cs="Times New Roman"/>
        </w:rPr>
        <w:t xml:space="preserve"> not heard from in all those years, </w:t>
      </w:r>
      <w:r w:rsidR="00A85AF5" w:rsidRPr="00E477AE">
        <w:rPr>
          <w:rFonts w:ascii="Times New Roman" w:hAnsi="Times New Roman" w:cs="Times New Roman"/>
        </w:rPr>
        <w:t xml:space="preserve">was dead. Later, the claimant learned that </w:t>
      </w:r>
      <w:r w:rsidRPr="00E477AE">
        <w:rPr>
          <w:rFonts w:ascii="Times New Roman" w:hAnsi="Times New Roman" w:cs="Times New Roman"/>
        </w:rPr>
        <w:t>his wife was</w:t>
      </w:r>
      <w:r w:rsidR="00F70EE4" w:rsidRPr="00E477AE">
        <w:rPr>
          <w:rFonts w:ascii="Times New Roman" w:hAnsi="Times New Roman" w:cs="Times New Roman"/>
        </w:rPr>
        <w:t xml:space="preserve"> </w:t>
      </w:r>
      <w:r w:rsidR="005C39C3" w:rsidRPr="00E477AE">
        <w:rPr>
          <w:rFonts w:ascii="Times New Roman" w:hAnsi="Times New Roman" w:cs="Times New Roman"/>
        </w:rPr>
        <w:t>still</w:t>
      </w:r>
      <w:r w:rsidRPr="00E477AE">
        <w:rPr>
          <w:rFonts w:ascii="Times New Roman" w:hAnsi="Times New Roman" w:cs="Times New Roman"/>
        </w:rPr>
        <w:t xml:space="preserve"> alive. Concerned that he might be charged for bigamy, the claimant transferred his property to the defendant</w:t>
      </w:r>
      <w:r w:rsidR="00C3174E" w:rsidRPr="00E477AE">
        <w:rPr>
          <w:rFonts w:ascii="Times New Roman" w:hAnsi="Times New Roman" w:cs="Times New Roman"/>
        </w:rPr>
        <w:t xml:space="preserve"> (his step-son)</w:t>
      </w:r>
      <w:r w:rsidRPr="00E477AE">
        <w:rPr>
          <w:rFonts w:ascii="Times New Roman" w:hAnsi="Times New Roman" w:cs="Times New Roman"/>
        </w:rPr>
        <w:t xml:space="preserve"> on the understanding that the defendant was to hold it on trust, </w:t>
      </w:r>
      <w:r w:rsidR="004E1226" w:rsidRPr="00E477AE">
        <w:rPr>
          <w:rFonts w:ascii="Times New Roman" w:hAnsi="Times New Roman" w:cs="Times New Roman"/>
        </w:rPr>
        <w:t xml:space="preserve">which was </w:t>
      </w:r>
      <w:r w:rsidRPr="00E477AE">
        <w:rPr>
          <w:rFonts w:ascii="Times New Roman" w:hAnsi="Times New Roman" w:cs="Times New Roman"/>
        </w:rPr>
        <w:t>‘to be done away with when the unplea</w:t>
      </w:r>
      <w:r w:rsidR="005C39C3" w:rsidRPr="00E477AE">
        <w:rPr>
          <w:rFonts w:ascii="Times New Roman" w:hAnsi="Times New Roman" w:cs="Times New Roman"/>
        </w:rPr>
        <w:t>santness was over’.</w:t>
      </w:r>
      <w:r w:rsidR="004E1226" w:rsidRPr="00E477AE">
        <w:rPr>
          <w:rStyle w:val="FootnoteReference"/>
          <w:rFonts w:ascii="Times New Roman" w:hAnsi="Times New Roman" w:cs="Times New Roman"/>
        </w:rPr>
        <w:footnoteReference w:id="41"/>
      </w:r>
      <w:r w:rsidR="005C39C3" w:rsidRPr="00E477AE">
        <w:rPr>
          <w:rFonts w:ascii="Times New Roman" w:hAnsi="Times New Roman" w:cs="Times New Roman"/>
        </w:rPr>
        <w:t xml:space="preserve"> </w:t>
      </w:r>
      <w:r w:rsidR="00CB57FF" w:rsidRPr="00E477AE">
        <w:rPr>
          <w:rFonts w:ascii="Times New Roman" w:hAnsi="Times New Roman" w:cs="Times New Roman"/>
        </w:rPr>
        <w:t xml:space="preserve">As the </w:t>
      </w:r>
      <w:r w:rsidR="005C39C3" w:rsidRPr="00E477AE">
        <w:rPr>
          <w:rFonts w:ascii="Times New Roman" w:hAnsi="Times New Roman" w:cs="Times New Roman"/>
        </w:rPr>
        <w:t>claimant’s concern about bigamy</w:t>
      </w:r>
      <w:r w:rsidR="00CB57FF" w:rsidRPr="00E477AE">
        <w:rPr>
          <w:rFonts w:ascii="Times New Roman" w:hAnsi="Times New Roman" w:cs="Times New Roman"/>
        </w:rPr>
        <w:t xml:space="preserve"> turned out to be</w:t>
      </w:r>
      <w:r w:rsidR="00FD7C0D" w:rsidRPr="00E477AE">
        <w:rPr>
          <w:rFonts w:ascii="Times New Roman" w:hAnsi="Times New Roman" w:cs="Times New Roman"/>
        </w:rPr>
        <w:t xml:space="preserve"> legally</w:t>
      </w:r>
      <w:r w:rsidR="00CB57FF" w:rsidRPr="00E477AE">
        <w:rPr>
          <w:rFonts w:ascii="Times New Roman" w:hAnsi="Times New Roman" w:cs="Times New Roman"/>
        </w:rPr>
        <w:t xml:space="preserve"> unfounded, he asked for</w:t>
      </w:r>
      <w:r w:rsidR="003213DC" w:rsidRPr="00E477AE">
        <w:rPr>
          <w:rFonts w:ascii="Times New Roman" w:hAnsi="Times New Roman" w:cs="Times New Roman"/>
        </w:rPr>
        <w:t xml:space="preserve"> the</w:t>
      </w:r>
      <w:r w:rsidR="00CB57FF" w:rsidRPr="00E477AE">
        <w:rPr>
          <w:rFonts w:ascii="Times New Roman" w:hAnsi="Times New Roman" w:cs="Times New Roman"/>
        </w:rPr>
        <w:t xml:space="preserve"> </w:t>
      </w:r>
      <w:r w:rsidR="005C39C3" w:rsidRPr="00E477AE">
        <w:rPr>
          <w:rFonts w:ascii="Times New Roman" w:hAnsi="Times New Roman" w:cs="Times New Roman"/>
        </w:rPr>
        <w:t>re-convey</w:t>
      </w:r>
      <w:r w:rsidR="00CB57FF" w:rsidRPr="00E477AE">
        <w:rPr>
          <w:rFonts w:ascii="Times New Roman" w:hAnsi="Times New Roman" w:cs="Times New Roman"/>
        </w:rPr>
        <w:t>ance of</w:t>
      </w:r>
      <w:r w:rsidR="005C39C3" w:rsidRPr="00E477AE">
        <w:rPr>
          <w:rFonts w:ascii="Times New Roman" w:hAnsi="Times New Roman" w:cs="Times New Roman"/>
        </w:rPr>
        <w:t xml:space="preserve"> the property</w:t>
      </w:r>
      <w:r w:rsidR="003213DC" w:rsidRPr="00E477AE">
        <w:rPr>
          <w:rFonts w:ascii="Times New Roman" w:hAnsi="Times New Roman" w:cs="Times New Roman"/>
        </w:rPr>
        <w:t xml:space="preserve"> to him</w:t>
      </w:r>
      <w:r w:rsidR="009D77F1" w:rsidRPr="00E477AE">
        <w:rPr>
          <w:rFonts w:ascii="Times New Roman" w:hAnsi="Times New Roman" w:cs="Times New Roman"/>
        </w:rPr>
        <w:t>. T</w:t>
      </w:r>
      <w:r w:rsidR="0046221B" w:rsidRPr="00E477AE">
        <w:rPr>
          <w:rFonts w:ascii="Times New Roman" w:hAnsi="Times New Roman" w:cs="Times New Roman"/>
        </w:rPr>
        <w:t>he defendant refused to reassign the property</w:t>
      </w:r>
      <w:r w:rsidR="009D77F1" w:rsidRPr="00E477AE">
        <w:rPr>
          <w:rFonts w:ascii="Times New Roman" w:hAnsi="Times New Roman" w:cs="Times New Roman"/>
        </w:rPr>
        <w:t xml:space="preserve"> to the claimant</w:t>
      </w:r>
      <w:r w:rsidR="00965C28" w:rsidRPr="00E477AE">
        <w:rPr>
          <w:rFonts w:ascii="Times New Roman" w:hAnsi="Times New Roman" w:cs="Times New Roman"/>
        </w:rPr>
        <w:t xml:space="preserve"> and pleaded the Statute of Fr</w:t>
      </w:r>
      <w:r w:rsidR="00FD7C0D" w:rsidRPr="00E477AE">
        <w:rPr>
          <w:rFonts w:ascii="Times New Roman" w:hAnsi="Times New Roman" w:cs="Times New Roman"/>
        </w:rPr>
        <w:t>a</w:t>
      </w:r>
      <w:r w:rsidR="00965C28" w:rsidRPr="00E477AE">
        <w:rPr>
          <w:rFonts w:ascii="Times New Roman" w:hAnsi="Times New Roman" w:cs="Times New Roman"/>
        </w:rPr>
        <w:t>u</w:t>
      </w:r>
      <w:r w:rsidR="00FD7C0D" w:rsidRPr="00E477AE">
        <w:rPr>
          <w:rFonts w:ascii="Times New Roman" w:hAnsi="Times New Roman" w:cs="Times New Roman"/>
        </w:rPr>
        <w:t>ds</w:t>
      </w:r>
      <w:r w:rsidR="009D77F1" w:rsidRPr="00E477AE">
        <w:rPr>
          <w:rFonts w:ascii="Times New Roman" w:hAnsi="Times New Roman" w:cs="Times New Roman"/>
        </w:rPr>
        <w:t xml:space="preserve"> in relation to the fact that the trust was not </w:t>
      </w:r>
      <w:r w:rsidR="0041061E" w:rsidRPr="00E477AE">
        <w:rPr>
          <w:rFonts w:ascii="Times New Roman" w:hAnsi="Times New Roman" w:cs="Times New Roman"/>
        </w:rPr>
        <w:t>evidenced</w:t>
      </w:r>
      <w:r w:rsidR="00287D35" w:rsidRPr="00E477AE">
        <w:rPr>
          <w:rFonts w:ascii="Times New Roman" w:hAnsi="Times New Roman" w:cs="Times New Roman"/>
        </w:rPr>
        <w:t xml:space="preserve"> in writing</w:t>
      </w:r>
      <w:r w:rsidR="005C39C3" w:rsidRPr="00E477AE">
        <w:rPr>
          <w:rFonts w:ascii="Times New Roman" w:hAnsi="Times New Roman" w:cs="Times New Roman"/>
        </w:rPr>
        <w:t>. The</w:t>
      </w:r>
      <w:r w:rsidR="003213DC" w:rsidRPr="00E477AE">
        <w:rPr>
          <w:rFonts w:ascii="Times New Roman" w:hAnsi="Times New Roman" w:cs="Times New Roman"/>
        </w:rPr>
        <w:t xml:space="preserve"> court held</w:t>
      </w:r>
      <w:r w:rsidR="009D77F1" w:rsidRPr="00E477AE">
        <w:rPr>
          <w:rFonts w:ascii="Times New Roman" w:hAnsi="Times New Roman" w:cs="Times New Roman"/>
        </w:rPr>
        <w:t xml:space="preserve"> that</w:t>
      </w:r>
      <w:r w:rsidR="003213DC" w:rsidRPr="00E477AE">
        <w:rPr>
          <w:rFonts w:ascii="Times New Roman" w:hAnsi="Times New Roman" w:cs="Times New Roman"/>
        </w:rPr>
        <w:t xml:space="preserve"> the defendant</w:t>
      </w:r>
      <w:r w:rsidR="009D77F1" w:rsidRPr="00E477AE">
        <w:rPr>
          <w:rFonts w:ascii="Times New Roman" w:hAnsi="Times New Roman" w:cs="Times New Roman"/>
        </w:rPr>
        <w:t xml:space="preserve"> was</w:t>
      </w:r>
      <w:r w:rsidR="003213DC" w:rsidRPr="00E477AE">
        <w:rPr>
          <w:rFonts w:ascii="Times New Roman" w:hAnsi="Times New Roman" w:cs="Times New Roman"/>
        </w:rPr>
        <w:t xml:space="preserve"> a trustee of</w:t>
      </w:r>
      <w:r w:rsidR="00D22C85" w:rsidRPr="00E477AE">
        <w:rPr>
          <w:rFonts w:ascii="Times New Roman" w:hAnsi="Times New Roman" w:cs="Times New Roman"/>
        </w:rPr>
        <w:t xml:space="preserve"> t</w:t>
      </w:r>
      <w:r w:rsidR="009D77F1" w:rsidRPr="00E477AE">
        <w:rPr>
          <w:rFonts w:ascii="Times New Roman" w:hAnsi="Times New Roman" w:cs="Times New Roman"/>
        </w:rPr>
        <w:t>he property for the claimant.</w:t>
      </w:r>
      <w:r w:rsidR="005C39C3" w:rsidRPr="00E477AE">
        <w:rPr>
          <w:rFonts w:ascii="Times New Roman" w:hAnsi="Times New Roman" w:cs="Times New Roman"/>
        </w:rPr>
        <w:t xml:space="preserve"> </w:t>
      </w:r>
      <w:r w:rsidR="00D22C85" w:rsidRPr="00E477AE">
        <w:rPr>
          <w:rFonts w:ascii="Times New Roman" w:hAnsi="Times New Roman" w:cs="Times New Roman"/>
        </w:rPr>
        <w:t>Surely</w:t>
      </w:r>
      <w:r w:rsidR="00B54029" w:rsidRPr="00E477AE">
        <w:rPr>
          <w:rFonts w:ascii="Times New Roman" w:hAnsi="Times New Roman" w:cs="Times New Roman"/>
        </w:rPr>
        <w:t>,</w:t>
      </w:r>
      <w:r w:rsidR="005C39C3" w:rsidRPr="00E477AE">
        <w:rPr>
          <w:rFonts w:ascii="Times New Roman" w:hAnsi="Times New Roman" w:cs="Times New Roman"/>
        </w:rPr>
        <w:t xml:space="preserve"> the court</w:t>
      </w:r>
      <w:r w:rsidR="00B54029" w:rsidRPr="00E477AE">
        <w:rPr>
          <w:rFonts w:ascii="Times New Roman" w:hAnsi="Times New Roman" w:cs="Times New Roman"/>
        </w:rPr>
        <w:t>’s decision was motivated by the honesty and</w:t>
      </w:r>
      <w:r w:rsidR="005C39C3" w:rsidRPr="00E477AE">
        <w:rPr>
          <w:rFonts w:ascii="Times New Roman" w:hAnsi="Times New Roman" w:cs="Times New Roman"/>
        </w:rPr>
        <w:t xml:space="preserve"> co</w:t>
      </w:r>
      <w:r w:rsidR="00D22C85" w:rsidRPr="00E477AE">
        <w:rPr>
          <w:rFonts w:ascii="Times New Roman" w:hAnsi="Times New Roman" w:cs="Times New Roman"/>
        </w:rPr>
        <w:t xml:space="preserve">nsistency of </w:t>
      </w:r>
      <w:r w:rsidR="00B54029" w:rsidRPr="00E477AE">
        <w:rPr>
          <w:rFonts w:ascii="Times New Roman" w:hAnsi="Times New Roman" w:cs="Times New Roman"/>
        </w:rPr>
        <w:t>the claimant’s action</w:t>
      </w:r>
      <w:r w:rsidR="00D22C85" w:rsidRPr="00E477AE">
        <w:rPr>
          <w:rFonts w:ascii="Times New Roman" w:hAnsi="Times New Roman" w:cs="Times New Roman"/>
        </w:rPr>
        <w:t>.</w:t>
      </w:r>
      <w:r w:rsidR="00DC7389" w:rsidRPr="00E477AE">
        <w:rPr>
          <w:rStyle w:val="FootnoteReference"/>
          <w:rFonts w:ascii="Times New Roman" w:hAnsi="Times New Roman" w:cs="Times New Roman"/>
        </w:rPr>
        <w:footnoteReference w:id="42"/>
      </w:r>
      <w:r w:rsidR="00D22C85" w:rsidRPr="00E477AE">
        <w:rPr>
          <w:rFonts w:ascii="Times New Roman" w:hAnsi="Times New Roman" w:cs="Times New Roman"/>
        </w:rPr>
        <w:t xml:space="preserve"> </w:t>
      </w:r>
      <w:r w:rsidR="00B54029" w:rsidRPr="00E477AE">
        <w:rPr>
          <w:rFonts w:ascii="Times New Roman" w:hAnsi="Times New Roman" w:cs="Times New Roman"/>
        </w:rPr>
        <w:t xml:space="preserve">For instance, </w:t>
      </w:r>
      <w:r w:rsidR="00D22C85" w:rsidRPr="00E477AE">
        <w:rPr>
          <w:rFonts w:ascii="Times New Roman" w:hAnsi="Times New Roman" w:cs="Times New Roman"/>
        </w:rPr>
        <w:t>Romilly MR emphasized that ‘there was no illegality in the transaction, and that the Plaintiff was quite justified, morally and legally, in marrying the second wife’</w:t>
      </w:r>
      <w:r w:rsidR="002C5E72" w:rsidRPr="00E477AE">
        <w:rPr>
          <w:rFonts w:ascii="Times New Roman" w:hAnsi="Times New Roman" w:cs="Times New Roman"/>
        </w:rPr>
        <w:t>.</w:t>
      </w:r>
      <w:r w:rsidR="00D22C85" w:rsidRPr="00E477AE">
        <w:rPr>
          <w:rStyle w:val="FootnoteReference"/>
          <w:rFonts w:ascii="Times New Roman" w:hAnsi="Times New Roman" w:cs="Times New Roman"/>
        </w:rPr>
        <w:footnoteReference w:id="43"/>
      </w:r>
      <w:r w:rsidR="002C5E72" w:rsidRPr="00E477AE">
        <w:rPr>
          <w:rFonts w:ascii="Times New Roman" w:hAnsi="Times New Roman" w:cs="Times New Roman"/>
        </w:rPr>
        <w:t xml:space="preserve"> Nevertheless, the claimant’s original intention in making the transfer was dishonest, although it turned out that he was labouring under a legal misconception. The point is that, despite that initial dishonesty,</w:t>
      </w:r>
      <w:r w:rsidR="005B524A" w:rsidRPr="00E477AE">
        <w:rPr>
          <w:rFonts w:ascii="Times New Roman" w:hAnsi="Times New Roman" w:cs="Times New Roman"/>
        </w:rPr>
        <w:t xml:space="preserve"> the court rightly enforced the trust</w:t>
      </w:r>
      <w:r w:rsidR="002C5E72" w:rsidRPr="00E477AE">
        <w:rPr>
          <w:rFonts w:ascii="Times New Roman" w:hAnsi="Times New Roman" w:cs="Times New Roman"/>
        </w:rPr>
        <w:t xml:space="preserve"> arising from</w:t>
      </w:r>
      <w:r w:rsidR="005B524A" w:rsidRPr="00E477AE">
        <w:rPr>
          <w:rFonts w:ascii="Times New Roman" w:hAnsi="Times New Roman" w:cs="Times New Roman"/>
        </w:rPr>
        <w:t xml:space="preserve"> </w:t>
      </w:r>
      <w:r w:rsidR="009660E9" w:rsidRPr="00E477AE">
        <w:rPr>
          <w:rFonts w:ascii="Times New Roman" w:hAnsi="Times New Roman" w:cs="Times New Roman"/>
        </w:rPr>
        <w:t>the primary</w:t>
      </w:r>
      <w:r w:rsidR="004D33BC">
        <w:rPr>
          <w:rFonts w:ascii="Times New Roman" w:hAnsi="Times New Roman" w:cs="Times New Roman"/>
        </w:rPr>
        <w:t xml:space="preserve"> feature of the</w:t>
      </w:r>
      <w:r w:rsidR="009660E9" w:rsidRPr="00E477AE">
        <w:rPr>
          <w:rFonts w:ascii="Times New Roman" w:hAnsi="Times New Roman" w:cs="Times New Roman"/>
        </w:rPr>
        <w:t xml:space="preserve"> transaction in</w:t>
      </w:r>
      <w:r w:rsidR="005B524A" w:rsidRPr="00E477AE">
        <w:rPr>
          <w:rFonts w:ascii="Times New Roman" w:hAnsi="Times New Roman" w:cs="Times New Roman"/>
        </w:rPr>
        <w:t xml:space="preserve"> </w:t>
      </w:r>
      <w:r w:rsidR="00EA791D" w:rsidRPr="00E477AE">
        <w:rPr>
          <w:rFonts w:ascii="Times New Roman" w:hAnsi="Times New Roman" w:cs="Times New Roman"/>
        </w:rPr>
        <w:t>that case</w:t>
      </w:r>
      <w:r w:rsidR="005B524A" w:rsidRPr="00E477AE">
        <w:rPr>
          <w:rFonts w:ascii="Times New Roman" w:hAnsi="Times New Roman" w:cs="Times New Roman"/>
        </w:rPr>
        <w:t xml:space="preserve">. </w:t>
      </w:r>
    </w:p>
    <w:p w14:paraId="1B56880B" w14:textId="77777777" w:rsidR="00912C95" w:rsidRPr="00E477AE" w:rsidRDefault="00912C95" w:rsidP="00521DCD">
      <w:pPr>
        <w:pStyle w:val="FootnoteText"/>
        <w:jc w:val="both"/>
        <w:rPr>
          <w:rFonts w:ascii="Times New Roman" w:hAnsi="Times New Roman" w:cs="Times New Roman"/>
        </w:rPr>
      </w:pPr>
    </w:p>
    <w:p w14:paraId="5287FC6C" w14:textId="45EB98F8" w:rsidR="00912C95" w:rsidRPr="00E477AE" w:rsidRDefault="00912C95" w:rsidP="00521DCD">
      <w:pPr>
        <w:pStyle w:val="FootnoteText"/>
        <w:jc w:val="both"/>
        <w:rPr>
          <w:rFonts w:ascii="Times New Roman" w:hAnsi="Times New Roman" w:cs="Times New Roman"/>
          <w:b/>
        </w:rPr>
      </w:pPr>
      <w:r w:rsidRPr="00E477AE">
        <w:rPr>
          <w:rFonts w:ascii="Times New Roman" w:hAnsi="Times New Roman" w:cs="Times New Roman"/>
          <w:b/>
        </w:rPr>
        <w:t>Position of Modern Cases</w:t>
      </w:r>
    </w:p>
    <w:p w14:paraId="065AD4EE" w14:textId="01BBDA53" w:rsidR="00D142D1" w:rsidRPr="00E477AE" w:rsidRDefault="00E372C0" w:rsidP="00521DCD">
      <w:pPr>
        <w:jc w:val="both"/>
        <w:rPr>
          <w:rFonts w:ascii="Times New Roman" w:hAnsi="Times New Roman" w:cs="Times New Roman"/>
        </w:rPr>
      </w:pPr>
      <w:r w:rsidRPr="00E477AE">
        <w:rPr>
          <w:rFonts w:ascii="Times New Roman" w:hAnsi="Times New Roman" w:cs="Times New Roman"/>
        </w:rPr>
        <w:t>M</w:t>
      </w:r>
      <w:r w:rsidR="003E4EB1" w:rsidRPr="00E477AE">
        <w:rPr>
          <w:rFonts w:ascii="Times New Roman" w:hAnsi="Times New Roman" w:cs="Times New Roman"/>
        </w:rPr>
        <w:t>ore modern cases</w:t>
      </w:r>
      <w:r w:rsidRPr="00E477AE">
        <w:rPr>
          <w:rFonts w:ascii="Times New Roman" w:hAnsi="Times New Roman" w:cs="Times New Roman"/>
        </w:rPr>
        <w:t xml:space="preserve"> support </w:t>
      </w:r>
      <w:r w:rsidR="00BB77A6" w:rsidRPr="00E477AE">
        <w:rPr>
          <w:rFonts w:ascii="Times New Roman" w:hAnsi="Times New Roman" w:cs="Times New Roman"/>
        </w:rPr>
        <w:t>the proposition</w:t>
      </w:r>
      <w:r w:rsidRPr="00E477AE">
        <w:rPr>
          <w:rFonts w:ascii="Times New Roman" w:hAnsi="Times New Roman" w:cs="Times New Roman"/>
        </w:rPr>
        <w:t xml:space="preserve"> above</w:t>
      </w:r>
      <w:r w:rsidR="00BB77A6" w:rsidRPr="00E477AE">
        <w:rPr>
          <w:rFonts w:ascii="Times New Roman" w:hAnsi="Times New Roman" w:cs="Times New Roman"/>
        </w:rPr>
        <w:t>.</w:t>
      </w:r>
      <w:r w:rsidR="00EB56ED" w:rsidRPr="00E477AE">
        <w:rPr>
          <w:rFonts w:ascii="Times New Roman" w:hAnsi="Times New Roman" w:cs="Times New Roman"/>
        </w:rPr>
        <w:t xml:space="preserve"> In </w:t>
      </w:r>
      <w:r w:rsidR="00EB56ED" w:rsidRPr="00E477AE">
        <w:rPr>
          <w:rFonts w:ascii="Times New Roman" w:hAnsi="Times New Roman" w:cs="Times New Roman"/>
          <w:i/>
        </w:rPr>
        <w:t>Tinsley v Milligan</w:t>
      </w:r>
      <w:r w:rsidR="00EB56ED" w:rsidRPr="00E477AE">
        <w:rPr>
          <w:rFonts w:ascii="Times New Roman" w:hAnsi="Times New Roman" w:cs="Times New Roman"/>
        </w:rPr>
        <w:t>,</w:t>
      </w:r>
      <w:r w:rsidR="009D62A8">
        <w:rPr>
          <w:rStyle w:val="FootnoteReference"/>
          <w:rFonts w:ascii="Times New Roman" w:hAnsi="Times New Roman" w:cs="Times New Roman"/>
        </w:rPr>
        <w:footnoteReference w:id="44"/>
      </w:r>
      <w:r w:rsidR="00EB56ED" w:rsidRPr="00E477AE">
        <w:rPr>
          <w:rFonts w:ascii="Times New Roman" w:hAnsi="Times New Roman" w:cs="Times New Roman"/>
        </w:rPr>
        <w:t xml:space="preserve"> the</w:t>
      </w:r>
      <w:r w:rsidR="00863DC7" w:rsidRPr="00E477AE">
        <w:rPr>
          <w:rFonts w:ascii="Times New Roman" w:hAnsi="Times New Roman" w:cs="Times New Roman"/>
        </w:rPr>
        <w:t xml:space="preserve"> claimant and defendant-counter-claimant cohabited as same sex partners, and </w:t>
      </w:r>
      <w:r w:rsidR="00EB56ED" w:rsidRPr="00E477AE">
        <w:rPr>
          <w:rFonts w:ascii="Times New Roman" w:hAnsi="Times New Roman" w:cs="Times New Roman"/>
        </w:rPr>
        <w:t>contributed equa</w:t>
      </w:r>
      <w:r w:rsidR="00A261AE" w:rsidRPr="00E477AE">
        <w:rPr>
          <w:rFonts w:ascii="Times New Roman" w:hAnsi="Times New Roman" w:cs="Times New Roman"/>
        </w:rPr>
        <w:t>lly to the purchase of propert</w:t>
      </w:r>
      <w:r w:rsidR="00863DC7" w:rsidRPr="00E477AE">
        <w:rPr>
          <w:rFonts w:ascii="Times New Roman" w:hAnsi="Times New Roman" w:cs="Times New Roman"/>
        </w:rPr>
        <w:t>y. To achieve their purpose of defrauding the Department of Social Security, through false</w:t>
      </w:r>
      <w:r w:rsidR="009A6E0A" w:rsidRPr="00E477AE">
        <w:rPr>
          <w:rFonts w:ascii="Times New Roman" w:hAnsi="Times New Roman" w:cs="Times New Roman"/>
        </w:rPr>
        <w:t xml:space="preserve"> claims for welfare benefits</w:t>
      </w:r>
      <w:r w:rsidR="00863DC7" w:rsidRPr="00E477AE">
        <w:rPr>
          <w:rFonts w:ascii="Times New Roman" w:hAnsi="Times New Roman" w:cs="Times New Roman"/>
        </w:rPr>
        <w:t>,</w:t>
      </w:r>
      <w:r w:rsidR="003E4EB1" w:rsidRPr="00E477AE">
        <w:rPr>
          <w:rFonts w:ascii="Times New Roman" w:hAnsi="Times New Roman" w:cs="Times New Roman"/>
        </w:rPr>
        <w:t xml:space="preserve"> they arranged for</w:t>
      </w:r>
      <w:r w:rsidR="00A261AE" w:rsidRPr="00E477AE">
        <w:rPr>
          <w:rFonts w:ascii="Times New Roman" w:hAnsi="Times New Roman" w:cs="Times New Roman"/>
        </w:rPr>
        <w:t xml:space="preserve"> the property</w:t>
      </w:r>
      <w:r w:rsidR="003E4EB1" w:rsidRPr="00E477AE">
        <w:rPr>
          <w:rFonts w:ascii="Times New Roman" w:hAnsi="Times New Roman" w:cs="Times New Roman"/>
        </w:rPr>
        <w:t xml:space="preserve"> to be </w:t>
      </w:r>
      <w:r w:rsidR="00EB56ED" w:rsidRPr="00E477AE">
        <w:rPr>
          <w:rFonts w:ascii="Times New Roman" w:hAnsi="Times New Roman" w:cs="Times New Roman"/>
        </w:rPr>
        <w:t xml:space="preserve">conveyed into the name of Ms Tinsley alone. </w:t>
      </w:r>
      <w:r w:rsidR="003E4EB1" w:rsidRPr="00E477AE">
        <w:rPr>
          <w:rFonts w:ascii="Times New Roman" w:hAnsi="Times New Roman" w:cs="Times New Roman"/>
        </w:rPr>
        <w:t>Their common intention and understanding was that they</w:t>
      </w:r>
      <w:r w:rsidR="00A261AE" w:rsidRPr="00E477AE">
        <w:rPr>
          <w:rFonts w:ascii="Times New Roman" w:hAnsi="Times New Roman" w:cs="Times New Roman"/>
        </w:rPr>
        <w:t xml:space="preserve"> share</w:t>
      </w:r>
      <w:r w:rsidR="003E4EB1" w:rsidRPr="00E477AE">
        <w:rPr>
          <w:rFonts w:ascii="Times New Roman" w:hAnsi="Times New Roman" w:cs="Times New Roman"/>
        </w:rPr>
        <w:t>d the beneficial interest</w:t>
      </w:r>
      <w:r w:rsidR="00722B7B" w:rsidRPr="00E477AE">
        <w:rPr>
          <w:rFonts w:ascii="Times New Roman" w:hAnsi="Times New Roman" w:cs="Times New Roman"/>
        </w:rPr>
        <w:t xml:space="preserve"> in the property</w:t>
      </w:r>
      <w:r w:rsidR="00EB56ED" w:rsidRPr="00E477AE">
        <w:rPr>
          <w:rFonts w:ascii="Times New Roman" w:hAnsi="Times New Roman" w:cs="Times New Roman"/>
        </w:rPr>
        <w:t xml:space="preserve"> equal</w:t>
      </w:r>
      <w:r w:rsidR="00A261AE" w:rsidRPr="00E477AE">
        <w:rPr>
          <w:rFonts w:ascii="Times New Roman" w:hAnsi="Times New Roman" w:cs="Times New Roman"/>
        </w:rPr>
        <w:t>ly</w:t>
      </w:r>
      <w:r w:rsidR="003E4EB1" w:rsidRPr="00E477AE">
        <w:rPr>
          <w:rFonts w:ascii="Times New Roman" w:hAnsi="Times New Roman" w:cs="Times New Roman"/>
        </w:rPr>
        <w:t>.</w:t>
      </w:r>
      <w:r w:rsidR="00A261AE" w:rsidRPr="00E477AE">
        <w:rPr>
          <w:rFonts w:ascii="Times New Roman" w:hAnsi="Times New Roman" w:cs="Times New Roman"/>
        </w:rPr>
        <w:t xml:space="preserve"> </w:t>
      </w:r>
      <w:r w:rsidR="003E4EB1" w:rsidRPr="00E477AE">
        <w:rPr>
          <w:rFonts w:ascii="Times New Roman" w:hAnsi="Times New Roman" w:cs="Times New Roman"/>
        </w:rPr>
        <w:t xml:space="preserve">When their relationship broke up, </w:t>
      </w:r>
      <w:r w:rsidR="00085A7E" w:rsidRPr="00E477AE">
        <w:rPr>
          <w:rFonts w:ascii="Times New Roman" w:hAnsi="Times New Roman" w:cs="Times New Roman"/>
        </w:rPr>
        <w:t>Tinsley</w:t>
      </w:r>
      <w:r w:rsidR="003E4EB1" w:rsidRPr="00E477AE">
        <w:rPr>
          <w:rFonts w:ascii="Times New Roman" w:hAnsi="Times New Roman" w:cs="Times New Roman"/>
        </w:rPr>
        <w:t>, the legal owner, filed a claim for possession</w:t>
      </w:r>
      <w:r w:rsidR="00B55605" w:rsidRPr="00E477AE">
        <w:rPr>
          <w:rFonts w:ascii="Times New Roman" w:hAnsi="Times New Roman" w:cs="Times New Roman"/>
        </w:rPr>
        <w:t xml:space="preserve"> of the property. </w:t>
      </w:r>
      <w:r w:rsidR="007B65E1" w:rsidRPr="00E477AE">
        <w:rPr>
          <w:rFonts w:ascii="Times New Roman" w:hAnsi="Times New Roman" w:cs="Times New Roman"/>
        </w:rPr>
        <w:t xml:space="preserve">Ms </w:t>
      </w:r>
      <w:r w:rsidR="00B55605" w:rsidRPr="00E477AE">
        <w:rPr>
          <w:rFonts w:ascii="Times New Roman" w:hAnsi="Times New Roman" w:cs="Times New Roman"/>
        </w:rPr>
        <w:t xml:space="preserve">Milligan </w:t>
      </w:r>
      <w:r w:rsidR="00F24906" w:rsidRPr="00E477AE">
        <w:rPr>
          <w:rFonts w:ascii="Times New Roman" w:hAnsi="Times New Roman" w:cs="Times New Roman"/>
        </w:rPr>
        <w:t>counter-cl</w:t>
      </w:r>
      <w:r w:rsidR="00B55605" w:rsidRPr="00E477AE">
        <w:rPr>
          <w:rFonts w:ascii="Times New Roman" w:hAnsi="Times New Roman" w:cs="Times New Roman"/>
        </w:rPr>
        <w:t xml:space="preserve">aimed for a declaration that </w:t>
      </w:r>
      <w:r w:rsidR="00F24906" w:rsidRPr="00E477AE">
        <w:rPr>
          <w:rFonts w:ascii="Times New Roman" w:hAnsi="Times New Roman" w:cs="Times New Roman"/>
        </w:rPr>
        <w:t>Tinsley held the pr</w:t>
      </w:r>
      <w:r w:rsidR="00B55605" w:rsidRPr="00E477AE">
        <w:rPr>
          <w:rFonts w:ascii="Times New Roman" w:hAnsi="Times New Roman" w:cs="Times New Roman"/>
        </w:rPr>
        <w:t>operty on trust for the two of them in equal shares</w:t>
      </w:r>
      <w:r w:rsidR="00F24906" w:rsidRPr="00E477AE">
        <w:rPr>
          <w:rFonts w:ascii="Times New Roman" w:hAnsi="Times New Roman" w:cs="Times New Roman"/>
        </w:rPr>
        <w:t xml:space="preserve">. </w:t>
      </w:r>
      <w:r w:rsidR="00B55605" w:rsidRPr="00E477AE">
        <w:rPr>
          <w:rFonts w:ascii="Times New Roman" w:hAnsi="Times New Roman" w:cs="Times New Roman"/>
        </w:rPr>
        <w:t>The tru</w:t>
      </w:r>
      <w:r w:rsidR="00870CAF" w:rsidRPr="00E477AE">
        <w:rPr>
          <w:rFonts w:ascii="Times New Roman" w:hAnsi="Times New Roman" w:cs="Times New Roman"/>
        </w:rPr>
        <w:t>st alleged by Milligan was a</w:t>
      </w:r>
      <w:r w:rsidR="00B55605" w:rsidRPr="00E477AE">
        <w:rPr>
          <w:rFonts w:ascii="Times New Roman" w:hAnsi="Times New Roman" w:cs="Times New Roman"/>
        </w:rPr>
        <w:t xml:space="preserve"> resulting trust</w:t>
      </w:r>
      <w:r w:rsidR="00722B7B" w:rsidRPr="00E477AE">
        <w:rPr>
          <w:rFonts w:ascii="Times New Roman" w:hAnsi="Times New Roman" w:cs="Times New Roman"/>
        </w:rPr>
        <w:t>, arising</w:t>
      </w:r>
      <w:r w:rsidR="00870CAF" w:rsidRPr="00E477AE">
        <w:rPr>
          <w:rFonts w:ascii="Times New Roman" w:hAnsi="Times New Roman" w:cs="Times New Roman"/>
        </w:rPr>
        <w:t xml:space="preserve"> from</w:t>
      </w:r>
      <w:r w:rsidR="00B55605" w:rsidRPr="00E477AE">
        <w:rPr>
          <w:rFonts w:ascii="Times New Roman" w:hAnsi="Times New Roman" w:cs="Times New Roman"/>
        </w:rPr>
        <w:t xml:space="preserve"> her contribution to the purchase price of the property.</w:t>
      </w:r>
      <w:r w:rsidR="00870CAF" w:rsidRPr="00E477AE">
        <w:rPr>
          <w:rFonts w:ascii="Times New Roman" w:hAnsi="Times New Roman" w:cs="Times New Roman"/>
        </w:rPr>
        <w:t xml:space="preserve"> </w:t>
      </w:r>
      <w:r w:rsidR="00F24906" w:rsidRPr="00E477AE">
        <w:rPr>
          <w:rFonts w:ascii="Times New Roman" w:hAnsi="Times New Roman" w:cs="Times New Roman"/>
        </w:rPr>
        <w:t xml:space="preserve">In </w:t>
      </w:r>
      <w:r w:rsidR="00B55605" w:rsidRPr="00E477AE">
        <w:rPr>
          <w:rFonts w:ascii="Times New Roman" w:hAnsi="Times New Roman" w:cs="Times New Roman"/>
        </w:rPr>
        <w:t xml:space="preserve">reply to the counter-claim, Tinsley argued that the purpose of the </w:t>
      </w:r>
      <w:r w:rsidR="00F24906" w:rsidRPr="00E477AE">
        <w:rPr>
          <w:rFonts w:ascii="Times New Roman" w:hAnsi="Times New Roman" w:cs="Times New Roman"/>
        </w:rPr>
        <w:t xml:space="preserve">trust was illegal, </w:t>
      </w:r>
      <w:r w:rsidR="00B55605" w:rsidRPr="00E477AE">
        <w:rPr>
          <w:rFonts w:ascii="Times New Roman" w:hAnsi="Times New Roman" w:cs="Times New Roman"/>
        </w:rPr>
        <w:t xml:space="preserve">and therefore, </w:t>
      </w:r>
      <w:r w:rsidR="00F24906" w:rsidRPr="00E477AE">
        <w:rPr>
          <w:rFonts w:ascii="Times New Roman" w:hAnsi="Times New Roman" w:cs="Times New Roman"/>
        </w:rPr>
        <w:t>the court should not give its assistance to</w:t>
      </w:r>
      <w:r w:rsidR="00B55605" w:rsidRPr="00E477AE">
        <w:rPr>
          <w:rFonts w:ascii="Times New Roman" w:hAnsi="Times New Roman" w:cs="Times New Roman"/>
        </w:rPr>
        <w:t xml:space="preserve">, </w:t>
      </w:r>
      <w:r w:rsidR="000466E2" w:rsidRPr="00E477AE">
        <w:rPr>
          <w:rFonts w:ascii="Times New Roman" w:hAnsi="Times New Roman" w:cs="Times New Roman"/>
        </w:rPr>
        <w:t>n</w:t>
      </w:r>
      <w:r w:rsidR="00B55605" w:rsidRPr="00E477AE">
        <w:rPr>
          <w:rFonts w:ascii="Times New Roman" w:hAnsi="Times New Roman" w:cs="Times New Roman"/>
        </w:rPr>
        <w:t>or enforce, Milligan’s counter-claim. The majority of</w:t>
      </w:r>
      <w:r w:rsidR="00F24906" w:rsidRPr="00E477AE">
        <w:rPr>
          <w:rFonts w:ascii="Times New Roman" w:hAnsi="Times New Roman" w:cs="Times New Roman"/>
        </w:rPr>
        <w:t xml:space="preserve"> the House o</w:t>
      </w:r>
      <w:r w:rsidR="00B55605" w:rsidRPr="00E477AE">
        <w:rPr>
          <w:rFonts w:ascii="Times New Roman" w:hAnsi="Times New Roman" w:cs="Times New Roman"/>
        </w:rPr>
        <w:t xml:space="preserve">f Lords </w:t>
      </w:r>
      <w:r w:rsidR="00666D5D" w:rsidRPr="00E477AE">
        <w:rPr>
          <w:rFonts w:ascii="Times New Roman" w:hAnsi="Times New Roman" w:cs="Times New Roman"/>
        </w:rPr>
        <w:t>gave judg</w:t>
      </w:r>
      <w:r w:rsidR="00B55605" w:rsidRPr="00E477AE">
        <w:rPr>
          <w:rFonts w:ascii="Times New Roman" w:hAnsi="Times New Roman" w:cs="Times New Roman"/>
        </w:rPr>
        <w:t xml:space="preserve">ment in favour of </w:t>
      </w:r>
      <w:r w:rsidR="00F24906" w:rsidRPr="00E477AE">
        <w:rPr>
          <w:rFonts w:ascii="Times New Roman" w:hAnsi="Times New Roman" w:cs="Times New Roman"/>
        </w:rPr>
        <w:t>Milligan,</w:t>
      </w:r>
      <w:r w:rsidR="00B55605" w:rsidRPr="00E477AE">
        <w:rPr>
          <w:rFonts w:ascii="Times New Roman" w:hAnsi="Times New Roman" w:cs="Times New Roman"/>
        </w:rPr>
        <w:t xml:space="preserve"> on the basis that she had not relied</w:t>
      </w:r>
      <w:r w:rsidR="00870CAF" w:rsidRPr="00E477AE">
        <w:rPr>
          <w:rFonts w:ascii="Times New Roman" w:hAnsi="Times New Roman" w:cs="Times New Roman"/>
        </w:rPr>
        <w:t xml:space="preserve"> on the illegal transaction in order to </w:t>
      </w:r>
      <w:r w:rsidR="00B55605" w:rsidRPr="00E477AE">
        <w:rPr>
          <w:rFonts w:ascii="Times New Roman" w:hAnsi="Times New Roman" w:cs="Times New Roman"/>
        </w:rPr>
        <w:t>prove her claim.</w:t>
      </w:r>
      <w:r w:rsidR="00870CAF" w:rsidRPr="00E477AE">
        <w:rPr>
          <w:rFonts w:ascii="Times New Roman" w:hAnsi="Times New Roman" w:cs="Times New Roman"/>
        </w:rPr>
        <w:t xml:space="preserve"> </w:t>
      </w:r>
    </w:p>
    <w:p w14:paraId="62E4EC9E" w14:textId="28D5014F" w:rsidR="00664B31" w:rsidRPr="00E477AE" w:rsidRDefault="00870CAF" w:rsidP="00521DCD">
      <w:pPr>
        <w:ind w:firstLine="720"/>
        <w:jc w:val="both"/>
        <w:rPr>
          <w:rFonts w:ascii="Times New Roman" w:hAnsi="Times New Roman" w:cs="Times New Roman"/>
        </w:rPr>
      </w:pPr>
      <w:r w:rsidRPr="00E477AE">
        <w:rPr>
          <w:rFonts w:ascii="Times New Roman" w:hAnsi="Times New Roman" w:cs="Times New Roman"/>
        </w:rPr>
        <w:t>Obviously, the majority i</w:t>
      </w:r>
      <w:r w:rsidR="00666D5D" w:rsidRPr="00E477AE">
        <w:rPr>
          <w:rFonts w:ascii="Times New Roman" w:hAnsi="Times New Roman" w:cs="Times New Roman"/>
        </w:rPr>
        <w:t xml:space="preserve">n </w:t>
      </w:r>
      <w:r w:rsidR="00666D5D" w:rsidRPr="00E477AE">
        <w:rPr>
          <w:rFonts w:ascii="Times New Roman" w:hAnsi="Times New Roman" w:cs="Times New Roman"/>
          <w:i/>
        </w:rPr>
        <w:t>Tinsley</w:t>
      </w:r>
      <w:r w:rsidRPr="00E477AE">
        <w:rPr>
          <w:rFonts w:ascii="Times New Roman" w:hAnsi="Times New Roman" w:cs="Times New Roman"/>
        </w:rPr>
        <w:t xml:space="preserve"> </w:t>
      </w:r>
      <w:r w:rsidR="00666D5D" w:rsidRPr="00E477AE">
        <w:rPr>
          <w:rFonts w:ascii="Times New Roman" w:hAnsi="Times New Roman" w:cs="Times New Roman"/>
        </w:rPr>
        <w:t>anchored its decision on the reliance principle, the idea that a party to an executed illegal transaction can acquire and enforce property rights arising from that transaction</w:t>
      </w:r>
      <w:r w:rsidRPr="00E477AE">
        <w:rPr>
          <w:rFonts w:ascii="Times New Roman" w:hAnsi="Times New Roman" w:cs="Times New Roman"/>
        </w:rPr>
        <w:t>,</w:t>
      </w:r>
      <w:r w:rsidR="00666D5D" w:rsidRPr="00E477AE">
        <w:rPr>
          <w:rFonts w:ascii="Times New Roman" w:hAnsi="Times New Roman" w:cs="Times New Roman"/>
        </w:rPr>
        <w:t xml:space="preserve"> provided their claim</w:t>
      </w:r>
      <w:r w:rsidRPr="00E477AE">
        <w:rPr>
          <w:rFonts w:ascii="Times New Roman" w:hAnsi="Times New Roman" w:cs="Times New Roman"/>
        </w:rPr>
        <w:t xml:space="preserve"> does not rely on </w:t>
      </w:r>
      <w:r w:rsidR="00666D5D" w:rsidRPr="00E477AE">
        <w:rPr>
          <w:rFonts w:ascii="Times New Roman" w:hAnsi="Times New Roman" w:cs="Times New Roman"/>
        </w:rPr>
        <w:t>the illegal transaction itself. In short, a claim</w:t>
      </w:r>
      <w:r w:rsidRPr="00E477AE">
        <w:rPr>
          <w:rFonts w:ascii="Times New Roman" w:hAnsi="Times New Roman" w:cs="Times New Roman"/>
        </w:rPr>
        <w:t xml:space="preserve"> in trust</w:t>
      </w:r>
      <w:r w:rsidR="000466E2" w:rsidRPr="00E477AE">
        <w:rPr>
          <w:rFonts w:ascii="Times New Roman" w:hAnsi="Times New Roman" w:cs="Times New Roman"/>
        </w:rPr>
        <w:t xml:space="preserve"> would be judicially enforced</w:t>
      </w:r>
      <w:r w:rsidR="00BA0488" w:rsidRPr="00E477AE">
        <w:rPr>
          <w:rFonts w:ascii="Times New Roman" w:hAnsi="Times New Roman" w:cs="Times New Roman"/>
        </w:rPr>
        <w:t xml:space="preserve"> so long as the claima</w:t>
      </w:r>
      <w:r w:rsidRPr="00E477AE">
        <w:rPr>
          <w:rFonts w:ascii="Times New Roman" w:hAnsi="Times New Roman" w:cs="Times New Roman"/>
        </w:rPr>
        <w:t xml:space="preserve">nt does not rely on his or her </w:t>
      </w:r>
      <w:r w:rsidR="00BA0488" w:rsidRPr="00E477AE">
        <w:rPr>
          <w:rFonts w:ascii="Times New Roman" w:hAnsi="Times New Roman" w:cs="Times New Roman"/>
        </w:rPr>
        <w:t>own</w:t>
      </w:r>
      <w:r w:rsidRPr="00E477AE">
        <w:rPr>
          <w:rFonts w:ascii="Times New Roman" w:hAnsi="Times New Roman" w:cs="Times New Roman"/>
        </w:rPr>
        <w:t xml:space="preserve"> underlying illegality. Thus, since </w:t>
      </w:r>
      <w:r w:rsidR="00BA0488" w:rsidRPr="00E477AE">
        <w:rPr>
          <w:rFonts w:ascii="Times New Roman" w:hAnsi="Times New Roman" w:cs="Times New Roman"/>
        </w:rPr>
        <w:t>Mi</w:t>
      </w:r>
      <w:r w:rsidRPr="00E477AE">
        <w:rPr>
          <w:rFonts w:ascii="Times New Roman" w:hAnsi="Times New Roman" w:cs="Times New Roman"/>
        </w:rPr>
        <w:t>lligan relied on her equitable proprietary interest under a resulting trust</w:t>
      </w:r>
      <w:r w:rsidR="000466E2" w:rsidRPr="00E477AE">
        <w:rPr>
          <w:rFonts w:ascii="Times New Roman" w:hAnsi="Times New Roman" w:cs="Times New Roman"/>
        </w:rPr>
        <w:t xml:space="preserve"> (rather than on the underlying </w:t>
      </w:r>
      <w:r w:rsidR="00BA0488" w:rsidRPr="00E477AE">
        <w:rPr>
          <w:rFonts w:ascii="Times New Roman" w:hAnsi="Times New Roman" w:cs="Times New Roman"/>
        </w:rPr>
        <w:t>illegality</w:t>
      </w:r>
      <w:r w:rsidR="00FE25E4" w:rsidRPr="00E477AE">
        <w:rPr>
          <w:rFonts w:ascii="Times New Roman" w:hAnsi="Times New Roman" w:cs="Times New Roman"/>
        </w:rPr>
        <w:t>)</w:t>
      </w:r>
      <w:r w:rsidR="00BA0488" w:rsidRPr="00E477AE">
        <w:rPr>
          <w:rFonts w:ascii="Times New Roman" w:hAnsi="Times New Roman" w:cs="Times New Roman"/>
        </w:rPr>
        <w:t xml:space="preserve">, </w:t>
      </w:r>
      <w:r w:rsidR="00FE25E4" w:rsidRPr="00E477AE">
        <w:rPr>
          <w:rFonts w:ascii="Times New Roman" w:hAnsi="Times New Roman" w:cs="Times New Roman"/>
        </w:rPr>
        <w:t>the majority held that</w:t>
      </w:r>
      <w:r w:rsidR="000466E2" w:rsidRPr="00E477AE">
        <w:rPr>
          <w:rFonts w:ascii="Times New Roman" w:hAnsi="Times New Roman" w:cs="Times New Roman"/>
        </w:rPr>
        <w:t xml:space="preserve"> her claim</w:t>
      </w:r>
      <w:r w:rsidR="00FE25E4" w:rsidRPr="00E477AE">
        <w:rPr>
          <w:rFonts w:ascii="Times New Roman" w:hAnsi="Times New Roman" w:cs="Times New Roman"/>
        </w:rPr>
        <w:t xml:space="preserve"> w</w:t>
      </w:r>
      <w:r w:rsidR="000466E2" w:rsidRPr="00E477AE">
        <w:rPr>
          <w:rFonts w:ascii="Times New Roman" w:hAnsi="Times New Roman" w:cs="Times New Roman"/>
        </w:rPr>
        <w:t xml:space="preserve">as entitled to succeed. The majority of the Supreme Court in </w:t>
      </w:r>
      <w:r w:rsidR="000466E2" w:rsidRPr="00E477AE">
        <w:rPr>
          <w:rFonts w:ascii="Times New Roman" w:hAnsi="Times New Roman" w:cs="Times New Roman"/>
          <w:i/>
        </w:rPr>
        <w:t>Patel</w:t>
      </w:r>
      <w:r w:rsidR="000466E2" w:rsidRPr="00E477AE">
        <w:rPr>
          <w:rFonts w:ascii="Times New Roman" w:hAnsi="Times New Roman" w:cs="Times New Roman"/>
        </w:rPr>
        <w:t xml:space="preserve"> </w:t>
      </w:r>
      <w:r w:rsidR="00C54864" w:rsidRPr="00E477AE">
        <w:rPr>
          <w:rFonts w:ascii="Times New Roman" w:hAnsi="Times New Roman" w:cs="Times New Roman"/>
        </w:rPr>
        <w:t xml:space="preserve">has overruled </w:t>
      </w:r>
      <w:r w:rsidR="00FE25E4" w:rsidRPr="00E477AE">
        <w:rPr>
          <w:rFonts w:ascii="Times New Roman" w:hAnsi="Times New Roman" w:cs="Times New Roman"/>
          <w:i/>
        </w:rPr>
        <w:t>Tinsley</w:t>
      </w:r>
      <w:r w:rsidR="00C54864" w:rsidRPr="00E477AE">
        <w:rPr>
          <w:rFonts w:ascii="Times New Roman" w:hAnsi="Times New Roman" w:cs="Times New Roman"/>
        </w:rPr>
        <w:t xml:space="preserve"> </w:t>
      </w:r>
      <w:r w:rsidR="00FE25E4" w:rsidRPr="00E477AE">
        <w:rPr>
          <w:rFonts w:ascii="Times New Roman" w:hAnsi="Times New Roman" w:cs="Times New Roman"/>
        </w:rPr>
        <w:t xml:space="preserve">in relation to the reliance principle. The </w:t>
      </w:r>
      <w:r w:rsidR="00F00CEC" w:rsidRPr="00E477AE">
        <w:rPr>
          <w:rFonts w:ascii="Times New Roman" w:hAnsi="Times New Roman" w:cs="Times New Roman"/>
        </w:rPr>
        <w:t>point</w:t>
      </w:r>
      <w:r w:rsidR="00FE25E4" w:rsidRPr="00E477AE">
        <w:rPr>
          <w:rFonts w:ascii="Times New Roman" w:hAnsi="Times New Roman" w:cs="Times New Roman"/>
        </w:rPr>
        <w:t>, however,</w:t>
      </w:r>
      <w:r w:rsidR="00F00CEC" w:rsidRPr="00E477AE">
        <w:rPr>
          <w:rFonts w:ascii="Times New Roman" w:hAnsi="Times New Roman" w:cs="Times New Roman"/>
        </w:rPr>
        <w:t xml:space="preserve"> is that </w:t>
      </w:r>
      <w:r w:rsidR="00F00CEC" w:rsidRPr="00E477AE">
        <w:rPr>
          <w:rFonts w:ascii="Times New Roman" w:hAnsi="Times New Roman" w:cs="Times New Roman"/>
          <w:i/>
        </w:rPr>
        <w:t>Tinsley</w:t>
      </w:r>
      <w:r w:rsidR="00F00CEC" w:rsidRPr="00E477AE">
        <w:rPr>
          <w:rFonts w:ascii="Times New Roman" w:hAnsi="Times New Roman" w:cs="Times New Roman"/>
        </w:rPr>
        <w:t xml:space="preserve"> could be perfectly explained on the basis of my proposition</w:t>
      </w:r>
      <w:r w:rsidR="00BD45B3" w:rsidRPr="00E477AE">
        <w:rPr>
          <w:rFonts w:ascii="Times New Roman" w:hAnsi="Times New Roman" w:cs="Times New Roman"/>
        </w:rPr>
        <w:t xml:space="preserve"> above</w:t>
      </w:r>
      <w:r w:rsidR="00F00CEC" w:rsidRPr="00E477AE">
        <w:rPr>
          <w:rFonts w:ascii="Times New Roman" w:hAnsi="Times New Roman" w:cs="Times New Roman"/>
        </w:rPr>
        <w:t>.</w:t>
      </w:r>
      <w:r w:rsidR="00BD45B3" w:rsidRPr="00E477AE">
        <w:rPr>
          <w:rFonts w:ascii="Times New Roman" w:hAnsi="Times New Roman" w:cs="Times New Roman"/>
        </w:rPr>
        <w:t xml:space="preserve"> T</w:t>
      </w:r>
      <w:r w:rsidR="005C39BA" w:rsidRPr="00E477AE">
        <w:rPr>
          <w:rFonts w:ascii="Times New Roman" w:hAnsi="Times New Roman" w:cs="Times New Roman"/>
        </w:rPr>
        <w:t>he primary</w:t>
      </w:r>
      <w:r w:rsidR="00F024FC">
        <w:rPr>
          <w:rFonts w:ascii="Times New Roman" w:hAnsi="Times New Roman" w:cs="Times New Roman"/>
        </w:rPr>
        <w:t xml:space="preserve"> feature of the</w:t>
      </w:r>
      <w:r w:rsidR="005C39BA" w:rsidRPr="00E477AE">
        <w:rPr>
          <w:rFonts w:ascii="Times New Roman" w:hAnsi="Times New Roman" w:cs="Times New Roman"/>
        </w:rPr>
        <w:t xml:space="preserve"> transaction in </w:t>
      </w:r>
      <w:r w:rsidR="005C39BA" w:rsidRPr="00E477AE">
        <w:rPr>
          <w:rFonts w:ascii="Times New Roman" w:hAnsi="Times New Roman" w:cs="Times New Roman"/>
          <w:i/>
        </w:rPr>
        <w:t>Tinsley</w:t>
      </w:r>
      <w:r w:rsidR="00C54864" w:rsidRPr="00E477AE">
        <w:rPr>
          <w:rFonts w:ascii="Times New Roman" w:hAnsi="Times New Roman" w:cs="Times New Roman"/>
        </w:rPr>
        <w:t xml:space="preserve"> was clearly the</w:t>
      </w:r>
      <w:r w:rsidR="005C39BA" w:rsidRPr="00E477AE">
        <w:rPr>
          <w:rFonts w:ascii="Times New Roman" w:hAnsi="Times New Roman" w:cs="Times New Roman"/>
        </w:rPr>
        <w:t xml:space="preserve"> contribution to</w:t>
      </w:r>
      <w:r w:rsidR="00912C95" w:rsidRPr="00E477AE">
        <w:rPr>
          <w:rFonts w:ascii="Times New Roman" w:hAnsi="Times New Roman" w:cs="Times New Roman"/>
        </w:rPr>
        <w:t xml:space="preserve"> the</w:t>
      </w:r>
      <w:r w:rsidR="005C39BA" w:rsidRPr="00E477AE">
        <w:rPr>
          <w:rFonts w:ascii="Times New Roman" w:hAnsi="Times New Roman" w:cs="Times New Roman"/>
        </w:rPr>
        <w:t xml:space="preserve"> purchase</w:t>
      </w:r>
      <w:r w:rsidR="00912C95" w:rsidRPr="00E477AE">
        <w:rPr>
          <w:rFonts w:ascii="Times New Roman" w:hAnsi="Times New Roman" w:cs="Times New Roman"/>
        </w:rPr>
        <w:t xml:space="preserve"> price</w:t>
      </w:r>
      <w:r w:rsidR="00BD45B3" w:rsidRPr="00E477AE">
        <w:rPr>
          <w:rFonts w:ascii="Times New Roman" w:hAnsi="Times New Roman" w:cs="Times New Roman"/>
        </w:rPr>
        <w:t xml:space="preserve"> of the property; this effectively created a resulting trust</w:t>
      </w:r>
      <w:r w:rsidR="005C39BA" w:rsidRPr="00E477AE">
        <w:rPr>
          <w:rFonts w:ascii="Times New Roman" w:hAnsi="Times New Roman" w:cs="Times New Roman"/>
        </w:rPr>
        <w:t xml:space="preserve"> in favour of both women.</w:t>
      </w:r>
      <w:r w:rsidR="00BD45B3" w:rsidRPr="00E477AE">
        <w:rPr>
          <w:rFonts w:ascii="Times New Roman" w:hAnsi="Times New Roman" w:cs="Times New Roman"/>
        </w:rPr>
        <w:t xml:space="preserve"> </w:t>
      </w:r>
      <w:r w:rsidR="00C54864" w:rsidRPr="00E477AE">
        <w:rPr>
          <w:rFonts w:ascii="Times New Roman" w:hAnsi="Times New Roman" w:cs="Times New Roman"/>
        </w:rPr>
        <w:t xml:space="preserve">Thus, </w:t>
      </w:r>
      <w:r w:rsidR="00BD45B3" w:rsidRPr="00E477AE">
        <w:rPr>
          <w:rFonts w:ascii="Times New Roman" w:hAnsi="Times New Roman" w:cs="Times New Roman"/>
        </w:rPr>
        <w:t>the</w:t>
      </w:r>
      <w:r w:rsidR="00C54864" w:rsidRPr="00E477AE">
        <w:rPr>
          <w:rFonts w:ascii="Times New Roman" w:hAnsi="Times New Roman" w:cs="Times New Roman"/>
        </w:rPr>
        <w:t xml:space="preserve"> majority of the House of Lords justifiably enforced the</w:t>
      </w:r>
      <w:r w:rsidR="00BD45B3" w:rsidRPr="00E477AE">
        <w:rPr>
          <w:rFonts w:ascii="Times New Roman" w:hAnsi="Times New Roman" w:cs="Times New Roman"/>
        </w:rPr>
        <w:t xml:space="preserve"> trust</w:t>
      </w:r>
      <w:r w:rsidR="00C54864" w:rsidRPr="00E477AE">
        <w:rPr>
          <w:rFonts w:ascii="Times New Roman" w:hAnsi="Times New Roman" w:cs="Times New Roman"/>
        </w:rPr>
        <w:t xml:space="preserve">, </w:t>
      </w:r>
      <w:r w:rsidR="00BD45B3" w:rsidRPr="00E477AE">
        <w:rPr>
          <w:rFonts w:ascii="Times New Roman" w:hAnsi="Times New Roman" w:cs="Times New Roman"/>
        </w:rPr>
        <w:t>notwithstanding that it had an unlawful ulterior purpose.</w:t>
      </w:r>
      <w:r w:rsidR="00536FED">
        <w:rPr>
          <w:rStyle w:val="FootnoteReference"/>
          <w:rFonts w:ascii="Times New Roman" w:hAnsi="Times New Roman" w:cs="Times New Roman"/>
        </w:rPr>
        <w:footnoteReference w:id="45"/>
      </w:r>
      <w:r w:rsidR="005C39BA" w:rsidRPr="00E477AE">
        <w:rPr>
          <w:rFonts w:ascii="Times New Roman" w:hAnsi="Times New Roman" w:cs="Times New Roman"/>
        </w:rPr>
        <w:t xml:space="preserve"> </w:t>
      </w:r>
      <w:r w:rsidR="0004674B" w:rsidRPr="00E477AE">
        <w:rPr>
          <w:rFonts w:ascii="Times New Roman" w:hAnsi="Times New Roman" w:cs="Times New Roman"/>
        </w:rPr>
        <w:t xml:space="preserve">Put differently, </w:t>
      </w:r>
      <w:r w:rsidR="005C39BA" w:rsidRPr="00E477AE">
        <w:rPr>
          <w:rFonts w:ascii="Times New Roman" w:hAnsi="Times New Roman" w:cs="Times New Roman"/>
        </w:rPr>
        <w:t xml:space="preserve">the illegal purpose in </w:t>
      </w:r>
      <w:r w:rsidR="005C39BA" w:rsidRPr="00E477AE">
        <w:rPr>
          <w:rFonts w:ascii="Times New Roman" w:hAnsi="Times New Roman" w:cs="Times New Roman"/>
          <w:i/>
        </w:rPr>
        <w:t>Tinsley</w:t>
      </w:r>
      <w:r w:rsidR="00291638" w:rsidRPr="00E477AE">
        <w:rPr>
          <w:rFonts w:ascii="Times New Roman" w:hAnsi="Times New Roman" w:cs="Times New Roman"/>
        </w:rPr>
        <w:t xml:space="preserve"> was not a</w:t>
      </w:r>
      <w:r w:rsidR="0004674B" w:rsidRPr="00E477AE">
        <w:rPr>
          <w:rFonts w:ascii="Times New Roman" w:hAnsi="Times New Roman" w:cs="Times New Roman"/>
        </w:rPr>
        <w:t xml:space="preserve"> critical</w:t>
      </w:r>
      <w:r w:rsidR="00315D47">
        <w:rPr>
          <w:rFonts w:ascii="Times New Roman" w:hAnsi="Times New Roman" w:cs="Times New Roman"/>
        </w:rPr>
        <w:t xml:space="preserve"> or primary feature of the</w:t>
      </w:r>
      <w:r w:rsidR="00291638" w:rsidRPr="00E477AE">
        <w:rPr>
          <w:rFonts w:ascii="Times New Roman" w:hAnsi="Times New Roman" w:cs="Times New Roman"/>
        </w:rPr>
        <w:t xml:space="preserve"> </w:t>
      </w:r>
      <w:r w:rsidR="005C39BA" w:rsidRPr="00E477AE">
        <w:rPr>
          <w:rFonts w:ascii="Times New Roman" w:hAnsi="Times New Roman" w:cs="Times New Roman"/>
        </w:rPr>
        <w:t>transaction</w:t>
      </w:r>
      <w:r w:rsidR="00C54864" w:rsidRPr="00E477AE">
        <w:rPr>
          <w:rFonts w:ascii="Times New Roman" w:hAnsi="Times New Roman" w:cs="Times New Roman"/>
        </w:rPr>
        <w:t xml:space="preserve"> in that</w:t>
      </w:r>
      <w:r w:rsidR="0004674B" w:rsidRPr="00E477AE">
        <w:rPr>
          <w:rFonts w:ascii="Times New Roman" w:hAnsi="Times New Roman" w:cs="Times New Roman"/>
        </w:rPr>
        <w:t xml:space="preserve"> case. </w:t>
      </w:r>
    </w:p>
    <w:p w14:paraId="3BAC751A" w14:textId="77777777" w:rsidR="008A3973" w:rsidRPr="00E477AE" w:rsidRDefault="00ED0510" w:rsidP="00521DCD">
      <w:pPr>
        <w:ind w:firstLine="720"/>
        <w:jc w:val="both"/>
        <w:rPr>
          <w:rFonts w:ascii="Times New Roman" w:hAnsi="Times New Roman" w:cs="Times New Roman"/>
        </w:rPr>
      </w:pPr>
      <w:r w:rsidRPr="00E477AE">
        <w:rPr>
          <w:rFonts w:ascii="Times New Roman" w:hAnsi="Times New Roman" w:cs="Times New Roman"/>
        </w:rPr>
        <w:t xml:space="preserve">Furthermore, in </w:t>
      </w:r>
      <w:r w:rsidRPr="00E477AE">
        <w:rPr>
          <w:rFonts w:ascii="Times New Roman" w:hAnsi="Times New Roman" w:cs="Times New Roman"/>
          <w:i/>
        </w:rPr>
        <w:t>MacDonald v Myerson</w:t>
      </w:r>
      <w:r w:rsidRPr="00E477AE">
        <w:rPr>
          <w:rFonts w:ascii="Times New Roman" w:hAnsi="Times New Roman" w:cs="Times New Roman"/>
        </w:rPr>
        <w:t>,</w:t>
      </w:r>
      <w:r w:rsidR="00AC750B" w:rsidRPr="00E477AE">
        <w:rPr>
          <w:rStyle w:val="FootnoteReference"/>
          <w:rFonts w:ascii="Times New Roman" w:hAnsi="Times New Roman" w:cs="Times New Roman"/>
        </w:rPr>
        <w:footnoteReference w:id="46"/>
      </w:r>
      <w:r w:rsidRPr="00E477AE">
        <w:rPr>
          <w:rFonts w:ascii="Times New Roman" w:hAnsi="Times New Roman" w:cs="Times New Roman"/>
        </w:rPr>
        <w:t xml:space="preserve"> the claimant instructed the defendant (a solicitor) to sell the claimant’s</w:t>
      </w:r>
      <w:r w:rsidR="00D43541" w:rsidRPr="00E477AE">
        <w:rPr>
          <w:rFonts w:ascii="Times New Roman" w:hAnsi="Times New Roman" w:cs="Times New Roman"/>
        </w:rPr>
        <w:t xml:space="preserve"> two properties; after the sale, the proceeds </w:t>
      </w:r>
      <w:r w:rsidRPr="00E477AE">
        <w:rPr>
          <w:rFonts w:ascii="Times New Roman" w:hAnsi="Times New Roman" w:cs="Times New Roman"/>
        </w:rPr>
        <w:t>were paid into the defendant’s client (trust) account. Thus, the defendant held the money in the trust account on</w:t>
      </w:r>
      <w:r w:rsidR="00D43541" w:rsidRPr="00E477AE">
        <w:rPr>
          <w:rFonts w:ascii="Times New Roman" w:hAnsi="Times New Roman" w:cs="Times New Roman"/>
        </w:rPr>
        <w:t xml:space="preserve"> (express)</w:t>
      </w:r>
      <w:r w:rsidRPr="00E477AE">
        <w:rPr>
          <w:rFonts w:ascii="Times New Roman" w:hAnsi="Times New Roman" w:cs="Times New Roman"/>
        </w:rPr>
        <w:t xml:space="preserve"> trust for the claimant</w:t>
      </w:r>
      <w:r w:rsidR="00D43541" w:rsidRPr="00E477AE">
        <w:rPr>
          <w:rFonts w:ascii="Times New Roman" w:hAnsi="Times New Roman" w:cs="Times New Roman"/>
        </w:rPr>
        <w:t>. T</w:t>
      </w:r>
      <w:r w:rsidR="00822C40" w:rsidRPr="00E477AE">
        <w:rPr>
          <w:rFonts w:ascii="Times New Roman" w:hAnsi="Times New Roman" w:cs="Times New Roman"/>
        </w:rPr>
        <w:t>he defendant</w:t>
      </w:r>
      <w:r w:rsidR="00A27069" w:rsidRPr="00E477AE">
        <w:rPr>
          <w:rFonts w:ascii="Times New Roman" w:hAnsi="Times New Roman" w:cs="Times New Roman"/>
        </w:rPr>
        <w:t xml:space="preserve"> </w:t>
      </w:r>
      <w:r w:rsidR="00822C40" w:rsidRPr="00E477AE">
        <w:rPr>
          <w:rFonts w:ascii="Times New Roman" w:hAnsi="Times New Roman" w:cs="Times New Roman"/>
        </w:rPr>
        <w:t>failed to transfer the proceeds of sale to the claimant, hence the claimant’s action seeking an order</w:t>
      </w:r>
      <w:r w:rsidR="00D43541" w:rsidRPr="00E477AE">
        <w:rPr>
          <w:rFonts w:ascii="Times New Roman" w:hAnsi="Times New Roman" w:cs="Times New Roman"/>
        </w:rPr>
        <w:t xml:space="preserve"> for account of the proceeds of sale</w:t>
      </w:r>
      <w:r w:rsidR="008A3973" w:rsidRPr="00E477AE">
        <w:rPr>
          <w:rFonts w:ascii="Times New Roman" w:hAnsi="Times New Roman" w:cs="Times New Roman"/>
        </w:rPr>
        <w:t>,</w:t>
      </w:r>
      <w:r w:rsidR="00822C40" w:rsidRPr="00E477AE">
        <w:rPr>
          <w:rFonts w:ascii="Times New Roman" w:hAnsi="Times New Roman" w:cs="Times New Roman"/>
        </w:rPr>
        <w:t xml:space="preserve"> and</w:t>
      </w:r>
      <w:r w:rsidR="00D43541" w:rsidRPr="00E477AE">
        <w:rPr>
          <w:rFonts w:ascii="Times New Roman" w:hAnsi="Times New Roman" w:cs="Times New Roman"/>
        </w:rPr>
        <w:t xml:space="preserve"> payment to him of the ascertained net proceeds.</w:t>
      </w:r>
      <w:r w:rsidR="00822C40" w:rsidRPr="00E477AE">
        <w:rPr>
          <w:rFonts w:ascii="Times New Roman" w:hAnsi="Times New Roman" w:cs="Times New Roman"/>
        </w:rPr>
        <w:t xml:space="preserve"> The defendant argued that the claimant was not entitled to the court’s assistance, b</w:t>
      </w:r>
      <w:r w:rsidR="00D43541" w:rsidRPr="00E477AE">
        <w:rPr>
          <w:rFonts w:ascii="Times New Roman" w:hAnsi="Times New Roman" w:cs="Times New Roman"/>
        </w:rPr>
        <w:t>ecause the claimant had acquired</w:t>
      </w:r>
      <w:r w:rsidR="00822C40" w:rsidRPr="00E477AE">
        <w:rPr>
          <w:rFonts w:ascii="Times New Roman" w:hAnsi="Times New Roman" w:cs="Times New Roman"/>
        </w:rPr>
        <w:t xml:space="preserve"> ownership of the</w:t>
      </w:r>
      <w:r w:rsidR="00D43541" w:rsidRPr="00E477AE">
        <w:rPr>
          <w:rFonts w:ascii="Times New Roman" w:hAnsi="Times New Roman" w:cs="Times New Roman"/>
        </w:rPr>
        <w:t xml:space="preserve"> two properties in question through</w:t>
      </w:r>
      <w:r w:rsidR="00822C40" w:rsidRPr="00E477AE">
        <w:rPr>
          <w:rFonts w:ascii="Times New Roman" w:hAnsi="Times New Roman" w:cs="Times New Roman"/>
        </w:rPr>
        <w:t xml:space="preserve"> fraudulent mortgage application</w:t>
      </w:r>
      <w:r w:rsidR="00D43541" w:rsidRPr="00E477AE">
        <w:rPr>
          <w:rFonts w:ascii="Times New Roman" w:hAnsi="Times New Roman" w:cs="Times New Roman"/>
        </w:rPr>
        <w:t>s</w:t>
      </w:r>
      <w:r w:rsidR="00822C40" w:rsidRPr="00E477AE">
        <w:rPr>
          <w:rFonts w:ascii="Times New Roman" w:hAnsi="Times New Roman" w:cs="Times New Roman"/>
        </w:rPr>
        <w:t>.</w:t>
      </w:r>
      <w:r w:rsidRPr="00E477AE">
        <w:rPr>
          <w:rFonts w:ascii="Times New Roman" w:hAnsi="Times New Roman" w:cs="Times New Roman"/>
        </w:rPr>
        <w:t xml:space="preserve"> </w:t>
      </w:r>
      <w:r w:rsidR="005827A7" w:rsidRPr="00E477AE">
        <w:rPr>
          <w:rFonts w:ascii="Times New Roman" w:hAnsi="Times New Roman" w:cs="Times New Roman"/>
        </w:rPr>
        <w:t>Earlier, the claimant had pleaded guilty to various charges relating to obtaining mortgages by deception, including</w:t>
      </w:r>
      <w:r w:rsidR="009E2D25" w:rsidRPr="00E477AE">
        <w:rPr>
          <w:rFonts w:ascii="Times New Roman" w:hAnsi="Times New Roman" w:cs="Times New Roman"/>
        </w:rPr>
        <w:t xml:space="preserve"> the mortgages on the two proper</w:t>
      </w:r>
      <w:r w:rsidR="008A3973" w:rsidRPr="00E477AE">
        <w:rPr>
          <w:rFonts w:ascii="Times New Roman" w:hAnsi="Times New Roman" w:cs="Times New Roman"/>
        </w:rPr>
        <w:t>ties in question. A</w:t>
      </w:r>
      <w:r w:rsidR="009E2D25" w:rsidRPr="00E477AE">
        <w:rPr>
          <w:rFonts w:ascii="Times New Roman" w:hAnsi="Times New Roman" w:cs="Times New Roman"/>
        </w:rPr>
        <w:t>ccordingly, the claimant was sen</w:t>
      </w:r>
      <w:r w:rsidR="00BF6EBE" w:rsidRPr="00E477AE">
        <w:rPr>
          <w:rFonts w:ascii="Times New Roman" w:hAnsi="Times New Roman" w:cs="Times New Roman"/>
        </w:rPr>
        <w:t xml:space="preserve">tenced to 18 months imprisonment, but no confiscation order was made. </w:t>
      </w:r>
    </w:p>
    <w:p w14:paraId="68241707" w14:textId="41B784A4" w:rsidR="00CC1A2D" w:rsidRPr="00E477AE" w:rsidRDefault="00BF6EBE" w:rsidP="00521DCD">
      <w:pPr>
        <w:ind w:firstLine="720"/>
        <w:jc w:val="both"/>
        <w:rPr>
          <w:rFonts w:ascii="Times New Roman" w:hAnsi="Times New Roman" w:cs="Times New Roman"/>
        </w:rPr>
      </w:pPr>
      <w:r w:rsidRPr="00E477AE">
        <w:rPr>
          <w:rFonts w:ascii="Times New Roman" w:hAnsi="Times New Roman" w:cs="Times New Roman"/>
        </w:rPr>
        <w:t>The Court of Appeal upheld the claimant’s claim on the ground that he was the owner of the two properties (despite the illegality involved in their acquisition)</w:t>
      </w:r>
      <w:r w:rsidR="008A3973" w:rsidRPr="00E477AE">
        <w:rPr>
          <w:rFonts w:ascii="Times New Roman" w:hAnsi="Times New Roman" w:cs="Times New Roman"/>
        </w:rPr>
        <w:t>, and was</w:t>
      </w:r>
      <w:r w:rsidRPr="00E477AE">
        <w:rPr>
          <w:rFonts w:ascii="Times New Roman" w:hAnsi="Times New Roman" w:cs="Times New Roman"/>
        </w:rPr>
        <w:t xml:space="preserve"> therefore, entitled to the net proceeds of their sale.</w:t>
      </w:r>
      <w:r w:rsidR="0082409B" w:rsidRPr="00E477AE">
        <w:rPr>
          <w:rFonts w:ascii="Times New Roman" w:hAnsi="Times New Roman" w:cs="Times New Roman"/>
        </w:rPr>
        <w:t xml:space="preserve"> On the spec</w:t>
      </w:r>
      <w:r w:rsidR="004C3084" w:rsidRPr="00E477AE">
        <w:rPr>
          <w:rFonts w:ascii="Times New Roman" w:hAnsi="Times New Roman" w:cs="Times New Roman"/>
        </w:rPr>
        <w:t xml:space="preserve">ific issue of illegality alleged by the defendant, the Court of Appeal, following </w:t>
      </w:r>
      <w:r w:rsidR="004C3084" w:rsidRPr="00E477AE">
        <w:rPr>
          <w:rFonts w:ascii="Times New Roman" w:hAnsi="Times New Roman" w:cs="Times New Roman"/>
          <w:i/>
        </w:rPr>
        <w:t>Tinsley’s</w:t>
      </w:r>
      <w:r w:rsidR="004C3084" w:rsidRPr="00E477AE">
        <w:rPr>
          <w:rFonts w:ascii="Times New Roman" w:hAnsi="Times New Roman" w:cs="Times New Roman"/>
        </w:rPr>
        <w:t xml:space="preserve"> reliance</w:t>
      </w:r>
      <w:r w:rsidR="00741A29" w:rsidRPr="00E477AE">
        <w:rPr>
          <w:rFonts w:ascii="Times New Roman" w:hAnsi="Times New Roman" w:cs="Times New Roman"/>
        </w:rPr>
        <w:t xml:space="preserve"> principle, held that</w:t>
      </w:r>
      <w:r w:rsidR="004C3084" w:rsidRPr="00E477AE">
        <w:rPr>
          <w:rFonts w:ascii="Times New Roman" w:hAnsi="Times New Roman" w:cs="Times New Roman"/>
        </w:rPr>
        <w:t xml:space="preserve"> the claimant</w:t>
      </w:r>
      <w:r w:rsidR="008A3973" w:rsidRPr="00E477AE">
        <w:rPr>
          <w:rFonts w:ascii="Times New Roman" w:hAnsi="Times New Roman" w:cs="Times New Roman"/>
        </w:rPr>
        <w:t xml:space="preserve"> (being owner</w:t>
      </w:r>
      <w:r w:rsidR="00741A29" w:rsidRPr="00E477AE">
        <w:rPr>
          <w:rFonts w:ascii="Times New Roman" w:hAnsi="Times New Roman" w:cs="Times New Roman"/>
        </w:rPr>
        <w:t xml:space="preserve"> of the two properties)</w:t>
      </w:r>
      <w:r w:rsidR="004C3084" w:rsidRPr="00E477AE">
        <w:rPr>
          <w:rFonts w:ascii="Times New Roman" w:hAnsi="Times New Roman" w:cs="Times New Roman"/>
        </w:rPr>
        <w:t xml:space="preserve"> relied on his proprietary</w:t>
      </w:r>
      <w:r w:rsidR="00741A29" w:rsidRPr="00E477AE">
        <w:rPr>
          <w:rFonts w:ascii="Times New Roman" w:hAnsi="Times New Roman" w:cs="Times New Roman"/>
        </w:rPr>
        <w:t xml:space="preserve"> interest in the proceeds of sale</w:t>
      </w:r>
      <w:r w:rsidR="004C3084" w:rsidRPr="00E477AE">
        <w:rPr>
          <w:rFonts w:ascii="Times New Roman" w:hAnsi="Times New Roman" w:cs="Times New Roman"/>
        </w:rPr>
        <w:t>, rather</w:t>
      </w:r>
      <w:r w:rsidR="00741A29" w:rsidRPr="00E477AE">
        <w:rPr>
          <w:rFonts w:ascii="Times New Roman" w:hAnsi="Times New Roman" w:cs="Times New Roman"/>
        </w:rPr>
        <w:t xml:space="preserve"> than on the illegal transactions underpinning the acquisition of the</w:t>
      </w:r>
      <w:r w:rsidR="006B600E" w:rsidRPr="00E477AE">
        <w:rPr>
          <w:rFonts w:ascii="Times New Roman" w:hAnsi="Times New Roman" w:cs="Times New Roman"/>
        </w:rPr>
        <w:t xml:space="preserve"> two properties.</w:t>
      </w:r>
      <w:r w:rsidR="00B75479" w:rsidRPr="00E477AE">
        <w:rPr>
          <w:rStyle w:val="FootnoteReference"/>
          <w:rFonts w:ascii="Times New Roman" w:hAnsi="Times New Roman" w:cs="Times New Roman"/>
        </w:rPr>
        <w:footnoteReference w:id="47"/>
      </w:r>
      <w:r w:rsidR="006B600E" w:rsidRPr="00E477AE">
        <w:rPr>
          <w:rFonts w:ascii="Times New Roman" w:hAnsi="Times New Roman" w:cs="Times New Roman"/>
        </w:rPr>
        <w:t xml:space="preserve"> </w:t>
      </w:r>
      <w:r w:rsidR="008A3973" w:rsidRPr="00E477AE">
        <w:rPr>
          <w:rFonts w:ascii="Times New Roman" w:hAnsi="Times New Roman" w:cs="Times New Roman"/>
        </w:rPr>
        <w:t xml:space="preserve">Surely, </w:t>
      </w:r>
      <w:r w:rsidR="006B600E" w:rsidRPr="00E477AE">
        <w:rPr>
          <w:rFonts w:ascii="Times New Roman" w:hAnsi="Times New Roman" w:cs="Times New Roman"/>
          <w:i/>
        </w:rPr>
        <w:t>MacDonald</w:t>
      </w:r>
      <w:r w:rsidR="006B600E" w:rsidRPr="00E477AE">
        <w:rPr>
          <w:rFonts w:ascii="Times New Roman" w:hAnsi="Times New Roman" w:cs="Times New Roman"/>
        </w:rPr>
        <w:t xml:space="preserve"> could </w:t>
      </w:r>
      <w:r w:rsidR="008A3973" w:rsidRPr="00E477AE">
        <w:rPr>
          <w:rFonts w:ascii="Times New Roman" w:hAnsi="Times New Roman" w:cs="Times New Roman"/>
        </w:rPr>
        <w:t xml:space="preserve">also </w:t>
      </w:r>
      <w:r w:rsidR="006B600E" w:rsidRPr="00E477AE">
        <w:rPr>
          <w:rFonts w:ascii="Times New Roman" w:hAnsi="Times New Roman" w:cs="Times New Roman"/>
        </w:rPr>
        <w:t>be explained on the simple ground that the primary</w:t>
      </w:r>
      <w:r w:rsidR="004C7A3B">
        <w:rPr>
          <w:rFonts w:ascii="Times New Roman" w:hAnsi="Times New Roman" w:cs="Times New Roman"/>
        </w:rPr>
        <w:t xml:space="preserve"> features of the</w:t>
      </w:r>
      <w:r w:rsidR="006B600E" w:rsidRPr="00E477AE">
        <w:rPr>
          <w:rFonts w:ascii="Times New Roman" w:hAnsi="Times New Roman" w:cs="Times New Roman"/>
        </w:rPr>
        <w:t xml:space="preserve"> transaction</w:t>
      </w:r>
      <w:r w:rsidR="008A3973" w:rsidRPr="00E477AE">
        <w:rPr>
          <w:rFonts w:ascii="Times New Roman" w:hAnsi="Times New Roman" w:cs="Times New Roman"/>
        </w:rPr>
        <w:t xml:space="preserve"> therein, that is, </w:t>
      </w:r>
      <w:r w:rsidR="00CD19E5" w:rsidRPr="00E477AE">
        <w:rPr>
          <w:rFonts w:ascii="Times New Roman" w:hAnsi="Times New Roman" w:cs="Times New Roman"/>
        </w:rPr>
        <w:t xml:space="preserve">the </w:t>
      </w:r>
      <w:r w:rsidR="006B600E" w:rsidRPr="00E477AE">
        <w:rPr>
          <w:rFonts w:ascii="Times New Roman" w:hAnsi="Times New Roman" w:cs="Times New Roman"/>
        </w:rPr>
        <w:t xml:space="preserve">instruction to sell the two properties and payment of the proceeds into the client </w:t>
      </w:r>
      <w:r w:rsidR="00CD19E5" w:rsidRPr="00E477AE">
        <w:rPr>
          <w:rFonts w:ascii="Times New Roman" w:hAnsi="Times New Roman" w:cs="Times New Roman"/>
        </w:rPr>
        <w:t>trust-</w:t>
      </w:r>
      <w:r w:rsidR="008A3973" w:rsidRPr="00E477AE">
        <w:rPr>
          <w:rFonts w:ascii="Times New Roman" w:hAnsi="Times New Roman" w:cs="Times New Roman"/>
        </w:rPr>
        <w:t>account,</w:t>
      </w:r>
      <w:r w:rsidR="006B600E" w:rsidRPr="00E477AE">
        <w:rPr>
          <w:rFonts w:ascii="Times New Roman" w:hAnsi="Times New Roman" w:cs="Times New Roman"/>
        </w:rPr>
        <w:t xml:space="preserve"> created an express </w:t>
      </w:r>
      <w:r w:rsidR="008A3973" w:rsidRPr="00E477AE">
        <w:rPr>
          <w:rFonts w:ascii="Times New Roman" w:hAnsi="Times New Roman" w:cs="Times New Roman"/>
        </w:rPr>
        <w:t>trust in favour of the claimant. Thus, the</w:t>
      </w:r>
      <w:r w:rsidR="006B600E" w:rsidRPr="00E477AE">
        <w:rPr>
          <w:rFonts w:ascii="Times New Roman" w:hAnsi="Times New Roman" w:cs="Times New Roman"/>
        </w:rPr>
        <w:t xml:space="preserve"> trust was rightly enforced notwithstanding</w:t>
      </w:r>
      <w:r w:rsidR="004C7A3B">
        <w:rPr>
          <w:rFonts w:ascii="Times New Roman" w:hAnsi="Times New Roman" w:cs="Times New Roman"/>
        </w:rPr>
        <w:t xml:space="preserve"> the illegality involved in the original acquisition of the two properties.</w:t>
      </w:r>
      <w:r w:rsidR="00C82EA9" w:rsidRPr="00E477AE">
        <w:rPr>
          <w:rFonts w:ascii="Times New Roman" w:hAnsi="Times New Roman" w:cs="Times New Roman"/>
        </w:rPr>
        <w:t xml:space="preserve">  </w:t>
      </w:r>
    </w:p>
    <w:p w14:paraId="2C0D7564" w14:textId="0F898931" w:rsidR="00320FC3" w:rsidRPr="00E477AE" w:rsidRDefault="00CC1A2D" w:rsidP="00521DCD">
      <w:pPr>
        <w:ind w:firstLine="720"/>
        <w:jc w:val="both"/>
        <w:rPr>
          <w:rFonts w:ascii="Times New Roman" w:hAnsi="Times New Roman" w:cs="Times New Roman"/>
        </w:rPr>
      </w:pPr>
      <w:r w:rsidRPr="00E477AE">
        <w:rPr>
          <w:rFonts w:ascii="Times New Roman" w:hAnsi="Times New Roman" w:cs="Times New Roman"/>
          <w:i/>
        </w:rPr>
        <w:t>Patel</w:t>
      </w:r>
      <w:r w:rsidR="00C84330" w:rsidRPr="00E477AE">
        <w:rPr>
          <w:rFonts w:ascii="Times New Roman" w:hAnsi="Times New Roman" w:cs="Times New Roman"/>
        </w:rPr>
        <w:t xml:space="preserve"> is the most recent case relevant to the topic. There,</w:t>
      </w:r>
      <w:r w:rsidRPr="00E477AE">
        <w:rPr>
          <w:rFonts w:ascii="Times New Roman" w:hAnsi="Times New Roman" w:cs="Times New Roman"/>
        </w:rPr>
        <w:t xml:space="preserve"> the claimant transferred </w:t>
      </w:r>
      <w:r w:rsidR="0043445B" w:rsidRPr="00E477AE">
        <w:rPr>
          <w:rFonts w:ascii="Times New Roman" w:hAnsi="Times New Roman" w:cs="Times New Roman"/>
        </w:rPr>
        <w:t xml:space="preserve">£620,000 </w:t>
      </w:r>
      <w:r w:rsidR="00C84330" w:rsidRPr="00E477AE">
        <w:rPr>
          <w:rFonts w:ascii="Times New Roman" w:hAnsi="Times New Roman" w:cs="Times New Roman"/>
        </w:rPr>
        <w:t xml:space="preserve">to the defendant. The purpose of the transfer was for </w:t>
      </w:r>
      <w:r w:rsidRPr="00E477AE">
        <w:rPr>
          <w:rFonts w:ascii="Times New Roman" w:hAnsi="Times New Roman" w:cs="Times New Roman"/>
        </w:rPr>
        <w:t>the defendant</w:t>
      </w:r>
      <w:r w:rsidR="00C84330" w:rsidRPr="00E477AE">
        <w:rPr>
          <w:rFonts w:ascii="Times New Roman" w:hAnsi="Times New Roman" w:cs="Times New Roman"/>
        </w:rPr>
        <w:t xml:space="preserve"> to use the money to</w:t>
      </w:r>
      <w:r w:rsidR="00FE3560" w:rsidRPr="00E477AE">
        <w:rPr>
          <w:rFonts w:ascii="Times New Roman" w:hAnsi="Times New Roman" w:cs="Times New Roman"/>
        </w:rPr>
        <w:t xml:space="preserve"> bet</w:t>
      </w:r>
      <w:r w:rsidRPr="00E477AE">
        <w:rPr>
          <w:rFonts w:ascii="Times New Roman" w:hAnsi="Times New Roman" w:cs="Times New Roman"/>
        </w:rPr>
        <w:t xml:space="preserve"> on</w:t>
      </w:r>
      <w:r w:rsidR="00C84330" w:rsidRPr="00E477AE">
        <w:rPr>
          <w:rFonts w:ascii="Times New Roman" w:hAnsi="Times New Roman" w:cs="Times New Roman"/>
        </w:rPr>
        <w:t xml:space="preserve"> the</w:t>
      </w:r>
      <w:r w:rsidR="00FE3560" w:rsidRPr="00E477AE">
        <w:rPr>
          <w:rFonts w:ascii="Times New Roman" w:hAnsi="Times New Roman" w:cs="Times New Roman"/>
        </w:rPr>
        <w:t xml:space="preserve"> price of</w:t>
      </w:r>
      <w:r w:rsidR="00C84330" w:rsidRPr="00E477AE">
        <w:rPr>
          <w:rFonts w:ascii="Times New Roman" w:hAnsi="Times New Roman" w:cs="Times New Roman"/>
        </w:rPr>
        <w:t xml:space="preserve"> shares of the</w:t>
      </w:r>
      <w:r w:rsidRPr="00E477AE">
        <w:rPr>
          <w:rFonts w:ascii="Times New Roman" w:hAnsi="Times New Roman" w:cs="Times New Roman"/>
        </w:rPr>
        <w:t xml:space="preserve"> Royal Bank</w:t>
      </w:r>
      <w:r w:rsidR="00C84330" w:rsidRPr="00E477AE">
        <w:rPr>
          <w:rFonts w:ascii="Times New Roman" w:hAnsi="Times New Roman" w:cs="Times New Roman"/>
        </w:rPr>
        <w:t xml:space="preserve"> of Scotland based</w:t>
      </w:r>
      <w:r w:rsidR="009D0A6C" w:rsidRPr="00E477AE">
        <w:rPr>
          <w:rFonts w:ascii="Times New Roman" w:hAnsi="Times New Roman" w:cs="Times New Roman"/>
        </w:rPr>
        <w:t xml:space="preserve"> on</w:t>
      </w:r>
      <w:r w:rsidR="00C84330" w:rsidRPr="00E477AE">
        <w:rPr>
          <w:rFonts w:ascii="Times New Roman" w:hAnsi="Times New Roman" w:cs="Times New Roman"/>
        </w:rPr>
        <w:t xml:space="preserve"> some</w:t>
      </w:r>
      <w:r w:rsidR="00FE3560" w:rsidRPr="00E477AE">
        <w:rPr>
          <w:rFonts w:ascii="Times New Roman" w:hAnsi="Times New Roman" w:cs="Times New Roman"/>
        </w:rPr>
        <w:t xml:space="preserve"> advance</w:t>
      </w:r>
      <w:r w:rsidR="00C84330" w:rsidRPr="00E477AE">
        <w:rPr>
          <w:rFonts w:ascii="Times New Roman" w:hAnsi="Times New Roman" w:cs="Times New Roman"/>
        </w:rPr>
        <w:t xml:space="preserve"> insider</w:t>
      </w:r>
      <w:r w:rsidR="00935E94" w:rsidRPr="00E477AE">
        <w:rPr>
          <w:rFonts w:ascii="Times New Roman" w:hAnsi="Times New Roman" w:cs="Times New Roman"/>
        </w:rPr>
        <w:t xml:space="preserve"> information</w:t>
      </w:r>
      <w:r w:rsidR="00C84330" w:rsidRPr="00E477AE">
        <w:rPr>
          <w:rFonts w:ascii="Times New Roman" w:hAnsi="Times New Roman" w:cs="Times New Roman"/>
        </w:rPr>
        <w:t xml:space="preserve"> anticipated by the defendant.</w:t>
      </w:r>
      <w:r w:rsidR="00935E94" w:rsidRPr="00E477AE">
        <w:rPr>
          <w:rFonts w:ascii="Times New Roman" w:hAnsi="Times New Roman" w:cs="Times New Roman"/>
        </w:rPr>
        <w:t xml:space="preserve"> </w:t>
      </w:r>
      <w:r w:rsidR="002A1BB0" w:rsidRPr="00E477AE">
        <w:rPr>
          <w:rFonts w:ascii="Times New Roman" w:hAnsi="Times New Roman" w:cs="Times New Roman"/>
        </w:rPr>
        <w:t>The anticipated information did not materialize and</w:t>
      </w:r>
      <w:r w:rsidR="00935E94" w:rsidRPr="00E477AE">
        <w:rPr>
          <w:rFonts w:ascii="Times New Roman" w:hAnsi="Times New Roman" w:cs="Times New Roman"/>
        </w:rPr>
        <w:t xml:space="preserve"> the contract</w:t>
      </w:r>
      <w:r w:rsidR="002A1BB0" w:rsidRPr="00E477AE">
        <w:rPr>
          <w:rFonts w:ascii="Times New Roman" w:hAnsi="Times New Roman" w:cs="Times New Roman"/>
        </w:rPr>
        <w:t xml:space="preserve"> was not executed. The defendant, however, refused to return</w:t>
      </w:r>
      <w:r w:rsidR="007B27EB" w:rsidRPr="00E477AE">
        <w:rPr>
          <w:rFonts w:ascii="Times New Roman" w:hAnsi="Times New Roman" w:cs="Times New Roman"/>
        </w:rPr>
        <w:t xml:space="preserve"> the</w:t>
      </w:r>
      <w:r w:rsidR="002A1BB0" w:rsidRPr="00E477AE">
        <w:rPr>
          <w:rFonts w:ascii="Times New Roman" w:hAnsi="Times New Roman" w:cs="Times New Roman"/>
        </w:rPr>
        <w:t xml:space="preserve"> claimant’s money. In ans</w:t>
      </w:r>
      <w:r w:rsidR="00F233AD" w:rsidRPr="00E477AE">
        <w:rPr>
          <w:rFonts w:ascii="Times New Roman" w:hAnsi="Times New Roman" w:cs="Times New Roman"/>
        </w:rPr>
        <w:t>wer to the claimant’s action for</w:t>
      </w:r>
      <w:r w:rsidR="0043445B" w:rsidRPr="00E477AE">
        <w:rPr>
          <w:rFonts w:ascii="Times New Roman" w:hAnsi="Times New Roman" w:cs="Times New Roman"/>
        </w:rPr>
        <w:t xml:space="preserve"> unjust enrichment (and in contract)</w:t>
      </w:r>
      <w:r w:rsidR="002A1BB0" w:rsidRPr="00E477AE">
        <w:rPr>
          <w:rFonts w:ascii="Times New Roman" w:hAnsi="Times New Roman" w:cs="Times New Roman"/>
        </w:rPr>
        <w:t>, the defendant argued that the contract amounted to a criminal offence</w:t>
      </w:r>
      <w:r w:rsidR="007054FE">
        <w:rPr>
          <w:rFonts w:ascii="Times New Roman" w:hAnsi="Times New Roman" w:cs="Times New Roman"/>
        </w:rPr>
        <w:t xml:space="preserve"> involving a conspiracy to commit an offence</w:t>
      </w:r>
      <w:r w:rsidR="002A1BB0" w:rsidRPr="00E477AE">
        <w:rPr>
          <w:rFonts w:ascii="Times New Roman" w:hAnsi="Times New Roman" w:cs="Times New Roman"/>
        </w:rPr>
        <w:t xml:space="preserve"> under s.52 of the Criminal Justice Act 1993</w:t>
      </w:r>
      <w:r w:rsidR="00DC2A79" w:rsidRPr="00E477AE">
        <w:rPr>
          <w:rFonts w:ascii="Times New Roman" w:hAnsi="Times New Roman" w:cs="Times New Roman"/>
        </w:rPr>
        <w:t>, and was therefore,</w:t>
      </w:r>
      <w:r w:rsidR="007B27EB" w:rsidRPr="00E477AE">
        <w:rPr>
          <w:rFonts w:ascii="Times New Roman" w:hAnsi="Times New Roman" w:cs="Times New Roman"/>
        </w:rPr>
        <w:t xml:space="preserve"> </w:t>
      </w:r>
      <w:r w:rsidR="00DC2A79" w:rsidRPr="00E477AE">
        <w:rPr>
          <w:rFonts w:ascii="Times New Roman" w:hAnsi="Times New Roman" w:cs="Times New Roman"/>
        </w:rPr>
        <w:t>un</w:t>
      </w:r>
      <w:r w:rsidR="007B27EB" w:rsidRPr="00E477AE">
        <w:rPr>
          <w:rFonts w:ascii="Times New Roman" w:hAnsi="Times New Roman" w:cs="Times New Roman"/>
        </w:rPr>
        <w:t>enforceable for</w:t>
      </w:r>
      <w:r w:rsidR="0043445B" w:rsidRPr="00E477AE">
        <w:rPr>
          <w:rFonts w:ascii="Times New Roman" w:hAnsi="Times New Roman" w:cs="Times New Roman"/>
        </w:rPr>
        <w:t xml:space="preserve"> being illegal</w:t>
      </w:r>
      <w:r w:rsidR="007B27EB" w:rsidRPr="00E477AE">
        <w:rPr>
          <w:rFonts w:ascii="Times New Roman" w:hAnsi="Times New Roman" w:cs="Times New Roman"/>
        </w:rPr>
        <w:t>.</w:t>
      </w:r>
      <w:r w:rsidR="00935E94" w:rsidRPr="00E477AE">
        <w:rPr>
          <w:rFonts w:ascii="Times New Roman" w:hAnsi="Times New Roman" w:cs="Times New Roman"/>
        </w:rPr>
        <w:t xml:space="preserve"> </w:t>
      </w:r>
      <w:r w:rsidR="007B27EB" w:rsidRPr="00E477AE">
        <w:rPr>
          <w:rFonts w:ascii="Times New Roman" w:hAnsi="Times New Roman" w:cs="Times New Roman"/>
        </w:rPr>
        <w:t>There was no doubt</w:t>
      </w:r>
      <w:r w:rsidR="000B33E1" w:rsidRPr="00E477AE">
        <w:rPr>
          <w:rFonts w:ascii="Times New Roman" w:hAnsi="Times New Roman" w:cs="Times New Roman"/>
        </w:rPr>
        <w:t xml:space="preserve"> in </w:t>
      </w:r>
      <w:r w:rsidR="000B33E1" w:rsidRPr="00E477AE">
        <w:rPr>
          <w:rFonts w:ascii="Times New Roman" w:hAnsi="Times New Roman" w:cs="Times New Roman"/>
          <w:i/>
        </w:rPr>
        <w:t>Patel</w:t>
      </w:r>
      <w:r w:rsidR="007B27EB" w:rsidRPr="00E477AE">
        <w:rPr>
          <w:rFonts w:ascii="Times New Roman" w:hAnsi="Times New Roman" w:cs="Times New Roman"/>
        </w:rPr>
        <w:t xml:space="preserve"> that the claimant needed to rely on the illegal contract in order </w:t>
      </w:r>
      <w:r w:rsidR="000B33E1" w:rsidRPr="00E477AE">
        <w:rPr>
          <w:rFonts w:ascii="Times New Roman" w:hAnsi="Times New Roman" w:cs="Times New Roman"/>
        </w:rPr>
        <w:t>to prove</w:t>
      </w:r>
      <w:r w:rsidR="00D72E7D" w:rsidRPr="00E477AE">
        <w:rPr>
          <w:rFonts w:ascii="Times New Roman" w:hAnsi="Times New Roman" w:cs="Times New Roman"/>
        </w:rPr>
        <w:t xml:space="preserve"> his</w:t>
      </w:r>
      <w:r w:rsidR="001634D4" w:rsidRPr="00E477AE">
        <w:rPr>
          <w:rFonts w:ascii="Times New Roman" w:hAnsi="Times New Roman" w:cs="Times New Roman"/>
        </w:rPr>
        <w:t xml:space="preserve"> claim for</w:t>
      </w:r>
      <w:r w:rsidR="007B27EB" w:rsidRPr="00E477AE">
        <w:rPr>
          <w:rFonts w:ascii="Times New Roman" w:hAnsi="Times New Roman" w:cs="Times New Roman"/>
        </w:rPr>
        <w:t xml:space="preserve"> unjust enrichment.</w:t>
      </w:r>
      <w:r w:rsidR="00C37BE3">
        <w:rPr>
          <w:rStyle w:val="FootnoteReference"/>
          <w:rFonts w:ascii="Times New Roman" w:hAnsi="Times New Roman" w:cs="Times New Roman"/>
        </w:rPr>
        <w:footnoteReference w:id="48"/>
      </w:r>
      <w:r w:rsidR="007B27EB" w:rsidRPr="00E477AE">
        <w:rPr>
          <w:rFonts w:ascii="Times New Roman" w:hAnsi="Times New Roman" w:cs="Times New Roman"/>
        </w:rPr>
        <w:t xml:space="preserve"> Thus, the claimant would have failed u</w:t>
      </w:r>
      <w:r w:rsidR="00F05DAB" w:rsidRPr="00E477AE">
        <w:rPr>
          <w:rFonts w:ascii="Times New Roman" w:hAnsi="Times New Roman" w:cs="Times New Roman"/>
        </w:rPr>
        <w:t>nder the reliance principle</w:t>
      </w:r>
      <w:r w:rsidR="007B27EB" w:rsidRPr="00E477AE">
        <w:rPr>
          <w:rFonts w:ascii="Times New Roman" w:hAnsi="Times New Roman" w:cs="Times New Roman"/>
        </w:rPr>
        <w:t>. The majority</w:t>
      </w:r>
      <w:r w:rsidR="0043445B" w:rsidRPr="00E477AE">
        <w:rPr>
          <w:rFonts w:ascii="Times New Roman" w:hAnsi="Times New Roman" w:cs="Times New Roman"/>
        </w:rPr>
        <w:t>, however,</w:t>
      </w:r>
      <w:r w:rsidR="007B27EB" w:rsidRPr="00E477AE">
        <w:rPr>
          <w:rFonts w:ascii="Times New Roman" w:hAnsi="Times New Roman" w:cs="Times New Roman"/>
        </w:rPr>
        <w:t xml:space="preserve"> </w:t>
      </w:r>
      <w:r w:rsidR="0043445B" w:rsidRPr="00E477AE">
        <w:rPr>
          <w:rFonts w:ascii="Times New Roman" w:hAnsi="Times New Roman" w:cs="Times New Roman"/>
        </w:rPr>
        <w:t>criticized and overruled</w:t>
      </w:r>
      <w:r w:rsidR="0026328C" w:rsidRPr="00E477AE">
        <w:rPr>
          <w:rFonts w:ascii="Times New Roman" w:hAnsi="Times New Roman" w:cs="Times New Roman"/>
        </w:rPr>
        <w:t xml:space="preserve"> the reliance principle for adopting ‘a formal approach capable of producing results which may appear arbitrary, unjust or disproportionate’.</w:t>
      </w:r>
      <w:r w:rsidR="0026328C" w:rsidRPr="00E477AE">
        <w:rPr>
          <w:rStyle w:val="FootnoteReference"/>
          <w:rFonts w:ascii="Times New Roman" w:hAnsi="Times New Roman" w:cs="Times New Roman"/>
        </w:rPr>
        <w:footnoteReference w:id="49"/>
      </w:r>
      <w:r w:rsidR="00F05DAB" w:rsidRPr="00E477AE">
        <w:rPr>
          <w:rFonts w:ascii="Times New Roman" w:hAnsi="Times New Roman" w:cs="Times New Roman"/>
        </w:rPr>
        <w:t xml:space="preserve"> </w:t>
      </w:r>
      <w:r w:rsidR="0026328C" w:rsidRPr="00E477AE">
        <w:rPr>
          <w:rFonts w:ascii="Times New Roman" w:hAnsi="Times New Roman" w:cs="Times New Roman"/>
        </w:rPr>
        <w:t>Deciding for the claimant, the majority held that a claim should not fail merely because i</w:t>
      </w:r>
      <w:r w:rsidR="00FF0FD0" w:rsidRPr="00E477AE">
        <w:rPr>
          <w:rFonts w:ascii="Times New Roman" w:hAnsi="Times New Roman" w:cs="Times New Roman"/>
        </w:rPr>
        <w:t>t was</w:t>
      </w:r>
      <w:r w:rsidR="00CE1246" w:rsidRPr="00E477AE">
        <w:rPr>
          <w:rFonts w:ascii="Times New Roman" w:hAnsi="Times New Roman" w:cs="Times New Roman"/>
        </w:rPr>
        <w:t xml:space="preserve"> tainted by</w:t>
      </w:r>
      <w:r w:rsidR="0026328C" w:rsidRPr="00E477AE">
        <w:rPr>
          <w:rFonts w:ascii="Times New Roman" w:hAnsi="Times New Roman" w:cs="Times New Roman"/>
        </w:rPr>
        <w:t xml:space="preserve"> an illegal purpose.</w:t>
      </w:r>
      <w:r w:rsidR="00FF0FD0" w:rsidRPr="00E477AE">
        <w:rPr>
          <w:rFonts w:ascii="Times New Roman" w:hAnsi="Times New Roman" w:cs="Times New Roman"/>
        </w:rPr>
        <w:t xml:space="preserve"> </w:t>
      </w:r>
    </w:p>
    <w:p w14:paraId="1EF97EE7" w14:textId="7C0696E0" w:rsidR="008420EF" w:rsidRPr="00E477AE" w:rsidRDefault="00FF0FD0" w:rsidP="00521DCD">
      <w:pPr>
        <w:ind w:firstLine="720"/>
        <w:jc w:val="both"/>
        <w:rPr>
          <w:rFonts w:ascii="Times New Roman" w:hAnsi="Times New Roman" w:cs="Times New Roman"/>
        </w:rPr>
      </w:pPr>
      <w:r w:rsidRPr="00E477AE">
        <w:rPr>
          <w:rFonts w:ascii="Times New Roman" w:hAnsi="Times New Roman" w:cs="Times New Roman"/>
        </w:rPr>
        <w:t>The minority, which also allowed</w:t>
      </w:r>
      <w:r w:rsidR="008B0D4F" w:rsidRPr="00E477AE">
        <w:rPr>
          <w:rFonts w:ascii="Times New Roman" w:hAnsi="Times New Roman" w:cs="Times New Roman"/>
        </w:rPr>
        <w:t xml:space="preserve"> the</w:t>
      </w:r>
      <w:r w:rsidRPr="00E477AE">
        <w:rPr>
          <w:rFonts w:ascii="Times New Roman" w:hAnsi="Times New Roman" w:cs="Times New Roman"/>
        </w:rPr>
        <w:t xml:space="preserve"> claimant’s claim on restitutionary grounds, was more faithful to the reliance doctrine, but</w:t>
      </w:r>
      <w:r w:rsidR="008B0D4F" w:rsidRPr="00E477AE">
        <w:rPr>
          <w:rFonts w:ascii="Times New Roman" w:hAnsi="Times New Roman" w:cs="Times New Roman"/>
        </w:rPr>
        <w:t xml:space="preserve"> it</w:t>
      </w:r>
      <w:r w:rsidR="00DF19BD" w:rsidRPr="00E477AE">
        <w:rPr>
          <w:rFonts w:ascii="Times New Roman" w:hAnsi="Times New Roman" w:cs="Times New Roman"/>
        </w:rPr>
        <w:t xml:space="preserve"> argued for an</w:t>
      </w:r>
      <w:r w:rsidRPr="00E477AE">
        <w:rPr>
          <w:rFonts w:ascii="Times New Roman" w:hAnsi="Times New Roman" w:cs="Times New Roman"/>
        </w:rPr>
        <w:t xml:space="preserve"> expansive interpretation of the withdrawal</w:t>
      </w:r>
      <w:r w:rsidR="0043445B" w:rsidRPr="00E477AE">
        <w:rPr>
          <w:rFonts w:ascii="Times New Roman" w:hAnsi="Times New Roman" w:cs="Times New Roman"/>
        </w:rPr>
        <w:t xml:space="preserve"> and other</w:t>
      </w:r>
      <w:r w:rsidRPr="00E477AE">
        <w:rPr>
          <w:rFonts w:ascii="Times New Roman" w:hAnsi="Times New Roman" w:cs="Times New Roman"/>
        </w:rPr>
        <w:t xml:space="preserve"> exception</w:t>
      </w:r>
      <w:r w:rsidR="0043445B" w:rsidRPr="00E477AE">
        <w:rPr>
          <w:rFonts w:ascii="Times New Roman" w:hAnsi="Times New Roman" w:cs="Times New Roman"/>
        </w:rPr>
        <w:t>s</w:t>
      </w:r>
      <w:r w:rsidRPr="00E477AE">
        <w:rPr>
          <w:rFonts w:ascii="Times New Roman" w:hAnsi="Times New Roman" w:cs="Times New Roman"/>
        </w:rPr>
        <w:t xml:space="preserve"> to the illegality principle</w:t>
      </w:r>
      <w:r w:rsidR="00F05DAB" w:rsidRPr="00E477AE">
        <w:rPr>
          <w:rFonts w:ascii="Times New Roman" w:hAnsi="Times New Roman" w:cs="Times New Roman"/>
        </w:rPr>
        <w:t>.</w:t>
      </w:r>
      <w:r w:rsidR="00AA5527" w:rsidRPr="00E477AE">
        <w:rPr>
          <w:rFonts w:ascii="Times New Roman" w:hAnsi="Times New Roman" w:cs="Times New Roman"/>
        </w:rPr>
        <w:t xml:space="preserve"> For the majority,</w:t>
      </w:r>
      <w:r w:rsidR="00F05DAB" w:rsidRPr="00E477AE">
        <w:rPr>
          <w:rFonts w:ascii="Times New Roman" w:hAnsi="Times New Roman" w:cs="Times New Roman"/>
        </w:rPr>
        <w:t xml:space="preserve"> </w:t>
      </w:r>
      <w:r w:rsidR="0063597D" w:rsidRPr="00E477AE">
        <w:rPr>
          <w:rFonts w:ascii="Times New Roman" w:hAnsi="Times New Roman" w:cs="Times New Roman"/>
        </w:rPr>
        <w:t>Lord Toulson</w:t>
      </w:r>
      <w:r w:rsidR="00AA5527" w:rsidRPr="00E477AE">
        <w:rPr>
          <w:rFonts w:ascii="Times New Roman" w:hAnsi="Times New Roman" w:cs="Times New Roman"/>
        </w:rPr>
        <w:t xml:space="preserve"> suggested</w:t>
      </w:r>
      <w:r w:rsidR="00F05DAB" w:rsidRPr="00E477AE">
        <w:rPr>
          <w:rFonts w:ascii="Times New Roman" w:hAnsi="Times New Roman" w:cs="Times New Roman"/>
        </w:rPr>
        <w:t xml:space="preserve"> </w:t>
      </w:r>
      <w:r w:rsidR="00AA5527" w:rsidRPr="00E477AE">
        <w:rPr>
          <w:rFonts w:ascii="Times New Roman" w:hAnsi="Times New Roman" w:cs="Times New Roman"/>
        </w:rPr>
        <w:t>that a flexible analytic framework should undergird the</w:t>
      </w:r>
      <w:r w:rsidR="0043445B" w:rsidRPr="00E477AE">
        <w:rPr>
          <w:rFonts w:ascii="Times New Roman" w:hAnsi="Times New Roman" w:cs="Times New Roman"/>
        </w:rPr>
        <w:t xml:space="preserve"> court’s</w:t>
      </w:r>
      <w:r w:rsidR="00AA5527" w:rsidRPr="00E477AE">
        <w:rPr>
          <w:rFonts w:ascii="Times New Roman" w:hAnsi="Times New Roman" w:cs="Times New Roman"/>
        </w:rPr>
        <w:t xml:space="preserve"> approach to illegality</w:t>
      </w:r>
      <w:r w:rsidR="008600D3" w:rsidRPr="00E477AE">
        <w:rPr>
          <w:rFonts w:ascii="Times New Roman" w:hAnsi="Times New Roman" w:cs="Times New Roman"/>
        </w:rPr>
        <w:t>.</w:t>
      </w:r>
      <w:r w:rsidR="00AA5527" w:rsidRPr="00E477AE">
        <w:rPr>
          <w:rFonts w:ascii="Times New Roman" w:hAnsi="Times New Roman" w:cs="Times New Roman"/>
        </w:rPr>
        <w:t xml:space="preserve"> Thus, he </w:t>
      </w:r>
      <w:r w:rsidR="0063597D" w:rsidRPr="00E477AE">
        <w:rPr>
          <w:rFonts w:ascii="Times New Roman" w:hAnsi="Times New Roman" w:cs="Times New Roman"/>
        </w:rPr>
        <w:t>identifie</w:t>
      </w:r>
      <w:r w:rsidR="00372383" w:rsidRPr="00E477AE">
        <w:rPr>
          <w:rFonts w:ascii="Times New Roman" w:hAnsi="Times New Roman" w:cs="Times New Roman"/>
        </w:rPr>
        <w:t>d a trio of considerations that</w:t>
      </w:r>
      <w:r w:rsidR="0063597D" w:rsidRPr="00E477AE">
        <w:rPr>
          <w:rFonts w:ascii="Times New Roman" w:hAnsi="Times New Roman" w:cs="Times New Roman"/>
        </w:rPr>
        <w:t xml:space="preserve"> should</w:t>
      </w:r>
      <w:r w:rsidR="008600D3" w:rsidRPr="00E477AE">
        <w:rPr>
          <w:rFonts w:ascii="Times New Roman" w:hAnsi="Times New Roman" w:cs="Times New Roman"/>
        </w:rPr>
        <w:t xml:space="preserve"> inform a</w:t>
      </w:r>
      <w:r w:rsidR="00AA5527" w:rsidRPr="00E477AE">
        <w:rPr>
          <w:rFonts w:ascii="Times New Roman" w:hAnsi="Times New Roman" w:cs="Times New Roman"/>
        </w:rPr>
        <w:t xml:space="preserve"> decision </w:t>
      </w:r>
      <w:r w:rsidR="008600D3" w:rsidRPr="00E477AE">
        <w:rPr>
          <w:rFonts w:ascii="Times New Roman" w:hAnsi="Times New Roman" w:cs="Times New Roman"/>
        </w:rPr>
        <w:t>whether or not</w:t>
      </w:r>
      <w:r w:rsidR="004871ED" w:rsidRPr="00E477AE">
        <w:rPr>
          <w:rFonts w:ascii="Times New Roman" w:hAnsi="Times New Roman" w:cs="Times New Roman"/>
        </w:rPr>
        <w:t xml:space="preserve"> to enforce a claim tainted by</w:t>
      </w:r>
      <w:r w:rsidR="008600D3" w:rsidRPr="00E477AE">
        <w:rPr>
          <w:rFonts w:ascii="Times New Roman" w:hAnsi="Times New Roman" w:cs="Times New Roman"/>
        </w:rPr>
        <w:t xml:space="preserve"> illegality</w:t>
      </w:r>
      <w:r w:rsidR="00AA5527" w:rsidRPr="00E477AE">
        <w:rPr>
          <w:rFonts w:ascii="Times New Roman" w:hAnsi="Times New Roman" w:cs="Times New Roman"/>
        </w:rPr>
        <w:t>.</w:t>
      </w:r>
      <w:r w:rsidR="00AA5527" w:rsidRPr="00E477AE">
        <w:rPr>
          <w:rStyle w:val="FootnoteReference"/>
          <w:rFonts w:ascii="Times New Roman" w:hAnsi="Times New Roman" w:cs="Times New Roman"/>
        </w:rPr>
        <w:footnoteReference w:id="50"/>
      </w:r>
      <w:r w:rsidR="008600D3" w:rsidRPr="00E477AE">
        <w:rPr>
          <w:rFonts w:ascii="Times New Roman" w:hAnsi="Times New Roman" w:cs="Times New Roman"/>
        </w:rPr>
        <w:t xml:space="preserve"> </w:t>
      </w:r>
      <w:r w:rsidR="00320FC3" w:rsidRPr="00E477AE">
        <w:rPr>
          <w:rFonts w:ascii="Times New Roman" w:hAnsi="Times New Roman" w:cs="Times New Roman"/>
        </w:rPr>
        <w:t>While</w:t>
      </w:r>
      <w:r w:rsidR="00B85DBF" w:rsidRPr="00E477AE">
        <w:rPr>
          <w:rFonts w:ascii="Times New Roman" w:hAnsi="Times New Roman" w:cs="Times New Roman"/>
        </w:rPr>
        <w:t xml:space="preserve"> </w:t>
      </w:r>
      <w:r w:rsidR="00372383" w:rsidRPr="00E477AE">
        <w:rPr>
          <w:rFonts w:ascii="Times New Roman" w:hAnsi="Times New Roman" w:cs="Times New Roman"/>
          <w:i/>
        </w:rPr>
        <w:t>Patel</w:t>
      </w:r>
      <w:r w:rsidR="00372383" w:rsidRPr="00E477AE">
        <w:rPr>
          <w:rFonts w:ascii="Times New Roman" w:hAnsi="Times New Roman" w:cs="Times New Roman"/>
        </w:rPr>
        <w:t xml:space="preserve"> </w:t>
      </w:r>
      <w:r w:rsidR="00320FC3" w:rsidRPr="00E477AE">
        <w:rPr>
          <w:rFonts w:ascii="Times New Roman" w:hAnsi="Times New Roman" w:cs="Times New Roman"/>
        </w:rPr>
        <w:t xml:space="preserve">is obviously </w:t>
      </w:r>
      <w:r w:rsidR="00B85DBF" w:rsidRPr="00E477AE">
        <w:rPr>
          <w:rFonts w:ascii="Times New Roman" w:hAnsi="Times New Roman" w:cs="Times New Roman"/>
        </w:rPr>
        <w:t>not a</w:t>
      </w:r>
      <w:r w:rsidR="00320FC3" w:rsidRPr="00E477AE">
        <w:rPr>
          <w:rFonts w:ascii="Times New Roman" w:hAnsi="Times New Roman" w:cs="Times New Roman"/>
        </w:rPr>
        <w:t xml:space="preserve"> case on trust,</w:t>
      </w:r>
      <w:r w:rsidR="00B85DBF" w:rsidRPr="00E477AE">
        <w:rPr>
          <w:rFonts w:ascii="Times New Roman" w:hAnsi="Times New Roman" w:cs="Times New Roman"/>
        </w:rPr>
        <w:t xml:space="preserve"> it</w:t>
      </w:r>
      <w:r w:rsidR="00320FC3" w:rsidRPr="00E477AE">
        <w:rPr>
          <w:rFonts w:ascii="Times New Roman" w:hAnsi="Times New Roman" w:cs="Times New Roman"/>
        </w:rPr>
        <w:t xml:space="preserve"> has some important resonances.</w:t>
      </w:r>
      <w:r w:rsidR="004F69A0" w:rsidRPr="00E477AE">
        <w:rPr>
          <w:rStyle w:val="FootnoteReference"/>
          <w:rFonts w:ascii="Times New Roman" w:hAnsi="Times New Roman" w:cs="Times New Roman"/>
        </w:rPr>
        <w:footnoteReference w:id="51"/>
      </w:r>
      <w:r w:rsidR="00320FC3" w:rsidRPr="00E477AE">
        <w:rPr>
          <w:rFonts w:ascii="Times New Roman" w:hAnsi="Times New Roman" w:cs="Times New Roman"/>
        </w:rPr>
        <w:t xml:space="preserve"> If anything, </w:t>
      </w:r>
      <w:r w:rsidR="00320FC3" w:rsidRPr="00E477AE">
        <w:rPr>
          <w:rFonts w:ascii="Times New Roman" w:hAnsi="Times New Roman" w:cs="Times New Roman"/>
          <w:i/>
        </w:rPr>
        <w:t>Pate</w:t>
      </w:r>
      <w:r w:rsidR="00320FC3" w:rsidRPr="00E477AE">
        <w:rPr>
          <w:rFonts w:ascii="Times New Roman" w:hAnsi="Times New Roman" w:cs="Times New Roman"/>
        </w:rPr>
        <w:t>l</w:t>
      </w:r>
      <w:r w:rsidR="00B85DBF" w:rsidRPr="00E477AE">
        <w:rPr>
          <w:rFonts w:ascii="Times New Roman" w:hAnsi="Times New Roman" w:cs="Times New Roman"/>
        </w:rPr>
        <w:t xml:space="preserve"> suggests</w:t>
      </w:r>
      <w:r w:rsidR="00320FC3" w:rsidRPr="00E477AE">
        <w:rPr>
          <w:rFonts w:ascii="Times New Roman" w:hAnsi="Times New Roman" w:cs="Times New Roman"/>
        </w:rPr>
        <w:t xml:space="preserve"> that </w:t>
      </w:r>
      <w:r w:rsidR="00A075D7" w:rsidRPr="00E477AE">
        <w:rPr>
          <w:rFonts w:ascii="Times New Roman" w:hAnsi="Times New Roman" w:cs="Times New Roman"/>
        </w:rPr>
        <w:t>illegality</w:t>
      </w:r>
      <w:r w:rsidR="00320FC3" w:rsidRPr="00E477AE">
        <w:rPr>
          <w:rFonts w:ascii="Times New Roman" w:hAnsi="Times New Roman" w:cs="Times New Roman"/>
        </w:rPr>
        <w:t xml:space="preserve"> has ceased to have a </w:t>
      </w:r>
      <w:r w:rsidR="00A075D7" w:rsidRPr="00E477AE">
        <w:rPr>
          <w:rFonts w:ascii="Times New Roman" w:hAnsi="Times New Roman" w:cs="Times New Roman"/>
        </w:rPr>
        <w:t>determinative</w:t>
      </w:r>
      <w:r w:rsidR="00320FC3" w:rsidRPr="00E477AE">
        <w:rPr>
          <w:rFonts w:ascii="Times New Roman" w:hAnsi="Times New Roman" w:cs="Times New Roman"/>
        </w:rPr>
        <w:t xml:space="preserve"> effect on tainted claims.</w:t>
      </w:r>
      <w:r w:rsidR="006B6354" w:rsidRPr="00E477AE">
        <w:rPr>
          <w:rStyle w:val="FootnoteReference"/>
          <w:rFonts w:ascii="Times New Roman" w:hAnsi="Times New Roman" w:cs="Times New Roman"/>
        </w:rPr>
        <w:footnoteReference w:id="52"/>
      </w:r>
      <w:r w:rsidR="00427153" w:rsidRPr="00E477AE">
        <w:rPr>
          <w:rFonts w:ascii="Times New Roman" w:hAnsi="Times New Roman" w:cs="Times New Roman"/>
        </w:rPr>
        <w:t xml:space="preserve"> In that sense,</w:t>
      </w:r>
      <w:r w:rsidR="0035194C" w:rsidRPr="00E477AE">
        <w:rPr>
          <w:rFonts w:ascii="Times New Roman" w:hAnsi="Times New Roman" w:cs="Times New Roman"/>
        </w:rPr>
        <w:t xml:space="preserve"> </w:t>
      </w:r>
      <w:r w:rsidR="00427153" w:rsidRPr="00E477AE">
        <w:rPr>
          <w:rFonts w:ascii="Times New Roman" w:hAnsi="Times New Roman" w:cs="Times New Roman"/>
          <w:i/>
        </w:rPr>
        <w:t>Patel</w:t>
      </w:r>
      <w:r w:rsidR="00427153" w:rsidRPr="00E477AE">
        <w:rPr>
          <w:rFonts w:ascii="Times New Roman" w:hAnsi="Times New Roman" w:cs="Times New Roman"/>
        </w:rPr>
        <w:t xml:space="preserve"> is less intense</w:t>
      </w:r>
      <w:r w:rsidR="00254481" w:rsidRPr="00E477AE">
        <w:rPr>
          <w:rFonts w:ascii="Times New Roman" w:hAnsi="Times New Roman" w:cs="Times New Roman"/>
        </w:rPr>
        <w:t xml:space="preserve"> than my hypothesis above</w:t>
      </w:r>
      <w:r w:rsidR="00427153" w:rsidRPr="00E477AE">
        <w:rPr>
          <w:rFonts w:ascii="Times New Roman" w:hAnsi="Times New Roman" w:cs="Times New Roman"/>
        </w:rPr>
        <w:t xml:space="preserve">. Nonetheless, </w:t>
      </w:r>
      <w:r w:rsidR="00C21EEC" w:rsidRPr="00E477AE">
        <w:rPr>
          <w:rFonts w:ascii="Times New Roman" w:hAnsi="Times New Roman" w:cs="Times New Roman"/>
          <w:i/>
        </w:rPr>
        <w:t>Patel</w:t>
      </w:r>
      <w:r w:rsidR="00427153" w:rsidRPr="00E477AE">
        <w:rPr>
          <w:rFonts w:ascii="Times New Roman" w:hAnsi="Times New Roman" w:cs="Times New Roman"/>
          <w:i/>
        </w:rPr>
        <w:t>’s</w:t>
      </w:r>
      <w:r w:rsidR="00427153" w:rsidRPr="00E477AE">
        <w:rPr>
          <w:rFonts w:ascii="Times New Roman" w:hAnsi="Times New Roman" w:cs="Times New Roman"/>
        </w:rPr>
        <w:t xml:space="preserve"> cautious</w:t>
      </w:r>
      <w:r w:rsidR="0035194C" w:rsidRPr="00E477AE">
        <w:rPr>
          <w:rFonts w:ascii="Times New Roman" w:hAnsi="Times New Roman" w:cs="Times New Roman"/>
        </w:rPr>
        <w:t xml:space="preserve"> </w:t>
      </w:r>
      <w:r w:rsidR="00427153" w:rsidRPr="00E477AE">
        <w:rPr>
          <w:rFonts w:ascii="Times New Roman" w:hAnsi="Times New Roman" w:cs="Times New Roman"/>
        </w:rPr>
        <w:t xml:space="preserve">view of illegality </w:t>
      </w:r>
      <w:r w:rsidR="000C2B64" w:rsidRPr="00E477AE">
        <w:rPr>
          <w:rFonts w:ascii="Times New Roman" w:hAnsi="Times New Roman" w:cs="Times New Roman"/>
        </w:rPr>
        <w:t xml:space="preserve">reinforces my argument </w:t>
      </w:r>
      <w:r w:rsidR="00C21EEC" w:rsidRPr="00E477AE">
        <w:rPr>
          <w:rFonts w:ascii="Times New Roman" w:hAnsi="Times New Roman" w:cs="Times New Roman"/>
        </w:rPr>
        <w:t>that a trust</w:t>
      </w:r>
      <w:r w:rsidR="000C2B64" w:rsidRPr="00E477AE">
        <w:rPr>
          <w:rFonts w:ascii="Times New Roman" w:hAnsi="Times New Roman" w:cs="Times New Roman"/>
        </w:rPr>
        <w:t>, validly</w:t>
      </w:r>
      <w:r w:rsidR="00C21EEC" w:rsidRPr="00E477AE">
        <w:rPr>
          <w:rFonts w:ascii="Times New Roman" w:hAnsi="Times New Roman" w:cs="Times New Roman"/>
        </w:rPr>
        <w:t xml:space="preserve"> constituted</w:t>
      </w:r>
      <w:r w:rsidR="000C2B64" w:rsidRPr="00E477AE">
        <w:rPr>
          <w:rFonts w:ascii="Times New Roman" w:hAnsi="Times New Roman" w:cs="Times New Roman"/>
        </w:rPr>
        <w:t xml:space="preserve"> by the primary</w:t>
      </w:r>
      <w:r w:rsidR="0031658F">
        <w:rPr>
          <w:rFonts w:ascii="Times New Roman" w:hAnsi="Times New Roman" w:cs="Times New Roman"/>
        </w:rPr>
        <w:t xml:space="preserve"> feature of a</w:t>
      </w:r>
      <w:r w:rsidR="000C2B64" w:rsidRPr="00E477AE">
        <w:rPr>
          <w:rFonts w:ascii="Times New Roman" w:hAnsi="Times New Roman" w:cs="Times New Roman"/>
        </w:rPr>
        <w:t xml:space="preserve"> transaction, would</w:t>
      </w:r>
      <w:r w:rsidR="00C21EEC" w:rsidRPr="00E477AE">
        <w:rPr>
          <w:rFonts w:ascii="Times New Roman" w:hAnsi="Times New Roman" w:cs="Times New Roman"/>
        </w:rPr>
        <w:t xml:space="preserve"> be enforced despite</w:t>
      </w:r>
      <w:r w:rsidR="00560047" w:rsidRPr="00E477AE">
        <w:rPr>
          <w:rFonts w:ascii="Times New Roman" w:hAnsi="Times New Roman" w:cs="Times New Roman"/>
        </w:rPr>
        <w:t xml:space="preserve"> being tainted by</w:t>
      </w:r>
      <w:r w:rsidR="000C2B64" w:rsidRPr="00E477AE">
        <w:rPr>
          <w:rFonts w:ascii="Times New Roman" w:hAnsi="Times New Roman" w:cs="Times New Roman"/>
        </w:rPr>
        <w:t xml:space="preserve"> an illegal purpose</w:t>
      </w:r>
      <w:r w:rsidR="00C21EEC" w:rsidRPr="00E477AE">
        <w:rPr>
          <w:rFonts w:ascii="Times New Roman" w:hAnsi="Times New Roman" w:cs="Times New Roman"/>
        </w:rPr>
        <w:t>.</w:t>
      </w:r>
    </w:p>
    <w:p w14:paraId="27D5C168" w14:textId="1577487A" w:rsidR="00BD2576" w:rsidRPr="00E477AE" w:rsidRDefault="00DE45FF" w:rsidP="00521DCD">
      <w:pPr>
        <w:ind w:firstLine="720"/>
        <w:jc w:val="both"/>
        <w:rPr>
          <w:rFonts w:ascii="Times New Roman" w:hAnsi="Times New Roman" w:cs="Times New Roman"/>
        </w:rPr>
      </w:pPr>
      <w:r w:rsidRPr="00E477AE">
        <w:rPr>
          <w:rFonts w:ascii="Times New Roman" w:hAnsi="Times New Roman" w:cs="Times New Roman"/>
        </w:rPr>
        <w:t xml:space="preserve">Similarly, in </w:t>
      </w:r>
      <w:r w:rsidRPr="00E477AE">
        <w:rPr>
          <w:rFonts w:ascii="Times New Roman" w:hAnsi="Times New Roman" w:cs="Times New Roman"/>
          <w:i/>
        </w:rPr>
        <w:t>Collier</w:t>
      </w:r>
      <w:r w:rsidR="00456EC9" w:rsidRPr="00E477AE">
        <w:rPr>
          <w:rFonts w:ascii="Times New Roman" w:hAnsi="Times New Roman" w:cs="Times New Roman"/>
        </w:rPr>
        <w:t>,</w:t>
      </w:r>
      <w:r w:rsidR="0048733A">
        <w:rPr>
          <w:rStyle w:val="FootnoteReference"/>
          <w:rFonts w:ascii="Times New Roman" w:hAnsi="Times New Roman" w:cs="Times New Roman"/>
        </w:rPr>
        <w:footnoteReference w:id="53"/>
      </w:r>
      <w:r w:rsidR="00456EC9" w:rsidRPr="00E477AE">
        <w:rPr>
          <w:rFonts w:ascii="Times New Roman" w:hAnsi="Times New Roman" w:cs="Times New Roman"/>
        </w:rPr>
        <w:t xml:space="preserve"> a father</w:t>
      </w:r>
      <w:r w:rsidRPr="00E477AE">
        <w:rPr>
          <w:rFonts w:ascii="Times New Roman" w:hAnsi="Times New Roman" w:cs="Times New Roman"/>
        </w:rPr>
        <w:t xml:space="preserve"> granted leases over two properties, with an option to purchase the freehold reversion, wh</w:t>
      </w:r>
      <w:r w:rsidR="00456EC9" w:rsidRPr="00E477AE">
        <w:rPr>
          <w:rFonts w:ascii="Times New Roman" w:hAnsi="Times New Roman" w:cs="Times New Roman"/>
        </w:rPr>
        <w:t>i</w:t>
      </w:r>
      <w:r w:rsidRPr="00E477AE">
        <w:rPr>
          <w:rFonts w:ascii="Times New Roman" w:hAnsi="Times New Roman" w:cs="Times New Roman"/>
        </w:rPr>
        <w:t>ch was eventually exercised, to</w:t>
      </w:r>
      <w:r w:rsidR="00740C9E" w:rsidRPr="00E477AE">
        <w:rPr>
          <w:rFonts w:ascii="Times New Roman" w:hAnsi="Times New Roman" w:cs="Times New Roman"/>
        </w:rPr>
        <w:t xml:space="preserve"> his</w:t>
      </w:r>
      <w:r w:rsidR="00456EC9" w:rsidRPr="00E477AE">
        <w:rPr>
          <w:rFonts w:ascii="Times New Roman" w:hAnsi="Times New Roman" w:cs="Times New Roman"/>
        </w:rPr>
        <w:t xml:space="preserve"> daughter. The transaction did not raise the presumption of advancement (nor of resulting trust) because the daughter provided</w:t>
      </w:r>
      <w:r w:rsidR="00920127" w:rsidRPr="00E477AE">
        <w:rPr>
          <w:rFonts w:ascii="Times New Roman" w:hAnsi="Times New Roman" w:cs="Times New Roman"/>
        </w:rPr>
        <w:t xml:space="preserve"> some</w:t>
      </w:r>
      <w:r w:rsidR="00456EC9" w:rsidRPr="00E477AE">
        <w:rPr>
          <w:rFonts w:ascii="Times New Roman" w:hAnsi="Times New Roman" w:cs="Times New Roman"/>
        </w:rPr>
        <w:t xml:space="preserve"> consideration for the transfers.</w:t>
      </w:r>
      <w:r w:rsidR="004B0FA1" w:rsidRPr="00E477AE">
        <w:rPr>
          <w:rStyle w:val="FootnoteReference"/>
          <w:rFonts w:ascii="Times New Roman" w:hAnsi="Times New Roman" w:cs="Times New Roman"/>
        </w:rPr>
        <w:footnoteReference w:id="54"/>
      </w:r>
      <w:r w:rsidR="00456EC9" w:rsidRPr="00E477AE">
        <w:rPr>
          <w:rFonts w:ascii="Times New Roman" w:hAnsi="Times New Roman" w:cs="Times New Roman"/>
        </w:rPr>
        <w:t xml:space="preserve"> However, the father alleged that the leases, and the freehold interests acquired consequent upon the exercise of the option, were held by the daughter on express trust for the fathe</w:t>
      </w:r>
      <w:r w:rsidR="00944AD0" w:rsidRPr="00E477AE">
        <w:rPr>
          <w:rFonts w:ascii="Times New Roman" w:hAnsi="Times New Roman" w:cs="Times New Roman"/>
        </w:rPr>
        <w:t>r pursuant to a prior agreement</w:t>
      </w:r>
      <w:r w:rsidR="00456EC9" w:rsidRPr="00E477AE">
        <w:rPr>
          <w:rFonts w:ascii="Times New Roman" w:hAnsi="Times New Roman" w:cs="Times New Roman"/>
        </w:rPr>
        <w:t xml:space="preserve"> between father and daug</w:t>
      </w:r>
      <w:r w:rsidR="00944AD0" w:rsidRPr="00E477AE">
        <w:rPr>
          <w:rFonts w:ascii="Times New Roman" w:hAnsi="Times New Roman" w:cs="Times New Roman"/>
        </w:rPr>
        <w:t>hter</w:t>
      </w:r>
      <w:r w:rsidR="00456EC9" w:rsidRPr="00E477AE">
        <w:rPr>
          <w:rFonts w:ascii="Times New Roman" w:hAnsi="Times New Roman" w:cs="Times New Roman"/>
        </w:rPr>
        <w:t>.</w:t>
      </w:r>
      <w:r w:rsidR="00ED7BF7" w:rsidRPr="00E477AE">
        <w:rPr>
          <w:rFonts w:ascii="Times New Roman" w:hAnsi="Times New Roman" w:cs="Times New Roman"/>
        </w:rPr>
        <w:t xml:space="preserve"> It was established in evidence that the father transferred the properties to the d</w:t>
      </w:r>
      <w:r w:rsidR="00715539" w:rsidRPr="00E477AE">
        <w:rPr>
          <w:rFonts w:ascii="Times New Roman" w:hAnsi="Times New Roman" w:cs="Times New Roman"/>
        </w:rPr>
        <w:t>aughter in order to</w:t>
      </w:r>
      <w:r w:rsidR="009C0D72" w:rsidRPr="00E477AE">
        <w:rPr>
          <w:rFonts w:ascii="Times New Roman" w:hAnsi="Times New Roman" w:cs="Times New Roman"/>
        </w:rPr>
        <w:t xml:space="preserve"> defeat the claims</w:t>
      </w:r>
      <w:r w:rsidR="00715539" w:rsidRPr="00E477AE">
        <w:rPr>
          <w:rFonts w:ascii="Times New Roman" w:hAnsi="Times New Roman" w:cs="Times New Roman"/>
        </w:rPr>
        <w:t xml:space="preserve"> </w:t>
      </w:r>
      <w:r w:rsidR="00ED7BF7" w:rsidRPr="00E477AE">
        <w:rPr>
          <w:rFonts w:ascii="Times New Roman" w:hAnsi="Times New Roman" w:cs="Times New Roman"/>
        </w:rPr>
        <w:t>of his credito</w:t>
      </w:r>
      <w:r w:rsidR="00715539" w:rsidRPr="00E477AE">
        <w:rPr>
          <w:rFonts w:ascii="Times New Roman" w:hAnsi="Times New Roman" w:cs="Times New Roman"/>
        </w:rPr>
        <w:t>r</w:t>
      </w:r>
      <w:r w:rsidR="00ED7BF7" w:rsidRPr="00E477AE">
        <w:rPr>
          <w:rFonts w:ascii="Times New Roman" w:hAnsi="Times New Roman" w:cs="Times New Roman"/>
        </w:rPr>
        <w:t>s</w:t>
      </w:r>
      <w:r w:rsidR="009C0D72" w:rsidRPr="00E477AE">
        <w:rPr>
          <w:rFonts w:ascii="Times New Roman" w:hAnsi="Times New Roman" w:cs="Times New Roman"/>
        </w:rPr>
        <w:t>; this unlawful purpose was clearly executed, in that the security of mortgages secured on the properties by the father was significantly reduced in value when the father transferred his freehold reversion to the daughter</w:t>
      </w:r>
      <w:r w:rsidR="00A12796" w:rsidRPr="00E477AE">
        <w:rPr>
          <w:rFonts w:ascii="Times New Roman" w:hAnsi="Times New Roman" w:cs="Times New Roman"/>
        </w:rPr>
        <w:t xml:space="preserve"> upon the exercise of the option</w:t>
      </w:r>
      <w:r w:rsidR="00ED7BF7" w:rsidRPr="00E477AE">
        <w:rPr>
          <w:rFonts w:ascii="Times New Roman" w:hAnsi="Times New Roman" w:cs="Times New Roman"/>
        </w:rPr>
        <w:t>.</w:t>
      </w:r>
      <w:r w:rsidR="00456EC9" w:rsidRPr="00E477AE">
        <w:rPr>
          <w:rFonts w:ascii="Times New Roman" w:hAnsi="Times New Roman" w:cs="Times New Roman"/>
        </w:rPr>
        <w:t xml:space="preserve"> The daughter denied the</w:t>
      </w:r>
      <w:r w:rsidR="00715539" w:rsidRPr="00E477AE">
        <w:rPr>
          <w:rFonts w:ascii="Times New Roman" w:hAnsi="Times New Roman" w:cs="Times New Roman"/>
        </w:rPr>
        <w:t xml:space="preserve"> </w:t>
      </w:r>
      <w:r w:rsidR="00456EC9" w:rsidRPr="00E477AE">
        <w:rPr>
          <w:rFonts w:ascii="Times New Roman" w:hAnsi="Times New Roman" w:cs="Times New Roman"/>
        </w:rPr>
        <w:t>trust</w:t>
      </w:r>
      <w:r w:rsidR="00715539" w:rsidRPr="00E477AE">
        <w:rPr>
          <w:rFonts w:ascii="Times New Roman" w:hAnsi="Times New Roman" w:cs="Times New Roman"/>
        </w:rPr>
        <w:t xml:space="preserve"> alleged by the father</w:t>
      </w:r>
      <w:r w:rsidR="00456EC9" w:rsidRPr="00E477AE">
        <w:rPr>
          <w:rFonts w:ascii="Times New Roman" w:hAnsi="Times New Roman" w:cs="Times New Roman"/>
        </w:rPr>
        <w:t xml:space="preserve"> and so</w:t>
      </w:r>
      <w:r w:rsidR="00944AD0" w:rsidRPr="00E477AE">
        <w:rPr>
          <w:rFonts w:ascii="Times New Roman" w:hAnsi="Times New Roman" w:cs="Times New Roman"/>
        </w:rPr>
        <w:t>ught possession of</w:t>
      </w:r>
      <w:r w:rsidR="00715539" w:rsidRPr="00E477AE">
        <w:rPr>
          <w:rFonts w:ascii="Times New Roman" w:hAnsi="Times New Roman" w:cs="Times New Roman"/>
        </w:rPr>
        <w:t xml:space="preserve"> one of the properties, the other having been compulsorily acquired and compensation paid to her</w:t>
      </w:r>
      <w:r w:rsidR="00BD2576" w:rsidRPr="00E477AE">
        <w:rPr>
          <w:rFonts w:ascii="Times New Roman" w:hAnsi="Times New Roman" w:cs="Times New Roman"/>
        </w:rPr>
        <w:t>. T</w:t>
      </w:r>
      <w:r w:rsidR="00944AD0" w:rsidRPr="00E477AE">
        <w:rPr>
          <w:rFonts w:ascii="Times New Roman" w:hAnsi="Times New Roman" w:cs="Times New Roman"/>
        </w:rPr>
        <w:t xml:space="preserve">he father </w:t>
      </w:r>
      <w:r w:rsidR="00456EC9" w:rsidRPr="00E477AE">
        <w:rPr>
          <w:rFonts w:ascii="Times New Roman" w:hAnsi="Times New Roman" w:cs="Times New Roman"/>
        </w:rPr>
        <w:t>counter-claim</w:t>
      </w:r>
      <w:r w:rsidR="00944AD0" w:rsidRPr="00E477AE">
        <w:rPr>
          <w:rFonts w:ascii="Times New Roman" w:hAnsi="Times New Roman" w:cs="Times New Roman"/>
        </w:rPr>
        <w:t>ed for a declaration</w:t>
      </w:r>
      <w:r w:rsidR="001B45FE" w:rsidRPr="00E477AE">
        <w:rPr>
          <w:rFonts w:ascii="Times New Roman" w:hAnsi="Times New Roman" w:cs="Times New Roman"/>
        </w:rPr>
        <w:t xml:space="preserve"> that the daughter held the properties on </w:t>
      </w:r>
      <w:r w:rsidR="00944AD0" w:rsidRPr="00E477AE">
        <w:rPr>
          <w:rFonts w:ascii="Times New Roman" w:hAnsi="Times New Roman" w:cs="Times New Roman"/>
        </w:rPr>
        <w:t>trust</w:t>
      </w:r>
      <w:r w:rsidR="001B45FE" w:rsidRPr="00E477AE">
        <w:rPr>
          <w:rFonts w:ascii="Times New Roman" w:hAnsi="Times New Roman" w:cs="Times New Roman"/>
        </w:rPr>
        <w:t xml:space="preserve"> for him</w:t>
      </w:r>
      <w:r w:rsidR="00456EC9" w:rsidRPr="00E477AE">
        <w:rPr>
          <w:rFonts w:ascii="Times New Roman" w:hAnsi="Times New Roman" w:cs="Times New Roman"/>
        </w:rPr>
        <w:t>.</w:t>
      </w:r>
      <w:r w:rsidR="00B675FB" w:rsidRPr="00E477AE">
        <w:rPr>
          <w:rFonts w:ascii="Times New Roman" w:hAnsi="Times New Roman" w:cs="Times New Roman"/>
        </w:rPr>
        <w:t xml:space="preserve"> </w:t>
      </w:r>
    </w:p>
    <w:p w14:paraId="7B62E680" w14:textId="61B39477" w:rsidR="00DE45FF" w:rsidRPr="00E477AE" w:rsidRDefault="00B675FB" w:rsidP="00521DCD">
      <w:pPr>
        <w:ind w:firstLine="720"/>
        <w:jc w:val="both"/>
        <w:rPr>
          <w:rFonts w:ascii="Times New Roman" w:hAnsi="Times New Roman" w:cs="Times New Roman"/>
        </w:rPr>
      </w:pPr>
      <w:r w:rsidRPr="00E477AE">
        <w:rPr>
          <w:rFonts w:ascii="Times New Roman" w:hAnsi="Times New Roman" w:cs="Times New Roman"/>
        </w:rPr>
        <w:t>The Court of Appeal rejected the father’s claim</w:t>
      </w:r>
      <w:r w:rsidR="00BD2576" w:rsidRPr="00E477AE">
        <w:rPr>
          <w:rFonts w:ascii="Times New Roman" w:hAnsi="Times New Roman" w:cs="Times New Roman"/>
        </w:rPr>
        <w:t xml:space="preserve">. Quite apart from the justice of the outcome of </w:t>
      </w:r>
      <w:r w:rsidR="00BD2576" w:rsidRPr="00E477AE">
        <w:rPr>
          <w:rFonts w:ascii="Times New Roman" w:hAnsi="Times New Roman" w:cs="Times New Roman"/>
          <w:i/>
        </w:rPr>
        <w:t>Collier</w:t>
      </w:r>
      <w:r w:rsidR="00BD2576" w:rsidRPr="00E477AE">
        <w:rPr>
          <w:rFonts w:ascii="Times New Roman" w:hAnsi="Times New Roman" w:cs="Times New Roman"/>
        </w:rPr>
        <w:t>,</w:t>
      </w:r>
      <w:r w:rsidR="00095798" w:rsidRPr="00E477AE">
        <w:rPr>
          <w:rStyle w:val="FootnoteReference"/>
          <w:rFonts w:ascii="Times New Roman" w:hAnsi="Times New Roman" w:cs="Times New Roman"/>
        </w:rPr>
        <w:footnoteReference w:id="55"/>
      </w:r>
      <w:r w:rsidR="00BD2576" w:rsidRPr="00E477AE">
        <w:rPr>
          <w:rFonts w:ascii="Times New Roman" w:hAnsi="Times New Roman" w:cs="Times New Roman"/>
        </w:rPr>
        <w:t xml:space="preserve"> I suggest that </w:t>
      </w:r>
      <w:r w:rsidR="00944AD0" w:rsidRPr="00E477AE">
        <w:rPr>
          <w:rFonts w:ascii="Times New Roman" w:hAnsi="Times New Roman" w:cs="Times New Roman"/>
        </w:rPr>
        <w:t>the Court of Appeal</w:t>
      </w:r>
      <w:r w:rsidR="00BD2576" w:rsidRPr="00E477AE">
        <w:rPr>
          <w:rFonts w:ascii="Times New Roman" w:hAnsi="Times New Roman" w:cs="Times New Roman"/>
        </w:rPr>
        <w:t>’s decision</w:t>
      </w:r>
      <w:r w:rsidR="00095798" w:rsidRPr="00E477AE">
        <w:rPr>
          <w:rFonts w:ascii="Times New Roman" w:hAnsi="Times New Roman" w:cs="Times New Roman"/>
        </w:rPr>
        <w:t xml:space="preserve"> in that case</w:t>
      </w:r>
      <w:r w:rsidR="00BD2576" w:rsidRPr="00E477AE">
        <w:rPr>
          <w:rFonts w:ascii="Times New Roman" w:hAnsi="Times New Roman" w:cs="Times New Roman"/>
        </w:rPr>
        <w:t xml:space="preserve"> is justifiable based on the analysis above.</w:t>
      </w:r>
      <w:r w:rsidR="00095798" w:rsidRPr="00E477AE">
        <w:rPr>
          <w:rFonts w:ascii="Times New Roman" w:hAnsi="Times New Roman" w:cs="Times New Roman"/>
        </w:rPr>
        <w:t xml:space="preserve"> T</w:t>
      </w:r>
      <w:r w:rsidR="00944AD0" w:rsidRPr="00E477AE">
        <w:rPr>
          <w:rFonts w:ascii="Times New Roman" w:hAnsi="Times New Roman" w:cs="Times New Roman"/>
        </w:rPr>
        <w:t>he primary</w:t>
      </w:r>
      <w:r w:rsidR="00B74A79">
        <w:rPr>
          <w:rFonts w:ascii="Times New Roman" w:hAnsi="Times New Roman" w:cs="Times New Roman"/>
        </w:rPr>
        <w:t xml:space="preserve"> features of the</w:t>
      </w:r>
      <w:r w:rsidR="00944AD0" w:rsidRPr="00E477AE">
        <w:rPr>
          <w:rFonts w:ascii="Times New Roman" w:hAnsi="Times New Roman" w:cs="Times New Roman"/>
        </w:rPr>
        <w:t xml:space="preserve"> transaction in </w:t>
      </w:r>
      <w:r w:rsidR="00944AD0" w:rsidRPr="00E477AE">
        <w:rPr>
          <w:rFonts w:ascii="Times New Roman" w:hAnsi="Times New Roman" w:cs="Times New Roman"/>
          <w:i/>
        </w:rPr>
        <w:t>Collier</w:t>
      </w:r>
      <w:r w:rsidR="00944AD0" w:rsidRPr="00E477AE">
        <w:rPr>
          <w:rFonts w:ascii="Times New Roman" w:hAnsi="Times New Roman" w:cs="Times New Roman"/>
        </w:rPr>
        <w:t xml:space="preserve"> </w:t>
      </w:r>
      <w:r w:rsidR="00F82F31">
        <w:rPr>
          <w:rFonts w:ascii="Times New Roman" w:hAnsi="Times New Roman" w:cs="Times New Roman"/>
        </w:rPr>
        <w:t>(grant of the leases</w:t>
      </w:r>
      <w:r w:rsidR="00B74A79">
        <w:rPr>
          <w:rFonts w:ascii="Times New Roman" w:hAnsi="Times New Roman" w:cs="Times New Roman"/>
        </w:rPr>
        <w:t xml:space="preserve"> and</w:t>
      </w:r>
      <w:r w:rsidR="00F82F31">
        <w:rPr>
          <w:rFonts w:ascii="Times New Roman" w:hAnsi="Times New Roman" w:cs="Times New Roman"/>
        </w:rPr>
        <w:t xml:space="preserve"> exercise of the option to pur</w:t>
      </w:r>
      <w:r w:rsidR="00F82F31" w:rsidRPr="00F82F31">
        <w:rPr>
          <w:rFonts w:ascii="Times New Roman" w:hAnsi="Times New Roman" w:cs="Times New Roman"/>
          <w:i/>
        </w:rPr>
        <w:t>c</w:t>
      </w:r>
      <w:r w:rsidR="00F82F31">
        <w:rPr>
          <w:rFonts w:ascii="Times New Roman" w:hAnsi="Times New Roman" w:cs="Times New Roman"/>
        </w:rPr>
        <w:t xml:space="preserve">hase the freehold reversion) </w:t>
      </w:r>
      <w:r w:rsidR="00944AD0" w:rsidRPr="00E477AE">
        <w:rPr>
          <w:rFonts w:ascii="Times New Roman" w:hAnsi="Times New Roman" w:cs="Times New Roman"/>
        </w:rPr>
        <w:t>postulated an absolute title in favour of the daughter.</w:t>
      </w:r>
      <w:r w:rsidR="000D3153" w:rsidRPr="00E477AE">
        <w:rPr>
          <w:rFonts w:ascii="Times New Roman" w:hAnsi="Times New Roman" w:cs="Times New Roman"/>
        </w:rPr>
        <w:t xml:space="preserve"> Thus</w:t>
      </w:r>
      <w:r w:rsidR="00B86AEE" w:rsidRPr="00E477AE">
        <w:rPr>
          <w:rFonts w:ascii="Times New Roman" w:hAnsi="Times New Roman" w:cs="Times New Roman"/>
        </w:rPr>
        <w:t>, Mance LJ</w:t>
      </w:r>
      <w:r w:rsidR="000D3153" w:rsidRPr="00E477AE">
        <w:rPr>
          <w:rFonts w:ascii="Times New Roman" w:hAnsi="Times New Roman" w:cs="Times New Roman"/>
        </w:rPr>
        <w:t xml:space="preserve"> </w:t>
      </w:r>
      <w:r w:rsidR="00B86AEE" w:rsidRPr="00E477AE">
        <w:rPr>
          <w:rFonts w:ascii="Times New Roman" w:hAnsi="Times New Roman" w:cs="Times New Roman"/>
        </w:rPr>
        <w:t>(as he then was)</w:t>
      </w:r>
      <w:r w:rsidR="000D3153" w:rsidRPr="00E477AE">
        <w:rPr>
          <w:rFonts w:ascii="Times New Roman" w:hAnsi="Times New Roman" w:cs="Times New Roman"/>
        </w:rPr>
        <w:t xml:space="preserve"> observed that the daughter acquired an ‘ostensible</w:t>
      </w:r>
      <w:r w:rsidR="00B86AEE" w:rsidRPr="00E477AE">
        <w:rPr>
          <w:rFonts w:ascii="Times New Roman" w:hAnsi="Times New Roman" w:cs="Times New Roman"/>
        </w:rPr>
        <w:t xml:space="preserve"> leasehold an</w:t>
      </w:r>
      <w:r w:rsidR="006B15FD" w:rsidRPr="00E477AE">
        <w:rPr>
          <w:rFonts w:ascii="Times New Roman" w:hAnsi="Times New Roman" w:cs="Times New Roman"/>
        </w:rPr>
        <w:t>d freehold interests (which are</w:t>
      </w:r>
      <w:r w:rsidR="00B86AEE" w:rsidRPr="00E477AE">
        <w:rPr>
          <w:rFonts w:ascii="Times New Roman" w:hAnsi="Times New Roman" w:cs="Times New Roman"/>
        </w:rPr>
        <w:t>)</w:t>
      </w:r>
      <w:r w:rsidR="006B15FD" w:rsidRPr="00E477AE">
        <w:rPr>
          <w:rFonts w:ascii="Times New Roman" w:hAnsi="Times New Roman" w:cs="Times New Roman"/>
        </w:rPr>
        <w:t xml:space="preserve"> </w:t>
      </w:r>
      <w:r w:rsidR="00B86AEE" w:rsidRPr="00E477AE">
        <w:rPr>
          <w:rFonts w:ascii="Times New Roman" w:hAnsi="Times New Roman" w:cs="Times New Roman"/>
        </w:rPr>
        <w:t>objective “legal facts”’</w:t>
      </w:r>
      <w:r w:rsidR="00095798" w:rsidRPr="00E477AE">
        <w:rPr>
          <w:rFonts w:ascii="Times New Roman" w:hAnsi="Times New Roman" w:cs="Times New Roman"/>
        </w:rPr>
        <w:t>.</w:t>
      </w:r>
      <w:r w:rsidR="00B86AEE" w:rsidRPr="00E477AE">
        <w:rPr>
          <w:rStyle w:val="FootnoteReference"/>
          <w:rFonts w:ascii="Times New Roman" w:hAnsi="Times New Roman" w:cs="Times New Roman"/>
        </w:rPr>
        <w:footnoteReference w:id="56"/>
      </w:r>
      <w:r w:rsidR="00147DA2" w:rsidRPr="00E477AE">
        <w:rPr>
          <w:rFonts w:ascii="Times New Roman" w:hAnsi="Times New Roman" w:cs="Times New Roman"/>
        </w:rPr>
        <w:t xml:space="preserve"> It would have been unjustifiable to</w:t>
      </w:r>
      <w:r w:rsidR="00F70B0E" w:rsidRPr="00E477AE">
        <w:rPr>
          <w:rFonts w:ascii="Times New Roman" w:hAnsi="Times New Roman" w:cs="Times New Roman"/>
        </w:rPr>
        <w:t xml:space="preserve"> treat as </w:t>
      </w:r>
      <w:r w:rsidR="00147DA2" w:rsidRPr="00E477AE">
        <w:rPr>
          <w:rFonts w:ascii="Times New Roman" w:hAnsi="Times New Roman" w:cs="Times New Roman"/>
        </w:rPr>
        <w:t>nuga</w:t>
      </w:r>
      <w:r w:rsidR="006B15FD" w:rsidRPr="00E477AE">
        <w:rPr>
          <w:rFonts w:ascii="Times New Roman" w:hAnsi="Times New Roman" w:cs="Times New Roman"/>
        </w:rPr>
        <w:t>tory the daughter’s proprietary</w:t>
      </w:r>
      <w:r w:rsidR="00147DA2" w:rsidRPr="00E477AE">
        <w:rPr>
          <w:rFonts w:ascii="Times New Roman" w:hAnsi="Times New Roman" w:cs="Times New Roman"/>
        </w:rPr>
        <w:t xml:space="preserve"> interest arising from the </w:t>
      </w:r>
      <w:r w:rsidR="006B15FD" w:rsidRPr="00E477AE">
        <w:rPr>
          <w:rFonts w:ascii="Times New Roman" w:hAnsi="Times New Roman" w:cs="Times New Roman"/>
        </w:rPr>
        <w:t>critical</w:t>
      </w:r>
      <w:r w:rsidR="00B74A79">
        <w:rPr>
          <w:rFonts w:ascii="Times New Roman" w:hAnsi="Times New Roman" w:cs="Times New Roman"/>
        </w:rPr>
        <w:t xml:space="preserve"> and</w:t>
      </w:r>
      <w:r w:rsidR="006B15FD" w:rsidRPr="00E477AE">
        <w:rPr>
          <w:rFonts w:ascii="Times New Roman" w:hAnsi="Times New Roman" w:cs="Times New Roman"/>
        </w:rPr>
        <w:t xml:space="preserve"> </w:t>
      </w:r>
      <w:r w:rsidR="00147DA2" w:rsidRPr="00E477AE">
        <w:rPr>
          <w:rFonts w:ascii="Times New Roman" w:hAnsi="Times New Roman" w:cs="Times New Roman"/>
        </w:rPr>
        <w:t>primary</w:t>
      </w:r>
      <w:r w:rsidR="00B74A79">
        <w:rPr>
          <w:rFonts w:ascii="Times New Roman" w:hAnsi="Times New Roman" w:cs="Times New Roman"/>
        </w:rPr>
        <w:t xml:space="preserve"> features of that</w:t>
      </w:r>
      <w:r w:rsidR="00147DA2" w:rsidRPr="00E477AE">
        <w:rPr>
          <w:rFonts w:ascii="Times New Roman" w:hAnsi="Times New Roman" w:cs="Times New Roman"/>
        </w:rPr>
        <w:t xml:space="preserve"> transaction</w:t>
      </w:r>
      <w:r w:rsidR="00095798" w:rsidRPr="00E477AE">
        <w:rPr>
          <w:rFonts w:ascii="Times New Roman" w:hAnsi="Times New Roman" w:cs="Times New Roman"/>
        </w:rPr>
        <w:t>.</w:t>
      </w:r>
      <w:r w:rsidR="006B15FD" w:rsidRPr="00E477AE">
        <w:rPr>
          <w:rFonts w:ascii="Times New Roman" w:hAnsi="Times New Roman" w:cs="Times New Roman"/>
        </w:rPr>
        <w:t xml:space="preserve"> </w:t>
      </w:r>
      <w:r w:rsidR="00095798" w:rsidRPr="00E477AE">
        <w:rPr>
          <w:rFonts w:ascii="Times New Roman" w:hAnsi="Times New Roman" w:cs="Times New Roman"/>
        </w:rPr>
        <w:t>T</w:t>
      </w:r>
      <w:r w:rsidR="00F70B0E" w:rsidRPr="00E477AE">
        <w:rPr>
          <w:rFonts w:ascii="Times New Roman" w:hAnsi="Times New Roman" w:cs="Times New Roman"/>
        </w:rPr>
        <w:t xml:space="preserve">he </w:t>
      </w:r>
      <w:r w:rsidR="006B15FD" w:rsidRPr="00E477AE">
        <w:rPr>
          <w:rFonts w:ascii="Times New Roman" w:hAnsi="Times New Roman" w:cs="Times New Roman"/>
        </w:rPr>
        <w:t>trust</w:t>
      </w:r>
      <w:r w:rsidR="00095798" w:rsidRPr="00E477AE">
        <w:rPr>
          <w:rFonts w:ascii="Times New Roman" w:hAnsi="Times New Roman" w:cs="Times New Roman"/>
        </w:rPr>
        <w:t xml:space="preserve"> alleged by the father</w:t>
      </w:r>
      <w:r w:rsidR="00B74A79">
        <w:rPr>
          <w:rFonts w:ascii="Times New Roman" w:hAnsi="Times New Roman" w:cs="Times New Roman"/>
        </w:rPr>
        <w:t xml:space="preserve"> does not arise</w:t>
      </w:r>
      <w:r w:rsidR="00EC345B">
        <w:rPr>
          <w:rFonts w:ascii="Times New Roman" w:hAnsi="Times New Roman" w:cs="Times New Roman"/>
        </w:rPr>
        <w:t>, and could not have arisen, from the primary features of</w:t>
      </w:r>
      <w:r w:rsidR="00F82F31">
        <w:rPr>
          <w:rFonts w:ascii="Times New Roman" w:hAnsi="Times New Roman" w:cs="Times New Roman"/>
        </w:rPr>
        <w:t xml:space="preserve"> </w:t>
      </w:r>
      <w:r w:rsidR="00F70B0E" w:rsidRPr="00E477AE">
        <w:rPr>
          <w:rFonts w:ascii="Times New Roman" w:hAnsi="Times New Roman" w:cs="Times New Roman"/>
        </w:rPr>
        <w:t>that transaction</w:t>
      </w:r>
      <w:r w:rsidR="00095798" w:rsidRPr="00E477AE">
        <w:rPr>
          <w:rFonts w:ascii="Times New Roman" w:hAnsi="Times New Roman" w:cs="Times New Roman"/>
        </w:rPr>
        <w:t>. Alternatively</w:t>
      </w:r>
      <w:r w:rsidR="006B15FD" w:rsidRPr="00E477AE">
        <w:rPr>
          <w:rFonts w:ascii="Times New Roman" w:hAnsi="Times New Roman" w:cs="Times New Roman"/>
        </w:rPr>
        <w:t>, as argued below, the trust alleged by the father</w:t>
      </w:r>
      <w:r w:rsidR="00095798" w:rsidRPr="00E477AE">
        <w:rPr>
          <w:rFonts w:ascii="Times New Roman" w:hAnsi="Times New Roman" w:cs="Times New Roman"/>
        </w:rPr>
        <w:t xml:space="preserve"> </w:t>
      </w:r>
      <w:r w:rsidR="006B15FD" w:rsidRPr="00E477AE">
        <w:rPr>
          <w:rFonts w:ascii="Times New Roman" w:hAnsi="Times New Roman" w:cs="Times New Roman"/>
        </w:rPr>
        <w:t>directly violates the law, and thus, comes within the narrow</w:t>
      </w:r>
      <w:r w:rsidR="00095798" w:rsidRPr="00E477AE">
        <w:rPr>
          <w:rFonts w:ascii="Times New Roman" w:hAnsi="Times New Roman" w:cs="Times New Roman"/>
        </w:rPr>
        <w:t xml:space="preserve"> confines of illegality delineated</w:t>
      </w:r>
      <w:r w:rsidR="006B15FD" w:rsidRPr="00E477AE">
        <w:rPr>
          <w:rFonts w:ascii="Times New Roman" w:hAnsi="Times New Roman" w:cs="Times New Roman"/>
        </w:rPr>
        <w:t xml:space="preserve"> by this author. </w:t>
      </w:r>
    </w:p>
    <w:p w14:paraId="4FC974CD" w14:textId="77777777" w:rsidR="00127D93" w:rsidRPr="00E477AE" w:rsidRDefault="00D1162F" w:rsidP="00521DCD">
      <w:pPr>
        <w:ind w:firstLine="720"/>
        <w:jc w:val="both"/>
        <w:rPr>
          <w:rFonts w:ascii="Times New Roman" w:hAnsi="Times New Roman" w:cs="Times New Roman"/>
        </w:rPr>
      </w:pPr>
      <w:r w:rsidRPr="00E477AE">
        <w:rPr>
          <w:rFonts w:ascii="Times New Roman" w:hAnsi="Times New Roman" w:cs="Times New Roman"/>
        </w:rPr>
        <w:t xml:space="preserve">In </w:t>
      </w:r>
      <w:r w:rsidRPr="00E477AE">
        <w:rPr>
          <w:rFonts w:ascii="Times New Roman" w:hAnsi="Times New Roman" w:cs="Times New Roman"/>
          <w:i/>
        </w:rPr>
        <w:t>Barrett v Barrett</w:t>
      </w:r>
      <w:r w:rsidRPr="00E477AE">
        <w:rPr>
          <w:rFonts w:ascii="Times New Roman" w:hAnsi="Times New Roman" w:cs="Times New Roman"/>
        </w:rPr>
        <w:t>,</w:t>
      </w:r>
      <w:r w:rsidRPr="00E477AE">
        <w:rPr>
          <w:rStyle w:val="FootnoteReference"/>
          <w:rFonts w:ascii="Times New Roman" w:hAnsi="Times New Roman" w:cs="Times New Roman"/>
        </w:rPr>
        <w:footnoteReference w:id="57"/>
      </w:r>
      <w:r w:rsidRPr="00E477AE">
        <w:rPr>
          <w:rFonts w:ascii="Times New Roman" w:hAnsi="Times New Roman" w:cs="Times New Roman"/>
        </w:rPr>
        <w:t xml:space="preserve"> after the claimant (Thomas) was declared bankrupt, his trustee in bankruptcy sold his property to the claimant’s brother (John). John purchased the property with a loan from a lender (building society), which was secured upon the property. Years later, John sold the property, but Thomas claimed that John held the net proc</w:t>
      </w:r>
      <w:r w:rsidR="0033731C" w:rsidRPr="00E477AE">
        <w:rPr>
          <w:rFonts w:ascii="Times New Roman" w:hAnsi="Times New Roman" w:cs="Times New Roman"/>
        </w:rPr>
        <w:t>eeds of sale on trust for him</w:t>
      </w:r>
      <w:r w:rsidRPr="00E477AE">
        <w:rPr>
          <w:rFonts w:ascii="Times New Roman" w:hAnsi="Times New Roman" w:cs="Times New Roman"/>
        </w:rPr>
        <w:t>. The trust alleged by Thomas was a common intention constructive trust, on the basis that, at the time the property was acquired by John, there was an express agreement, arrangement or understanding between Thomas and John that John would purchase the property and hold it on trust for Thomas absolutely. The purpose of the agreement was to enable Thomas re-gain ownership of the property, without it being repossessed by the trustee in bankruptcy. Thus, the intention was to conceal the property from the trustee in bankruptcy. Thomas undertook to repay John all the expenses that John incurred in connection with the house and, in reliance on the said agreement, Thomas took the sole responsibility for the payment of John’s mortgage instalments out of Thomas’ personal resources. John argued that the claim was not m</w:t>
      </w:r>
      <w:r w:rsidR="002A4374" w:rsidRPr="00E477AE">
        <w:rPr>
          <w:rFonts w:ascii="Times New Roman" w:hAnsi="Times New Roman" w:cs="Times New Roman"/>
        </w:rPr>
        <w:t xml:space="preserve">aintainable because the </w:t>
      </w:r>
      <w:r w:rsidRPr="00E477AE">
        <w:rPr>
          <w:rFonts w:ascii="Times New Roman" w:hAnsi="Times New Roman" w:cs="Times New Roman"/>
        </w:rPr>
        <w:t xml:space="preserve">purpose of the trust was illegal. Richards J accepted John’s argument, and affirmed the striking out of Thomas’ claim by the lower court. </w:t>
      </w:r>
    </w:p>
    <w:p w14:paraId="3C25061A" w14:textId="42CD7656" w:rsidR="00D1162F" w:rsidRPr="00E477AE" w:rsidRDefault="00D1162F" w:rsidP="00521DCD">
      <w:pPr>
        <w:ind w:firstLine="720"/>
        <w:jc w:val="both"/>
        <w:rPr>
          <w:rFonts w:ascii="Times New Roman" w:hAnsi="Times New Roman" w:cs="Times New Roman"/>
        </w:rPr>
      </w:pPr>
      <w:r w:rsidRPr="00E477AE">
        <w:rPr>
          <w:rFonts w:ascii="Times New Roman" w:hAnsi="Times New Roman" w:cs="Times New Roman"/>
        </w:rPr>
        <w:t xml:space="preserve">The decision in </w:t>
      </w:r>
      <w:r w:rsidRPr="00E477AE">
        <w:rPr>
          <w:rFonts w:ascii="Times New Roman" w:hAnsi="Times New Roman" w:cs="Times New Roman"/>
          <w:i/>
        </w:rPr>
        <w:t>Barrett</w:t>
      </w:r>
      <w:r w:rsidR="00127D93" w:rsidRPr="00E477AE">
        <w:rPr>
          <w:rFonts w:ascii="Times New Roman" w:hAnsi="Times New Roman" w:cs="Times New Roman"/>
        </w:rPr>
        <w:t xml:space="preserve"> is justifiable</w:t>
      </w:r>
      <w:r w:rsidRPr="00E477AE">
        <w:rPr>
          <w:rFonts w:ascii="Times New Roman" w:hAnsi="Times New Roman" w:cs="Times New Roman"/>
        </w:rPr>
        <w:t xml:space="preserve"> because, as in </w:t>
      </w:r>
      <w:r w:rsidRPr="00E477AE">
        <w:rPr>
          <w:rFonts w:ascii="Times New Roman" w:hAnsi="Times New Roman" w:cs="Times New Roman"/>
          <w:i/>
        </w:rPr>
        <w:t>Collier</w:t>
      </w:r>
      <w:r w:rsidRPr="00E477AE">
        <w:rPr>
          <w:rFonts w:ascii="Times New Roman" w:hAnsi="Times New Roman" w:cs="Times New Roman"/>
        </w:rPr>
        <w:t>, the primary</w:t>
      </w:r>
      <w:r w:rsidR="00B74A79">
        <w:rPr>
          <w:rFonts w:ascii="Times New Roman" w:hAnsi="Times New Roman" w:cs="Times New Roman"/>
        </w:rPr>
        <w:t xml:space="preserve"> feature of the</w:t>
      </w:r>
      <w:r w:rsidRPr="00E477AE">
        <w:rPr>
          <w:rFonts w:ascii="Times New Roman" w:hAnsi="Times New Roman" w:cs="Times New Roman"/>
        </w:rPr>
        <w:t xml:space="preserve"> transaction was John’s purchase of the property with his own money, which</w:t>
      </w:r>
      <w:r w:rsidR="00127D93" w:rsidRPr="00E477AE">
        <w:rPr>
          <w:rFonts w:ascii="Times New Roman" w:hAnsi="Times New Roman" w:cs="Times New Roman"/>
        </w:rPr>
        <w:t xml:space="preserve"> (ordinarily)</w:t>
      </w:r>
      <w:r w:rsidRPr="00E477AE">
        <w:rPr>
          <w:rFonts w:ascii="Times New Roman" w:hAnsi="Times New Roman" w:cs="Times New Roman"/>
        </w:rPr>
        <w:t xml:space="preserve"> did not give rise to a trust. Since the common intention constructive trust alleged by Thomas did not emanate from the primary</w:t>
      </w:r>
      <w:r w:rsidR="00B74A79">
        <w:rPr>
          <w:rFonts w:ascii="Times New Roman" w:hAnsi="Times New Roman" w:cs="Times New Roman"/>
        </w:rPr>
        <w:t xml:space="preserve"> feature of that</w:t>
      </w:r>
      <w:r w:rsidRPr="00E477AE">
        <w:rPr>
          <w:rFonts w:ascii="Times New Roman" w:hAnsi="Times New Roman" w:cs="Times New Roman"/>
        </w:rPr>
        <w:t xml:space="preserve"> transaction (but was</w:t>
      </w:r>
      <w:r w:rsidR="006B2533">
        <w:rPr>
          <w:rFonts w:ascii="Times New Roman" w:hAnsi="Times New Roman" w:cs="Times New Roman"/>
        </w:rPr>
        <w:t xml:space="preserve"> incidental</w:t>
      </w:r>
      <w:r w:rsidRPr="00E477AE">
        <w:rPr>
          <w:rFonts w:ascii="Times New Roman" w:hAnsi="Times New Roman" w:cs="Times New Roman"/>
        </w:rPr>
        <w:t xml:space="preserve"> to it), it was unsurprising that the court ref</w:t>
      </w:r>
      <w:r w:rsidR="00127D93" w:rsidRPr="00E477AE">
        <w:rPr>
          <w:rFonts w:ascii="Times New Roman" w:hAnsi="Times New Roman" w:cs="Times New Roman"/>
        </w:rPr>
        <w:t>used to enforce the trust</w:t>
      </w:r>
      <w:r w:rsidRPr="00E477AE">
        <w:rPr>
          <w:rFonts w:ascii="Times New Roman" w:hAnsi="Times New Roman" w:cs="Times New Roman"/>
        </w:rPr>
        <w:t xml:space="preserve"> on account</w:t>
      </w:r>
      <w:r w:rsidR="00A16195">
        <w:rPr>
          <w:rFonts w:ascii="Times New Roman" w:hAnsi="Times New Roman" w:cs="Times New Roman"/>
        </w:rPr>
        <w:t xml:space="preserve"> o</w:t>
      </w:r>
      <w:r w:rsidRPr="00E477AE">
        <w:rPr>
          <w:rFonts w:ascii="Times New Roman" w:hAnsi="Times New Roman" w:cs="Times New Roman"/>
        </w:rPr>
        <w:t>f its illegal purpose</w:t>
      </w:r>
      <w:r w:rsidR="00127D93" w:rsidRPr="00E477AE">
        <w:rPr>
          <w:rFonts w:ascii="Times New Roman" w:hAnsi="Times New Roman" w:cs="Times New Roman"/>
        </w:rPr>
        <w:t>.</w:t>
      </w:r>
    </w:p>
    <w:p w14:paraId="0830A460" w14:textId="77777777" w:rsidR="008420EF" w:rsidRPr="00E477AE" w:rsidRDefault="008420EF" w:rsidP="00521DCD">
      <w:pPr>
        <w:jc w:val="both"/>
        <w:rPr>
          <w:rFonts w:ascii="Times New Roman" w:hAnsi="Times New Roman" w:cs="Times New Roman"/>
        </w:rPr>
      </w:pPr>
    </w:p>
    <w:p w14:paraId="43410E65" w14:textId="77777777" w:rsidR="008420EF" w:rsidRPr="00E477AE" w:rsidRDefault="008420EF" w:rsidP="00521DCD">
      <w:pPr>
        <w:jc w:val="both"/>
        <w:rPr>
          <w:rFonts w:ascii="Times New Roman" w:hAnsi="Times New Roman" w:cs="Times New Roman"/>
          <w:b/>
        </w:rPr>
      </w:pPr>
      <w:r w:rsidRPr="00E477AE">
        <w:rPr>
          <w:rFonts w:ascii="Times New Roman" w:hAnsi="Times New Roman" w:cs="Times New Roman"/>
          <w:b/>
        </w:rPr>
        <w:t>Primary Transactions That Give Rise to Gifts – Presumption of Advancement</w:t>
      </w:r>
    </w:p>
    <w:p w14:paraId="62D8C02E" w14:textId="77777777" w:rsidR="008420EF" w:rsidRPr="00E477AE" w:rsidRDefault="008420EF" w:rsidP="00521DCD">
      <w:pPr>
        <w:jc w:val="both"/>
        <w:rPr>
          <w:rFonts w:ascii="Times New Roman" w:hAnsi="Times New Roman" w:cs="Times New Roman"/>
        </w:rPr>
      </w:pPr>
    </w:p>
    <w:p w14:paraId="69BB3B57" w14:textId="704C3BCE" w:rsidR="00112C41" w:rsidRPr="00E477AE" w:rsidRDefault="00A075D7" w:rsidP="00521DCD">
      <w:pPr>
        <w:jc w:val="both"/>
        <w:rPr>
          <w:rFonts w:ascii="Times New Roman" w:hAnsi="Times New Roman" w:cs="Times New Roman"/>
        </w:rPr>
      </w:pPr>
      <w:r w:rsidRPr="00E477AE">
        <w:rPr>
          <w:rFonts w:ascii="Times New Roman" w:hAnsi="Times New Roman" w:cs="Times New Roman"/>
        </w:rPr>
        <w:t xml:space="preserve"> </w:t>
      </w:r>
      <w:r w:rsidR="00E7089D" w:rsidRPr="00E477AE">
        <w:rPr>
          <w:rFonts w:ascii="Times New Roman" w:hAnsi="Times New Roman" w:cs="Times New Roman"/>
        </w:rPr>
        <w:t xml:space="preserve">Where a </w:t>
      </w:r>
      <w:r w:rsidR="004D54EF" w:rsidRPr="00E477AE">
        <w:rPr>
          <w:rFonts w:ascii="Times New Roman" w:hAnsi="Times New Roman" w:cs="Times New Roman"/>
        </w:rPr>
        <w:t xml:space="preserve">voluntary </w:t>
      </w:r>
      <w:r w:rsidR="00E7089D" w:rsidRPr="00E477AE">
        <w:rPr>
          <w:rFonts w:ascii="Times New Roman" w:hAnsi="Times New Roman" w:cs="Times New Roman"/>
        </w:rPr>
        <w:t>transfer is made to a person in a</w:t>
      </w:r>
      <w:r w:rsidR="00DD2084">
        <w:rPr>
          <w:rFonts w:ascii="Times New Roman" w:hAnsi="Times New Roman" w:cs="Times New Roman"/>
        </w:rPr>
        <w:t xml:space="preserve"> legally recogniz</w:t>
      </w:r>
      <w:r w:rsidR="00CC489D" w:rsidRPr="00E477AE">
        <w:rPr>
          <w:rFonts w:ascii="Times New Roman" w:hAnsi="Times New Roman" w:cs="Times New Roman"/>
        </w:rPr>
        <w:t>ed</w:t>
      </w:r>
      <w:r w:rsidR="00E7089D" w:rsidRPr="00E477AE">
        <w:rPr>
          <w:rFonts w:ascii="Times New Roman" w:hAnsi="Times New Roman" w:cs="Times New Roman"/>
        </w:rPr>
        <w:t xml:space="preserve"> gift-giving relationship with the transferor,</w:t>
      </w:r>
      <w:r w:rsidR="00B50B04">
        <w:rPr>
          <w:rStyle w:val="FootnoteReference"/>
          <w:rFonts w:ascii="Times New Roman" w:hAnsi="Times New Roman" w:cs="Times New Roman"/>
        </w:rPr>
        <w:footnoteReference w:id="58"/>
      </w:r>
      <w:r w:rsidR="00E7089D" w:rsidRPr="00E477AE">
        <w:rPr>
          <w:rFonts w:ascii="Times New Roman" w:hAnsi="Times New Roman" w:cs="Times New Roman"/>
        </w:rPr>
        <w:t xml:space="preserve"> such as</w:t>
      </w:r>
      <w:r w:rsidR="008C554B" w:rsidRPr="00E477AE">
        <w:rPr>
          <w:rFonts w:ascii="Times New Roman" w:hAnsi="Times New Roman" w:cs="Times New Roman"/>
        </w:rPr>
        <w:t xml:space="preserve"> the</w:t>
      </w:r>
      <w:r w:rsidR="00C549C6" w:rsidRPr="00E477AE">
        <w:rPr>
          <w:rFonts w:ascii="Times New Roman" w:hAnsi="Times New Roman" w:cs="Times New Roman"/>
        </w:rPr>
        <w:t xml:space="preserve"> transfer</w:t>
      </w:r>
      <w:r w:rsidR="008C554B" w:rsidRPr="00E477AE">
        <w:rPr>
          <w:rFonts w:ascii="Times New Roman" w:hAnsi="Times New Roman" w:cs="Times New Roman"/>
        </w:rPr>
        <w:t xml:space="preserve">or’s </w:t>
      </w:r>
      <w:r w:rsidR="00E7089D" w:rsidRPr="00E477AE">
        <w:rPr>
          <w:rFonts w:ascii="Times New Roman" w:hAnsi="Times New Roman" w:cs="Times New Roman"/>
        </w:rPr>
        <w:t xml:space="preserve">wife, child or person in loco parentis, equity presumes that the transfer is a gift to the </w:t>
      </w:r>
      <w:r w:rsidR="008C554B" w:rsidRPr="00E477AE">
        <w:rPr>
          <w:rFonts w:ascii="Times New Roman" w:hAnsi="Times New Roman" w:cs="Times New Roman"/>
        </w:rPr>
        <w:t>transferee;</w:t>
      </w:r>
      <w:r w:rsidR="00F5407E" w:rsidRPr="00E477AE">
        <w:rPr>
          <w:rStyle w:val="FootnoteReference"/>
          <w:rFonts w:ascii="Times New Roman" w:hAnsi="Times New Roman" w:cs="Times New Roman"/>
        </w:rPr>
        <w:footnoteReference w:id="59"/>
      </w:r>
      <w:r w:rsidR="008C554B" w:rsidRPr="00E477AE">
        <w:rPr>
          <w:rFonts w:ascii="Times New Roman" w:hAnsi="Times New Roman" w:cs="Times New Roman"/>
        </w:rPr>
        <w:t xml:space="preserve"> this is </w:t>
      </w:r>
      <w:r w:rsidR="00C549C6" w:rsidRPr="00E477AE">
        <w:rPr>
          <w:rFonts w:ascii="Times New Roman" w:hAnsi="Times New Roman" w:cs="Times New Roman"/>
        </w:rPr>
        <w:t>known as</w:t>
      </w:r>
      <w:r w:rsidR="00E7089D" w:rsidRPr="00E477AE">
        <w:rPr>
          <w:rFonts w:ascii="Times New Roman" w:hAnsi="Times New Roman" w:cs="Times New Roman"/>
        </w:rPr>
        <w:t xml:space="preserve"> the presumption of advancement.</w:t>
      </w:r>
      <w:r w:rsidR="005642ED" w:rsidRPr="00E477AE">
        <w:rPr>
          <w:rFonts w:ascii="Times New Roman" w:hAnsi="Times New Roman" w:cs="Times New Roman"/>
        </w:rPr>
        <w:t xml:space="preserve"> However, a similar tr</w:t>
      </w:r>
      <w:r w:rsidR="004E4025" w:rsidRPr="00E477AE">
        <w:rPr>
          <w:rFonts w:ascii="Times New Roman" w:hAnsi="Times New Roman" w:cs="Times New Roman"/>
        </w:rPr>
        <w:t>ansfer to a stranger would be</w:t>
      </w:r>
      <w:r w:rsidR="00CC713C" w:rsidRPr="00E477AE">
        <w:rPr>
          <w:rFonts w:ascii="Times New Roman" w:hAnsi="Times New Roman" w:cs="Times New Roman"/>
        </w:rPr>
        <w:t xml:space="preserve"> presumed</w:t>
      </w:r>
      <w:r w:rsidR="004E4025" w:rsidRPr="00E477AE">
        <w:rPr>
          <w:rFonts w:ascii="Times New Roman" w:hAnsi="Times New Roman" w:cs="Times New Roman"/>
        </w:rPr>
        <w:t xml:space="preserve"> a</w:t>
      </w:r>
      <w:r w:rsidR="00CC713C" w:rsidRPr="00E477AE">
        <w:rPr>
          <w:rFonts w:ascii="Times New Roman" w:hAnsi="Times New Roman" w:cs="Times New Roman"/>
        </w:rPr>
        <w:t xml:space="preserve"> trust</w:t>
      </w:r>
      <w:r w:rsidR="004E4025" w:rsidRPr="00E477AE">
        <w:rPr>
          <w:rFonts w:ascii="Times New Roman" w:hAnsi="Times New Roman" w:cs="Times New Roman"/>
        </w:rPr>
        <w:t xml:space="preserve"> in favour of the transferor</w:t>
      </w:r>
      <w:r w:rsidR="00EA3897" w:rsidRPr="00E477AE">
        <w:rPr>
          <w:rFonts w:ascii="Times New Roman" w:hAnsi="Times New Roman" w:cs="Times New Roman"/>
        </w:rPr>
        <w:t>, even if created for a fraudulent purpose</w:t>
      </w:r>
      <w:r w:rsidR="00CC713C" w:rsidRPr="00E477AE">
        <w:rPr>
          <w:rFonts w:ascii="Times New Roman" w:hAnsi="Times New Roman" w:cs="Times New Roman"/>
        </w:rPr>
        <w:t>. Why this</w:t>
      </w:r>
      <w:r w:rsidR="007E22AE" w:rsidRPr="00E477AE">
        <w:rPr>
          <w:rFonts w:ascii="Times New Roman" w:hAnsi="Times New Roman" w:cs="Times New Roman"/>
        </w:rPr>
        <w:t xml:space="preserve"> disparity of outcome? I suggest that the reason has to do with</w:t>
      </w:r>
      <w:r w:rsidR="004E4025" w:rsidRPr="00E477AE">
        <w:rPr>
          <w:rFonts w:ascii="Times New Roman" w:hAnsi="Times New Roman" w:cs="Times New Roman"/>
        </w:rPr>
        <w:t xml:space="preserve"> what is</w:t>
      </w:r>
      <w:r w:rsidR="005503FD" w:rsidRPr="00E477AE">
        <w:rPr>
          <w:rFonts w:ascii="Times New Roman" w:hAnsi="Times New Roman" w:cs="Times New Roman"/>
        </w:rPr>
        <w:t xml:space="preserve"> identified as the </w:t>
      </w:r>
      <w:r w:rsidR="005B0DF4">
        <w:rPr>
          <w:rFonts w:ascii="Times New Roman" w:hAnsi="Times New Roman" w:cs="Times New Roman"/>
        </w:rPr>
        <w:t>critical</w:t>
      </w:r>
      <w:r w:rsidR="005503FD" w:rsidRPr="00E477AE">
        <w:rPr>
          <w:rFonts w:ascii="Times New Roman" w:hAnsi="Times New Roman" w:cs="Times New Roman"/>
        </w:rPr>
        <w:t xml:space="preserve"> and </w:t>
      </w:r>
      <w:r w:rsidR="005B0DF4">
        <w:rPr>
          <w:rFonts w:ascii="Times New Roman" w:hAnsi="Times New Roman" w:cs="Times New Roman"/>
        </w:rPr>
        <w:t>pr</w:t>
      </w:r>
      <w:r w:rsidR="007E22AE" w:rsidRPr="00E477AE">
        <w:rPr>
          <w:rFonts w:ascii="Times New Roman" w:hAnsi="Times New Roman" w:cs="Times New Roman"/>
        </w:rPr>
        <w:t>imary</w:t>
      </w:r>
      <w:r w:rsidR="005B0DF4">
        <w:rPr>
          <w:rFonts w:ascii="Times New Roman" w:hAnsi="Times New Roman" w:cs="Times New Roman"/>
        </w:rPr>
        <w:t xml:space="preserve"> feature of the</w:t>
      </w:r>
      <w:r w:rsidR="007E22AE" w:rsidRPr="00E477AE">
        <w:rPr>
          <w:rFonts w:ascii="Times New Roman" w:hAnsi="Times New Roman" w:cs="Times New Roman"/>
        </w:rPr>
        <w:t xml:space="preserve"> transaction i</w:t>
      </w:r>
      <w:r w:rsidR="00CC489D" w:rsidRPr="00E477AE">
        <w:rPr>
          <w:rFonts w:ascii="Times New Roman" w:hAnsi="Times New Roman" w:cs="Times New Roman"/>
        </w:rPr>
        <w:t>n the two hypothetical transfers</w:t>
      </w:r>
      <w:r w:rsidR="007E22AE" w:rsidRPr="00E477AE">
        <w:rPr>
          <w:rFonts w:ascii="Times New Roman" w:hAnsi="Times New Roman" w:cs="Times New Roman"/>
        </w:rPr>
        <w:t xml:space="preserve"> above. In the case of</w:t>
      </w:r>
      <w:r w:rsidR="004E4025" w:rsidRPr="00E477AE">
        <w:rPr>
          <w:rFonts w:ascii="Times New Roman" w:hAnsi="Times New Roman" w:cs="Times New Roman"/>
        </w:rPr>
        <w:t xml:space="preserve"> gift</w:t>
      </w:r>
      <w:r w:rsidR="007E22AE" w:rsidRPr="00E477AE">
        <w:rPr>
          <w:rFonts w:ascii="Times New Roman" w:hAnsi="Times New Roman" w:cs="Times New Roman"/>
        </w:rPr>
        <w:t>, the primary</w:t>
      </w:r>
      <w:r w:rsidR="005B0DF4">
        <w:rPr>
          <w:rFonts w:ascii="Times New Roman" w:hAnsi="Times New Roman" w:cs="Times New Roman"/>
        </w:rPr>
        <w:t xml:space="preserve"> feature of the </w:t>
      </w:r>
      <w:r w:rsidR="007E22AE" w:rsidRPr="00E477AE">
        <w:rPr>
          <w:rFonts w:ascii="Times New Roman" w:hAnsi="Times New Roman" w:cs="Times New Roman"/>
        </w:rPr>
        <w:t>transaction is the</w:t>
      </w:r>
      <w:r w:rsidR="00931BDD" w:rsidRPr="00E477AE">
        <w:rPr>
          <w:rFonts w:ascii="Times New Roman" w:hAnsi="Times New Roman" w:cs="Times New Roman"/>
        </w:rPr>
        <w:t xml:space="preserve"> voluntary</w:t>
      </w:r>
      <w:r w:rsidR="007E22AE" w:rsidRPr="00E477AE">
        <w:rPr>
          <w:rFonts w:ascii="Times New Roman" w:hAnsi="Times New Roman" w:cs="Times New Roman"/>
        </w:rPr>
        <w:t xml:space="preserve"> transfer to a perso</w:t>
      </w:r>
      <w:r w:rsidR="00CC713C" w:rsidRPr="00E477AE">
        <w:rPr>
          <w:rFonts w:ascii="Times New Roman" w:hAnsi="Times New Roman" w:cs="Times New Roman"/>
        </w:rPr>
        <w:t>n in a gift-giving relationship; th</w:t>
      </w:r>
      <w:r w:rsidR="005B0DF4">
        <w:rPr>
          <w:rFonts w:ascii="Times New Roman" w:hAnsi="Times New Roman" w:cs="Times New Roman"/>
        </w:rPr>
        <w:t>is</w:t>
      </w:r>
      <w:r w:rsidR="00A669DE">
        <w:rPr>
          <w:rFonts w:ascii="Times New Roman" w:hAnsi="Times New Roman" w:cs="Times New Roman"/>
        </w:rPr>
        <w:t xml:space="preserve"> actually</w:t>
      </w:r>
      <w:r w:rsidR="005B0DF4">
        <w:rPr>
          <w:rFonts w:ascii="Times New Roman" w:hAnsi="Times New Roman" w:cs="Times New Roman"/>
        </w:rPr>
        <w:t xml:space="preserve"> gives rise to a trust, albeit countered by a presumption of advancement</w:t>
      </w:r>
      <w:r w:rsidR="007E22AE" w:rsidRPr="00E477AE">
        <w:rPr>
          <w:rFonts w:ascii="Times New Roman" w:hAnsi="Times New Roman" w:cs="Times New Roman"/>
        </w:rPr>
        <w:t>.</w:t>
      </w:r>
      <w:r w:rsidR="005B0DF4">
        <w:rPr>
          <w:rFonts w:ascii="Times New Roman" w:hAnsi="Times New Roman" w:cs="Times New Roman"/>
        </w:rPr>
        <w:t xml:space="preserve"> To dislodge this presumption of advancement the claimant needs to prove the trust</w:t>
      </w:r>
      <w:r w:rsidR="00A669DE">
        <w:rPr>
          <w:rFonts w:ascii="Times New Roman" w:hAnsi="Times New Roman" w:cs="Times New Roman"/>
        </w:rPr>
        <w:t xml:space="preserve"> but</w:t>
      </w:r>
      <w:r w:rsidR="00605AA9">
        <w:rPr>
          <w:rFonts w:ascii="Times New Roman" w:hAnsi="Times New Roman" w:cs="Times New Roman"/>
        </w:rPr>
        <w:t>, as highlighted above,</w:t>
      </w:r>
      <w:r w:rsidR="00222D79">
        <w:rPr>
          <w:rFonts w:ascii="Times New Roman" w:hAnsi="Times New Roman" w:cs="Times New Roman"/>
        </w:rPr>
        <w:t xml:space="preserve"> he or she </w:t>
      </w:r>
      <w:r w:rsidR="005B0DF4">
        <w:rPr>
          <w:rFonts w:ascii="Times New Roman" w:hAnsi="Times New Roman" w:cs="Times New Roman"/>
        </w:rPr>
        <w:t>end</w:t>
      </w:r>
      <w:r w:rsidR="00222D79">
        <w:rPr>
          <w:rFonts w:ascii="Times New Roman" w:hAnsi="Times New Roman" w:cs="Times New Roman"/>
        </w:rPr>
        <w:t>s</w:t>
      </w:r>
      <w:r w:rsidR="005B0DF4">
        <w:rPr>
          <w:rFonts w:ascii="Times New Roman" w:hAnsi="Times New Roman" w:cs="Times New Roman"/>
        </w:rPr>
        <w:t xml:space="preserve"> up proving a trust that directly violates the law or public poli</w:t>
      </w:r>
      <w:r w:rsidR="00A669DE">
        <w:rPr>
          <w:rFonts w:ascii="Times New Roman" w:hAnsi="Times New Roman" w:cs="Times New Roman"/>
        </w:rPr>
        <w:t>cy; such a trust</w:t>
      </w:r>
      <w:r w:rsidR="005B0DF4">
        <w:rPr>
          <w:rFonts w:ascii="Times New Roman" w:hAnsi="Times New Roman" w:cs="Times New Roman"/>
        </w:rPr>
        <w:t xml:space="preserve"> comes within the narrow confines of the illegality principle</w:t>
      </w:r>
      <w:r w:rsidR="000F228E">
        <w:rPr>
          <w:rFonts w:ascii="Times New Roman" w:hAnsi="Times New Roman" w:cs="Times New Roman"/>
        </w:rPr>
        <w:t>.</w:t>
      </w:r>
      <w:r w:rsidR="007E22AE" w:rsidRPr="00E477AE">
        <w:rPr>
          <w:rFonts w:ascii="Times New Roman" w:hAnsi="Times New Roman" w:cs="Times New Roman"/>
        </w:rPr>
        <w:t xml:space="preserve"> </w:t>
      </w:r>
      <w:r w:rsidR="00CC713C" w:rsidRPr="00E477AE">
        <w:rPr>
          <w:rFonts w:ascii="Times New Roman" w:hAnsi="Times New Roman" w:cs="Times New Roman"/>
        </w:rPr>
        <w:t>Once you remove the</w:t>
      </w:r>
      <w:r w:rsidR="00931BDD" w:rsidRPr="00E477AE">
        <w:rPr>
          <w:rFonts w:ascii="Times New Roman" w:hAnsi="Times New Roman" w:cs="Times New Roman"/>
        </w:rPr>
        <w:t xml:space="preserve"> parties’</w:t>
      </w:r>
      <w:r w:rsidR="007E22AE" w:rsidRPr="00E477AE">
        <w:rPr>
          <w:rFonts w:ascii="Times New Roman" w:hAnsi="Times New Roman" w:cs="Times New Roman"/>
        </w:rPr>
        <w:t xml:space="preserve"> </w:t>
      </w:r>
      <w:r w:rsidR="00CC713C" w:rsidRPr="00E477AE">
        <w:rPr>
          <w:rFonts w:ascii="Times New Roman" w:hAnsi="Times New Roman" w:cs="Times New Roman"/>
        </w:rPr>
        <w:t xml:space="preserve">gift-giving </w:t>
      </w:r>
      <w:r w:rsidR="00906857" w:rsidRPr="00E477AE">
        <w:rPr>
          <w:rFonts w:ascii="Times New Roman" w:hAnsi="Times New Roman" w:cs="Times New Roman"/>
        </w:rPr>
        <w:t>relationship from that transaction,</w:t>
      </w:r>
      <w:r w:rsidR="00017753" w:rsidRPr="00E477AE">
        <w:rPr>
          <w:rFonts w:ascii="Times New Roman" w:hAnsi="Times New Roman" w:cs="Times New Roman"/>
        </w:rPr>
        <w:t xml:space="preserve"> the</w:t>
      </w:r>
      <w:r w:rsidR="00A669DE">
        <w:rPr>
          <w:rFonts w:ascii="Times New Roman" w:hAnsi="Times New Roman" w:cs="Times New Roman"/>
        </w:rPr>
        <w:t xml:space="preserve"> </w:t>
      </w:r>
      <w:r w:rsidR="000F228E">
        <w:rPr>
          <w:rFonts w:ascii="Times New Roman" w:hAnsi="Times New Roman" w:cs="Times New Roman"/>
        </w:rPr>
        <w:t>resulting trust arising from the</w:t>
      </w:r>
      <w:r w:rsidR="007E22AE" w:rsidRPr="00E477AE">
        <w:rPr>
          <w:rFonts w:ascii="Times New Roman" w:hAnsi="Times New Roman" w:cs="Times New Roman"/>
        </w:rPr>
        <w:t xml:space="preserve"> primary</w:t>
      </w:r>
      <w:r w:rsidR="000F228E">
        <w:rPr>
          <w:rFonts w:ascii="Times New Roman" w:hAnsi="Times New Roman" w:cs="Times New Roman"/>
        </w:rPr>
        <w:t xml:space="preserve"> feature of that</w:t>
      </w:r>
      <w:r w:rsidR="00906857" w:rsidRPr="00E477AE">
        <w:rPr>
          <w:rFonts w:ascii="Times New Roman" w:hAnsi="Times New Roman" w:cs="Times New Roman"/>
        </w:rPr>
        <w:t xml:space="preserve"> transaction</w:t>
      </w:r>
      <w:r w:rsidR="000F228E">
        <w:rPr>
          <w:rFonts w:ascii="Times New Roman" w:hAnsi="Times New Roman" w:cs="Times New Roman"/>
        </w:rPr>
        <w:t xml:space="preserve"> prevail</w:t>
      </w:r>
      <w:r w:rsidR="00C677EE">
        <w:rPr>
          <w:rFonts w:ascii="Times New Roman" w:hAnsi="Times New Roman" w:cs="Times New Roman"/>
        </w:rPr>
        <w:t>s, because</w:t>
      </w:r>
      <w:r w:rsidR="000F228E">
        <w:rPr>
          <w:rFonts w:ascii="Times New Roman" w:hAnsi="Times New Roman" w:cs="Times New Roman"/>
        </w:rPr>
        <w:t xml:space="preserve"> the illegality surrounding it does not</w:t>
      </w:r>
      <w:r w:rsidR="00A669DE">
        <w:rPr>
          <w:rFonts w:ascii="Times New Roman" w:hAnsi="Times New Roman" w:cs="Times New Roman"/>
        </w:rPr>
        <w:t xml:space="preserve"> directly</w:t>
      </w:r>
      <w:r w:rsidR="000F228E">
        <w:rPr>
          <w:rFonts w:ascii="Times New Roman" w:hAnsi="Times New Roman" w:cs="Times New Roman"/>
        </w:rPr>
        <w:t xml:space="preserve"> come to the fore, something the presumption of advancement would have entailed. The same result obviating</w:t>
      </w:r>
      <w:r w:rsidR="00605AA9">
        <w:rPr>
          <w:rFonts w:ascii="Times New Roman" w:hAnsi="Times New Roman" w:cs="Times New Roman"/>
        </w:rPr>
        <w:t xml:space="preserve"> the</w:t>
      </w:r>
      <w:r w:rsidR="000F228E">
        <w:rPr>
          <w:rFonts w:ascii="Times New Roman" w:hAnsi="Times New Roman" w:cs="Times New Roman"/>
        </w:rPr>
        <w:t xml:space="preserve"> illegality</w:t>
      </w:r>
      <w:r w:rsidR="00605AA9">
        <w:rPr>
          <w:rFonts w:ascii="Times New Roman" w:hAnsi="Times New Roman" w:cs="Times New Roman"/>
        </w:rPr>
        <w:t xml:space="preserve"> doctrine</w:t>
      </w:r>
      <w:r w:rsidR="000F228E">
        <w:rPr>
          <w:rFonts w:ascii="Times New Roman" w:hAnsi="Times New Roman" w:cs="Times New Roman"/>
        </w:rPr>
        <w:t xml:space="preserve"> would be achieved if the transferee in a gift-giving relationship subsequently declared</w:t>
      </w:r>
      <w:r w:rsidR="008020D6">
        <w:rPr>
          <w:rFonts w:ascii="Times New Roman" w:hAnsi="Times New Roman" w:cs="Times New Roman"/>
        </w:rPr>
        <w:t xml:space="preserve"> a trust in favour of the transferor.</w:t>
      </w:r>
      <w:r w:rsidR="007E22AE" w:rsidRPr="00E477AE">
        <w:rPr>
          <w:rFonts w:ascii="Times New Roman" w:hAnsi="Times New Roman" w:cs="Times New Roman"/>
        </w:rPr>
        <w:t xml:space="preserve"> </w:t>
      </w:r>
      <w:r w:rsidR="007E22AE" w:rsidRPr="00E477AE">
        <w:rPr>
          <w:rFonts w:ascii="Times New Roman" w:hAnsi="Times New Roman" w:cs="Times New Roman"/>
          <w:i/>
        </w:rPr>
        <w:t>Tr</w:t>
      </w:r>
      <w:r w:rsidR="00CC713C" w:rsidRPr="00E477AE">
        <w:rPr>
          <w:rFonts w:ascii="Times New Roman" w:hAnsi="Times New Roman" w:cs="Times New Roman"/>
          <w:i/>
        </w:rPr>
        <w:t>ibe v Tribe</w:t>
      </w:r>
      <w:r w:rsidR="00CC713C" w:rsidRPr="00E477AE">
        <w:rPr>
          <w:rFonts w:ascii="Times New Roman" w:hAnsi="Times New Roman" w:cs="Times New Roman"/>
        </w:rPr>
        <w:t xml:space="preserve"> alluded to this sort of reasoning.</w:t>
      </w:r>
      <w:r w:rsidR="00CC713C" w:rsidRPr="00E477AE">
        <w:rPr>
          <w:rStyle w:val="FootnoteReference"/>
          <w:rFonts w:ascii="Times New Roman" w:hAnsi="Times New Roman" w:cs="Times New Roman"/>
        </w:rPr>
        <w:footnoteReference w:id="60"/>
      </w:r>
      <w:r w:rsidR="00CC713C" w:rsidRPr="00E477AE">
        <w:rPr>
          <w:rFonts w:ascii="Times New Roman" w:hAnsi="Times New Roman" w:cs="Times New Roman"/>
        </w:rPr>
        <w:t xml:space="preserve"> There, the claimant-father, afte</w:t>
      </w:r>
      <w:r w:rsidR="00780ED3" w:rsidRPr="00E477AE">
        <w:rPr>
          <w:rFonts w:ascii="Times New Roman" w:hAnsi="Times New Roman" w:cs="Times New Roman"/>
        </w:rPr>
        <w:t>r being served with</w:t>
      </w:r>
      <w:r w:rsidR="0063783C" w:rsidRPr="00E477AE">
        <w:rPr>
          <w:rFonts w:ascii="Times New Roman" w:hAnsi="Times New Roman" w:cs="Times New Roman"/>
        </w:rPr>
        <w:t xml:space="preserve"> schedules of dilapidations</w:t>
      </w:r>
      <w:r w:rsidR="00ED58A6" w:rsidRPr="00E477AE">
        <w:rPr>
          <w:rFonts w:ascii="Times New Roman" w:hAnsi="Times New Roman" w:cs="Times New Roman"/>
        </w:rPr>
        <w:t>,</w:t>
      </w:r>
      <w:r w:rsidR="0063783C" w:rsidRPr="00E477AE">
        <w:rPr>
          <w:rFonts w:ascii="Times New Roman" w:hAnsi="Times New Roman" w:cs="Times New Roman"/>
        </w:rPr>
        <w:t xml:space="preserve"> in relation to two leasehold properties</w:t>
      </w:r>
      <w:r w:rsidR="00CC713C" w:rsidRPr="00E477AE">
        <w:rPr>
          <w:rFonts w:ascii="Times New Roman" w:hAnsi="Times New Roman" w:cs="Times New Roman"/>
        </w:rPr>
        <w:t>, transferred his shares in a private company to</w:t>
      </w:r>
      <w:r w:rsidR="0063783C" w:rsidRPr="00E477AE">
        <w:rPr>
          <w:rFonts w:ascii="Times New Roman" w:hAnsi="Times New Roman" w:cs="Times New Roman"/>
        </w:rPr>
        <w:t xml:space="preserve"> his son</w:t>
      </w:r>
      <w:r w:rsidR="00750340">
        <w:rPr>
          <w:rFonts w:ascii="Times New Roman" w:hAnsi="Times New Roman" w:cs="Times New Roman"/>
        </w:rPr>
        <w:t xml:space="preserve">, the </w:t>
      </w:r>
      <w:r w:rsidR="0063783C" w:rsidRPr="00E477AE">
        <w:rPr>
          <w:rFonts w:ascii="Times New Roman" w:hAnsi="Times New Roman" w:cs="Times New Roman"/>
        </w:rPr>
        <w:t>defendant</w:t>
      </w:r>
      <w:r w:rsidR="00750340">
        <w:rPr>
          <w:rFonts w:ascii="Times New Roman" w:hAnsi="Times New Roman" w:cs="Times New Roman"/>
        </w:rPr>
        <w:t>,</w:t>
      </w:r>
      <w:r w:rsidR="00CC713C" w:rsidRPr="00E477AE">
        <w:rPr>
          <w:rFonts w:ascii="Times New Roman" w:hAnsi="Times New Roman" w:cs="Times New Roman"/>
        </w:rPr>
        <w:t xml:space="preserve"> without consideration. The claimant made the transfer for the fraudulent purpose of protecting the shares against his potential </w:t>
      </w:r>
      <w:r w:rsidR="00780ED3" w:rsidRPr="00E477AE">
        <w:rPr>
          <w:rFonts w:ascii="Times New Roman" w:hAnsi="Times New Roman" w:cs="Times New Roman"/>
        </w:rPr>
        <w:t>liability on the</w:t>
      </w:r>
      <w:r w:rsidR="00E2015B" w:rsidRPr="00E477AE">
        <w:rPr>
          <w:rFonts w:ascii="Times New Roman" w:hAnsi="Times New Roman" w:cs="Times New Roman"/>
        </w:rPr>
        <w:t xml:space="preserve"> schedules of dilapidations</w:t>
      </w:r>
      <w:r w:rsidR="00780ED3" w:rsidRPr="00E477AE">
        <w:rPr>
          <w:rFonts w:ascii="Times New Roman" w:hAnsi="Times New Roman" w:cs="Times New Roman"/>
        </w:rPr>
        <w:t>. In the end, however, the</w:t>
      </w:r>
      <w:r w:rsidR="00B53E12" w:rsidRPr="00E477AE">
        <w:rPr>
          <w:rFonts w:ascii="Times New Roman" w:hAnsi="Times New Roman" w:cs="Times New Roman"/>
        </w:rPr>
        <w:t xml:space="preserve"> schedules of dilapidations were</w:t>
      </w:r>
      <w:r w:rsidR="00780ED3" w:rsidRPr="00E477AE">
        <w:rPr>
          <w:rFonts w:ascii="Times New Roman" w:hAnsi="Times New Roman" w:cs="Times New Roman"/>
        </w:rPr>
        <w:t xml:space="preserve"> settled without</w:t>
      </w:r>
      <w:r w:rsidR="00B53E12" w:rsidRPr="00E477AE">
        <w:rPr>
          <w:rFonts w:ascii="Times New Roman" w:hAnsi="Times New Roman" w:cs="Times New Roman"/>
        </w:rPr>
        <w:t xml:space="preserve"> the</w:t>
      </w:r>
      <w:r w:rsidR="00780ED3" w:rsidRPr="00E477AE">
        <w:rPr>
          <w:rFonts w:ascii="Times New Roman" w:hAnsi="Times New Roman" w:cs="Times New Roman"/>
        </w:rPr>
        <w:t xml:space="preserve"> need to consider whether or not the claimant owned any property</w:t>
      </w:r>
      <w:r w:rsidR="000C2B8E" w:rsidRPr="00E477AE">
        <w:rPr>
          <w:rFonts w:ascii="Times New Roman" w:hAnsi="Times New Roman" w:cs="Times New Roman"/>
        </w:rPr>
        <w:t>, so no creditor was defrauded.</w:t>
      </w:r>
      <w:r w:rsidR="00B53E12" w:rsidRPr="00E477AE">
        <w:rPr>
          <w:rFonts w:ascii="Times New Roman" w:hAnsi="Times New Roman" w:cs="Times New Roman"/>
        </w:rPr>
        <w:t xml:space="preserve"> </w:t>
      </w:r>
      <w:r w:rsidR="000C2B8E" w:rsidRPr="00E477AE">
        <w:rPr>
          <w:rFonts w:ascii="Times New Roman" w:hAnsi="Times New Roman" w:cs="Times New Roman"/>
        </w:rPr>
        <w:t>However, t</w:t>
      </w:r>
      <w:r w:rsidR="00B97DF8" w:rsidRPr="00E477AE">
        <w:rPr>
          <w:rFonts w:ascii="Times New Roman" w:hAnsi="Times New Roman" w:cs="Times New Roman"/>
        </w:rPr>
        <w:t>he defendant</w:t>
      </w:r>
      <w:r w:rsidR="000C2B8E" w:rsidRPr="00E477AE">
        <w:rPr>
          <w:rFonts w:ascii="Times New Roman" w:hAnsi="Times New Roman" w:cs="Times New Roman"/>
        </w:rPr>
        <w:t xml:space="preserve"> </w:t>
      </w:r>
      <w:r w:rsidR="00B97DF8" w:rsidRPr="00E477AE">
        <w:rPr>
          <w:rFonts w:ascii="Times New Roman" w:hAnsi="Times New Roman" w:cs="Times New Roman"/>
        </w:rPr>
        <w:t>refused to re-transfer the shares to the claimant</w:t>
      </w:r>
      <w:r w:rsidR="00B53E12" w:rsidRPr="00E477AE">
        <w:rPr>
          <w:rFonts w:ascii="Times New Roman" w:hAnsi="Times New Roman" w:cs="Times New Roman"/>
        </w:rPr>
        <w:t xml:space="preserve">, arguing that the </w:t>
      </w:r>
      <w:r w:rsidR="00112C41" w:rsidRPr="00E477AE">
        <w:rPr>
          <w:rFonts w:ascii="Times New Roman" w:hAnsi="Times New Roman" w:cs="Times New Roman"/>
        </w:rPr>
        <w:t>shares were a gift to him</w:t>
      </w:r>
      <w:r w:rsidR="00B53E12" w:rsidRPr="00E477AE">
        <w:rPr>
          <w:rFonts w:ascii="Times New Roman" w:hAnsi="Times New Roman" w:cs="Times New Roman"/>
        </w:rPr>
        <w:t xml:space="preserve">, </w:t>
      </w:r>
      <w:r w:rsidR="00112C41" w:rsidRPr="00E477AE">
        <w:rPr>
          <w:rFonts w:ascii="Times New Roman" w:hAnsi="Times New Roman" w:cs="Times New Roman"/>
        </w:rPr>
        <w:t>on the</w:t>
      </w:r>
      <w:r w:rsidR="00B53E12" w:rsidRPr="00E477AE">
        <w:rPr>
          <w:rFonts w:ascii="Times New Roman" w:hAnsi="Times New Roman" w:cs="Times New Roman"/>
        </w:rPr>
        <w:t xml:space="preserve"> basis </w:t>
      </w:r>
      <w:r w:rsidR="00112C41" w:rsidRPr="00E477AE">
        <w:rPr>
          <w:rFonts w:ascii="Times New Roman" w:hAnsi="Times New Roman" w:cs="Times New Roman"/>
        </w:rPr>
        <w:t>of</w:t>
      </w:r>
      <w:r w:rsidR="00B53E12" w:rsidRPr="00E477AE">
        <w:rPr>
          <w:rFonts w:ascii="Times New Roman" w:hAnsi="Times New Roman" w:cs="Times New Roman"/>
        </w:rPr>
        <w:t xml:space="preserve"> the presumption of advancement</w:t>
      </w:r>
      <w:r w:rsidR="00112C41" w:rsidRPr="00E477AE">
        <w:rPr>
          <w:rFonts w:ascii="Times New Roman" w:hAnsi="Times New Roman" w:cs="Times New Roman"/>
        </w:rPr>
        <w:t>.</w:t>
      </w:r>
      <w:r w:rsidR="00B53E12" w:rsidRPr="00E477AE">
        <w:rPr>
          <w:rFonts w:ascii="Times New Roman" w:hAnsi="Times New Roman" w:cs="Times New Roman"/>
        </w:rPr>
        <w:t xml:space="preserve"> Consequently, t</w:t>
      </w:r>
      <w:r w:rsidR="00112C41" w:rsidRPr="00E477AE">
        <w:rPr>
          <w:rFonts w:ascii="Times New Roman" w:hAnsi="Times New Roman" w:cs="Times New Roman"/>
        </w:rPr>
        <w:t xml:space="preserve">he claimant sought an order declaring the defendant a trustee for the claimant. </w:t>
      </w:r>
    </w:p>
    <w:p w14:paraId="0ED7E552" w14:textId="181C4246" w:rsidR="00530DB5" w:rsidRPr="00E477AE" w:rsidRDefault="00112C41" w:rsidP="00521DCD">
      <w:pPr>
        <w:ind w:firstLine="720"/>
        <w:jc w:val="both"/>
        <w:rPr>
          <w:rFonts w:ascii="Times New Roman" w:hAnsi="Times New Roman" w:cs="Times New Roman"/>
        </w:rPr>
      </w:pPr>
      <w:r w:rsidRPr="00E477AE">
        <w:rPr>
          <w:rFonts w:ascii="Times New Roman" w:hAnsi="Times New Roman" w:cs="Times New Roman"/>
        </w:rPr>
        <w:t xml:space="preserve">As </w:t>
      </w:r>
      <w:r w:rsidR="00780ED3" w:rsidRPr="00E477AE">
        <w:rPr>
          <w:rFonts w:ascii="Times New Roman" w:hAnsi="Times New Roman" w:cs="Times New Roman"/>
        </w:rPr>
        <w:t xml:space="preserve">no creditor was </w:t>
      </w:r>
      <w:r w:rsidR="00941055" w:rsidRPr="00E477AE">
        <w:rPr>
          <w:rFonts w:ascii="Times New Roman" w:hAnsi="Times New Roman" w:cs="Times New Roman"/>
        </w:rPr>
        <w:t xml:space="preserve">actually </w:t>
      </w:r>
      <w:r w:rsidR="00780ED3" w:rsidRPr="00E477AE">
        <w:rPr>
          <w:rFonts w:ascii="Times New Roman" w:hAnsi="Times New Roman" w:cs="Times New Roman"/>
        </w:rPr>
        <w:t xml:space="preserve">defrauded by </w:t>
      </w:r>
      <w:r w:rsidRPr="00E477AE">
        <w:rPr>
          <w:rFonts w:ascii="Times New Roman" w:hAnsi="Times New Roman" w:cs="Times New Roman"/>
        </w:rPr>
        <w:t>the</w:t>
      </w:r>
      <w:r w:rsidR="00941055" w:rsidRPr="00E477AE">
        <w:rPr>
          <w:rFonts w:ascii="Times New Roman" w:hAnsi="Times New Roman" w:cs="Times New Roman"/>
        </w:rPr>
        <w:t xml:space="preserve"> voluntary</w:t>
      </w:r>
      <w:r w:rsidRPr="00E477AE">
        <w:rPr>
          <w:rFonts w:ascii="Times New Roman" w:hAnsi="Times New Roman" w:cs="Times New Roman"/>
        </w:rPr>
        <w:t xml:space="preserve"> transfer</w:t>
      </w:r>
      <w:r w:rsidR="00941055" w:rsidRPr="00E477AE">
        <w:rPr>
          <w:rFonts w:ascii="Times New Roman" w:hAnsi="Times New Roman" w:cs="Times New Roman"/>
        </w:rPr>
        <w:t xml:space="preserve"> in </w:t>
      </w:r>
      <w:r w:rsidR="00941055" w:rsidRPr="00E477AE">
        <w:rPr>
          <w:rFonts w:ascii="Times New Roman" w:hAnsi="Times New Roman" w:cs="Times New Roman"/>
          <w:i/>
        </w:rPr>
        <w:t>Tribe</w:t>
      </w:r>
      <w:r w:rsidRPr="00E477AE">
        <w:rPr>
          <w:rFonts w:ascii="Times New Roman" w:hAnsi="Times New Roman" w:cs="Times New Roman"/>
        </w:rPr>
        <w:t>, the Court of Appeal</w:t>
      </w:r>
      <w:r w:rsidR="00941055" w:rsidRPr="00E477AE">
        <w:rPr>
          <w:rFonts w:ascii="Times New Roman" w:hAnsi="Times New Roman" w:cs="Times New Roman"/>
        </w:rPr>
        <w:t xml:space="preserve"> granted the claimant’s claim </w:t>
      </w:r>
      <w:r w:rsidRPr="00E477AE">
        <w:rPr>
          <w:rFonts w:ascii="Times New Roman" w:hAnsi="Times New Roman" w:cs="Times New Roman"/>
        </w:rPr>
        <w:t>on the</w:t>
      </w:r>
      <w:r w:rsidR="00941055" w:rsidRPr="00E477AE">
        <w:rPr>
          <w:rFonts w:ascii="Times New Roman" w:hAnsi="Times New Roman" w:cs="Times New Roman"/>
        </w:rPr>
        <w:t xml:space="preserve"> ground </w:t>
      </w:r>
      <w:r w:rsidRPr="00E477AE">
        <w:rPr>
          <w:rFonts w:ascii="Times New Roman" w:hAnsi="Times New Roman" w:cs="Times New Roman"/>
        </w:rPr>
        <w:t>that</w:t>
      </w:r>
      <w:r w:rsidR="00941055" w:rsidRPr="00E477AE">
        <w:rPr>
          <w:rFonts w:ascii="Times New Roman" w:hAnsi="Times New Roman" w:cs="Times New Roman"/>
        </w:rPr>
        <w:t xml:space="preserve"> he </w:t>
      </w:r>
      <w:r w:rsidR="00780ED3" w:rsidRPr="00E477AE">
        <w:rPr>
          <w:rFonts w:ascii="Times New Roman" w:hAnsi="Times New Roman" w:cs="Times New Roman"/>
        </w:rPr>
        <w:t>h</w:t>
      </w:r>
      <w:r w:rsidR="00941055" w:rsidRPr="00E477AE">
        <w:rPr>
          <w:rFonts w:ascii="Times New Roman" w:hAnsi="Times New Roman" w:cs="Times New Roman"/>
        </w:rPr>
        <w:t>ad withdrawn from the illegal transaction</w:t>
      </w:r>
      <w:r w:rsidR="00780ED3" w:rsidRPr="00E477AE">
        <w:rPr>
          <w:rFonts w:ascii="Times New Roman" w:hAnsi="Times New Roman" w:cs="Times New Roman"/>
        </w:rPr>
        <w:t xml:space="preserve"> before its execution. </w:t>
      </w:r>
      <w:r w:rsidRPr="00E477AE">
        <w:rPr>
          <w:rFonts w:ascii="Times New Roman" w:hAnsi="Times New Roman" w:cs="Times New Roman"/>
        </w:rPr>
        <w:t>More interestingly</w:t>
      </w:r>
      <w:r w:rsidR="007A414D" w:rsidRPr="00E477AE">
        <w:rPr>
          <w:rFonts w:ascii="Times New Roman" w:hAnsi="Times New Roman" w:cs="Times New Roman"/>
        </w:rPr>
        <w:t xml:space="preserve">, </w:t>
      </w:r>
      <w:r w:rsidRPr="00E477AE">
        <w:rPr>
          <w:rFonts w:ascii="Times New Roman" w:hAnsi="Times New Roman" w:cs="Times New Roman"/>
        </w:rPr>
        <w:t>Millett LJ</w:t>
      </w:r>
      <w:r w:rsidR="004B4DC9" w:rsidRPr="00E477AE">
        <w:rPr>
          <w:rFonts w:ascii="Times New Roman" w:hAnsi="Times New Roman" w:cs="Times New Roman"/>
        </w:rPr>
        <w:t xml:space="preserve"> (as he then was)</w:t>
      </w:r>
      <w:r w:rsidR="00780ED3" w:rsidRPr="00E477AE">
        <w:rPr>
          <w:rFonts w:ascii="Times New Roman" w:hAnsi="Times New Roman" w:cs="Times New Roman"/>
        </w:rPr>
        <w:t xml:space="preserve"> </w:t>
      </w:r>
      <w:r w:rsidR="007A414D" w:rsidRPr="00E477AE">
        <w:rPr>
          <w:rFonts w:ascii="Times New Roman" w:hAnsi="Times New Roman" w:cs="Times New Roman"/>
        </w:rPr>
        <w:t>hypothesized</w:t>
      </w:r>
      <w:r w:rsidR="00780ED3" w:rsidRPr="00E477AE">
        <w:rPr>
          <w:rFonts w:ascii="Times New Roman" w:hAnsi="Times New Roman" w:cs="Times New Roman"/>
        </w:rPr>
        <w:t xml:space="preserve"> that ‘Had the plaintiff transferred the shares to a stranger or distant relative w</w:t>
      </w:r>
      <w:r w:rsidR="000A6DEF" w:rsidRPr="00E477AE">
        <w:rPr>
          <w:rFonts w:ascii="Times New Roman" w:hAnsi="Times New Roman" w:cs="Times New Roman"/>
        </w:rPr>
        <w:t xml:space="preserve">hom he trusted, albeit for the </w:t>
      </w:r>
      <w:r w:rsidR="00780ED3" w:rsidRPr="00E477AE">
        <w:rPr>
          <w:rFonts w:ascii="Times New Roman" w:hAnsi="Times New Roman" w:cs="Times New Roman"/>
        </w:rPr>
        <w:t>same dishonest purpose, it cannot be doubted that he would have succeeded in his claim</w:t>
      </w:r>
      <w:r w:rsidR="000A6DEF" w:rsidRPr="00E477AE">
        <w:rPr>
          <w:rFonts w:ascii="Times New Roman" w:hAnsi="Times New Roman" w:cs="Times New Roman"/>
        </w:rPr>
        <w:t>’.</w:t>
      </w:r>
      <w:r w:rsidR="000A6DEF" w:rsidRPr="00E477AE">
        <w:rPr>
          <w:rStyle w:val="FootnoteReference"/>
          <w:rFonts w:ascii="Times New Roman" w:hAnsi="Times New Roman" w:cs="Times New Roman"/>
        </w:rPr>
        <w:footnoteReference w:id="61"/>
      </w:r>
      <w:r w:rsidR="00780ED3" w:rsidRPr="00E477AE">
        <w:rPr>
          <w:rFonts w:ascii="Times New Roman" w:hAnsi="Times New Roman" w:cs="Times New Roman"/>
        </w:rPr>
        <w:t xml:space="preserve"> </w:t>
      </w:r>
      <w:r w:rsidR="000A6DEF" w:rsidRPr="00E477AE">
        <w:rPr>
          <w:rFonts w:ascii="Times New Roman" w:hAnsi="Times New Roman" w:cs="Times New Roman"/>
        </w:rPr>
        <w:t>I suggest that the reason</w:t>
      </w:r>
      <w:r w:rsidR="00CE3DB9" w:rsidRPr="00E477AE">
        <w:rPr>
          <w:rFonts w:ascii="Times New Roman" w:hAnsi="Times New Roman" w:cs="Times New Roman"/>
        </w:rPr>
        <w:t>,</w:t>
      </w:r>
      <w:r w:rsidR="000A6DEF" w:rsidRPr="00E477AE">
        <w:rPr>
          <w:rFonts w:ascii="Times New Roman" w:hAnsi="Times New Roman" w:cs="Times New Roman"/>
        </w:rPr>
        <w:t xml:space="preserve"> why that would have been the case</w:t>
      </w:r>
      <w:r w:rsidR="00CE3DB9" w:rsidRPr="00E477AE">
        <w:rPr>
          <w:rFonts w:ascii="Times New Roman" w:hAnsi="Times New Roman" w:cs="Times New Roman"/>
        </w:rPr>
        <w:t>,</w:t>
      </w:r>
      <w:r w:rsidR="000A6DEF" w:rsidRPr="00E477AE">
        <w:rPr>
          <w:rFonts w:ascii="Times New Roman" w:hAnsi="Times New Roman" w:cs="Times New Roman"/>
        </w:rPr>
        <w:t xml:space="preserve"> </w:t>
      </w:r>
      <w:r w:rsidR="00CE3DB9" w:rsidRPr="00E477AE">
        <w:rPr>
          <w:rFonts w:ascii="Times New Roman" w:hAnsi="Times New Roman" w:cs="Times New Roman"/>
        </w:rPr>
        <w:t>is that the primary</w:t>
      </w:r>
      <w:r w:rsidR="001559D0">
        <w:rPr>
          <w:rFonts w:ascii="Times New Roman" w:hAnsi="Times New Roman" w:cs="Times New Roman"/>
        </w:rPr>
        <w:t xml:space="preserve"> feature of the</w:t>
      </w:r>
      <w:r w:rsidR="00CE3DB9" w:rsidRPr="00E477AE">
        <w:rPr>
          <w:rFonts w:ascii="Times New Roman" w:hAnsi="Times New Roman" w:cs="Times New Roman"/>
        </w:rPr>
        <w:t xml:space="preserve"> transaction</w:t>
      </w:r>
      <w:r w:rsidR="000A6DEF" w:rsidRPr="00E477AE">
        <w:rPr>
          <w:rFonts w:ascii="Times New Roman" w:hAnsi="Times New Roman" w:cs="Times New Roman"/>
        </w:rPr>
        <w:t xml:space="preserve"> in that hypothetical scenario wo</w:t>
      </w:r>
      <w:r w:rsidR="00CE3DB9" w:rsidRPr="00E477AE">
        <w:rPr>
          <w:rFonts w:ascii="Times New Roman" w:hAnsi="Times New Roman" w:cs="Times New Roman"/>
        </w:rPr>
        <w:t>uld have been constitutive of</w:t>
      </w:r>
      <w:r w:rsidR="001559D0">
        <w:rPr>
          <w:rFonts w:ascii="Times New Roman" w:hAnsi="Times New Roman" w:cs="Times New Roman"/>
        </w:rPr>
        <w:t xml:space="preserve"> a resulting</w:t>
      </w:r>
      <w:r w:rsidR="00CE3DB9" w:rsidRPr="00E477AE">
        <w:rPr>
          <w:rFonts w:ascii="Times New Roman" w:hAnsi="Times New Roman" w:cs="Times New Roman"/>
        </w:rPr>
        <w:t xml:space="preserve"> </w:t>
      </w:r>
      <w:r w:rsidR="000A6DEF" w:rsidRPr="00E477AE">
        <w:rPr>
          <w:rFonts w:ascii="Times New Roman" w:hAnsi="Times New Roman" w:cs="Times New Roman"/>
        </w:rPr>
        <w:t xml:space="preserve">trust; that trust, as </w:t>
      </w:r>
      <w:r w:rsidR="00546AFF" w:rsidRPr="00E477AE">
        <w:rPr>
          <w:rFonts w:ascii="Times New Roman" w:hAnsi="Times New Roman" w:cs="Times New Roman"/>
        </w:rPr>
        <w:t>Millett LJ suggested</w:t>
      </w:r>
      <w:r w:rsidR="000A6DEF" w:rsidRPr="00E477AE">
        <w:rPr>
          <w:rFonts w:ascii="Times New Roman" w:hAnsi="Times New Roman" w:cs="Times New Roman"/>
        </w:rPr>
        <w:t xml:space="preserve"> above, would have been enforced despite being </w:t>
      </w:r>
      <w:r w:rsidR="00546AFF" w:rsidRPr="00E477AE">
        <w:rPr>
          <w:rFonts w:ascii="Times New Roman" w:hAnsi="Times New Roman" w:cs="Times New Roman"/>
        </w:rPr>
        <w:t xml:space="preserve">created for a dishonest purpose, a </w:t>
      </w:r>
      <w:r w:rsidR="000253F8" w:rsidRPr="00E477AE">
        <w:rPr>
          <w:rFonts w:ascii="Times New Roman" w:hAnsi="Times New Roman" w:cs="Times New Roman"/>
        </w:rPr>
        <w:t>view that I have expounded all along.</w:t>
      </w:r>
      <w:r w:rsidR="00546AFF" w:rsidRPr="00E477AE">
        <w:rPr>
          <w:rFonts w:ascii="Times New Roman" w:hAnsi="Times New Roman" w:cs="Times New Roman"/>
        </w:rPr>
        <w:t xml:space="preserve"> </w:t>
      </w:r>
    </w:p>
    <w:p w14:paraId="1F047085" w14:textId="6EAEFEAE" w:rsidR="00BE3823" w:rsidRPr="00E477AE" w:rsidRDefault="00B96635" w:rsidP="00521DCD">
      <w:pPr>
        <w:ind w:firstLine="720"/>
        <w:jc w:val="both"/>
        <w:rPr>
          <w:rFonts w:ascii="Times New Roman" w:hAnsi="Times New Roman" w:cs="Times New Roman"/>
        </w:rPr>
      </w:pPr>
      <w:r w:rsidRPr="00E477AE">
        <w:rPr>
          <w:rFonts w:ascii="Times New Roman" w:hAnsi="Times New Roman" w:cs="Times New Roman"/>
        </w:rPr>
        <w:t>However, the r</w:t>
      </w:r>
      <w:r w:rsidR="001B004E" w:rsidRPr="00E477AE">
        <w:rPr>
          <w:rFonts w:ascii="Times New Roman" w:hAnsi="Times New Roman" w:cs="Times New Roman"/>
        </w:rPr>
        <w:t>eliance principle established in</w:t>
      </w:r>
      <w:r w:rsidRPr="00E477AE">
        <w:rPr>
          <w:rFonts w:ascii="Times New Roman" w:hAnsi="Times New Roman" w:cs="Times New Roman"/>
        </w:rPr>
        <w:t xml:space="preserve"> </w:t>
      </w:r>
      <w:r w:rsidRPr="00E477AE">
        <w:rPr>
          <w:rFonts w:ascii="Times New Roman" w:hAnsi="Times New Roman" w:cs="Times New Roman"/>
          <w:i/>
        </w:rPr>
        <w:t>Tinsley</w:t>
      </w:r>
      <w:r w:rsidRPr="00E477AE">
        <w:rPr>
          <w:rFonts w:ascii="Times New Roman" w:hAnsi="Times New Roman" w:cs="Times New Roman"/>
        </w:rPr>
        <w:t xml:space="preserve"> resolved the</w:t>
      </w:r>
      <w:r w:rsidR="004B4DC9" w:rsidRPr="00E477AE">
        <w:rPr>
          <w:rFonts w:ascii="Times New Roman" w:hAnsi="Times New Roman" w:cs="Times New Roman"/>
        </w:rPr>
        <w:t xml:space="preserve"> sorts of issues above</w:t>
      </w:r>
      <w:r w:rsidR="00E8207E" w:rsidRPr="00E477AE">
        <w:rPr>
          <w:rFonts w:ascii="Times New Roman" w:hAnsi="Times New Roman" w:cs="Times New Roman"/>
        </w:rPr>
        <w:t xml:space="preserve"> </w:t>
      </w:r>
      <w:r w:rsidRPr="00E477AE">
        <w:rPr>
          <w:rFonts w:ascii="Times New Roman" w:hAnsi="Times New Roman" w:cs="Times New Roman"/>
        </w:rPr>
        <w:t>purely on the basis of whether or not the claimant</w:t>
      </w:r>
      <w:r w:rsidR="001B004E" w:rsidRPr="00E477AE">
        <w:rPr>
          <w:rFonts w:ascii="Times New Roman" w:hAnsi="Times New Roman" w:cs="Times New Roman"/>
        </w:rPr>
        <w:t xml:space="preserve"> needed to rely</w:t>
      </w:r>
      <w:r w:rsidRPr="00E477AE">
        <w:rPr>
          <w:rFonts w:ascii="Times New Roman" w:hAnsi="Times New Roman" w:cs="Times New Roman"/>
        </w:rPr>
        <w:t xml:space="preserve"> on the illegality underlying the transaction in order to prove his or her claim.</w:t>
      </w:r>
      <w:r w:rsidR="001B004E" w:rsidRPr="00E477AE">
        <w:rPr>
          <w:rFonts w:ascii="Times New Roman" w:hAnsi="Times New Roman" w:cs="Times New Roman"/>
        </w:rPr>
        <w:t xml:space="preserve"> Thus, in the case of voluntary transfer to a person in a gift-giving relationship with the transferor, the application of the reliance principle entailed</w:t>
      </w:r>
      <w:r w:rsidR="009C6566" w:rsidRPr="00E477AE">
        <w:rPr>
          <w:rFonts w:ascii="Times New Roman" w:hAnsi="Times New Roman" w:cs="Times New Roman"/>
        </w:rPr>
        <w:t xml:space="preserve"> that the court would uphold a</w:t>
      </w:r>
      <w:r w:rsidR="001B004E" w:rsidRPr="00E477AE">
        <w:rPr>
          <w:rFonts w:ascii="Times New Roman" w:hAnsi="Times New Roman" w:cs="Times New Roman"/>
        </w:rPr>
        <w:t xml:space="preserve"> gift for the transferee, be</w:t>
      </w:r>
      <w:r w:rsidR="009C6566" w:rsidRPr="00E477AE">
        <w:rPr>
          <w:rFonts w:ascii="Times New Roman" w:hAnsi="Times New Roman" w:cs="Times New Roman"/>
        </w:rPr>
        <w:t>cause the transferor would need</w:t>
      </w:r>
      <w:r w:rsidR="001B004E" w:rsidRPr="00E477AE">
        <w:rPr>
          <w:rFonts w:ascii="Times New Roman" w:hAnsi="Times New Roman" w:cs="Times New Roman"/>
        </w:rPr>
        <w:t xml:space="preserve"> to rely on the illegal purpose behind the transaction in order to rebut the presumption of advancement. On the other hand, in the case of voluntary transfer to a person outside a gift-giving relationship, application of the reliance principle meant that the court would uphold a trust for the transferor, because the trans</w:t>
      </w:r>
      <w:r w:rsidR="00E8207E" w:rsidRPr="00E477AE">
        <w:rPr>
          <w:rFonts w:ascii="Times New Roman" w:hAnsi="Times New Roman" w:cs="Times New Roman"/>
        </w:rPr>
        <w:t>feror would rely on his proprietary</w:t>
      </w:r>
      <w:r w:rsidR="001B004E" w:rsidRPr="00E477AE">
        <w:rPr>
          <w:rFonts w:ascii="Times New Roman" w:hAnsi="Times New Roman" w:cs="Times New Roman"/>
        </w:rPr>
        <w:t xml:space="preserve"> right (</w:t>
      </w:r>
      <w:r w:rsidR="005C75ED" w:rsidRPr="00E477AE">
        <w:rPr>
          <w:rFonts w:ascii="Times New Roman" w:hAnsi="Times New Roman" w:cs="Times New Roman"/>
        </w:rPr>
        <w:t>emanating from the resulting trust) to establish his clai</w:t>
      </w:r>
      <w:r w:rsidR="009C6566" w:rsidRPr="00E477AE">
        <w:rPr>
          <w:rFonts w:ascii="Times New Roman" w:hAnsi="Times New Roman" w:cs="Times New Roman"/>
        </w:rPr>
        <w:t xml:space="preserve">m; </w:t>
      </w:r>
      <w:r w:rsidR="005C75ED" w:rsidRPr="00E477AE">
        <w:rPr>
          <w:rFonts w:ascii="Times New Roman" w:hAnsi="Times New Roman" w:cs="Times New Roman"/>
        </w:rPr>
        <w:t>he</w:t>
      </w:r>
      <w:r w:rsidR="009C6566" w:rsidRPr="00E477AE">
        <w:rPr>
          <w:rFonts w:ascii="Times New Roman" w:hAnsi="Times New Roman" w:cs="Times New Roman"/>
        </w:rPr>
        <w:t xml:space="preserve"> or she</w:t>
      </w:r>
      <w:r w:rsidR="005C75ED" w:rsidRPr="00E477AE">
        <w:rPr>
          <w:rFonts w:ascii="Times New Roman" w:hAnsi="Times New Roman" w:cs="Times New Roman"/>
        </w:rPr>
        <w:t xml:space="preserve"> has no need to rely on the</w:t>
      </w:r>
      <w:r w:rsidR="00E8207E" w:rsidRPr="00E477AE">
        <w:rPr>
          <w:rFonts w:ascii="Times New Roman" w:hAnsi="Times New Roman" w:cs="Times New Roman"/>
        </w:rPr>
        <w:t xml:space="preserve"> underlying illegality</w:t>
      </w:r>
      <w:r w:rsidR="005C75ED" w:rsidRPr="00E477AE">
        <w:rPr>
          <w:rFonts w:ascii="Times New Roman" w:hAnsi="Times New Roman" w:cs="Times New Roman"/>
        </w:rPr>
        <w:t>.</w:t>
      </w:r>
      <w:r w:rsidRPr="00E477AE">
        <w:rPr>
          <w:rFonts w:ascii="Times New Roman" w:hAnsi="Times New Roman" w:cs="Times New Roman"/>
        </w:rPr>
        <w:t xml:space="preserve"> </w:t>
      </w:r>
      <w:r w:rsidR="004D54EF" w:rsidRPr="00E477AE">
        <w:rPr>
          <w:rFonts w:ascii="Times New Roman" w:hAnsi="Times New Roman" w:cs="Times New Roman"/>
        </w:rPr>
        <w:t>U</w:t>
      </w:r>
      <w:r w:rsidR="00530DB5" w:rsidRPr="00E477AE">
        <w:rPr>
          <w:rFonts w:ascii="Times New Roman" w:hAnsi="Times New Roman" w:cs="Times New Roman"/>
        </w:rPr>
        <w:t>nfortunately,</w:t>
      </w:r>
      <w:r w:rsidR="008F53D6" w:rsidRPr="00E477AE">
        <w:rPr>
          <w:rFonts w:ascii="Times New Roman" w:hAnsi="Times New Roman" w:cs="Times New Roman"/>
        </w:rPr>
        <w:t xml:space="preserve"> therefore,</w:t>
      </w:r>
      <w:r w:rsidR="00530DB5" w:rsidRPr="00E477AE">
        <w:rPr>
          <w:rFonts w:ascii="Times New Roman" w:hAnsi="Times New Roman" w:cs="Times New Roman"/>
        </w:rPr>
        <w:t xml:space="preserve"> the reliance principle in</w:t>
      </w:r>
      <w:r w:rsidR="004D54EF" w:rsidRPr="00E477AE">
        <w:rPr>
          <w:rFonts w:ascii="Times New Roman" w:hAnsi="Times New Roman" w:cs="Times New Roman"/>
        </w:rPr>
        <w:t xml:space="preserve"> </w:t>
      </w:r>
      <w:r w:rsidR="004D54EF" w:rsidRPr="00E477AE">
        <w:rPr>
          <w:rFonts w:ascii="Times New Roman" w:hAnsi="Times New Roman" w:cs="Times New Roman"/>
          <w:i/>
        </w:rPr>
        <w:t>Tinsley</w:t>
      </w:r>
      <w:r w:rsidR="004D54EF" w:rsidRPr="00E477AE">
        <w:rPr>
          <w:rFonts w:ascii="Times New Roman" w:hAnsi="Times New Roman" w:cs="Times New Roman"/>
        </w:rPr>
        <w:t xml:space="preserve"> </w:t>
      </w:r>
      <w:r w:rsidR="006040CD" w:rsidRPr="00E477AE">
        <w:rPr>
          <w:rFonts w:ascii="Times New Roman" w:hAnsi="Times New Roman" w:cs="Times New Roman"/>
        </w:rPr>
        <w:t xml:space="preserve">detracted attention from the analytic framework </w:t>
      </w:r>
      <w:r w:rsidR="00E8207E" w:rsidRPr="00E477AE">
        <w:rPr>
          <w:rFonts w:ascii="Times New Roman" w:hAnsi="Times New Roman" w:cs="Times New Roman"/>
        </w:rPr>
        <w:t>(</w:t>
      </w:r>
      <w:r w:rsidR="006040CD" w:rsidRPr="00E477AE">
        <w:rPr>
          <w:rFonts w:ascii="Times New Roman" w:hAnsi="Times New Roman" w:cs="Times New Roman"/>
        </w:rPr>
        <w:t>above</w:t>
      </w:r>
      <w:r w:rsidR="00E8207E" w:rsidRPr="00E477AE">
        <w:rPr>
          <w:rFonts w:ascii="Times New Roman" w:hAnsi="Times New Roman" w:cs="Times New Roman"/>
        </w:rPr>
        <w:t>)</w:t>
      </w:r>
      <w:r w:rsidR="00BD6229">
        <w:rPr>
          <w:rFonts w:ascii="Times New Roman" w:hAnsi="Times New Roman" w:cs="Times New Roman"/>
        </w:rPr>
        <w:t xml:space="preserve"> centred on the</w:t>
      </w:r>
      <w:r w:rsidR="006040CD" w:rsidRPr="00E477AE">
        <w:rPr>
          <w:rFonts w:ascii="Times New Roman" w:hAnsi="Times New Roman" w:cs="Times New Roman"/>
        </w:rPr>
        <w:t xml:space="preserve"> critical</w:t>
      </w:r>
      <w:r w:rsidR="00BD6229">
        <w:rPr>
          <w:rFonts w:ascii="Times New Roman" w:hAnsi="Times New Roman" w:cs="Times New Roman"/>
        </w:rPr>
        <w:t xml:space="preserve"> and</w:t>
      </w:r>
      <w:r w:rsidR="006040CD" w:rsidRPr="00E477AE">
        <w:rPr>
          <w:rFonts w:ascii="Times New Roman" w:hAnsi="Times New Roman" w:cs="Times New Roman"/>
        </w:rPr>
        <w:t xml:space="preserve"> primary</w:t>
      </w:r>
      <w:r w:rsidR="00BD6229">
        <w:rPr>
          <w:rFonts w:ascii="Times New Roman" w:hAnsi="Times New Roman" w:cs="Times New Roman"/>
        </w:rPr>
        <w:t xml:space="preserve"> feature of the</w:t>
      </w:r>
      <w:r w:rsidR="006040CD" w:rsidRPr="00E477AE">
        <w:rPr>
          <w:rFonts w:ascii="Times New Roman" w:hAnsi="Times New Roman" w:cs="Times New Roman"/>
        </w:rPr>
        <w:t xml:space="preserve"> transaction</w:t>
      </w:r>
      <w:r w:rsidR="009C6566" w:rsidRPr="00E477AE">
        <w:rPr>
          <w:rFonts w:ascii="Times New Roman" w:hAnsi="Times New Roman" w:cs="Times New Roman"/>
        </w:rPr>
        <w:t xml:space="preserve"> in a</w:t>
      </w:r>
      <w:r w:rsidR="00BD6229">
        <w:rPr>
          <w:rFonts w:ascii="Times New Roman" w:hAnsi="Times New Roman" w:cs="Times New Roman"/>
        </w:rPr>
        <w:t>ny</w:t>
      </w:r>
      <w:r w:rsidR="004D3856" w:rsidRPr="00E477AE">
        <w:rPr>
          <w:rFonts w:ascii="Times New Roman" w:hAnsi="Times New Roman" w:cs="Times New Roman"/>
        </w:rPr>
        <w:t xml:space="preserve"> given case</w:t>
      </w:r>
      <w:r w:rsidR="006040CD" w:rsidRPr="00E477AE">
        <w:rPr>
          <w:rFonts w:ascii="Times New Roman" w:hAnsi="Times New Roman" w:cs="Times New Roman"/>
        </w:rPr>
        <w:t>.</w:t>
      </w:r>
      <w:r w:rsidR="00F36527" w:rsidRPr="00E477AE">
        <w:rPr>
          <w:rFonts w:ascii="Times New Roman" w:hAnsi="Times New Roman" w:cs="Times New Roman"/>
        </w:rPr>
        <w:t xml:space="preserve"> Thus, the application of the reliance principle made the o</w:t>
      </w:r>
      <w:r w:rsidR="009C6566" w:rsidRPr="00E477AE">
        <w:rPr>
          <w:rFonts w:ascii="Times New Roman" w:hAnsi="Times New Roman" w:cs="Times New Roman"/>
        </w:rPr>
        <w:t xml:space="preserve">utcome of a </w:t>
      </w:r>
      <w:r w:rsidR="004D3856" w:rsidRPr="00E477AE">
        <w:rPr>
          <w:rFonts w:ascii="Times New Roman" w:hAnsi="Times New Roman" w:cs="Times New Roman"/>
        </w:rPr>
        <w:t>case to depend ‘on the adventitious location of the burden of proof in any given case’,</w:t>
      </w:r>
      <w:r w:rsidR="004D3856" w:rsidRPr="00E477AE">
        <w:rPr>
          <w:rStyle w:val="FootnoteReference"/>
          <w:rFonts w:ascii="Times New Roman" w:hAnsi="Times New Roman" w:cs="Times New Roman"/>
        </w:rPr>
        <w:footnoteReference w:id="62"/>
      </w:r>
      <w:r w:rsidR="004D3856" w:rsidRPr="00E477AE">
        <w:rPr>
          <w:rFonts w:ascii="Times New Roman" w:hAnsi="Times New Roman" w:cs="Times New Roman"/>
        </w:rPr>
        <w:t xml:space="preserve"> or on the fortuitous matter of whether or not the parties are in a gift-giving relationship</w:t>
      </w:r>
      <w:r w:rsidR="00AB3ED8" w:rsidRPr="00E477AE">
        <w:rPr>
          <w:rFonts w:ascii="Times New Roman" w:hAnsi="Times New Roman" w:cs="Times New Roman"/>
        </w:rPr>
        <w:t xml:space="preserve">. </w:t>
      </w:r>
      <w:r w:rsidR="006E1264" w:rsidRPr="00E477AE">
        <w:rPr>
          <w:rFonts w:ascii="Times New Roman" w:hAnsi="Times New Roman" w:cs="Times New Roman"/>
        </w:rPr>
        <w:t>Partly because of t</w:t>
      </w:r>
      <w:r w:rsidR="00AB3ED8" w:rsidRPr="00E477AE">
        <w:rPr>
          <w:rFonts w:ascii="Times New Roman" w:hAnsi="Times New Roman" w:cs="Times New Roman"/>
        </w:rPr>
        <w:t>his sort of difficulty</w:t>
      </w:r>
      <w:r w:rsidR="006E1264" w:rsidRPr="00E477AE">
        <w:rPr>
          <w:rFonts w:ascii="Times New Roman" w:hAnsi="Times New Roman" w:cs="Times New Roman"/>
        </w:rPr>
        <w:t xml:space="preserve">, which was </w:t>
      </w:r>
      <w:r w:rsidR="00AB3ED8" w:rsidRPr="00E477AE">
        <w:rPr>
          <w:rFonts w:ascii="Times New Roman" w:hAnsi="Times New Roman" w:cs="Times New Roman"/>
        </w:rPr>
        <w:t>perceived to be responsible for the arbitrary outcomes in</w:t>
      </w:r>
      <w:r w:rsidR="006E1264" w:rsidRPr="00E477AE">
        <w:rPr>
          <w:rFonts w:ascii="Times New Roman" w:hAnsi="Times New Roman" w:cs="Times New Roman"/>
        </w:rPr>
        <w:t xml:space="preserve"> advancement cases, the reliance principle was overruled in </w:t>
      </w:r>
      <w:r w:rsidR="006E1264" w:rsidRPr="00E477AE">
        <w:rPr>
          <w:rFonts w:ascii="Times New Roman" w:hAnsi="Times New Roman" w:cs="Times New Roman"/>
          <w:i/>
        </w:rPr>
        <w:t>Patel</w:t>
      </w:r>
      <w:r w:rsidR="006E1264" w:rsidRPr="00E477AE">
        <w:rPr>
          <w:rFonts w:ascii="Times New Roman" w:hAnsi="Times New Roman" w:cs="Times New Roman"/>
        </w:rPr>
        <w:t>.</w:t>
      </w:r>
      <w:r w:rsidR="003D1A84" w:rsidRPr="00E477AE">
        <w:rPr>
          <w:rFonts w:ascii="Times New Roman" w:hAnsi="Times New Roman" w:cs="Times New Roman"/>
        </w:rPr>
        <w:t xml:space="preserve"> </w:t>
      </w:r>
    </w:p>
    <w:p w14:paraId="62683796" w14:textId="2D77E3F3" w:rsidR="00372383" w:rsidRPr="00E477AE" w:rsidRDefault="00E8207E" w:rsidP="00521DCD">
      <w:pPr>
        <w:ind w:firstLine="720"/>
        <w:jc w:val="both"/>
        <w:rPr>
          <w:rFonts w:ascii="Times New Roman" w:hAnsi="Times New Roman" w:cs="Times New Roman"/>
        </w:rPr>
      </w:pPr>
      <w:r w:rsidRPr="00E477AE">
        <w:rPr>
          <w:rFonts w:ascii="Times New Roman" w:hAnsi="Times New Roman" w:cs="Times New Roman"/>
        </w:rPr>
        <w:t>I suggest</w:t>
      </w:r>
      <w:r w:rsidR="001C241B" w:rsidRPr="00E477AE">
        <w:rPr>
          <w:rFonts w:ascii="Times New Roman" w:hAnsi="Times New Roman" w:cs="Times New Roman"/>
        </w:rPr>
        <w:t xml:space="preserve"> that the decisions engend</w:t>
      </w:r>
      <w:r w:rsidR="005F3DC6" w:rsidRPr="00E477AE">
        <w:rPr>
          <w:rFonts w:ascii="Times New Roman" w:hAnsi="Times New Roman" w:cs="Times New Roman"/>
        </w:rPr>
        <w:t>ered by</w:t>
      </w:r>
      <w:r w:rsidR="001C241B" w:rsidRPr="00E477AE">
        <w:rPr>
          <w:rFonts w:ascii="Times New Roman" w:hAnsi="Times New Roman" w:cs="Times New Roman"/>
        </w:rPr>
        <w:t xml:space="preserve"> advancement cases should not be seen as s</w:t>
      </w:r>
      <w:r w:rsidR="00826FD6" w:rsidRPr="00E477AE">
        <w:rPr>
          <w:rFonts w:ascii="Times New Roman" w:hAnsi="Times New Roman" w:cs="Times New Roman"/>
        </w:rPr>
        <w:t>ome sort of quirky or arbitrary</w:t>
      </w:r>
      <w:r w:rsidR="001C241B" w:rsidRPr="00E477AE">
        <w:rPr>
          <w:rFonts w:ascii="Times New Roman" w:hAnsi="Times New Roman" w:cs="Times New Roman"/>
        </w:rPr>
        <w:t xml:space="preserve"> outcomes. In contrast, the outcomes of cases on the presumption of advancement are consistent</w:t>
      </w:r>
      <w:r w:rsidR="005F3DC6" w:rsidRPr="00E477AE">
        <w:rPr>
          <w:rFonts w:ascii="Times New Roman" w:hAnsi="Times New Roman" w:cs="Times New Roman"/>
        </w:rPr>
        <w:t xml:space="preserve"> with</w:t>
      </w:r>
      <w:r w:rsidR="001C241B" w:rsidRPr="00E477AE">
        <w:rPr>
          <w:rFonts w:ascii="Times New Roman" w:hAnsi="Times New Roman" w:cs="Times New Roman"/>
        </w:rPr>
        <w:t xml:space="preserve"> my proposition above.</w:t>
      </w:r>
      <w:r w:rsidR="0062541F" w:rsidRPr="00E477AE">
        <w:rPr>
          <w:rFonts w:ascii="Times New Roman" w:hAnsi="Times New Roman" w:cs="Times New Roman"/>
        </w:rPr>
        <w:t xml:space="preserve"> A voluntary transfer made to a person in a gift-giving relationship with the transferor evinces a transaction</w:t>
      </w:r>
      <w:r w:rsidR="00B84339">
        <w:rPr>
          <w:rFonts w:ascii="Times New Roman" w:hAnsi="Times New Roman" w:cs="Times New Roman"/>
        </w:rPr>
        <w:t xml:space="preserve"> whose primary feature</w:t>
      </w:r>
      <w:r w:rsidR="0062541F" w:rsidRPr="00E477AE">
        <w:rPr>
          <w:rFonts w:ascii="Times New Roman" w:hAnsi="Times New Roman" w:cs="Times New Roman"/>
        </w:rPr>
        <w:t xml:space="preserve"> is constitutive of </w:t>
      </w:r>
      <w:r w:rsidR="007F33E8">
        <w:rPr>
          <w:rFonts w:ascii="Times New Roman" w:hAnsi="Times New Roman" w:cs="Times New Roman"/>
        </w:rPr>
        <w:t>trust, albeit a trust that</w:t>
      </w:r>
      <w:r w:rsidR="004E1668">
        <w:rPr>
          <w:rFonts w:ascii="Times New Roman" w:hAnsi="Times New Roman" w:cs="Times New Roman"/>
        </w:rPr>
        <w:t xml:space="preserve"> turns out to be</w:t>
      </w:r>
      <w:r w:rsidR="007F33E8">
        <w:rPr>
          <w:rFonts w:ascii="Times New Roman" w:hAnsi="Times New Roman" w:cs="Times New Roman"/>
        </w:rPr>
        <w:t xml:space="preserve"> directly</w:t>
      </w:r>
      <w:r w:rsidR="0062541F" w:rsidRPr="00E477AE">
        <w:rPr>
          <w:rFonts w:ascii="Times New Roman" w:hAnsi="Times New Roman" w:cs="Times New Roman"/>
        </w:rPr>
        <w:t xml:space="preserve"> illegal</w:t>
      </w:r>
      <w:r w:rsidR="007F33E8">
        <w:rPr>
          <w:rFonts w:ascii="Times New Roman" w:hAnsi="Times New Roman" w:cs="Times New Roman"/>
        </w:rPr>
        <w:t xml:space="preserve"> and</w:t>
      </w:r>
      <w:r w:rsidR="008E4E85">
        <w:rPr>
          <w:rFonts w:ascii="Times New Roman" w:hAnsi="Times New Roman" w:cs="Times New Roman"/>
        </w:rPr>
        <w:t xml:space="preserve"> is generally</w:t>
      </w:r>
      <w:r w:rsidR="007F33E8">
        <w:rPr>
          <w:rFonts w:ascii="Times New Roman" w:hAnsi="Times New Roman" w:cs="Times New Roman"/>
        </w:rPr>
        <w:t xml:space="preserve"> unenforceable.</w:t>
      </w:r>
      <w:r w:rsidR="0062541F" w:rsidRPr="00E477AE">
        <w:rPr>
          <w:rFonts w:ascii="Times New Roman" w:hAnsi="Times New Roman" w:cs="Times New Roman"/>
        </w:rPr>
        <w:t xml:space="preserve"> Put differently,</w:t>
      </w:r>
      <w:r w:rsidR="007F33E8">
        <w:rPr>
          <w:rFonts w:ascii="Times New Roman" w:hAnsi="Times New Roman" w:cs="Times New Roman"/>
        </w:rPr>
        <w:t xml:space="preserve"> </w:t>
      </w:r>
      <w:r w:rsidR="005D6237" w:rsidRPr="00E477AE">
        <w:rPr>
          <w:rFonts w:ascii="Times New Roman" w:hAnsi="Times New Roman" w:cs="Times New Roman"/>
        </w:rPr>
        <w:t>in advancement cases, claimants who attempted to rebut the presumption of gift with evidence of trust</w:t>
      </w:r>
      <w:r w:rsidR="00B64A99" w:rsidRPr="00E477AE">
        <w:rPr>
          <w:rFonts w:ascii="Times New Roman" w:hAnsi="Times New Roman" w:cs="Times New Roman"/>
        </w:rPr>
        <w:t xml:space="preserve"> </w:t>
      </w:r>
      <w:r w:rsidR="005D6237" w:rsidRPr="00E477AE">
        <w:rPr>
          <w:rFonts w:ascii="Times New Roman" w:hAnsi="Times New Roman" w:cs="Times New Roman"/>
        </w:rPr>
        <w:t xml:space="preserve">ended up establishing a trust that </w:t>
      </w:r>
      <w:r w:rsidR="005D6237" w:rsidRPr="00E477AE">
        <w:rPr>
          <w:rFonts w:ascii="Times New Roman" w:hAnsi="Times New Roman" w:cs="Times New Roman"/>
          <w:i/>
        </w:rPr>
        <w:t>directly</w:t>
      </w:r>
      <w:r w:rsidR="005D6237" w:rsidRPr="00E477AE">
        <w:rPr>
          <w:rFonts w:ascii="Times New Roman" w:hAnsi="Times New Roman" w:cs="Times New Roman"/>
        </w:rPr>
        <w:t xml:space="preserve"> violates the law. Since this sort of trust comes within the</w:t>
      </w:r>
      <w:r w:rsidR="00F72CE6" w:rsidRPr="00E477AE">
        <w:rPr>
          <w:rFonts w:ascii="Times New Roman" w:hAnsi="Times New Roman" w:cs="Times New Roman"/>
        </w:rPr>
        <w:t xml:space="preserve"> accepted and</w:t>
      </w:r>
      <w:r w:rsidR="005D6237" w:rsidRPr="00E477AE">
        <w:rPr>
          <w:rFonts w:ascii="Times New Roman" w:hAnsi="Times New Roman" w:cs="Times New Roman"/>
        </w:rPr>
        <w:t xml:space="preserve"> narrowly operative sphere of illegality in trusts law, as highlighted above and further discussed below, the courts were justified to refuse to enforce such trusts. </w:t>
      </w:r>
      <w:r w:rsidR="00A721B5" w:rsidRPr="00E477AE">
        <w:rPr>
          <w:rFonts w:ascii="Times New Roman" w:hAnsi="Times New Roman" w:cs="Times New Roman"/>
        </w:rPr>
        <w:t>From an analytic perspective</w:t>
      </w:r>
      <w:r w:rsidR="00F72CE6" w:rsidRPr="00E477AE">
        <w:rPr>
          <w:rFonts w:ascii="Times New Roman" w:hAnsi="Times New Roman" w:cs="Times New Roman"/>
        </w:rPr>
        <w:t>,</w:t>
      </w:r>
      <w:r w:rsidR="00B64A99" w:rsidRPr="00E477AE">
        <w:rPr>
          <w:rFonts w:ascii="Times New Roman" w:hAnsi="Times New Roman" w:cs="Times New Roman"/>
        </w:rPr>
        <w:t xml:space="preserve"> therefore,</w:t>
      </w:r>
      <w:r w:rsidR="005D6237" w:rsidRPr="00E477AE">
        <w:rPr>
          <w:rFonts w:ascii="Times New Roman" w:hAnsi="Times New Roman" w:cs="Times New Roman"/>
        </w:rPr>
        <w:t xml:space="preserve"> there is nothing untoward about the outcome of advancement cases</w:t>
      </w:r>
      <w:r w:rsidR="00F72CE6" w:rsidRPr="00E477AE">
        <w:rPr>
          <w:rFonts w:ascii="Times New Roman" w:hAnsi="Times New Roman" w:cs="Times New Roman"/>
        </w:rPr>
        <w:t>,</w:t>
      </w:r>
      <w:r w:rsidR="005D6237" w:rsidRPr="00E477AE">
        <w:rPr>
          <w:rFonts w:ascii="Times New Roman" w:hAnsi="Times New Roman" w:cs="Times New Roman"/>
        </w:rPr>
        <w:t xml:space="preserve"> in comparison</w:t>
      </w:r>
      <w:r w:rsidR="00A721B5" w:rsidRPr="00E477AE">
        <w:rPr>
          <w:rFonts w:ascii="Times New Roman" w:hAnsi="Times New Roman" w:cs="Times New Roman"/>
        </w:rPr>
        <w:t xml:space="preserve"> to the enforcement of trusts arising</w:t>
      </w:r>
      <w:r w:rsidR="001E7830" w:rsidRPr="00E477AE">
        <w:rPr>
          <w:rFonts w:ascii="Times New Roman" w:hAnsi="Times New Roman" w:cs="Times New Roman"/>
        </w:rPr>
        <w:t xml:space="preserve"> from voluntary transfers to persons outside the legally accepted gift-giving relationships.</w:t>
      </w:r>
    </w:p>
    <w:p w14:paraId="750F6579" w14:textId="1D5C5539" w:rsidR="00F64572" w:rsidRPr="00E477AE" w:rsidRDefault="003606E2" w:rsidP="00521DCD">
      <w:pPr>
        <w:ind w:firstLine="720"/>
        <w:jc w:val="both"/>
        <w:rPr>
          <w:rFonts w:ascii="Times New Roman" w:hAnsi="Times New Roman" w:cs="Times New Roman"/>
        </w:rPr>
      </w:pPr>
      <w:r w:rsidRPr="00E477AE">
        <w:rPr>
          <w:rFonts w:ascii="Times New Roman" w:hAnsi="Times New Roman" w:cs="Times New Roman"/>
        </w:rPr>
        <w:t xml:space="preserve">Notice that </w:t>
      </w:r>
      <w:r w:rsidR="00243C24" w:rsidRPr="00E477AE">
        <w:rPr>
          <w:rFonts w:ascii="Times New Roman" w:hAnsi="Times New Roman" w:cs="Times New Roman"/>
        </w:rPr>
        <w:t>even in advancement cases</w:t>
      </w:r>
      <w:r w:rsidR="00BE7822">
        <w:rPr>
          <w:rFonts w:ascii="Times New Roman" w:hAnsi="Times New Roman" w:cs="Times New Roman"/>
        </w:rPr>
        <w:t xml:space="preserve"> where the trust alleged</w:t>
      </w:r>
      <w:r w:rsidR="007721DF">
        <w:rPr>
          <w:rFonts w:ascii="Times New Roman" w:hAnsi="Times New Roman" w:cs="Times New Roman"/>
        </w:rPr>
        <w:t xml:space="preserve"> by the transferor</w:t>
      </w:r>
      <w:r w:rsidR="00BE7822">
        <w:rPr>
          <w:rFonts w:ascii="Times New Roman" w:hAnsi="Times New Roman" w:cs="Times New Roman"/>
        </w:rPr>
        <w:t xml:space="preserve"> is directly illegal</w:t>
      </w:r>
      <w:r w:rsidR="00243C24" w:rsidRPr="00E477AE">
        <w:rPr>
          <w:rFonts w:ascii="Times New Roman" w:hAnsi="Times New Roman" w:cs="Times New Roman"/>
        </w:rPr>
        <w:t>,</w:t>
      </w:r>
      <w:r w:rsidR="00BE7822">
        <w:rPr>
          <w:rFonts w:ascii="Times New Roman" w:hAnsi="Times New Roman" w:cs="Times New Roman"/>
        </w:rPr>
        <w:t xml:space="preserve"> as highlighted above,</w:t>
      </w:r>
      <w:r w:rsidR="007721DF">
        <w:rPr>
          <w:rFonts w:ascii="Times New Roman" w:hAnsi="Times New Roman" w:cs="Times New Roman"/>
        </w:rPr>
        <w:t xml:space="preserve"> a subsequent and valid declaration of trust by the transferee would effectively constitute</w:t>
      </w:r>
      <w:r w:rsidR="00243C24" w:rsidRPr="00E477AE">
        <w:rPr>
          <w:rFonts w:ascii="Times New Roman" w:hAnsi="Times New Roman" w:cs="Times New Roman"/>
        </w:rPr>
        <w:t xml:space="preserve"> the primary transaction</w:t>
      </w:r>
      <w:r w:rsidR="007721DF">
        <w:rPr>
          <w:rFonts w:ascii="Times New Roman" w:hAnsi="Times New Roman" w:cs="Times New Roman"/>
        </w:rPr>
        <w:t>, and such a</w:t>
      </w:r>
      <w:r w:rsidR="00243C24" w:rsidRPr="00E477AE">
        <w:rPr>
          <w:rFonts w:ascii="Times New Roman" w:hAnsi="Times New Roman" w:cs="Times New Roman"/>
        </w:rPr>
        <w:t xml:space="preserve"> trust</w:t>
      </w:r>
      <w:r w:rsidR="007721DF">
        <w:rPr>
          <w:rFonts w:ascii="Times New Roman" w:hAnsi="Times New Roman" w:cs="Times New Roman"/>
        </w:rPr>
        <w:t xml:space="preserve"> would be enforced despite being tainted by the initial illegality</w:t>
      </w:r>
      <w:r w:rsidR="00243C24" w:rsidRPr="00E477AE">
        <w:rPr>
          <w:rFonts w:ascii="Times New Roman" w:hAnsi="Times New Roman" w:cs="Times New Roman"/>
        </w:rPr>
        <w:t>. This can happen, for instance, where a man volunta</w:t>
      </w:r>
      <w:r w:rsidR="00131248" w:rsidRPr="00E477AE">
        <w:rPr>
          <w:rFonts w:ascii="Times New Roman" w:hAnsi="Times New Roman" w:cs="Times New Roman"/>
        </w:rPr>
        <w:t>rily transfers his property to</w:t>
      </w:r>
      <w:r w:rsidR="00243C24" w:rsidRPr="00E477AE">
        <w:rPr>
          <w:rFonts w:ascii="Times New Roman" w:hAnsi="Times New Roman" w:cs="Times New Roman"/>
        </w:rPr>
        <w:t xml:space="preserve"> his wife</w:t>
      </w:r>
      <w:r w:rsidR="004935E1" w:rsidRPr="00E477AE">
        <w:rPr>
          <w:rFonts w:ascii="Times New Roman" w:hAnsi="Times New Roman" w:cs="Times New Roman"/>
        </w:rPr>
        <w:t>, in order to defeat</w:t>
      </w:r>
      <w:r w:rsidR="00243C24" w:rsidRPr="00E477AE">
        <w:rPr>
          <w:rFonts w:ascii="Times New Roman" w:hAnsi="Times New Roman" w:cs="Times New Roman"/>
        </w:rPr>
        <w:t xml:space="preserve"> his creditors, and the wife</w:t>
      </w:r>
      <w:r w:rsidR="004935E1" w:rsidRPr="00E477AE">
        <w:rPr>
          <w:rFonts w:ascii="Times New Roman" w:hAnsi="Times New Roman" w:cs="Times New Roman"/>
        </w:rPr>
        <w:t>,</w:t>
      </w:r>
      <w:r w:rsidR="00243C24" w:rsidRPr="00E477AE">
        <w:rPr>
          <w:rFonts w:ascii="Times New Roman" w:hAnsi="Times New Roman" w:cs="Times New Roman"/>
        </w:rPr>
        <w:t xml:space="preserve"> subsequently</w:t>
      </w:r>
      <w:r w:rsidR="004935E1" w:rsidRPr="00E477AE">
        <w:rPr>
          <w:rFonts w:ascii="Times New Roman" w:hAnsi="Times New Roman" w:cs="Times New Roman"/>
        </w:rPr>
        <w:t>,</w:t>
      </w:r>
      <w:r w:rsidR="00243C24" w:rsidRPr="00E477AE">
        <w:rPr>
          <w:rFonts w:ascii="Times New Roman" w:hAnsi="Times New Roman" w:cs="Times New Roman"/>
        </w:rPr>
        <w:t xml:space="preserve"> declares a trust of that property for the husband. In such a cas</w:t>
      </w:r>
      <w:r w:rsidR="00B45D6F" w:rsidRPr="00E477AE">
        <w:rPr>
          <w:rFonts w:ascii="Times New Roman" w:hAnsi="Times New Roman" w:cs="Times New Roman"/>
        </w:rPr>
        <w:t xml:space="preserve">e, the interposition of the declaration of </w:t>
      </w:r>
      <w:r w:rsidR="00243C24" w:rsidRPr="00E477AE">
        <w:rPr>
          <w:rFonts w:ascii="Times New Roman" w:hAnsi="Times New Roman" w:cs="Times New Roman"/>
        </w:rPr>
        <w:t>trust would loom large as the</w:t>
      </w:r>
      <w:r w:rsidR="00B84339">
        <w:rPr>
          <w:rFonts w:ascii="Times New Roman" w:hAnsi="Times New Roman" w:cs="Times New Roman"/>
        </w:rPr>
        <w:t xml:space="preserve"> relevant</w:t>
      </w:r>
      <w:r w:rsidR="00243C24" w:rsidRPr="00E477AE">
        <w:rPr>
          <w:rFonts w:ascii="Times New Roman" w:hAnsi="Times New Roman" w:cs="Times New Roman"/>
        </w:rPr>
        <w:t xml:space="preserve"> primary transaction</w:t>
      </w:r>
      <w:r w:rsidR="000958CA" w:rsidRPr="00E477AE">
        <w:rPr>
          <w:rFonts w:ascii="Times New Roman" w:hAnsi="Times New Roman" w:cs="Times New Roman"/>
        </w:rPr>
        <w:t>. Ex hypothesi, the</w:t>
      </w:r>
      <w:r w:rsidR="003A6EB4" w:rsidRPr="00E477AE">
        <w:rPr>
          <w:rFonts w:ascii="Times New Roman" w:hAnsi="Times New Roman" w:cs="Times New Roman"/>
        </w:rPr>
        <w:t xml:space="preserve"> declaration of</w:t>
      </w:r>
      <w:r w:rsidR="006B0C39" w:rsidRPr="00E477AE">
        <w:rPr>
          <w:rFonts w:ascii="Times New Roman" w:hAnsi="Times New Roman" w:cs="Times New Roman"/>
        </w:rPr>
        <w:t xml:space="preserve"> trust</w:t>
      </w:r>
      <w:r w:rsidR="004935E1" w:rsidRPr="00E477AE">
        <w:rPr>
          <w:rFonts w:ascii="Times New Roman" w:hAnsi="Times New Roman" w:cs="Times New Roman"/>
        </w:rPr>
        <w:t xml:space="preserve"> (if valid)</w:t>
      </w:r>
      <w:r w:rsidR="006B0C39" w:rsidRPr="00E477AE">
        <w:rPr>
          <w:rFonts w:ascii="Times New Roman" w:hAnsi="Times New Roman" w:cs="Times New Roman"/>
        </w:rPr>
        <w:t xml:space="preserve"> would be enforced notwithstanding the fraudulent purpose</w:t>
      </w:r>
      <w:r w:rsidR="00402C65" w:rsidRPr="00E477AE">
        <w:rPr>
          <w:rFonts w:ascii="Times New Roman" w:hAnsi="Times New Roman" w:cs="Times New Roman"/>
        </w:rPr>
        <w:t xml:space="preserve"> it was intended to achieve</w:t>
      </w:r>
      <w:r w:rsidR="006B0C39" w:rsidRPr="00E477AE">
        <w:rPr>
          <w:rFonts w:ascii="Times New Roman" w:hAnsi="Times New Roman" w:cs="Times New Roman"/>
        </w:rPr>
        <w:t>.</w:t>
      </w:r>
      <w:r w:rsidRPr="00E477AE">
        <w:rPr>
          <w:rFonts w:ascii="Times New Roman" w:hAnsi="Times New Roman" w:cs="Times New Roman"/>
        </w:rPr>
        <w:t xml:space="preserve"> </w:t>
      </w:r>
    </w:p>
    <w:p w14:paraId="60E56DB6" w14:textId="68C0DF9C" w:rsidR="00243C24" w:rsidRPr="00E477AE" w:rsidRDefault="003606E2" w:rsidP="00521DCD">
      <w:pPr>
        <w:ind w:firstLine="720"/>
        <w:jc w:val="both"/>
        <w:rPr>
          <w:rFonts w:ascii="Times New Roman" w:hAnsi="Times New Roman" w:cs="Times New Roman"/>
        </w:rPr>
      </w:pPr>
      <w:r w:rsidRPr="00E477AE">
        <w:rPr>
          <w:rFonts w:ascii="Times New Roman" w:hAnsi="Times New Roman" w:cs="Times New Roman"/>
        </w:rPr>
        <w:t>Some important cases support this line of reasoning.</w:t>
      </w:r>
      <w:r w:rsidR="003A6EB4" w:rsidRPr="00E477AE">
        <w:rPr>
          <w:rFonts w:ascii="Times New Roman" w:hAnsi="Times New Roman" w:cs="Times New Roman"/>
        </w:rPr>
        <w:t xml:space="preserve"> In </w:t>
      </w:r>
      <w:r w:rsidR="003A6EB4" w:rsidRPr="00E477AE">
        <w:rPr>
          <w:rFonts w:ascii="Times New Roman" w:hAnsi="Times New Roman" w:cs="Times New Roman"/>
          <w:i/>
        </w:rPr>
        <w:t>Tribe</w:t>
      </w:r>
      <w:r w:rsidR="003A6EB4" w:rsidRPr="00E477AE">
        <w:rPr>
          <w:rFonts w:ascii="Times New Roman" w:hAnsi="Times New Roman" w:cs="Times New Roman"/>
        </w:rPr>
        <w:t xml:space="preserve">, </w:t>
      </w:r>
      <w:r w:rsidR="00E13834" w:rsidRPr="00E477AE">
        <w:rPr>
          <w:rFonts w:ascii="Times New Roman" w:hAnsi="Times New Roman" w:cs="Times New Roman"/>
        </w:rPr>
        <w:t xml:space="preserve">for example, </w:t>
      </w:r>
      <w:r w:rsidR="003A6EB4" w:rsidRPr="00E477AE">
        <w:rPr>
          <w:rFonts w:ascii="Times New Roman" w:hAnsi="Times New Roman" w:cs="Times New Roman"/>
        </w:rPr>
        <w:t>Millett LJ pertinently observed that the claimant-father ‘would also have succeeded if he had given them (the shares in dispute) to the defendant (the son) and procured him to sign a declaration of trust in his favour’.</w:t>
      </w:r>
      <w:r w:rsidR="003A6EB4" w:rsidRPr="00E477AE">
        <w:rPr>
          <w:rStyle w:val="FootnoteReference"/>
          <w:rFonts w:ascii="Times New Roman" w:hAnsi="Times New Roman" w:cs="Times New Roman"/>
        </w:rPr>
        <w:footnoteReference w:id="63"/>
      </w:r>
      <w:r w:rsidR="003A6EB4" w:rsidRPr="00E477AE">
        <w:rPr>
          <w:rFonts w:ascii="Times New Roman" w:hAnsi="Times New Roman" w:cs="Times New Roman"/>
        </w:rPr>
        <w:t xml:space="preserve"> Why</w:t>
      </w:r>
      <w:r w:rsidR="000E2A7B" w:rsidRPr="00E477AE">
        <w:rPr>
          <w:rFonts w:ascii="Times New Roman" w:hAnsi="Times New Roman" w:cs="Times New Roman"/>
        </w:rPr>
        <w:t xml:space="preserve"> is it that this </w:t>
      </w:r>
      <w:r w:rsidR="003A6EB4" w:rsidRPr="00E477AE">
        <w:rPr>
          <w:rFonts w:ascii="Times New Roman" w:hAnsi="Times New Roman" w:cs="Times New Roman"/>
        </w:rPr>
        <w:t>outcome</w:t>
      </w:r>
      <w:r w:rsidR="000E2A7B" w:rsidRPr="00E477AE">
        <w:rPr>
          <w:rFonts w:ascii="Times New Roman" w:hAnsi="Times New Roman" w:cs="Times New Roman"/>
        </w:rPr>
        <w:t xml:space="preserve"> would</w:t>
      </w:r>
      <w:r w:rsidR="003A6EB4" w:rsidRPr="00E477AE">
        <w:rPr>
          <w:rFonts w:ascii="Times New Roman" w:hAnsi="Times New Roman" w:cs="Times New Roman"/>
        </w:rPr>
        <w:t xml:space="preserve"> have been</w:t>
      </w:r>
      <w:r w:rsidR="000958CA" w:rsidRPr="00E477AE">
        <w:rPr>
          <w:rFonts w:ascii="Times New Roman" w:hAnsi="Times New Roman" w:cs="Times New Roman"/>
        </w:rPr>
        <w:t xml:space="preserve"> reached</w:t>
      </w:r>
      <w:r w:rsidR="00E87ABD" w:rsidRPr="00E477AE">
        <w:rPr>
          <w:rFonts w:ascii="Times New Roman" w:hAnsi="Times New Roman" w:cs="Times New Roman"/>
        </w:rPr>
        <w:t>,</w:t>
      </w:r>
      <w:r w:rsidR="000E2A7B" w:rsidRPr="00E477AE">
        <w:rPr>
          <w:rFonts w:ascii="Times New Roman" w:hAnsi="Times New Roman" w:cs="Times New Roman"/>
        </w:rPr>
        <w:t xml:space="preserve"> in the hypothetical </w:t>
      </w:r>
      <w:r w:rsidR="00213A34" w:rsidRPr="00E477AE">
        <w:rPr>
          <w:rFonts w:ascii="Times New Roman" w:hAnsi="Times New Roman" w:cs="Times New Roman"/>
        </w:rPr>
        <w:t>scenario</w:t>
      </w:r>
      <w:r w:rsidR="000958CA" w:rsidRPr="00E477AE">
        <w:rPr>
          <w:rFonts w:ascii="Times New Roman" w:hAnsi="Times New Roman" w:cs="Times New Roman"/>
        </w:rPr>
        <w:t xml:space="preserve"> posited by Millett LJ</w:t>
      </w:r>
      <w:r w:rsidR="00E87ABD" w:rsidRPr="00E477AE">
        <w:rPr>
          <w:rFonts w:ascii="Times New Roman" w:hAnsi="Times New Roman" w:cs="Times New Roman"/>
        </w:rPr>
        <w:t>,</w:t>
      </w:r>
      <w:r w:rsidR="003A6EB4" w:rsidRPr="00E477AE">
        <w:rPr>
          <w:rFonts w:ascii="Times New Roman" w:hAnsi="Times New Roman" w:cs="Times New Roman"/>
        </w:rPr>
        <w:t xml:space="preserve"> in </w:t>
      </w:r>
      <w:r w:rsidR="003A6EB4" w:rsidRPr="00E477AE">
        <w:rPr>
          <w:rFonts w:ascii="Times New Roman" w:hAnsi="Times New Roman" w:cs="Times New Roman"/>
          <w:i/>
        </w:rPr>
        <w:t>Tribe</w:t>
      </w:r>
      <w:r w:rsidR="000E2A7B" w:rsidRPr="00E477AE">
        <w:rPr>
          <w:rFonts w:ascii="Times New Roman" w:hAnsi="Times New Roman" w:cs="Times New Roman"/>
        </w:rPr>
        <w:t xml:space="preserve">? Of course, Millett LJ did not address this question because he </w:t>
      </w:r>
      <w:r w:rsidR="003A6EB4" w:rsidRPr="00E477AE">
        <w:rPr>
          <w:rFonts w:ascii="Times New Roman" w:hAnsi="Times New Roman" w:cs="Times New Roman"/>
        </w:rPr>
        <w:t>was not conc</w:t>
      </w:r>
      <w:r w:rsidR="000E2A7B" w:rsidRPr="00E477AE">
        <w:rPr>
          <w:rFonts w:ascii="Times New Roman" w:hAnsi="Times New Roman" w:cs="Times New Roman"/>
        </w:rPr>
        <w:t>erned with this sort of inquiry.</w:t>
      </w:r>
      <w:r w:rsidR="003A6EB4" w:rsidRPr="00E477AE">
        <w:rPr>
          <w:rFonts w:ascii="Times New Roman" w:hAnsi="Times New Roman" w:cs="Times New Roman"/>
        </w:rPr>
        <w:t xml:space="preserve"> </w:t>
      </w:r>
      <w:r w:rsidR="000E2A7B" w:rsidRPr="00E477AE">
        <w:rPr>
          <w:rFonts w:ascii="Times New Roman" w:hAnsi="Times New Roman" w:cs="Times New Roman"/>
        </w:rPr>
        <w:t xml:space="preserve">However, the answer must be that, in such a hypothetical scenario, the critical primary transaction would have been the subsequent declaration </w:t>
      </w:r>
      <w:r w:rsidR="00E13834" w:rsidRPr="00E477AE">
        <w:rPr>
          <w:rFonts w:ascii="Times New Roman" w:hAnsi="Times New Roman" w:cs="Times New Roman"/>
        </w:rPr>
        <w:t>of trust by the son for the father</w:t>
      </w:r>
      <w:r w:rsidR="00F22C12" w:rsidRPr="00E477AE">
        <w:rPr>
          <w:rFonts w:ascii="Times New Roman" w:hAnsi="Times New Roman" w:cs="Times New Roman"/>
        </w:rPr>
        <w:t>.</w:t>
      </w:r>
      <w:r w:rsidR="00AA3E93" w:rsidRPr="00E477AE">
        <w:rPr>
          <w:rFonts w:ascii="Times New Roman" w:hAnsi="Times New Roman" w:cs="Times New Roman"/>
        </w:rPr>
        <w:t xml:space="preserve"> More interestingly, t</w:t>
      </w:r>
      <w:r w:rsidR="00F22C12" w:rsidRPr="00E477AE">
        <w:rPr>
          <w:rFonts w:ascii="Times New Roman" w:hAnsi="Times New Roman" w:cs="Times New Roman"/>
        </w:rPr>
        <w:t xml:space="preserve">he Australian High Court decision in </w:t>
      </w:r>
      <w:r w:rsidR="00F22C12" w:rsidRPr="00E477AE">
        <w:rPr>
          <w:rFonts w:ascii="Times New Roman" w:hAnsi="Times New Roman" w:cs="Times New Roman"/>
          <w:i/>
        </w:rPr>
        <w:t>Perpetual Executors and Trustees Association of Australia Ltd. v Wright</w:t>
      </w:r>
      <w:r w:rsidR="00F22C12" w:rsidRPr="00E477AE">
        <w:rPr>
          <w:rFonts w:ascii="Times New Roman" w:hAnsi="Times New Roman" w:cs="Times New Roman"/>
        </w:rPr>
        <w:t xml:space="preserve"> puts the matter beyond conjecture.</w:t>
      </w:r>
      <w:r w:rsidR="00F22C12" w:rsidRPr="00E477AE">
        <w:rPr>
          <w:rStyle w:val="FootnoteReference"/>
          <w:rFonts w:ascii="Times New Roman" w:hAnsi="Times New Roman" w:cs="Times New Roman"/>
        </w:rPr>
        <w:footnoteReference w:id="64"/>
      </w:r>
    </w:p>
    <w:p w14:paraId="0A49B91D" w14:textId="215F5341" w:rsidR="00AA3E93" w:rsidRPr="00E477AE" w:rsidRDefault="00AA3E93" w:rsidP="00521DCD">
      <w:pPr>
        <w:ind w:firstLine="720"/>
        <w:jc w:val="both"/>
        <w:rPr>
          <w:rFonts w:ascii="Times New Roman" w:hAnsi="Times New Roman" w:cs="Times New Roman"/>
        </w:rPr>
      </w:pPr>
      <w:r w:rsidRPr="00E477AE">
        <w:rPr>
          <w:rFonts w:ascii="Times New Roman" w:hAnsi="Times New Roman" w:cs="Times New Roman"/>
        </w:rPr>
        <w:t xml:space="preserve">In </w:t>
      </w:r>
      <w:r w:rsidRPr="00E477AE">
        <w:rPr>
          <w:rFonts w:ascii="Times New Roman" w:hAnsi="Times New Roman" w:cs="Times New Roman"/>
          <w:i/>
        </w:rPr>
        <w:t>Perpetual Executors</w:t>
      </w:r>
      <w:r w:rsidRPr="00E477AE">
        <w:rPr>
          <w:rFonts w:ascii="Times New Roman" w:hAnsi="Times New Roman" w:cs="Times New Roman"/>
        </w:rPr>
        <w:t>,</w:t>
      </w:r>
      <w:r w:rsidR="000707E8" w:rsidRPr="00E477AE">
        <w:rPr>
          <w:rFonts w:ascii="Times New Roman" w:hAnsi="Times New Roman" w:cs="Times New Roman"/>
        </w:rPr>
        <w:t xml:space="preserve"> the husband-claimant purchased a</w:t>
      </w:r>
      <w:r w:rsidR="00531405" w:rsidRPr="00E477AE">
        <w:rPr>
          <w:rFonts w:ascii="Times New Roman" w:hAnsi="Times New Roman" w:cs="Times New Roman"/>
        </w:rPr>
        <w:t xml:space="preserve"> piece of</w:t>
      </w:r>
      <w:r w:rsidR="000707E8" w:rsidRPr="00E477AE">
        <w:rPr>
          <w:rFonts w:ascii="Times New Roman" w:hAnsi="Times New Roman" w:cs="Times New Roman"/>
        </w:rPr>
        <w:t xml:space="preserve"> land (upon which he built a family house) in the name of his wife</w:t>
      </w:r>
      <w:r w:rsidR="00531405" w:rsidRPr="00E477AE">
        <w:rPr>
          <w:rFonts w:ascii="Times New Roman" w:hAnsi="Times New Roman" w:cs="Times New Roman"/>
        </w:rPr>
        <w:t xml:space="preserve">. </w:t>
      </w:r>
      <w:r w:rsidR="00CB2313" w:rsidRPr="00E477AE">
        <w:rPr>
          <w:rFonts w:ascii="Times New Roman" w:hAnsi="Times New Roman" w:cs="Times New Roman"/>
        </w:rPr>
        <w:t>According to the husband, t</w:t>
      </w:r>
      <w:r w:rsidR="000707E8" w:rsidRPr="00E477AE">
        <w:rPr>
          <w:rFonts w:ascii="Times New Roman" w:hAnsi="Times New Roman" w:cs="Times New Roman"/>
        </w:rPr>
        <w:t>he purchase was made in the name of his wife,</w:t>
      </w:r>
      <w:r w:rsidR="00CB2313" w:rsidRPr="00E477AE">
        <w:rPr>
          <w:rFonts w:ascii="Times New Roman" w:hAnsi="Times New Roman" w:cs="Times New Roman"/>
        </w:rPr>
        <w:t xml:space="preserve"> and with his wife’s</w:t>
      </w:r>
      <w:r w:rsidR="000707E8" w:rsidRPr="00E477AE">
        <w:rPr>
          <w:rFonts w:ascii="Times New Roman" w:hAnsi="Times New Roman" w:cs="Times New Roman"/>
        </w:rPr>
        <w:t xml:space="preserve"> consent, out of convenience,</w:t>
      </w:r>
      <w:r w:rsidR="004E6263" w:rsidRPr="00E477AE">
        <w:rPr>
          <w:rFonts w:ascii="Times New Roman" w:hAnsi="Times New Roman" w:cs="Times New Roman"/>
        </w:rPr>
        <w:t xml:space="preserve"> and not as a gift to her. T</w:t>
      </w:r>
      <w:r w:rsidR="00CB2313" w:rsidRPr="00E477AE">
        <w:rPr>
          <w:rFonts w:ascii="Times New Roman" w:hAnsi="Times New Roman" w:cs="Times New Roman"/>
        </w:rPr>
        <w:t>he purpose was</w:t>
      </w:r>
      <w:r w:rsidR="000707E8" w:rsidRPr="00E477AE">
        <w:rPr>
          <w:rFonts w:ascii="Times New Roman" w:hAnsi="Times New Roman" w:cs="Times New Roman"/>
        </w:rPr>
        <w:t xml:space="preserve"> to secure the property as a family home</w:t>
      </w:r>
      <w:r w:rsidR="00CB2313" w:rsidRPr="00E477AE">
        <w:rPr>
          <w:rFonts w:ascii="Times New Roman" w:hAnsi="Times New Roman" w:cs="Times New Roman"/>
        </w:rPr>
        <w:t xml:space="preserve"> in case the husband’s </w:t>
      </w:r>
      <w:r w:rsidR="000707E8" w:rsidRPr="00E477AE">
        <w:rPr>
          <w:rFonts w:ascii="Times New Roman" w:hAnsi="Times New Roman" w:cs="Times New Roman"/>
        </w:rPr>
        <w:t>business</w:t>
      </w:r>
      <w:r w:rsidR="00CB2313" w:rsidRPr="00E477AE">
        <w:rPr>
          <w:rFonts w:ascii="Times New Roman" w:hAnsi="Times New Roman" w:cs="Times New Roman"/>
        </w:rPr>
        <w:t xml:space="preserve"> failed</w:t>
      </w:r>
      <w:r w:rsidR="000707E8" w:rsidRPr="00E477AE">
        <w:rPr>
          <w:rFonts w:ascii="Times New Roman" w:hAnsi="Times New Roman" w:cs="Times New Roman"/>
        </w:rPr>
        <w:t>.</w:t>
      </w:r>
      <w:r w:rsidR="00CB2313" w:rsidRPr="00E477AE">
        <w:rPr>
          <w:rFonts w:ascii="Times New Roman" w:hAnsi="Times New Roman" w:cs="Times New Roman"/>
        </w:rPr>
        <w:t xml:space="preserve"> About two days before she died, the wife signed a document in which sh</w:t>
      </w:r>
      <w:r w:rsidR="00EF1EAD" w:rsidRPr="00E477AE">
        <w:rPr>
          <w:rFonts w:ascii="Times New Roman" w:hAnsi="Times New Roman" w:cs="Times New Roman"/>
        </w:rPr>
        <w:t xml:space="preserve">e declared that she held the property on trust for the husband. In her will, which was prior to </w:t>
      </w:r>
      <w:r w:rsidR="00971CE8" w:rsidRPr="00E477AE">
        <w:rPr>
          <w:rFonts w:ascii="Times New Roman" w:hAnsi="Times New Roman" w:cs="Times New Roman"/>
        </w:rPr>
        <w:t>that date, she</w:t>
      </w:r>
      <w:r w:rsidR="00EF1EAD" w:rsidRPr="00E477AE">
        <w:rPr>
          <w:rFonts w:ascii="Times New Roman" w:hAnsi="Times New Roman" w:cs="Times New Roman"/>
        </w:rPr>
        <w:t xml:space="preserve"> gave her husband</w:t>
      </w:r>
      <w:r w:rsidR="00971CE8" w:rsidRPr="00E477AE">
        <w:rPr>
          <w:rFonts w:ascii="Times New Roman" w:hAnsi="Times New Roman" w:cs="Times New Roman"/>
        </w:rPr>
        <w:t xml:space="preserve"> only</w:t>
      </w:r>
      <w:r w:rsidR="00EF1EAD" w:rsidRPr="00E477AE">
        <w:rPr>
          <w:rFonts w:ascii="Times New Roman" w:hAnsi="Times New Roman" w:cs="Times New Roman"/>
        </w:rPr>
        <w:t xml:space="preserve"> a life interest in the property. The husband claimed against the defendant, the executors of the wife’s will, a declaration that he was absolutely beneficially entitled to the property, on the ground that his deceased wife held the property on trus</w:t>
      </w:r>
      <w:r w:rsidR="002044A5" w:rsidRPr="00E477AE">
        <w:rPr>
          <w:rFonts w:ascii="Times New Roman" w:hAnsi="Times New Roman" w:cs="Times New Roman"/>
        </w:rPr>
        <w:t>t for him. The court found that</w:t>
      </w:r>
      <w:r w:rsidR="00EF1EAD" w:rsidRPr="00E477AE">
        <w:rPr>
          <w:rFonts w:ascii="Times New Roman" w:hAnsi="Times New Roman" w:cs="Times New Roman"/>
        </w:rPr>
        <w:t xml:space="preserve"> a</w:t>
      </w:r>
      <w:r w:rsidR="000707E8" w:rsidRPr="00E477AE">
        <w:rPr>
          <w:rFonts w:ascii="Times New Roman" w:hAnsi="Times New Roman" w:cs="Times New Roman"/>
        </w:rPr>
        <w:t>lthough the husband</w:t>
      </w:r>
      <w:r w:rsidR="00EF1EAD" w:rsidRPr="00E477AE">
        <w:rPr>
          <w:rFonts w:ascii="Times New Roman" w:hAnsi="Times New Roman" w:cs="Times New Roman"/>
        </w:rPr>
        <w:t xml:space="preserve"> and wife’s arrangement or agreement was intended to defeat the husband’s </w:t>
      </w:r>
      <w:r w:rsidR="000707E8" w:rsidRPr="00E477AE">
        <w:rPr>
          <w:rFonts w:ascii="Times New Roman" w:hAnsi="Times New Roman" w:cs="Times New Roman"/>
        </w:rPr>
        <w:t>creditors</w:t>
      </w:r>
      <w:r w:rsidR="00EF1EAD" w:rsidRPr="00E477AE">
        <w:rPr>
          <w:rFonts w:ascii="Times New Roman" w:hAnsi="Times New Roman" w:cs="Times New Roman"/>
        </w:rPr>
        <w:t xml:space="preserve">, no </w:t>
      </w:r>
      <w:r w:rsidR="002044A5" w:rsidRPr="00E477AE">
        <w:rPr>
          <w:rFonts w:ascii="Times New Roman" w:hAnsi="Times New Roman" w:cs="Times New Roman"/>
        </w:rPr>
        <w:t>creditor was actually defrauded. T</w:t>
      </w:r>
      <w:r w:rsidR="00E91D49" w:rsidRPr="00E477AE">
        <w:rPr>
          <w:rFonts w:ascii="Times New Roman" w:hAnsi="Times New Roman" w:cs="Times New Roman"/>
        </w:rPr>
        <w:t>he</w:t>
      </w:r>
      <w:r w:rsidR="002044A5" w:rsidRPr="00E477AE">
        <w:rPr>
          <w:rFonts w:ascii="Times New Roman" w:hAnsi="Times New Roman" w:cs="Times New Roman"/>
        </w:rPr>
        <w:t xml:space="preserve">refore, the court </w:t>
      </w:r>
      <w:r w:rsidR="00E91D49" w:rsidRPr="00E477AE">
        <w:rPr>
          <w:rFonts w:ascii="Times New Roman" w:hAnsi="Times New Roman" w:cs="Times New Roman"/>
        </w:rPr>
        <w:t>upheld the husband’s claims. T</w:t>
      </w:r>
      <w:r w:rsidR="00EF1EAD" w:rsidRPr="00E477AE">
        <w:rPr>
          <w:rFonts w:ascii="Times New Roman" w:hAnsi="Times New Roman" w:cs="Times New Roman"/>
        </w:rPr>
        <w:t>rue</w:t>
      </w:r>
      <w:r w:rsidR="00E91D49" w:rsidRPr="00E477AE">
        <w:rPr>
          <w:rFonts w:ascii="Times New Roman" w:hAnsi="Times New Roman" w:cs="Times New Roman"/>
        </w:rPr>
        <w:t xml:space="preserve">, </w:t>
      </w:r>
      <w:r w:rsidR="00EF1EAD" w:rsidRPr="00E477AE">
        <w:rPr>
          <w:rFonts w:ascii="Times New Roman" w:hAnsi="Times New Roman" w:cs="Times New Roman"/>
        </w:rPr>
        <w:t>the decision</w:t>
      </w:r>
      <w:r w:rsidR="00E91D49" w:rsidRPr="00E477AE">
        <w:rPr>
          <w:rFonts w:ascii="Times New Roman" w:hAnsi="Times New Roman" w:cs="Times New Roman"/>
        </w:rPr>
        <w:t xml:space="preserve"> mainly rested on</w:t>
      </w:r>
      <w:r w:rsidR="00EF0C70" w:rsidRPr="00E477AE">
        <w:rPr>
          <w:rFonts w:ascii="Times New Roman" w:hAnsi="Times New Roman" w:cs="Times New Roman"/>
        </w:rPr>
        <w:t xml:space="preserve"> the</w:t>
      </w:r>
      <w:r w:rsidR="00E91D49" w:rsidRPr="00E477AE">
        <w:rPr>
          <w:rFonts w:ascii="Times New Roman" w:hAnsi="Times New Roman" w:cs="Times New Roman"/>
        </w:rPr>
        <w:t xml:space="preserve"> </w:t>
      </w:r>
      <w:r w:rsidR="00EF1EAD" w:rsidRPr="00E477AE">
        <w:rPr>
          <w:rFonts w:ascii="Times New Roman" w:hAnsi="Times New Roman" w:cs="Times New Roman"/>
        </w:rPr>
        <w:t xml:space="preserve">non-execution of the illegal </w:t>
      </w:r>
      <w:r w:rsidR="00E91D49" w:rsidRPr="00E477AE">
        <w:rPr>
          <w:rFonts w:ascii="Times New Roman" w:hAnsi="Times New Roman" w:cs="Times New Roman"/>
        </w:rPr>
        <w:t>agreement between the husband and</w:t>
      </w:r>
      <w:r w:rsidR="00DE4F98" w:rsidRPr="00E477AE">
        <w:rPr>
          <w:rFonts w:ascii="Times New Roman" w:hAnsi="Times New Roman" w:cs="Times New Roman"/>
        </w:rPr>
        <w:t xml:space="preserve"> wife, but Barton ACJ suggested that</w:t>
      </w:r>
      <w:r w:rsidR="00E91D49" w:rsidRPr="00E477AE">
        <w:rPr>
          <w:rFonts w:ascii="Times New Roman" w:hAnsi="Times New Roman" w:cs="Times New Roman"/>
        </w:rPr>
        <w:t xml:space="preserve"> the subsequent written declar</w:t>
      </w:r>
      <w:r w:rsidR="00DE4F98" w:rsidRPr="00E477AE">
        <w:rPr>
          <w:rFonts w:ascii="Times New Roman" w:hAnsi="Times New Roman" w:cs="Times New Roman"/>
        </w:rPr>
        <w:t>ation of trust by the wife might be</w:t>
      </w:r>
      <w:r w:rsidR="00E91D49" w:rsidRPr="00E477AE">
        <w:rPr>
          <w:rFonts w:ascii="Times New Roman" w:hAnsi="Times New Roman" w:cs="Times New Roman"/>
        </w:rPr>
        <w:t xml:space="preserve"> an alternative basis of the judgment; he observed that ‘the fact that the wife was all along the husband’s trustee is evidenced by her declaration of that fact’.</w:t>
      </w:r>
      <w:r w:rsidR="00E91D49" w:rsidRPr="00E477AE">
        <w:rPr>
          <w:rStyle w:val="FootnoteReference"/>
          <w:rFonts w:ascii="Times New Roman" w:hAnsi="Times New Roman" w:cs="Times New Roman"/>
        </w:rPr>
        <w:footnoteReference w:id="65"/>
      </w:r>
      <w:r w:rsidR="00E91D49" w:rsidRPr="00E477AE">
        <w:rPr>
          <w:rFonts w:ascii="Times New Roman" w:hAnsi="Times New Roman" w:cs="Times New Roman"/>
        </w:rPr>
        <w:t xml:space="preserve"> Thus, a trust analysis</w:t>
      </w:r>
      <w:r w:rsidR="00726135" w:rsidRPr="00E477AE">
        <w:rPr>
          <w:rFonts w:ascii="Times New Roman" w:hAnsi="Times New Roman" w:cs="Times New Roman"/>
        </w:rPr>
        <w:t xml:space="preserve"> prevailed in </w:t>
      </w:r>
      <w:r w:rsidR="00726135" w:rsidRPr="00E477AE">
        <w:rPr>
          <w:rFonts w:ascii="Times New Roman" w:hAnsi="Times New Roman" w:cs="Times New Roman"/>
          <w:i/>
        </w:rPr>
        <w:t>Perpetual Executors</w:t>
      </w:r>
      <w:r w:rsidR="00726135" w:rsidRPr="00E477AE">
        <w:rPr>
          <w:rFonts w:ascii="Times New Roman" w:hAnsi="Times New Roman" w:cs="Times New Roman"/>
        </w:rPr>
        <w:t xml:space="preserve"> despite the parties</w:t>
      </w:r>
      <w:r w:rsidR="00304D8B">
        <w:rPr>
          <w:rFonts w:ascii="Times New Roman" w:hAnsi="Times New Roman" w:cs="Times New Roman"/>
        </w:rPr>
        <w:t>’</w:t>
      </w:r>
      <w:r w:rsidR="00726135" w:rsidRPr="00E477AE">
        <w:rPr>
          <w:rFonts w:ascii="Times New Roman" w:hAnsi="Times New Roman" w:cs="Times New Roman"/>
        </w:rPr>
        <w:t xml:space="preserve"> gift-giving relationship. This was only possible because the subsequent declaration o</w:t>
      </w:r>
      <w:r w:rsidR="00EF0C70" w:rsidRPr="00E477AE">
        <w:rPr>
          <w:rFonts w:ascii="Times New Roman" w:hAnsi="Times New Roman" w:cs="Times New Roman"/>
        </w:rPr>
        <w:t>f trust by the wife established</w:t>
      </w:r>
      <w:r w:rsidR="00726135" w:rsidRPr="00E477AE">
        <w:rPr>
          <w:rFonts w:ascii="Times New Roman" w:hAnsi="Times New Roman" w:cs="Times New Roman"/>
        </w:rPr>
        <w:t xml:space="preserve"> a primary transaction that</w:t>
      </w:r>
      <w:r w:rsidR="00531405" w:rsidRPr="00E477AE">
        <w:rPr>
          <w:rFonts w:ascii="Times New Roman" w:hAnsi="Times New Roman" w:cs="Times New Roman"/>
        </w:rPr>
        <w:t xml:space="preserve"> </w:t>
      </w:r>
      <w:r w:rsidR="00726135" w:rsidRPr="00E477AE">
        <w:rPr>
          <w:rFonts w:ascii="Times New Roman" w:hAnsi="Times New Roman" w:cs="Times New Roman"/>
        </w:rPr>
        <w:t>was constitutive of a valid trust.</w:t>
      </w:r>
      <w:r w:rsidR="000707E8" w:rsidRPr="00E477AE">
        <w:rPr>
          <w:rFonts w:ascii="Times New Roman" w:hAnsi="Times New Roman" w:cs="Times New Roman"/>
        </w:rPr>
        <w:t xml:space="preserve"> </w:t>
      </w:r>
    </w:p>
    <w:p w14:paraId="2CFB6FCF" w14:textId="77777777" w:rsidR="00F7187D" w:rsidRDefault="00F7187D" w:rsidP="00521DCD">
      <w:pPr>
        <w:jc w:val="both"/>
        <w:rPr>
          <w:rFonts w:ascii="Times New Roman" w:hAnsi="Times New Roman" w:cs="Times New Roman"/>
        </w:rPr>
      </w:pPr>
    </w:p>
    <w:p w14:paraId="44FD285F" w14:textId="3F02ABFD" w:rsidR="00F7187D" w:rsidRPr="00E477AE" w:rsidRDefault="00F7187D" w:rsidP="00521DCD">
      <w:pPr>
        <w:jc w:val="both"/>
        <w:rPr>
          <w:rFonts w:ascii="Times New Roman" w:hAnsi="Times New Roman" w:cs="Times New Roman"/>
          <w:b/>
        </w:rPr>
      </w:pPr>
      <w:r w:rsidRPr="00E477AE">
        <w:rPr>
          <w:rFonts w:ascii="Times New Roman" w:hAnsi="Times New Roman" w:cs="Times New Roman"/>
          <w:b/>
        </w:rPr>
        <w:t>Trusts that Directly Violate the Law or Public Policy</w:t>
      </w:r>
    </w:p>
    <w:p w14:paraId="2696EE6D" w14:textId="7B3373E2" w:rsidR="005523BC" w:rsidRPr="00E477AE" w:rsidRDefault="009C3415" w:rsidP="00521DCD">
      <w:pPr>
        <w:jc w:val="both"/>
        <w:rPr>
          <w:rFonts w:ascii="Times New Roman" w:hAnsi="Times New Roman" w:cs="Times New Roman"/>
        </w:rPr>
      </w:pPr>
      <w:r w:rsidRPr="00E477AE">
        <w:rPr>
          <w:rFonts w:ascii="Times New Roman" w:hAnsi="Times New Roman" w:cs="Times New Roman"/>
        </w:rPr>
        <w:t>A trust, or a provision thereof, that directly violates the law or public policy is illegal</w:t>
      </w:r>
      <w:r w:rsidR="003633EA" w:rsidRPr="00E477AE">
        <w:rPr>
          <w:rFonts w:ascii="Times New Roman" w:hAnsi="Times New Roman" w:cs="Times New Roman"/>
        </w:rPr>
        <w:t>,</w:t>
      </w:r>
      <w:r w:rsidRPr="00E477AE">
        <w:rPr>
          <w:rFonts w:ascii="Times New Roman" w:hAnsi="Times New Roman" w:cs="Times New Roman"/>
        </w:rPr>
        <w:t xml:space="preserve"> and</w:t>
      </w:r>
      <w:r w:rsidR="003633EA" w:rsidRPr="00E477AE">
        <w:rPr>
          <w:rFonts w:ascii="Times New Roman" w:hAnsi="Times New Roman" w:cs="Times New Roman"/>
        </w:rPr>
        <w:t xml:space="preserve"> might be</w:t>
      </w:r>
      <w:r w:rsidRPr="00E477AE">
        <w:rPr>
          <w:rFonts w:ascii="Times New Roman" w:hAnsi="Times New Roman" w:cs="Times New Roman"/>
        </w:rPr>
        <w:t xml:space="preserve"> judicially unenforceable.</w:t>
      </w:r>
      <w:r w:rsidR="00B35F36" w:rsidRPr="00E477AE">
        <w:rPr>
          <w:rStyle w:val="FootnoteReference"/>
          <w:rFonts w:ascii="Times New Roman" w:hAnsi="Times New Roman" w:cs="Times New Roman"/>
        </w:rPr>
        <w:footnoteReference w:id="66"/>
      </w:r>
      <w:r w:rsidRPr="00E477AE">
        <w:rPr>
          <w:rFonts w:ascii="Times New Roman" w:hAnsi="Times New Roman" w:cs="Times New Roman"/>
        </w:rPr>
        <w:t>I suggest that it is</w:t>
      </w:r>
      <w:r w:rsidR="00E716BF" w:rsidRPr="00E477AE">
        <w:rPr>
          <w:rFonts w:ascii="Times New Roman" w:hAnsi="Times New Roman" w:cs="Times New Roman"/>
        </w:rPr>
        <w:t xml:space="preserve"> this</w:t>
      </w:r>
      <w:r w:rsidR="009F286F">
        <w:rPr>
          <w:rFonts w:ascii="Times New Roman" w:hAnsi="Times New Roman" w:cs="Times New Roman"/>
        </w:rPr>
        <w:t xml:space="preserve"> sort of trust</w:t>
      </w:r>
      <w:r w:rsidRPr="00E477AE">
        <w:rPr>
          <w:rFonts w:ascii="Times New Roman" w:hAnsi="Times New Roman" w:cs="Times New Roman"/>
        </w:rPr>
        <w:t xml:space="preserve"> that clearly delineate</w:t>
      </w:r>
      <w:r w:rsidR="009F286F">
        <w:rPr>
          <w:rFonts w:ascii="Times New Roman" w:hAnsi="Times New Roman" w:cs="Times New Roman"/>
        </w:rPr>
        <w:t>s</w:t>
      </w:r>
      <w:r w:rsidRPr="00E477AE">
        <w:rPr>
          <w:rFonts w:ascii="Times New Roman" w:hAnsi="Times New Roman" w:cs="Times New Roman"/>
        </w:rPr>
        <w:t xml:space="preserve"> the proper scope of the illegality principle</w:t>
      </w:r>
      <w:r w:rsidR="00BE410F" w:rsidRPr="00E477AE">
        <w:rPr>
          <w:rFonts w:ascii="Times New Roman" w:hAnsi="Times New Roman" w:cs="Times New Roman"/>
        </w:rPr>
        <w:t xml:space="preserve"> in trusts law; </w:t>
      </w:r>
      <w:r w:rsidR="00AE2385" w:rsidRPr="00E477AE">
        <w:rPr>
          <w:rFonts w:ascii="Times New Roman" w:hAnsi="Times New Roman" w:cs="Times New Roman"/>
        </w:rPr>
        <w:t>in other words</w:t>
      </w:r>
      <w:r w:rsidR="00BE410F" w:rsidRPr="00E477AE">
        <w:rPr>
          <w:rFonts w:ascii="Times New Roman" w:hAnsi="Times New Roman" w:cs="Times New Roman"/>
        </w:rPr>
        <w:t>,</w:t>
      </w:r>
      <w:r w:rsidRPr="00E477AE">
        <w:rPr>
          <w:rFonts w:ascii="Times New Roman" w:hAnsi="Times New Roman" w:cs="Times New Roman"/>
        </w:rPr>
        <w:t xml:space="preserve"> the illegali</w:t>
      </w:r>
      <w:r w:rsidR="00AE2385" w:rsidRPr="00E477AE">
        <w:rPr>
          <w:rFonts w:ascii="Times New Roman" w:hAnsi="Times New Roman" w:cs="Times New Roman"/>
        </w:rPr>
        <w:t xml:space="preserve">ty principle </w:t>
      </w:r>
      <w:r w:rsidR="00817800" w:rsidRPr="00E477AE">
        <w:rPr>
          <w:rFonts w:ascii="Times New Roman" w:hAnsi="Times New Roman" w:cs="Times New Roman"/>
        </w:rPr>
        <w:t>operates</w:t>
      </w:r>
      <w:r w:rsidRPr="00E477AE">
        <w:rPr>
          <w:rFonts w:ascii="Times New Roman" w:hAnsi="Times New Roman" w:cs="Times New Roman"/>
        </w:rPr>
        <w:t xml:space="preserve"> within a narrow sphere of trusts law.</w:t>
      </w:r>
      <w:r w:rsidR="00BE410F" w:rsidRPr="00E477AE">
        <w:rPr>
          <w:rFonts w:ascii="Times New Roman" w:hAnsi="Times New Roman" w:cs="Times New Roman"/>
        </w:rPr>
        <w:t xml:space="preserve"> </w:t>
      </w:r>
      <w:r w:rsidR="004A50E6" w:rsidRPr="00E477AE">
        <w:rPr>
          <w:rFonts w:ascii="Times New Roman" w:hAnsi="Times New Roman" w:cs="Times New Roman"/>
        </w:rPr>
        <w:t>It follows, therefore, that</w:t>
      </w:r>
      <w:r w:rsidR="00BE410F" w:rsidRPr="00E477AE">
        <w:rPr>
          <w:rFonts w:ascii="Times New Roman" w:hAnsi="Times New Roman" w:cs="Times New Roman"/>
        </w:rPr>
        <w:t xml:space="preserve"> where the primary transaction</w:t>
      </w:r>
      <w:r w:rsidR="00AC10C2">
        <w:rPr>
          <w:rFonts w:ascii="Times New Roman" w:hAnsi="Times New Roman" w:cs="Times New Roman"/>
        </w:rPr>
        <w:t xml:space="preserve"> or the primary feature of a transaction</w:t>
      </w:r>
      <w:r w:rsidR="00BE410F" w:rsidRPr="00E477AE">
        <w:rPr>
          <w:rFonts w:ascii="Times New Roman" w:hAnsi="Times New Roman" w:cs="Times New Roman"/>
        </w:rPr>
        <w:t xml:space="preserve"> in a given case</w:t>
      </w:r>
      <w:r w:rsidR="00210D97" w:rsidRPr="00E477AE">
        <w:rPr>
          <w:rFonts w:ascii="Times New Roman" w:hAnsi="Times New Roman" w:cs="Times New Roman"/>
        </w:rPr>
        <w:t xml:space="preserve"> posits</w:t>
      </w:r>
      <w:r w:rsidR="00BE410F" w:rsidRPr="00E477AE">
        <w:rPr>
          <w:rFonts w:ascii="Times New Roman" w:hAnsi="Times New Roman" w:cs="Times New Roman"/>
        </w:rPr>
        <w:t xml:space="preserve"> a trust that directly violates the law or p</w:t>
      </w:r>
      <w:r w:rsidR="00074FD2" w:rsidRPr="00E477AE">
        <w:rPr>
          <w:rFonts w:ascii="Times New Roman" w:hAnsi="Times New Roman" w:cs="Times New Roman"/>
        </w:rPr>
        <w:t xml:space="preserve">ublic policy, </w:t>
      </w:r>
      <w:r w:rsidR="00210D97" w:rsidRPr="00E477AE">
        <w:rPr>
          <w:rFonts w:ascii="Times New Roman" w:hAnsi="Times New Roman" w:cs="Times New Roman"/>
        </w:rPr>
        <w:t>not just a trust that has an illegal purpose</w:t>
      </w:r>
      <w:r w:rsidR="003A512A" w:rsidRPr="00E477AE">
        <w:rPr>
          <w:rFonts w:ascii="Times New Roman" w:hAnsi="Times New Roman" w:cs="Times New Roman"/>
        </w:rPr>
        <w:t>, the trust would</w:t>
      </w:r>
      <w:r w:rsidR="003C6115" w:rsidRPr="00E477AE">
        <w:rPr>
          <w:rFonts w:ascii="Times New Roman" w:hAnsi="Times New Roman" w:cs="Times New Roman"/>
        </w:rPr>
        <w:t>, generally,</w:t>
      </w:r>
      <w:r w:rsidR="003A512A" w:rsidRPr="00E477AE">
        <w:rPr>
          <w:rFonts w:ascii="Times New Roman" w:hAnsi="Times New Roman" w:cs="Times New Roman"/>
        </w:rPr>
        <w:t xml:space="preserve"> be declared illegal and unenforceable.</w:t>
      </w:r>
      <w:r w:rsidR="00F3716A" w:rsidRPr="00E477AE">
        <w:rPr>
          <w:rFonts w:ascii="Times New Roman" w:hAnsi="Times New Roman" w:cs="Times New Roman"/>
        </w:rPr>
        <w:t xml:space="preserve"> More importantly, as mentioned in the introduction,</w:t>
      </w:r>
      <w:r w:rsidR="000A70ED" w:rsidRPr="00E477AE">
        <w:rPr>
          <w:rFonts w:ascii="Times New Roman" w:hAnsi="Times New Roman" w:cs="Times New Roman"/>
        </w:rPr>
        <w:t xml:space="preserve"> </w:t>
      </w:r>
      <w:r w:rsidR="00F3716A" w:rsidRPr="00E477AE">
        <w:rPr>
          <w:rFonts w:ascii="Times New Roman" w:hAnsi="Times New Roman" w:cs="Times New Roman"/>
        </w:rPr>
        <w:t>this</w:t>
      </w:r>
      <w:r w:rsidR="000A70ED" w:rsidRPr="00E477AE">
        <w:rPr>
          <w:rFonts w:ascii="Times New Roman" w:hAnsi="Times New Roman" w:cs="Times New Roman"/>
        </w:rPr>
        <w:t xml:space="preserve"> is the</w:t>
      </w:r>
      <w:r w:rsidR="00F3716A" w:rsidRPr="00E477AE">
        <w:rPr>
          <w:rFonts w:ascii="Times New Roman" w:hAnsi="Times New Roman" w:cs="Times New Roman"/>
        </w:rPr>
        <w:t xml:space="preserve"> sort of trust that would</w:t>
      </w:r>
      <w:r w:rsidR="000A70ED" w:rsidRPr="00E477AE">
        <w:rPr>
          <w:rFonts w:ascii="Times New Roman" w:hAnsi="Times New Roman" w:cs="Times New Roman"/>
        </w:rPr>
        <w:t xml:space="preserve"> most clearly </w:t>
      </w:r>
      <w:r w:rsidR="00F3716A" w:rsidRPr="00E477AE">
        <w:rPr>
          <w:rFonts w:ascii="Times New Roman" w:hAnsi="Times New Roman" w:cs="Times New Roman"/>
        </w:rPr>
        <w:t xml:space="preserve">engage the trio of considerations enunciated by Lord Toulson in </w:t>
      </w:r>
      <w:r w:rsidR="00F3716A" w:rsidRPr="00E477AE">
        <w:rPr>
          <w:rFonts w:ascii="Times New Roman" w:hAnsi="Times New Roman" w:cs="Times New Roman"/>
          <w:i/>
        </w:rPr>
        <w:t>Patel</w:t>
      </w:r>
      <w:r w:rsidR="00F3716A" w:rsidRPr="00E477AE">
        <w:rPr>
          <w:rFonts w:ascii="Times New Roman" w:hAnsi="Times New Roman" w:cs="Times New Roman"/>
        </w:rPr>
        <w:t>. Thus, if</w:t>
      </w:r>
      <w:r w:rsidR="000A70ED" w:rsidRPr="00E477AE">
        <w:rPr>
          <w:rFonts w:ascii="Times New Roman" w:hAnsi="Times New Roman" w:cs="Times New Roman"/>
        </w:rPr>
        <w:t xml:space="preserve"> a trust were</w:t>
      </w:r>
      <w:r w:rsidR="00F3716A" w:rsidRPr="00E477AE">
        <w:rPr>
          <w:rFonts w:ascii="Times New Roman" w:hAnsi="Times New Roman" w:cs="Times New Roman"/>
        </w:rPr>
        <w:t xml:space="preserve"> illegal because it directly violates the law or public policy, its enforceability would depend on the assessment and application of </w:t>
      </w:r>
      <w:r w:rsidR="00F3716A" w:rsidRPr="00E477AE">
        <w:rPr>
          <w:rFonts w:ascii="Times New Roman" w:hAnsi="Times New Roman" w:cs="Times New Roman"/>
          <w:i/>
        </w:rPr>
        <w:t>Patel’s</w:t>
      </w:r>
      <w:r w:rsidR="00F3716A" w:rsidRPr="00E477AE">
        <w:rPr>
          <w:rFonts w:ascii="Times New Roman" w:hAnsi="Times New Roman" w:cs="Times New Roman"/>
        </w:rPr>
        <w:t xml:space="preserve"> trio of considerations to the facts of the case.</w:t>
      </w:r>
      <w:r w:rsidR="001B26F0" w:rsidRPr="00E477AE">
        <w:rPr>
          <w:rFonts w:ascii="Times New Roman" w:hAnsi="Times New Roman" w:cs="Times New Roman"/>
        </w:rPr>
        <w:t xml:space="preserve"> </w:t>
      </w:r>
    </w:p>
    <w:p w14:paraId="11700541" w14:textId="77777777" w:rsidR="003633EA" w:rsidRPr="00E477AE" w:rsidRDefault="000A70ED" w:rsidP="00521DCD">
      <w:pPr>
        <w:ind w:firstLine="720"/>
        <w:jc w:val="both"/>
        <w:rPr>
          <w:rFonts w:ascii="Times New Roman" w:hAnsi="Times New Roman" w:cs="Times New Roman"/>
        </w:rPr>
      </w:pPr>
      <w:r w:rsidRPr="00E477AE">
        <w:rPr>
          <w:rFonts w:ascii="Times New Roman" w:hAnsi="Times New Roman" w:cs="Times New Roman"/>
        </w:rPr>
        <w:t>I</w:t>
      </w:r>
      <w:r w:rsidR="001B26F0" w:rsidRPr="00E477AE">
        <w:rPr>
          <w:rFonts w:ascii="Times New Roman" w:hAnsi="Times New Roman" w:cs="Times New Roman"/>
        </w:rPr>
        <w:t xml:space="preserve">n </w:t>
      </w:r>
      <w:r w:rsidR="001B26F0" w:rsidRPr="00E477AE">
        <w:rPr>
          <w:rFonts w:ascii="Times New Roman" w:hAnsi="Times New Roman" w:cs="Times New Roman"/>
          <w:i/>
        </w:rPr>
        <w:t>Thrupp v Collett</w:t>
      </w:r>
      <w:r w:rsidR="001B26F0" w:rsidRPr="00E477AE">
        <w:rPr>
          <w:rFonts w:ascii="Times New Roman" w:hAnsi="Times New Roman" w:cs="Times New Roman"/>
        </w:rPr>
        <w:t>,</w:t>
      </w:r>
      <w:r w:rsidR="001B26F0" w:rsidRPr="00E477AE">
        <w:rPr>
          <w:rStyle w:val="FootnoteReference"/>
          <w:rFonts w:ascii="Times New Roman" w:hAnsi="Times New Roman" w:cs="Times New Roman"/>
        </w:rPr>
        <w:footnoteReference w:id="67"/>
      </w:r>
      <w:r w:rsidR="001B26F0" w:rsidRPr="00E477AE">
        <w:rPr>
          <w:rFonts w:ascii="Times New Roman" w:hAnsi="Times New Roman" w:cs="Times New Roman"/>
        </w:rPr>
        <w:t xml:space="preserve"> the trust was to procure or purchase the discharge of poachers committed to prison, under the then Game Laws, for non-payment of fines, fees or expenses. Sir John Romilly MR held that the trust was illegal and unenforceable for being contrary to public policy, </w:t>
      </w:r>
      <w:r w:rsidR="00351192" w:rsidRPr="00E477AE">
        <w:rPr>
          <w:rFonts w:ascii="Times New Roman" w:hAnsi="Times New Roman" w:cs="Times New Roman"/>
        </w:rPr>
        <w:t xml:space="preserve">in </w:t>
      </w:r>
      <w:r w:rsidR="001B26F0" w:rsidRPr="00E477AE">
        <w:rPr>
          <w:rFonts w:ascii="Times New Roman" w:hAnsi="Times New Roman" w:cs="Times New Roman"/>
        </w:rPr>
        <w:t>that it was ‘obviously calculated to encourage offences prohibited by the Legislature’;</w:t>
      </w:r>
      <w:r w:rsidR="00D4529E" w:rsidRPr="00E477AE">
        <w:rPr>
          <w:rStyle w:val="FootnoteReference"/>
          <w:rFonts w:ascii="Times New Roman" w:hAnsi="Times New Roman" w:cs="Times New Roman"/>
        </w:rPr>
        <w:footnoteReference w:id="68"/>
      </w:r>
      <w:r w:rsidR="001B26F0" w:rsidRPr="00E477AE">
        <w:rPr>
          <w:rFonts w:ascii="Times New Roman" w:hAnsi="Times New Roman" w:cs="Times New Roman"/>
        </w:rPr>
        <w:t xml:space="preserve"> and</w:t>
      </w:r>
      <w:r w:rsidR="00351192" w:rsidRPr="00E477AE">
        <w:rPr>
          <w:rFonts w:ascii="Times New Roman" w:hAnsi="Times New Roman" w:cs="Times New Roman"/>
        </w:rPr>
        <w:t xml:space="preserve"> the ‘effect of it would be to give immunity and protect persons in the commission of acts, which are treated by the Legislature as offences, and for which penalties by fine are imposed’.</w:t>
      </w:r>
      <w:r w:rsidR="007709D7" w:rsidRPr="00E477AE">
        <w:rPr>
          <w:rStyle w:val="FootnoteReference"/>
          <w:rFonts w:ascii="Times New Roman" w:hAnsi="Times New Roman" w:cs="Times New Roman"/>
        </w:rPr>
        <w:footnoteReference w:id="69"/>
      </w:r>
      <w:r w:rsidR="005523BC" w:rsidRPr="00E477AE">
        <w:rPr>
          <w:rFonts w:ascii="Times New Roman" w:hAnsi="Times New Roman" w:cs="Times New Roman"/>
        </w:rPr>
        <w:t xml:space="preserve"> </w:t>
      </w:r>
    </w:p>
    <w:p w14:paraId="12E1AD04" w14:textId="76DBFA02" w:rsidR="00844A68" w:rsidRPr="00E477AE" w:rsidRDefault="005523BC" w:rsidP="00521DCD">
      <w:pPr>
        <w:ind w:firstLine="720"/>
        <w:jc w:val="both"/>
        <w:rPr>
          <w:rFonts w:ascii="Times New Roman" w:hAnsi="Times New Roman" w:cs="Times New Roman"/>
        </w:rPr>
      </w:pPr>
      <w:r w:rsidRPr="00E477AE">
        <w:rPr>
          <w:rFonts w:ascii="Times New Roman" w:hAnsi="Times New Roman" w:cs="Times New Roman"/>
        </w:rPr>
        <w:t xml:space="preserve">In </w:t>
      </w:r>
      <w:r w:rsidRPr="00E477AE">
        <w:rPr>
          <w:rFonts w:ascii="Times New Roman" w:hAnsi="Times New Roman" w:cs="Times New Roman"/>
          <w:i/>
        </w:rPr>
        <w:t>Ex parte Yallop</w:t>
      </w:r>
      <w:r w:rsidRPr="00E477AE">
        <w:rPr>
          <w:rFonts w:ascii="Times New Roman" w:hAnsi="Times New Roman" w:cs="Times New Roman"/>
        </w:rPr>
        <w:t>,</w:t>
      </w:r>
      <w:r w:rsidRPr="00E477AE">
        <w:rPr>
          <w:rStyle w:val="FootnoteReference"/>
          <w:rFonts w:ascii="Times New Roman" w:hAnsi="Times New Roman" w:cs="Times New Roman"/>
        </w:rPr>
        <w:footnoteReference w:id="70"/>
      </w:r>
      <w:r w:rsidRPr="00E477AE">
        <w:rPr>
          <w:rFonts w:ascii="Times New Roman" w:hAnsi="Times New Roman" w:cs="Times New Roman"/>
        </w:rPr>
        <w:t xml:space="preserve"> </w:t>
      </w:r>
      <w:r w:rsidR="00DD72B6" w:rsidRPr="00E477AE">
        <w:rPr>
          <w:rFonts w:ascii="Times New Roman" w:hAnsi="Times New Roman" w:cs="Times New Roman"/>
        </w:rPr>
        <w:t>a ship was bought with partnership money</w:t>
      </w:r>
      <w:r w:rsidR="003633EA" w:rsidRPr="00E477AE">
        <w:rPr>
          <w:rFonts w:ascii="Times New Roman" w:hAnsi="Times New Roman" w:cs="Times New Roman"/>
        </w:rPr>
        <w:t>, and managed as partnership property</w:t>
      </w:r>
      <w:r w:rsidR="00DD72B6" w:rsidRPr="00E477AE">
        <w:rPr>
          <w:rFonts w:ascii="Times New Roman" w:hAnsi="Times New Roman" w:cs="Times New Roman"/>
        </w:rPr>
        <w:t>, but was</w:t>
      </w:r>
      <w:r w:rsidR="0068157E" w:rsidRPr="00E477AE">
        <w:rPr>
          <w:rFonts w:ascii="Times New Roman" w:hAnsi="Times New Roman" w:cs="Times New Roman"/>
        </w:rPr>
        <w:t xml:space="preserve"> conveyed</w:t>
      </w:r>
      <w:r w:rsidR="008B5C13" w:rsidRPr="00E477AE">
        <w:rPr>
          <w:rFonts w:ascii="Times New Roman" w:hAnsi="Times New Roman" w:cs="Times New Roman"/>
        </w:rPr>
        <w:t xml:space="preserve"> and</w:t>
      </w:r>
      <w:r w:rsidR="00DD72B6" w:rsidRPr="00E477AE">
        <w:rPr>
          <w:rFonts w:ascii="Times New Roman" w:hAnsi="Times New Roman" w:cs="Times New Roman"/>
        </w:rPr>
        <w:t xml:space="preserve"> registered in the name of only one of the partners. On the bankruptcy of the partners, a creditor of the partnership claimed that the ship was the property of the partnership (an</w:t>
      </w:r>
      <w:r w:rsidR="007D754C" w:rsidRPr="00E477AE">
        <w:rPr>
          <w:rFonts w:ascii="Times New Roman" w:hAnsi="Times New Roman" w:cs="Times New Roman"/>
        </w:rPr>
        <w:t>d, therefore,</w:t>
      </w:r>
      <w:r w:rsidR="001154A9" w:rsidRPr="00E477AE">
        <w:rPr>
          <w:rFonts w:ascii="Times New Roman" w:hAnsi="Times New Roman" w:cs="Times New Roman"/>
        </w:rPr>
        <w:t xml:space="preserve"> ought to be</w:t>
      </w:r>
      <w:r w:rsidR="007D754C" w:rsidRPr="00E477AE">
        <w:rPr>
          <w:rFonts w:ascii="Times New Roman" w:hAnsi="Times New Roman" w:cs="Times New Roman"/>
        </w:rPr>
        <w:t xml:space="preserve"> available for </w:t>
      </w:r>
      <w:r w:rsidR="00DD72B6" w:rsidRPr="00E477AE">
        <w:rPr>
          <w:rFonts w:ascii="Times New Roman" w:hAnsi="Times New Roman" w:cs="Times New Roman"/>
        </w:rPr>
        <w:t>pay</w:t>
      </w:r>
      <w:r w:rsidR="007D754C" w:rsidRPr="00E477AE">
        <w:rPr>
          <w:rFonts w:ascii="Times New Roman" w:hAnsi="Times New Roman" w:cs="Times New Roman"/>
        </w:rPr>
        <w:t>ment of the partnership’s debt) despite being registered in</w:t>
      </w:r>
      <w:r w:rsidR="001154A9" w:rsidRPr="00E477AE">
        <w:rPr>
          <w:rFonts w:ascii="Times New Roman" w:hAnsi="Times New Roman" w:cs="Times New Roman"/>
        </w:rPr>
        <w:t xml:space="preserve"> the name of only</w:t>
      </w:r>
      <w:r w:rsidR="007D754C" w:rsidRPr="00E477AE">
        <w:rPr>
          <w:rFonts w:ascii="Times New Roman" w:hAnsi="Times New Roman" w:cs="Times New Roman"/>
        </w:rPr>
        <w:t xml:space="preserve"> one</w:t>
      </w:r>
      <w:r w:rsidR="001154A9" w:rsidRPr="00E477AE">
        <w:rPr>
          <w:rFonts w:ascii="Times New Roman" w:hAnsi="Times New Roman" w:cs="Times New Roman"/>
        </w:rPr>
        <w:t xml:space="preserve"> of the</w:t>
      </w:r>
      <w:r w:rsidR="007D754C" w:rsidRPr="00E477AE">
        <w:rPr>
          <w:rFonts w:ascii="Times New Roman" w:hAnsi="Times New Roman" w:cs="Times New Roman"/>
        </w:rPr>
        <w:t xml:space="preserve"> partn</w:t>
      </w:r>
      <w:r w:rsidR="001154A9" w:rsidRPr="00E477AE">
        <w:rPr>
          <w:rFonts w:ascii="Times New Roman" w:hAnsi="Times New Roman" w:cs="Times New Roman"/>
        </w:rPr>
        <w:t>ers.</w:t>
      </w:r>
      <w:r w:rsidR="007D754C" w:rsidRPr="00E477AE">
        <w:rPr>
          <w:rFonts w:ascii="Times New Roman" w:hAnsi="Times New Roman" w:cs="Times New Roman"/>
        </w:rPr>
        <w:t xml:space="preserve"> In other words, the partner who was the registered owner of the ship held</w:t>
      </w:r>
      <w:r w:rsidR="003633EA" w:rsidRPr="00E477AE">
        <w:rPr>
          <w:rFonts w:ascii="Times New Roman" w:hAnsi="Times New Roman" w:cs="Times New Roman"/>
        </w:rPr>
        <w:t xml:space="preserve"> it on trust for the partners</w:t>
      </w:r>
      <w:r w:rsidR="007D754C" w:rsidRPr="00E477AE">
        <w:rPr>
          <w:rFonts w:ascii="Times New Roman" w:hAnsi="Times New Roman" w:cs="Times New Roman"/>
        </w:rPr>
        <w:t xml:space="preserve">. However, the </w:t>
      </w:r>
      <w:r w:rsidR="001154A9" w:rsidRPr="00E477AE">
        <w:rPr>
          <w:rFonts w:ascii="Times New Roman" w:hAnsi="Times New Roman" w:cs="Times New Roman"/>
        </w:rPr>
        <w:t xml:space="preserve">alleged trust gave rise to a </w:t>
      </w:r>
      <w:r w:rsidR="007D754C" w:rsidRPr="00E477AE">
        <w:rPr>
          <w:rFonts w:ascii="Times New Roman" w:hAnsi="Times New Roman" w:cs="Times New Roman"/>
        </w:rPr>
        <w:t>beneficial interest</w:t>
      </w:r>
      <w:r w:rsidR="001154A9" w:rsidRPr="00E477AE">
        <w:rPr>
          <w:rFonts w:ascii="Times New Roman" w:hAnsi="Times New Roman" w:cs="Times New Roman"/>
        </w:rPr>
        <w:t xml:space="preserve"> that was in direct conf</w:t>
      </w:r>
      <w:r w:rsidR="00923E5D" w:rsidRPr="00E477AE">
        <w:rPr>
          <w:rFonts w:ascii="Times New Roman" w:hAnsi="Times New Roman" w:cs="Times New Roman"/>
        </w:rPr>
        <w:t>lict with an</w:t>
      </w:r>
      <w:r w:rsidR="001154A9" w:rsidRPr="00E477AE">
        <w:rPr>
          <w:rFonts w:ascii="Times New Roman" w:hAnsi="Times New Roman" w:cs="Times New Roman"/>
        </w:rPr>
        <w:t xml:space="preserve"> Act</w:t>
      </w:r>
      <w:r w:rsidR="00923E5D" w:rsidRPr="00E477AE">
        <w:rPr>
          <w:rFonts w:ascii="Times New Roman" w:hAnsi="Times New Roman" w:cs="Times New Roman"/>
        </w:rPr>
        <w:t xml:space="preserve"> relating to the </w:t>
      </w:r>
      <w:r w:rsidR="001154A9" w:rsidRPr="00E477AE">
        <w:rPr>
          <w:rFonts w:ascii="Times New Roman" w:hAnsi="Times New Roman" w:cs="Times New Roman"/>
        </w:rPr>
        <w:t>registration</w:t>
      </w:r>
      <w:r w:rsidR="00923E5D" w:rsidRPr="00E477AE">
        <w:rPr>
          <w:rFonts w:ascii="Times New Roman" w:hAnsi="Times New Roman" w:cs="Times New Roman"/>
        </w:rPr>
        <w:t xml:space="preserve"> of ships; the statute</w:t>
      </w:r>
      <w:r w:rsidR="00764ABE" w:rsidRPr="00E477AE">
        <w:rPr>
          <w:rFonts w:ascii="Times New Roman" w:hAnsi="Times New Roman" w:cs="Times New Roman"/>
        </w:rPr>
        <w:t xml:space="preserve"> stipu</w:t>
      </w:r>
      <w:r w:rsidR="0068157E" w:rsidRPr="00E477AE">
        <w:rPr>
          <w:rFonts w:ascii="Times New Roman" w:hAnsi="Times New Roman" w:cs="Times New Roman"/>
        </w:rPr>
        <w:t>lated th</w:t>
      </w:r>
      <w:r w:rsidR="00923E5D" w:rsidRPr="00E477AE">
        <w:rPr>
          <w:rFonts w:ascii="Times New Roman" w:hAnsi="Times New Roman" w:cs="Times New Roman"/>
        </w:rPr>
        <w:t xml:space="preserve">at the registration </w:t>
      </w:r>
      <w:r w:rsidR="0068157E" w:rsidRPr="00E477AE">
        <w:rPr>
          <w:rFonts w:ascii="Times New Roman" w:hAnsi="Times New Roman" w:cs="Times New Roman"/>
        </w:rPr>
        <w:t>of a s</w:t>
      </w:r>
      <w:r w:rsidR="00764ABE" w:rsidRPr="00E477AE">
        <w:rPr>
          <w:rFonts w:ascii="Times New Roman" w:hAnsi="Times New Roman" w:cs="Times New Roman"/>
        </w:rPr>
        <w:t>hip</w:t>
      </w:r>
      <w:r w:rsidR="001154A9" w:rsidRPr="00E477AE">
        <w:rPr>
          <w:rFonts w:ascii="Times New Roman" w:hAnsi="Times New Roman" w:cs="Times New Roman"/>
        </w:rPr>
        <w:t xml:space="preserve"> must be</w:t>
      </w:r>
      <w:r w:rsidR="00923E5D" w:rsidRPr="00E477AE">
        <w:rPr>
          <w:rFonts w:ascii="Times New Roman" w:hAnsi="Times New Roman" w:cs="Times New Roman"/>
        </w:rPr>
        <w:t xml:space="preserve"> taken as the </w:t>
      </w:r>
      <w:r w:rsidR="00764ABE" w:rsidRPr="00E477AE">
        <w:rPr>
          <w:rFonts w:ascii="Times New Roman" w:hAnsi="Times New Roman" w:cs="Times New Roman"/>
        </w:rPr>
        <w:t>conclusive evidence of</w:t>
      </w:r>
      <w:r w:rsidR="00923E5D" w:rsidRPr="00E477AE">
        <w:rPr>
          <w:rFonts w:ascii="Times New Roman" w:hAnsi="Times New Roman" w:cs="Times New Roman"/>
        </w:rPr>
        <w:t xml:space="preserve"> its</w:t>
      </w:r>
      <w:r w:rsidR="00764ABE" w:rsidRPr="00E477AE">
        <w:rPr>
          <w:rFonts w:ascii="Times New Roman" w:hAnsi="Times New Roman" w:cs="Times New Roman"/>
        </w:rPr>
        <w:t xml:space="preserve"> ownership. Accordingly, the court refused to uphold the trust</w:t>
      </w:r>
      <w:r w:rsidR="0068157E" w:rsidRPr="00E477AE">
        <w:rPr>
          <w:rFonts w:ascii="Times New Roman" w:hAnsi="Times New Roman" w:cs="Times New Roman"/>
        </w:rPr>
        <w:t xml:space="preserve"> alleged by the creditor of the partnership</w:t>
      </w:r>
      <w:r w:rsidR="00764ABE" w:rsidRPr="00E477AE">
        <w:rPr>
          <w:rFonts w:ascii="Times New Roman" w:hAnsi="Times New Roman" w:cs="Times New Roman"/>
        </w:rPr>
        <w:t>.</w:t>
      </w:r>
      <w:r w:rsidR="0068157E" w:rsidRPr="00E477AE">
        <w:rPr>
          <w:rFonts w:ascii="Times New Roman" w:hAnsi="Times New Roman" w:cs="Times New Roman"/>
        </w:rPr>
        <w:t xml:space="preserve"> </w:t>
      </w:r>
      <w:r w:rsidR="00F94F85" w:rsidRPr="00E477AE">
        <w:rPr>
          <w:rFonts w:ascii="Times New Roman" w:hAnsi="Times New Roman" w:cs="Times New Roman"/>
        </w:rPr>
        <w:t xml:space="preserve">Obviously, the trust in </w:t>
      </w:r>
      <w:r w:rsidR="00F94F85" w:rsidRPr="00E477AE">
        <w:rPr>
          <w:rFonts w:ascii="Times New Roman" w:hAnsi="Times New Roman" w:cs="Times New Roman"/>
          <w:i/>
        </w:rPr>
        <w:t>Yallop</w:t>
      </w:r>
      <w:r w:rsidR="00F94F85" w:rsidRPr="00E477AE">
        <w:rPr>
          <w:rFonts w:ascii="Times New Roman" w:hAnsi="Times New Roman" w:cs="Times New Roman"/>
        </w:rPr>
        <w:t xml:space="preserve"> was rejected for being illegal, because it </w:t>
      </w:r>
      <w:r w:rsidR="00F94F85" w:rsidRPr="00E477AE">
        <w:rPr>
          <w:rFonts w:ascii="Times New Roman" w:hAnsi="Times New Roman" w:cs="Times New Roman"/>
          <w:i/>
        </w:rPr>
        <w:t>directly</w:t>
      </w:r>
      <w:r w:rsidR="00F94F85" w:rsidRPr="00E477AE">
        <w:rPr>
          <w:rFonts w:ascii="Times New Roman" w:hAnsi="Times New Roman" w:cs="Times New Roman"/>
        </w:rPr>
        <w:t xml:space="preserve"> violated the law</w:t>
      </w:r>
      <w:r w:rsidR="00AB6594" w:rsidRPr="00E477AE">
        <w:rPr>
          <w:rFonts w:ascii="Times New Roman" w:hAnsi="Times New Roman" w:cs="Times New Roman"/>
        </w:rPr>
        <w:t xml:space="preserve"> on ship registration</w:t>
      </w:r>
      <w:r w:rsidR="00F94F85" w:rsidRPr="00E477AE">
        <w:rPr>
          <w:rFonts w:ascii="Times New Roman" w:hAnsi="Times New Roman" w:cs="Times New Roman"/>
        </w:rPr>
        <w:t>, something t</w:t>
      </w:r>
      <w:r w:rsidR="001154A9" w:rsidRPr="00E477AE">
        <w:rPr>
          <w:rFonts w:ascii="Times New Roman" w:hAnsi="Times New Roman" w:cs="Times New Roman"/>
        </w:rPr>
        <w:t>he Lord Chancellor</w:t>
      </w:r>
      <w:r w:rsidR="00F94F85" w:rsidRPr="00E477AE">
        <w:rPr>
          <w:rFonts w:ascii="Times New Roman" w:hAnsi="Times New Roman" w:cs="Times New Roman"/>
        </w:rPr>
        <w:t xml:space="preserve"> noted severally in his judgment. For instance, he observed that ‘it is obvious, that, if, where the title arises by act of the parties, the doctrine of implied trust in this Court is to be applied, the whole policy of these Acts may be defeated’,</w:t>
      </w:r>
      <w:r w:rsidR="00F94F85" w:rsidRPr="00E477AE">
        <w:rPr>
          <w:rStyle w:val="FootnoteReference"/>
          <w:rFonts w:ascii="Times New Roman" w:hAnsi="Times New Roman" w:cs="Times New Roman"/>
        </w:rPr>
        <w:footnoteReference w:id="71"/>
      </w:r>
      <w:r w:rsidR="00F94F85" w:rsidRPr="00E477AE">
        <w:rPr>
          <w:rFonts w:ascii="Times New Roman" w:hAnsi="Times New Roman" w:cs="Times New Roman"/>
        </w:rPr>
        <w:t xml:space="preserve"> and that enforcement of the trust ‘is </w:t>
      </w:r>
      <w:r w:rsidR="00F94F85" w:rsidRPr="00E477AE">
        <w:rPr>
          <w:rFonts w:ascii="Times New Roman" w:hAnsi="Times New Roman" w:cs="Times New Roman"/>
          <w:i/>
        </w:rPr>
        <w:t>directly</w:t>
      </w:r>
      <w:r w:rsidR="00F94F85" w:rsidRPr="00E477AE">
        <w:rPr>
          <w:rFonts w:ascii="Times New Roman" w:hAnsi="Times New Roman" w:cs="Times New Roman"/>
        </w:rPr>
        <w:t xml:space="preserve"> </w:t>
      </w:r>
      <w:r w:rsidR="00844A68" w:rsidRPr="00E477AE">
        <w:rPr>
          <w:rFonts w:ascii="Times New Roman" w:hAnsi="Times New Roman" w:cs="Times New Roman"/>
        </w:rPr>
        <w:t>inconsistent with the Act of Parliament’.</w:t>
      </w:r>
      <w:r w:rsidR="00844A68" w:rsidRPr="00E477AE">
        <w:rPr>
          <w:rStyle w:val="FootnoteReference"/>
          <w:rFonts w:ascii="Times New Roman" w:hAnsi="Times New Roman" w:cs="Times New Roman"/>
        </w:rPr>
        <w:footnoteReference w:id="72"/>
      </w:r>
      <w:r w:rsidR="00844A68" w:rsidRPr="00E477AE">
        <w:rPr>
          <w:rFonts w:ascii="Times New Roman" w:hAnsi="Times New Roman" w:cs="Times New Roman"/>
        </w:rPr>
        <w:t xml:space="preserve"> Finally, the Lord Chancellor observed that the ship was not ‘partnership property (under the alleged trust) as between the partners; as that would be a </w:t>
      </w:r>
      <w:r w:rsidR="00844A68" w:rsidRPr="00E477AE">
        <w:rPr>
          <w:rFonts w:ascii="Times New Roman" w:hAnsi="Times New Roman" w:cs="Times New Roman"/>
          <w:i/>
        </w:rPr>
        <w:t>direct</w:t>
      </w:r>
      <w:r w:rsidR="00844A68" w:rsidRPr="00E477AE">
        <w:rPr>
          <w:rFonts w:ascii="Times New Roman" w:hAnsi="Times New Roman" w:cs="Times New Roman"/>
        </w:rPr>
        <w:t xml:space="preserve"> infringement of the Act of parliament’.</w:t>
      </w:r>
      <w:r w:rsidR="00844A68" w:rsidRPr="00E477AE">
        <w:rPr>
          <w:rStyle w:val="FootnoteReference"/>
          <w:rFonts w:ascii="Times New Roman" w:hAnsi="Times New Roman" w:cs="Times New Roman"/>
        </w:rPr>
        <w:footnoteReference w:id="73"/>
      </w:r>
      <w:r w:rsidR="00BE0F10" w:rsidRPr="00E477AE">
        <w:rPr>
          <w:rFonts w:ascii="Times New Roman" w:hAnsi="Times New Roman" w:cs="Times New Roman"/>
        </w:rPr>
        <w:t xml:space="preserve"> The italiciz</w:t>
      </w:r>
      <w:r w:rsidR="00844A68" w:rsidRPr="00E477AE">
        <w:rPr>
          <w:rFonts w:ascii="Times New Roman" w:hAnsi="Times New Roman" w:cs="Times New Roman"/>
        </w:rPr>
        <w:t xml:space="preserve">ations above prove my point. </w:t>
      </w:r>
    </w:p>
    <w:p w14:paraId="1C9FC741" w14:textId="09E5A3F5" w:rsidR="00DA7D84" w:rsidRPr="00E477AE" w:rsidRDefault="0068157E" w:rsidP="00521DCD">
      <w:pPr>
        <w:ind w:firstLine="720"/>
        <w:jc w:val="both"/>
        <w:rPr>
          <w:rFonts w:ascii="Times New Roman" w:hAnsi="Times New Roman" w:cs="Times New Roman"/>
        </w:rPr>
      </w:pPr>
      <w:r w:rsidRPr="00E477AE">
        <w:rPr>
          <w:rFonts w:ascii="Times New Roman" w:hAnsi="Times New Roman" w:cs="Times New Roman"/>
        </w:rPr>
        <w:t xml:space="preserve">Similarly, in </w:t>
      </w:r>
      <w:r w:rsidRPr="00E477AE">
        <w:rPr>
          <w:rFonts w:ascii="Times New Roman" w:hAnsi="Times New Roman" w:cs="Times New Roman"/>
          <w:i/>
        </w:rPr>
        <w:t>Curtis v Perry</w:t>
      </w:r>
      <w:r w:rsidRPr="00E477AE">
        <w:rPr>
          <w:rFonts w:ascii="Times New Roman" w:hAnsi="Times New Roman" w:cs="Times New Roman"/>
        </w:rPr>
        <w:t>,</w:t>
      </w:r>
      <w:r w:rsidRPr="00E477AE">
        <w:rPr>
          <w:rStyle w:val="FootnoteReference"/>
          <w:rFonts w:ascii="Times New Roman" w:hAnsi="Times New Roman" w:cs="Times New Roman"/>
        </w:rPr>
        <w:footnoteReference w:id="74"/>
      </w:r>
      <w:r w:rsidR="003A4BA5" w:rsidRPr="00E477AE">
        <w:rPr>
          <w:rFonts w:ascii="Times New Roman" w:hAnsi="Times New Roman" w:cs="Times New Roman"/>
        </w:rPr>
        <w:t xml:space="preserve"> a ship, </w:t>
      </w:r>
      <w:r w:rsidR="00A01B2E" w:rsidRPr="00E477AE">
        <w:rPr>
          <w:rFonts w:ascii="Times New Roman" w:hAnsi="Times New Roman" w:cs="Times New Roman"/>
        </w:rPr>
        <w:t xml:space="preserve">commercially </w:t>
      </w:r>
      <w:r w:rsidR="003A4BA5" w:rsidRPr="00E477AE">
        <w:rPr>
          <w:rFonts w:ascii="Times New Roman" w:hAnsi="Times New Roman" w:cs="Times New Roman"/>
        </w:rPr>
        <w:t xml:space="preserve">employed in the service of </w:t>
      </w:r>
      <w:r w:rsidRPr="00E477AE">
        <w:rPr>
          <w:rFonts w:ascii="Times New Roman" w:hAnsi="Times New Roman" w:cs="Times New Roman"/>
        </w:rPr>
        <w:t>the government, was bought with partnership money, but</w:t>
      </w:r>
      <w:r w:rsidR="003A4BA5" w:rsidRPr="00E477AE">
        <w:rPr>
          <w:rFonts w:ascii="Times New Roman" w:hAnsi="Times New Roman" w:cs="Times New Roman"/>
        </w:rPr>
        <w:t xml:space="preserve"> was</w:t>
      </w:r>
      <w:r w:rsidRPr="00E477AE">
        <w:rPr>
          <w:rFonts w:ascii="Times New Roman" w:hAnsi="Times New Roman" w:cs="Times New Roman"/>
        </w:rPr>
        <w:t xml:space="preserve"> registered in the name of</w:t>
      </w:r>
      <w:r w:rsidR="003A4BA5" w:rsidRPr="00E477AE">
        <w:rPr>
          <w:rFonts w:ascii="Times New Roman" w:hAnsi="Times New Roman" w:cs="Times New Roman"/>
        </w:rPr>
        <w:t xml:space="preserve"> only one partner, Mr Nantes</w:t>
      </w:r>
      <w:r w:rsidRPr="00E477AE">
        <w:rPr>
          <w:rFonts w:ascii="Times New Roman" w:hAnsi="Times New Roman" w:cs="Times New Roman"/>
        </w:rPr>
        <w:t>. The</w:t>
      </w:r>
      <w:r w:rsidR="003A4BA5" w:rsidRPr="00E477AE">
        <w:rPr>
          <w:rFonts w:ascii="Times New Roman" w:hAnsi="Times New Roman" w:cs="Times New Roman"/>
        </w:rPr>
        <w:t xml:space="preserve"> other partner, Mr Chiswell, </w:t>
      </w:r>
      <w:r w:rsidRPr="00E477AE">
        <w:rPr>
          <w:rFonts w:ascii="Times New Roman" w:hAnsi="Times New Roman" w:cs="Times New Roman"/>
        </w:rPr>
        <w:t>was a Member of Parliament</w:t>
      </w:r>
      <w:r w:rsidR="000870BD" w:rsidRPr="00E477AE">
        <w:rPr>
          <w:rFonts w:ascii="Times New Roman" w:hAnsi="Times New Roman" w:cs="Times New Roman"/>
        </w:rPr>
        <w:t xml:space="preserve"> at the tim</w:t>
      </w:r>
      <w:r w:rsidR="003A4BA5" w:rsidRPr="00E477AE">
        <w:rPr>
          <w:rFonts w:ascii="Times New Roman" w:hAnsi="Times New Roman" w:cs="Times New Roman"/>
        </w:rPr>
        <w:t xml:space="preserve">e the ship was acquired. As the </w:t>
      </w:r>
      <w:r w:rsidR="000870BD" w:rsidRPr="00E477AE">
        <w:rPr>
          <w:rFonts w:ascii="Times New Roman" w:hAnsi="Times New Roman" w:cs="Times New Roman"/>
        </w:rPr>
        <w:t>relevant</w:t>
      </w:r>
      <w:r w:rsidR="003A4BA5" w:rsidRPr="00E477AE">
        <w:rPr>
          <w:rFonts w:ascii="Times New Roman" w:hAnsi="Times New Roman" w:cs="Times New Roman"/>
        </w:rPr>
        <w:t xml:space="preserve"> statute </w:t>
      </w:r>
      <w:r w:rsidR="000870BD" w:rsidRPr="00E477AE">
        <w:rPr>
          <w:rFonts w:ascii="Times New Roman" w:hAnsi="Times New Roman" w:cs="Times New Roman"/>
        </w:rPr>
        <w:t>pr</w:t>
      </w:r>
      <w:r w:rsidR="003A4BA5" w:rsidRPr="00E477AE">
        <w:rPr>
          <w:rFonts w:ascii="Times New Roman" w:hAnsi="Times New Roman" w:cs="Times New Roman"/>
        </w:rPr>
        <w:t>ohibited</w:t>
      </w:r>
      <w:r w:rsidR="000870BD" w:rsidRPr="00E477AE">
        <w:rPr>
          <w:rFonts w:ascii="Times New Roman" w:hAnsi="Times New Roman" w:cs="Times New Roman"/>
        </w:rPr>
        <w:t xml:space="preserve"> a Member of Parliament from having commercial dealings with the government</w:t>
      </w:r>
      <w:r w:rsidR="004B7552" w:rsidRPr="00E477AE">
        <w:rPr>
          <w:rFonts w:ascii="Times New Roman" w:hAnsi="Times New Roman" w:cs="Times New Roman"/>
        </w:rPr>
        <w:t xml:space="preserve">, </w:t>
      </w:r>
      <w:r w:rsidR="00B90587" w:rsidRPr="00E477AE">
        <w:rPr>
          <w:rFonts w:ascii="Times New Roman" w:hAnsi="Times New Roman" w:cs="Times New Roman"/>
        </w:rPr>
        <w:t>Chiswell would have been</w:t>
      </w:r>
      <w:r w:rsidR="00A01B2E" w:rsidRPr="00E477AE">
        <w:rPr>
          <w:rFonts w:ascii="Times New Roman" w:hAnsi="Times New Roman" w:cs="Times New Roman"/>
        </w:rPr>
        <w:t xml:space="preserve"> liable to penalties if he</w:t>
      </w:r>
      <w:r w:rsidR="00B90587" w:rsidRPr="00E477AE">
        <w:rPr>
          <w:rFonts w:ascii="Times New Roman" w:hAnsi="Times New Roman" w:cs="Times New Roman"/>
        </w:rPr>
        <w:t xml:space="preserve"> had claimed</w:t>
      </w:r>
      <w:r w:rsidR="008328E5" w:rsidRPr="00E477AE">
        <w:rPr>
          <w:rFonts w:ascii="Times New Roman" w:hAnsi="Times New Roman" w:cs="Times New Roman"/>
        </w:rPr>
        <w:t xml:space="preserve"> a</w:t>
      </w:r>
      <w:r w:rsidR="00B90587" w:rsidRPr="00E477AE">
        <w:rPr>
          <w:rFonts w:ascii="Times New Roman" w:hAnsi="Times New Roman" w:cs="Times New Roman"/>
        </w:rPr>
        <w:t xml:space="preserve"> </w:t>
      </w:r>
      <w:r w:rsidR="00AF74BD" w:rsidRPr="00E477AE">
        <w:rPr>
          <w:rFonts w:ascii="Times New Roman" w:hAnsi="Times New Roman" w:cs="Times New Roman"/>
        </w:rPr>
        <w:t>proprietary interest</w:t>
      </w:r>
      <w:r w:rsidR="000870BD" w:rsidRPr="00E477AE">
        <w:rPr>
          <w:rFonts w:ascii="Times New Roman" w:hAnsi="Times New Roman" w:cs="Times New Roman"/>
        </w:rPr>
        <w:t xml:space="preserve"> in the shi</w:t>
      </w:r>
      <w:r w:rsidR="00AF74BD" w:rsidRPr="00E477AE">
        <w:rPr>
          <w:rFonts w:ascii="Times New Roman" w:hAnsi="Times New Roman" w:cs="Times New Roman"/>
        </w:rPr>
        <w:t>p. After Chiswell’s death, and Nantes’ bankruptcy,</w:t>
      </w:r>
      <w:r w:rsidR="00B95C4A" w:rsidRPr="00E477AE">
        <w:rPr>
          <w:rFonts w:ascii="Times New Roman" w:hAnsi="Times New Roman" w:cs="Times New Roman"/>
        </w:rPr>
        <w:t xml:space="preserve"> separate creditors of Nantes claimed the ship (in payment of their debt)</w:t>
      </w:r>
      <w:r w:rsidR="009420FA" w:rsidRPr="00E477AE">
        <w:rPr>
          <w:rFonts w:ascii="Times New Roman" w:hAnsi="Times New Roman" w:cs="Times New Roman"/>
        </w:rPr>
        <w:t xml:space="preserve"> as the sole property of Nantes.</w:t>
      </w:r>
      <w:r w:rsidR="00FC74AE" w:rsidRPr="00E477AE">
        <w:rPr>
          <w:rFonts w:ascii="Times New Roman" w:hAnsi="Times New Roman" w:cs="Times New Roman"/>
        </w:rPr>
        <w:t xml:space="preserve"> I</w:t>
      </w:r>
      <w:r w:rsidR="00B95C4A" w:rsidRPr="00E477AE">
        <w:rPr>
          <w:rFonts w:ascii="Times New Roman" w:hAnsi="Times New Roman" w:cs="Times New Roman"/>
        </w:rPr>
        <w:t>n opposition, the joint creditors of the partners argued that Nantes held th</w:t>
      </w:r>
      <w:r w:rsidR="00FC74AE" w:rsidRPr="00E477AE">
        <w:rPr>
          <w:rFonts w:ascii="Times New Roman" w:hAnsi="Times New Roman" w:cs="Times New Roman"/>
        </w:rPr>
        <w:t>e ship on trust for the partners</w:t>
      </w:r>
      <w:r w:rsidR="00B95C4A" w:rsidRPr="00E477AE">
        <w:rPr>
          <w:rFonts w:ascii="Times New Roman" w:hAnsi="Times New Roman" w:cs="Times New Roman"/>
        </w:rPr>
        <w:t>, and that the ship was</w:t>
      </w:r>
      <w:r w:rsidR="004809E4" w:rsidRPr="00E477AE">
        <w:rPr>
          <w:rFonts w:ascii="Times New Roman" w:hAnsi="Times New Roman" w:cs="Times New Roman"/>
        </w:rPr>
        <w:t>, therefore,</w:t>
      </w:r>
      <w:r w:rsidR="00B95C4A" w:rsidRPr="00E477AE">
        <w:rPr>
          <w:rFonts w:ascii="Times New Roman" w:hAnsi="Times New Roman" w:cs="Times New Roman"/>
        </w:rPr>
        <w:t xml:space="preserve"> the beneficial property of the partnership.</w:t>
      </w:r>
      <w:r w:rsidR="00E6748B" w:rsidRPr="00E477AE">
        <w:rPr>
          <w:rFonts w:ascii="Times New Roman" w:hAnsi="Times New Roman" w:cs="Times New Roman"/>
        </w:rPr>
        <w:t xml:space="preserve"> A</w:t>
      </w:r>
      <w:r w:rsidR="00AF74BD" w:rsidRPr="00E477AE">
        <w:rPr>
          <w:rFonts w:ascii="Times New Roman" w:hAnsi="Times New Roman" w:cs="Times New Roman"/>
        </w:rPr>
        <w:t xml:space="preserve">s in </w:t>
      </w:r>
      <w:r w:rsidR="00AF74BD" w:rsidRPr="00E477AE">
        <w:rPr>
          <w:rFonts w:ascii="Times New Roman" w:hAnsi="Times New Roman" w:cs="Times New Roman"/>
          <w:i/>
        </w:rPr>
        <w:t>Yallop</w:t>
      </w:r>
      <w:r w:rsidR="004471B7" w:rsidRPr="00E477AE">
        <w:rPr>
          <w:rFonts w:ascii="Times New Roman" w:hAnsi="Times New Roman" w:cs="Times New Roman"/>
        </w:rPr>
        <w:t xml:space="preserve">, Lord Eldon </w:t>
      </w:r>
      <w:r w:rsidR="00AF74BD" w:rsidRPr="00E477AE">
        <w:rPr>
          <w:rFonts w:ascii="Times New Roman" w:hAnsi="Times New Roman" w:cs="Times New Roman"/>
        </w:rPr>
        <w:t>dismissed the claim of</w:t>
      </w:r>
      <w:r w:rsidR="004809E4" w:rsidRPr="00E477AE">
        <w:rPr>
          <w:rFonts w:ascii="Times New Roman" w:hAnsi="Times New Roman" w:cs="Times New Roman"/>
        </w:rPr>
        <w:t xml:space="preserve"> the joint creditors grounded in trust, because such a trust would have defeated the statute</w:t>
      </w:r>
      <w:r w:rsidR="000B567D" w:rsidRPr="00E477AE">
        <w:rPr>
          <w:rFonts w:ascii="Times New Roman" w:hAnsi="Times New Roman" w:cs="Times New Roman"/>
        </w:rPr>
        <w:t xml:space="preserve"> (Contract Act)</w:t>
      </w:r>
      <w:r w:rsidR="004809E4" w:rsidRPr="00E477AE">
        <w:rPr>
          <w:rFonts w:ascii="Times New Roman" w:hAnsi="Times New Roman" w:cs="Times New Roman"/>
        </w:rPr>
        <w:t>, which prohibited</w:t>
      </w:r>
      <w:r w:rsidR="00E6748B" w:rsidRPr="00E477AE">
        <w:rPr>
          <w:rFonts w:ascii="Times New Roman" w:hAnsi="Times New Roman" w:cs="Times New Roman"/>
        </w:rPr>
        <w:t xml:space="preserve"> Chiswell</w:t>
      </w:r>
      <w:r w:rsidR="004809E4" w:rsidRPr="00E477AE">
        <w:rPr>
          <w:rFonts w:ascii="Times New Roman" w:hAnsi="Times New Roman" w:cs="Times New Roman"/>
        </w:rPr>
        <w:t>,</w:t>
      </w:r>
      <w:r w:rsidR="00E6748B" w:rsidRPr="00E477AE">
        <w:rPr>
          <w:rFonts w:ascii="Times New Roman" w:hAnsi="Times New Roman" w:cs="Times New Roman"/>
        </w:rPr>
        <w:t xml:space="preserve"> as a Memb</w:t>
      </w:r>
      <w:r w:rsidR="004902FD" w:rsidRPr="00E477AE">
        <w:rPr>
          <w:rFonts w:ascii="Times New Roman" w:hAnsi="Times New Roman" w:cs="Times New Roman"/>
        </w:rPr>
        <w:t>er of P</w:t>
      </w:r>
      <w:r w:rsidR="00E6748B" w:rsidRPr="00E477AE">
        <w:rPr>
          <w:rFonts w:ascii="Times New Roman" w:hAnsi="Times New Roman" w:cs="Times New Roman"/>
        </w:rPr>
        <w:t>arliament</w:t>
      </w:r>
      <w:r w:rsidR="004809E4" w:rsidRPr="00E477AE">
        <w:rPr>
          <w:rFonts w:ascii="Times New Roman" w:hAnsi="Times New Roman" w:cs="Times New Roman"/>
        </w:rPr>
        <w:t>, from engaging in commercial dealings with the government.</w:t>
      </w:r>
    </w:p>
    <w:p w14:paraId="3FC381F5" w14:textId="41EDEE4A" w:rsidR="006A0569" w:rsidRPr="00E477AE" w:rsidRDefault="00EB40AB" w:rsidP="00521DCD">
      <w:pPr>
        <w:ind w:firstLine="720"/>
        <w:jc w:val="both"/>
        <w:rPr>
          <w:rFonts w:ascii="Times New Roman" w:hAnsi="Times New Roman" w:cs="Times New Roman"/>
        </w:rPr>
      </w:pPr>
      <w:r w:rsidRPr="00E477AE">
        <w:rPr>
          <w:rFonts w:ascii="Times New Roman" w:hAnsi="Times New Roman" w:cs="Times New Roman"/>
        </w:rPr>
        <w:t xml:space="preserve">In </w:t>
      </w:r>
      <w:r w:rsidRPr="00E477AE">
        <w:rPr>
          <w:rFonts w:ascii="Times New Roman" w:hAnsi="Times New Roman" w:cs="Times New Roman"/>
          <w:i/>
        </w:rPr>
        <w:t>Collier</w:t>
      </w:r>
      <w:r w:rsidRPr="00E477AE">
        <w:rPr>
          <w:rFonts w:ascii="Times New Roman" w:hAnsi="Times New Roman" w:cs="Times New Roman"/>
        </w:rPr>
        <w:t xml:space="preserve">, as highlighted above, the express trust alleged by the father, in opposition to the absolute ownership obtained by the daughter pursuant to the transfers, was rejected by the court, in part because, the father had already executed the illegal purpose. An alternative basis for the decision is that </w:t>
      </w:r>
      <w:r w:rsidR="0090018E" w:rsidRPr="00E477AE">
        <w:rPr>
          <w:rFonts w:ascii="Times New Roman" w:hAnsi="Times New Roman" w:cs="Times New Roman"/>
        </w:rPr>
        <w:t xml:space="preserve">the trust alleged by the father </w:t>
      </w:r>
      <w:r w:rsidR="001C56FC" w:rsidRPr="00E477AE">
        <w:rPr>
          <w:rFonts w:ascii="Times New Roman" w:hAnsi="Times New Roman" w:cs="Times New Roman"/>
        </w:rPr>
        <w:t xml:space="preserve">contained express </w:t>
      </w:r>
      <w:r w:rsidRPr="00E477AE">
        <w:rPr>
          <w:rFonts w:ascii="Times New Roman" w:hAnsi="Times New Roman" w:cs="Times New Roman"/>
        </w:rPr>
        <w:t>terms that were in direct conflict with</w:t>
      </w:r>
      <w:r w:rsidR="001C56FC" w:rsidRPr="00E477AE">
        <w:rPr>
          <w:rFonts w:ascii="Times New Roman" w:hAnsi="Times New Roman" w:cs="Times New Roman"/>
        </w:rPr>
        <w:t xml:space="preserve"> law or </w:t>
      </w:r>
      <w:r w:rsidRPr="00E477AE">
        <w:rPr>
          <w:rFonts w:ascii="Times New Roman" w:hAnsi="Times New Roman" w:cs="Times New Roman"/>
        </w:rPr>
        <w:t>public policy.</w:t>
      </w:r>
      <w:r w:rsidR="001E5DFF" w:rsidRPr="00E477AE">
        <w:rPr>
          <w:rStyle w:val="FootnoteReference"/>
          <w:rFonts w:ascii="Times New Roman" w:hAnsi="Times New Roman" w:cs="Times New Roman"/>
        </w:rPr>
        <w:footnoteReference w:id="75"/>
      </w:r>
      <w:r w:rsidRPr="00E477AE">
        <w:rPr>
          <w:rFonts w:ascii="Times New Roman" w:hAnsi="Times New Roman" w:cs="Times New Roman"/>
        </w:rPr>
        <w:t xml:space="preserve"> Much of this</w:t>
      </w:r>
      <w:r w:rsidR="0090018E" w:rsidRPr="00E477AE">
        <w:rPr>
          <w:rFonts w:ascii="Times New Roman" w:hAnsi="Times New Roman" w:cs="Times New Roman"/>
        </w:rPr>
        <w:t xml:space="preserve"> was captured in the pertinent observation of Aldous LJ:</w:t>
      </w:r>
      <w:r w:rsidR="00A048F9" w:rsidRPr="00E477AE">
        <w:rPr>
          <w:rFonts w:ascii="Times New Roman" w:hAnsi="Times New Roman" w:cs="Times New Roman"/>
        </w:rPr>
        <w:t xml:space="preserve"> ‘Thus the trusts included terms which were illegal. In effect the terms of the trust were that the leases and the property were to be held in trust so as to defraud the Inland Revenue and the father’s creditors. To establish that trust the father had to prove its terms. They included illegal terms’.</w:t>
      </w:r>
      <w:r w:rsidR="00A048F9" w:rsidRPr="00E477AE">
        <w:rPr>
          <w:rStyle w:val="FootnoteReference"/>
          <w:rFonts w:ascii="Times New Roman" w:hAnsi="Times New Roman" w:cs="Times New Roman"/>
        </w:rPr>
        <w:footnoteReference w:id="76"/>
      </w:r>
    </w:p>
    <w:p w14:paraId="77D8EB68" w14:textId="77777777" w:rsidR="0034068E" w:rsidRDefault="006A0569" w:rsidP="0034068E">
      <w:pPr>
        <w:jc w:val="both"/>
        <w:rPr>
          <w:rFonts w:ascii="Times New Roman" w:hAnsi="Times New Roman" w:cs="Times New Roman"/>
        </w:rPr>
      </w:pPr>
      <w:r w:rsidRPr="00E477AE">
        <w:rPr>
          <w:rFonts w:ascii="Times New Roman" w:hAnsi="Times New Roman" w:cs="Times New Roman"/>
        </w:rPr>
        <w:tab/>
        <w:t>In addition to</w:t>
      </w:r>
      <w:r w:rsidR="00E11F6E" w:rsidRPr="00E477AE">
        <w:rPr>
          <w:rFonts w:ascii="Times New Roman" w:hAnsi="Times New Roman" w:cs="Times New Roman"/>
        </w:rPr>
        <w:t xml:space="preserve"> an</w:t>
      </w:r>
      <w:r w:rsidRPr="00E477AE">
        <w:rPr>
          <w:rFonts w:ascii="Times New Roman" w:hAnsi="Times New Roman" w:cs="Times New Roman"/>
        </w:rPr>
        <w:t xml:space="preserve"> e</w:t>
      </w:r>
      <w:r w:rsidR="00E068E8" w:rsidRPr="00E477AE">
        <w:rPr>
          <w:rFonts w:ascii="Times New Roman" w:hAnsi="Times New Roman" w:cs="Times New Roman"/>
        </w:rPr>
        <w:t>ntire trust being</w:t>
      </w:r>
      <w:r w:rsidRPr="00E477AE">
        <w:rPr>
          <w:rFonts w:ascii="Times New Roman" w:hAnsi="Times New Roman" w:cs="Times New Roman"/>
        </w:rPr>
        <w:t xml:space="preserve"> i</w:t>
      </w:r>
      <w:r w:rsidR="005B52A2" w:rsidRPr="00E477AE">
        <w:rPr>
          <w:rFonts w:ascii="Times New Roman" w:hAnsi="Times New Roman" w:cs="Times New Roman"/>
        </w:rPr>
        <w:t xml:space="preserve">llegal, most of the cases concern </w:t>
      </w:r>
      <w:r w:rsidRPr="00E477AE">
        <w:rPr>
          <w:rFonts w:ascii="Times New Roman" w:hAnsi="Times New Roman" w:cs="Times New Roman"/>
        </w:rPr>
        <w:t xml:space="preserve">a provision </w:t>
      </w:r>
      <w:r w:rsidR="005B52A2" w:rsidRPr="00E477AE">
        <w:rPr>
          <w:rFonts w:ascii="Times New Roman" w:hAnsi="Times New Roman" w:cs="Times New Roman"/>
        </w:rPr>
        <w:t>in a</w:t>
      </w:r>
      <w:r w:rsidRPr="00E477AE">
        <w:rPr>
          <w:rFonts w:ascii="Times New Roman" w:hAnsi="Times New Roman" w:cs="Times New Roman"/>
        </w:rPr>
        <w:t xml:space="preserve"> trust</w:t>
      </w:r>
      <w:r w:rsidR="005B52A2" w:rsidRPr="00E477AE">
        <w:rPr>
          <w:rFonts w:ascii="Times New Roman" w:hAnsi="Times New Roman" w:cs="Times New Roman"/>
        </w:rPr>
        <w:t xml:space="preserve"> or testamentary </w:t>
      </w:r>
      <w:r w:rsidRPr="00E477AE">
        <w:rPr>
          <w:rFonts w:ascii="Times New Roman" w:hAnsi="Times New Roman" w:cs="Times New Roman"/>
        </w:rPr>
        <w:t>document</w:t>
      </w:r>
      <w:r w:rsidR="005B52A2" w:rsidRPr="00E477AE">
        <w:rPr>
          <w:rFonts w:ascii="Times New Roman" w:hAnsi="Times New Roman" w:cs="Times New Roman"/>
        </w:rPr>
        <w:t>,</w:t>
      </w:r>
      <w:r w:rsidRPr="00E477AE">
        <w:rPr>
          <w:rFonts w:ascii="Times New Roman" w:hAnsi="Times New Roman" w:cs="Times New Roman"/>
        </w:rPr>
        <w:t xml:space="preserve"> which impose</w:t>
      </w:r>
      <w:r w:rsidR="005B52A2" w:rsidRPr="00E477AE">
        <w:rPr>
          <w:rFonts w:ascii="Times New Roman" w:hAnsi="Times New Roman" w:cs="Times New Roman"/>
        </w:rPr>
        <w:t>d</w:t>
      </w:r>
      <w:r w:rsidRPr="00E477AE">
        <w:rPr>
          <w:rFonts w:ascii="Times New Roman" w:hAnsi="Times New Roman" w:cs="Times New Roman"/>
        </w:rPr>
        <w:t xml:space="preserve"> a condition for entitlement</w:t>
      </w:r>
      <w:r w:rsidR="005B52A2" w:rsidRPr="00E477AE">
        <w:rPr>
          <w:rFonts w:ascii="Times New Roman" w:hAnsi="Times New Roman" w:cs="Times New Roman"/>
        </w:rPr>
        <w:t xml:space="preserve"> to a gift</w:t>
      </w:r>
      <w:r w:rsidR="00B735D8" w:rsidRPr="00E477AE">
        <w:rPr>
          <w:rFonts w:ascii="Times New Roman" w:hAnsi="Times New Roman" w:cs="Times New Roman"/>
        </w:rPr>
        <w:t>,</w:t>
      </w:r>
      <w:r w:rsidR="005B52A2" w:rsidRPr="00E477AE">
        <w:rPr>
          <w:rFonts w:ascii="Times New Roman" w:hAnsi="Times New Roman" w:cs="Times New Roman"/>
        </w:rPr>
        <w:t xml:space="preserve"> and it was argued that the relevant condition was</w:t>
      </w:r>
      <w:r w:rsidR="005D73F9" w:rsidRPr="00E477AE">
        <w:rPr>
          <w:rFonts w:ascii="Times New Roman" w:hAnsi="Times New Roman" w:cs="Times New Roman"/>
        </w:rPr>
        <w:t xml:space="preserve"> illeg</w:t>
      </w:r>
      <w:r w:rsidR="005B52A2" w:rsidRPr="00E477AE">
        <w:rPr>
          <w:rFonts w:ascii="Times New Roman" w:hAnsi="Times New Roman" w:cs="Times New Roman"/>
        </w:rPr>
        <w:t>al or contrary to public policy.</w:t>
      </w:r>
      <w:r w:rsidR="00B735D8" w:rsidRPr="00E477AE">
        <w:rPr>
          <w:rStyle w:val="FootnoteReference"/>
          <w:rFonts w:ascii="Times New Roman" w:hAnsi="Times New Roman" w:cs="Times New Roman"/>
        </w:rPr>
        <w:footnoteReference w:id="77"/>
      </w:r>
      <w:r w:rsidR="005D73F9" w:rsidRPr="00E477AE">
        <w:rPr>
          <w:rFonts w:ascii="Times New Roman" w:hAnsi="Times New Roman" w:cs="Times New Roman"/>
        </w:rPr>
        <w:t xml:space="preserve"> </w:t>
      </w:r>
      <w:r w:rsidR="005B52A2" w:rsidRPr="00E477AE">
        <w:rPr>
          <w:rFonts w:ascii="Times New Roman" w:hAnsi="Times New Roman" w:cs="Times New Roman"/>
        </w:rPr>
        <w:t>If the court accepted the argument that the impugned condition was illegal for being contrary to law or public policy, it</w:t>
      </w:r>
      <w:r w:rsidR="001717E4" w:rsidRPr="00E477AE">
        <w:rPr>
          <w:rFonts w:ascii="Times New Roman" w:hAnsi="Times New Roman" w:cs="Times New Roman"/>
        </w:rPr>
        <w:t xml:space="preserve"> would declare it</w:t>
      </w:r>
      <w:r w:rsidR="005B52A2" w:rsidRPr="00E477AE">
        <w:rPr>
          <w:rFonts w:ascii="Times New Roman" w:hAnsi="Times New Roman" w:cs="Times New Roman"/>
        </w:rPr>
        <w:t xml:space="preserve"> void. But </w:t>
      </w:r>
      <w:r w:rsidR="006C042A" w:rsidRPr="00E477AE">
        <w:rPr>
          <w:rFonts w:ascii="Times New Roman" w:hAnsi="Times New Roman" w:cs="Times New Roman"/>
        </w:rPr>
        <w:t>the effect of such a declaration, or the avoidance of the conditio</w:t>
      </w:r>
      <w:r w:rsidR="00E0471A" w:rsidRPr="00E477AE">
        <w:rPr>
          <w:rFonts w:ascii="Times New Roman" w:hAnsi="Times New Roman" w:cs="Times New Roman"/>
        </w:rPr>
        <w:t>n, on the relevant gift depends</w:t>
      </w:r>
      <w:r w:rsidR="006C042A" w:rsidRPr="00E477AE">
        <w:rPr>
          <w:rFonts w:ascii="Times New Roman" w:hAnsi="Times New Roman" w:cs="Times New Roman"/>
        </w:rPr>
        <w:t xml:space="preserve"> on whether the condition was characterized as a condition precedent or condition subsequent. The characterization</w:t>
      </w:r>
      <w:r w:rsidR="00294DAE" w:rsidRPr="00E477AE">
        <w:rPr>
          <w:rFonts w:ascii="Times New Roman" w:hAnsi="Times New Roman" w:cs="Times New Roman"/>
        </w:rPr>
        <w:t xml:space="preserve"> of a condition as being a</w:t>
      </w:r>
      <w:r w:rsidR="006C042A" w:rsidRPr="00E477AE">
        <w:rPr>
          <w:rFonts w:ascii="Times New Roman" w:hAnsi="Times New Roman" w:cs="Times New Roman"/>
        </w:rPr>
        <w:t xml:space="preserve"> precedent or subsequent is a serious</w:t>
      </w:r>
      <w:r w:rsidR="00E0471A" w:rsidRPr="00E477AE">
        <w:rPr>
          <w:rFonts w:ascii="Times New Roman" w:hAnsi="Times New Roman" w:cs="Times New Roman"/>
        </w:rPr>
        <w:t xml:space="preserve"> and difficult</w:t>
      </w:r>
      <w:r w:rsidR="006C042A" w:rsidRPr="00E477AE">
        <w:rPr>
          <w:rFonts w:ascii="Times New Roman" w:hAnsi="Times New Roman" w:cs="Times New Roman"/>
        </w:rPr>
        <w:t xml:space="preserve"> matter of </w:t>
      </w:r>
      <w:r w:rsidR="005D73F9" w:rsidRPr="00E477AE">
        <w:rPr>
          <w:rFonts w:ascii="Times New Roman" w:hAnsi="Times New Roman" w:cs="Times New Roman"/>
        </w:rPr>
        <w:t>interpretation</w:t>
      </w:r>
      <w:r w:rsidR="00E0471A" w:rsidRPr="00E477AE">
        <w:rPr>
          <w:rFonts w:ascii="Times New Roman" w:hAnsi="Times New Roman" w:cs="Times New Roman"/>
        </w:rPr>
        <w:t>.</w:t>
      </w:r>
      <w:r w:rsidR="001717E4" w:rsidRPr="00E477AE">
        <w:rPr>
          <w:rStyle w:val="FootnoteReference"/>
          <w:rFonts w:ascii="Times New Roman" w:hAnsi="Times New Roman" w:cs="Times New Roman"/>
        </w:rPr>
        <w:footnoteReference w:id="78"/>
      </w:r>
      <w:r w:rsidR="006C042A" w:rsidRPr="00E477AE">
        <w:rPr>
          <w:rFonts w:ascii="Times New Roman" w:hAnsi="Times New Roman" w:cs="Times New Roman"/>
        </w:rPr>
        <w:t xml:space="preserve"> </w:t>
      </w:r>
      <w:r w:rsidR="00E0471A" w:rsidRPr="00E477AE">
        <w:rPr>
          <w:rFonts w:ascii="Times New Roman" w:hAnsi="Times New Roman" w:cs="Times New Roman"/>
        </w:rPr>
        <w:t xml:space="preserve">As </w:t>
      </w:r>
      <w:r w:rsidR="00294DAE" w:rsidRPr="00E477AE">
        <w:rPr>
          <w:rFonts w:ascii="Times New Roman" w:hAnsi="Times New Roman" w:cs="Times New Roman"/>
        </w:rPr>
        <w:t>there are numerous cases on the</w:t>
      </w:r>
      <w:r w:rsidR="005D73F9" w:rsidRPr="00E477AE">
        <w:rPr>
          <w:rFonts w:ascii="Times New Roman" w:hAnsi="Times New Roman" w:cs="Times New Roman"/>
        </w:rPr>
        <w:t xml:space="preserve"> point</w:t>
      </w:r>
      <w:r w:rsidR="00E0471A" w:rsidRPr="00E477AE">
        <w:rPr>
          <w:rFonts w:ascii="Times New Roman" w:hAnsi="Times New Roman" w:cs="Times New Roman"/>
        </w:rPr>
        <w:t xml:space="preserve">, and their decisions are </w:t>
      </w:r>
      <w:r w:rsidR="00294DAE" w:rsidRPr="00E477AE">
        <w:rPr>
          <w:rFonts w:ascii="Times New Roman" w:hAnsi="Times New Roman" w:cs="Times New Roman"/>
        </w:rPr>
        <w:t>irrecon</w:t>
      </w:r>
      <w:r w:rsidR="00E0471A" w:rsidRPr="00E477AE">
        <w:rPr>
          <w:rFonts w:ascii="Times New Roman" w:hAnsi="Times New Roman" w:cs="Times New Roman"/>
        </w:rPr>
        <w:t>cilable,</w:t>
      </w:r>
      <w:r w:rsidR="00294DAE" w:rsidRPr="00E477AE">
        <w:rPr>
          <w:rFonts w:ascii="Times New Roman" w:hAnsi="Times New Roman" w:cs="Times New Roman"/>
        </w:rPr>
        <w:t xml:space="preserve"> it</w:t>
      </w:r>
      <w:r w:rsidR="00E0471A" w:rsidRPr="00E477AE">
        <w:rPr>
          <w:rFonts w:ascii="Times New Roman" w:hAnsi="Times New Roman" w:cs="Times New Roman"/>
        </w:rPr>
        <w:t xml:space="preserve"> is difficult to posit </w:t>
      </w:r>
      <w:r w:rsidR="00294DAE" w:rsidRPr="00E477AE">
        <w:rPr>
          <w:rFonts w:ascii="Times New Roman" w:hAnsi="Times New Roman" w:cs="Times New Roman"/>
        </w:rPr>
        <w:t>a clear legal principle</w:t>
      </w:r>
      <w:r w:rsidR="00D13D55" w:rsidRPr="00E477AE">
        <w:rPr>
          <w:rFonts w:ascii="Times New Roman" w:hAnsi="Times New Roman" w:cs="Times New Roman"/>
        </w:rPr>
        <w:t xml:space="preserve"> on the matter. A</w:t>
      </w:r>
      <w:r w:rsidR="00E0471A" w:rsidRPr="00E477AE">
        <w:rPr>
          <w:rFonts w:ascii="Times New Roman" w:hAnsi="Times New Roman" w:cs="Times New Roman"/>
        </w:rPr>
        <w:t xml:space="preserve">t any rate, </w:t>
      </w:r>
      <w:r w:rsidR="00A3019B" w:rsidRPr="00E477AE">
        <w:rPr>
          <w:rFonts w:ascii="Times New Roman" w:hAnsi="Times New Roman" w:cs="Times New Roman"/>
        </w:rPr>
        <w:t>this is not the</w:t>
      </w:r>
      <w:r w:rsidR="00294DAE" w:rsidRPr="00E477AE">
        <w:rPr>
          <w:rFonts w:ascii="Times New Roman" w:hAnsi="Times New Roman" w:cs="Times New Roman"/>
        </w:rPr>
        <w:t xml:space="preserve"> proper place for</w:t>
      </w:r>
      <w:r w:rsidR="00A3019B" w:rsidRPr="00E477AE">
        <w:rPr>
          <w:rFonts w:ascii="Times New Roman" w:hAnsi="Times New Roman" w:cs="Times New Roman"/>
        </w:rPr>
        <w:t xml:space="preserve"> a</w:t>
      </w:r>
      <w:r w:rsidR="00294DAE" w:rsidRPr="00E477AE">
        <w:rPr>
          <w:rFonts w:ascii="Times New Roman" w:hAnsi="Times New Roman" w:cs="Times New Roman"/>
        </w:rPr>
        <w:t xml:space="preserve"> detailed examination of </w:t>
      </w:r>
      <w:r w:rsidR="00E0471A" w:rsidRPr="00E477AE">
        <w:rPr>
          <w:rFonts w:ascii="Times New Roman" w:hAnsi="Times New Roman" w:cs="Times New Roman"/>
        </w:rPr>
        <w:t>such a specific, albeit relevant, issue. F</w:t>
      </w:r>
      <w:r w:rsidR="00294DAE" w:rsidRPr="00E477AE">
        <w:rPr>
          <w:rFonts w:ascii="Times New Roman" w:hAnsi="Times New Roman" w:cs="Times New Roman"/>
        </w:rPr>
        <w:t>ortunately</w:t>
      </w:r>
      <w:r w:rsidR="00E0471A" w:rsidRPr="00E477AE">
        <w:rPr>
          <w:rFonts w:ascii="Times New Roman" w:hAnsi="Times New Roman" w:cs="Times New Roman"/>
        </w:rPr>
        <w:t>, the matter has been covered in</w:t>
      </w:r>
      <w:r w:rsidR="00D13D55" w:rsidRPr="00E477AE">
        <w:rPr>
          <w:rFonts w:ascii="Times New Roman" w:hAnsi="Times New Roman" w:cs="Times New Roman"/>
        </w:rPr>
        <w:t xml:space="preserve"> some of the leading works</w:t>
      </w:r>
      <w:r w:rsidR="00294DAE" w:rsidRPr="00E477AE">
        <w:rPr>
          <w:rFonts w:ascii="Times New Roman" w:hAnsi="Times New Roman" w:cs="Times New Roman"/>
        </w:rPr>
        <w:t xml:space="preserve"> on the subject.</w:t>
      </w:r>
      <w:r w:rsidR="00A3019B" w:rsidRPr="00E477AE">
        <w:rPr>
          <w:rStyle w:val="FootnoteReference"/>
          <w:rFonts w:ascii="Times New Roman" w:hAnsi="Times New Roman" w:cs="Times New Roman"/>
        </w:rPr>
        <w:footnoteReference w:id="79"/>
      </w:r>
      <w:r w:rsidR="006F26F7">
        <w:rPr>
          <w:rFonts w:ascii="Times New Roman" w:hAnsi="Times New Roman" w:cs="Times New Roman"/>
        </w:rPr>
        <w:t xml:space="preserve"> The point here, however, is that</w:t>
      </w:r>
      <w:r w:rsidR="00EC5858">
        <w:rPr>
          <w:rFonts w:ascii="Times New Roman" w:hAnsi="Times New Roman" w:cs="Times New Roman"/>
        </w:rPr>
        <w:t xml:space="preserve"> a</w:t>
      </w:r>
      <w:r w:rsidR="006F26F7">
        <w:rPr>
          <w:rFonts w:ascii="Times New Roman" w:hAnsi="Times New Roman" w:cs="Times New Roman"/>
        </w:rPr>
        <w:t xml:space="preserve"> provision of a trust which contains a condition that directly violates the law or public policy </w:t>
      </w:r>
      <w:r w:rsidR="00EC5858">
        <w:rPr>
          <w:rFonts w:ascii="Times New Roman" w:hAnsi="Times New Roman" w:cs="Times New Roman"/>
        </w:rPr>
        <w:t>would come within the narrow sphere of the illegality principle in trusts law, and therefore, the impugned condition would be de</w:t>
      </w:r>
      <w:r w:rsidR="00754BEE">
        <w:rPr>
          <w:rFonts w:ascii="Times New Roman" w:hAnsi="Times New Roman" w:cs="Times New Roman"/>
        </w:rPr>
        <w:t>clared void and unenforceable</w:t>
      </w:r>
      <w:r w:rsidR="007D71B3">
        <w:rPr>
          <w:rFonts w:ascii="Times New Roman" w:hAnsi="Times New Roman" w:cs="Times New Roman"/>
        </w:rPr>
        <w:t>.</w:t>
      </w:r>
    </w:p>
    <w:p w14:paraId="18417AE3" w14:textId="77777777" w:rsidR="00980A9F" w:rsidRDefault="00AA53F4" w:rsidP="000E1394">
      <w:pPr>
        <w:ind w:firstLine="720"/>
        <w:jc w:val="both"/>
        <w:rPr>
          <w:rFonts w:ascii="Times New Roman" w:hAnsi="Times New Roman" w:cs="Times New Roman"/>
        </w:rPr>
      </w:pPr>
      <w:r>
        <w:rPr>
          <w:rFonts w:ascii="Times New Roman" w:hAnsi="Times New Roman" w:cs="Times New Roman"/>
        </w:rPr>
        <w:t xml:space="preserve">Where </w:t>
      </w:r>
      <w:r w:rsidR="005D73F9" w:rsidRPr="00E477AE">
        <w:rPr>
          <w:rFonts w:ascii="Times New Roman" w:hAnsi="Times New Roman" w:cs="Times New Roman"/>
        </w:rPr>
        <w:t>a condition</w:t>
      </w:r>
      <w:r w:rsidR="00A3019B" w:rsidRPr="00E477AE">
        <w:rPr>
          <w:rFonts w:ascii="Times New Roman" w:hAnsi="Times New Roman" w:cs="Times New Roman"/>
        </w:rPr>
        <w:t xml:space="preserve"> held to be a condition precedent is avoided for being</w:t>
      </w:r>
      <w:r w:rsidR="005D73F9" w:rsidRPr="00E477AE">
        <w:rPr>
          <w:rFonts w:ascii="Times New Roman" w:hAnsi="Times New Roman" w:cs="Times New Roman"/>
        </w:rPr>
        <w:t xml:space="preserve"> contrary to law or public policy</w:t>
      </w:r>
      <w:r w:rsidR="00A3019B" w:rsidRPr="00E477AE">
        <w:rPr>
          <w:rFonts w:ascii="Times New Roman" w:hAnsi="Times New Roman" w:cs="Times New Roman"/>
        </w:rPr>
        <w:t xml:space="preserve"> the relevant gift fails </w:t>
      </w:r>
      <w:r w:rsidR="00D53301" w:rsidRPr="00E477AE">
        <w:rPr>
          <w:rFonts w:ascii="Times New Roman" w:hAnsi="Times New Roman" w:cs="Times New Roman"/>
        </w:rPr>
        <w:t>along with the condition</w:t>
      </w:r>
      <w:r w:rsidR="00A3019B" w:rsidRPr="00E477AE">
        <w:rPr>
          <w:rFonts w:ascii="Times New Roman" w:hAnsi="Times New Roman" w:cs="Times New Roman"/>
        </w:rPr>
        <w:t>.</w:t>
      </w:r>
      <w:r w:rsidR="003117D4" w:rsidRPr="00E477AE">
        <w:rPr>
          <w:rFonts w:ascii="Times New Roman" w:hAnsi="Times New Roman" w:cs="Times New Roman"/>
        </w:rPr>
        <w:t xml:space="preserve"> While this is certainly true of a gift of real property, there is a further distinction, in relation to chattels,</w:t>
      </w:r>
      <w:r w:rsidR="00E16515" w:rsidRPr="00E477AE">
        <w:rPr>
          <w:rFonts w:ascii="Times New Roman" w:hAnsi="Times New Roman" w:cs="Times New Roman"/>
        </w:rPr>
        <w:t xml:space="preserve"> between a condition precedent void for </w:t>
      </w:r>
      <w:r w:rsidR="00E16515" w:rsidRPr="00E477AE">
        <w:rPr>
          <w:rFonts w:ascii="Times New Roman" w:hAnsi="Times New Roman" w:cs="Times New Roman"/>
          <w:i/>
        </w:rPr>
        <w:t>malum in se</w:t>
      </w:r>
      <w:r w:rsidR="00E16515" w:rsidRPr="00E477AE">
        <w:rPr>
          <w:rFonts w:ascii="Times New Roman" w:hAnsi="Times New Roman" w:cs="Times New Roman"/>
        </w:rPr>
        <w:t xml:space="preserve"> and </w:t>
      </w:r>
      <w:r w:rsidR="00DF7CAA" w:rsidRPr="00E477AE">
        <w:rPr>
          <w:rFonts w:ascii="Times New Roman" w:hAnsi="Times New Roman" w:cs="Times New Roman"/>
          <w:i/>
        </w:rPr>
        <w:t>malum</w:t>
      </w:r>
      <w:r w:rsidR="00E16515" w:rsidRPr="00E477AE">
        <w:rPr>
          <w:rFonts w:ascii="Times New Roman" w:hAnsi="Times New Roman" w:cs="Times New Roman"/>
          <w:i/>
        </w:rPr>
        <w:t xml:space="preserve"> </w:t>
      </w:r>
      <w:r w:rsidR="006F1260" w:rsidRPr="00E477AE">
        <w:rPr>
          <w:rFonts w:ascii="Times New Roman" w:hAnsi="Times New Roman" w:cs="Times New Roman"/>
          <w:i/>
        </w:rPr>
        <w:t xml:space="preserve"> </w:t>
      </w:r>
      <w:r w:rsidR="00E16515" w:rsidRPr="00E477AE">
        <w:rPr>
          <w:rFonts w:ascii="Times New Roman" w:hAnsi="Times New Roman" w:cs="Times New Roman"/>
          <w:i/>
        </w:rPr>
        <w:t>prohibitum</w:t>
      </w:r>
      <w:r w:rsidR="00E16515" w:rsidRPr="00E477AE">
        <w:rPr>
          <w:rFonts w:ascii="Times New Roman" w:hAnsi="Times New Roman" w:cs="Times New Roman"/>
        </w:rPr>
        <w:t>.</w:t>
      </w:r>
      <w:r w:rsidR="00DF7CAA" w:rsidRPr="00E477AE">
        <w:rPr>
          <w:rStyle w:val="FootnoteReference"/>
          <w:rFonts w:ascii="Times New Roman" w:hAnsi="Times New Roman" w:cs="Times New Roman"/>
        </w:rPr>
        <w:footnoteReference w:id="80"/>
      </w:r>
      <w:r w:rsidR="00E16515" w:rsidRPr="00E477AE">
        <w:rPr>
          <w:rFonts w:ascii="Times New Roman" w:hAnsi="Times New Roman" w:cs="Times New Roman"/>
        </w:rPr>
        <w:t xml:space="preserve"> If the void condition precedent was characterized as</w:t>
      </w:r>
      <w:r w:rsidR="00E16515" w:rsidRPr="00E477AE">
        <w:rPr>
          <w:rFonts w:ascii="Times New Roman" w:hAnsi="Times New Roman" w:cs="Times New Roman"/>
          <w:i/>
        </w:rPr>
        <w:t xml:space="preserve"> malum in se, </w:t>
      </w:r>
      <w:r w:rsidR="00064085" w:rsidRPr="00E477AE">
        <w:rPr>
          <w:rFonts w:ascii="Times New Roman" w:hAnsi="Times New Roman" w:cs="Times New Roman"/>
        </w:rPr>
        <w:t>the gift is void, but</w:t>
      </w:r>
      <w:r w:rsidR="00E16515" w:rsidRPr="00E477AE">
        <w:rPr>
          <w:rFonts w:ascii="Times New Roman" w:hAnsi="Times New Roman" w:cs="Times New Roman"/>
        </w:rPr>
        <w:t xml:space="preserve"> if</w:t>
      </w:r>
      <w:r w:rsidR="00196A18" w:rsidRPr="00E477AE">
        <w:rPr>
          <w:rFonts w:ascii="Times New Roman" w:hAnsi="Times New Roman" w:cs="Times New Roman"/>
          <w:i/>
        </w:rPr>
        <w:t xml:space="preserve"> malum </w:t>
      </w:r>
      <w:r w:rsidR="00E16515" w:rsidRPr="00E477AE">
        <w:rPr>
          <w:rFonts w:ascii="Times New Roman" w:hAnsi="Times New Roman" w:cs="Times New Roman"/>
          <w:i/>
        </w:rPr>
        <w:t>prohibitum,</w:t>
      </w:r>
      <w:r w:rsidR="00E16515" w:rsidRPr="00E477AE">
        <w:rPr>
          <w:rFonts w:ascii="Times New Roman" w:hAnsi="Times New Roman" w:cs="Times New Roman"/>
        </w:rPr>
        <w:t xml:space="preserve"> the void condition is struck out and the gift is valid,</w:t>
      </w:r>
      <w:r w:rsidR="00064085" w:rsidRPr="00E477AE">
        <w:rPr>
          <w:rFonts w:ascii="Times New Roman" w:hAnsi="Times New Roman" w:cs="Times New Roman"/>
        </w:rPr>
        <w:t xml:space="preserve"> thereby</w:t>
      </w:r>
      <w:r w:rsidR="00E16515" w:rsidRPr="00E477AE">
        <w:rPr>
          <w:rFonts w:ascii="Times New Roman" w:hAnsi="Times New Roman" w:cs="Times New Roman"/>
        </w:rPr>
        <w:t xml:space="preserve"> taking effect as a gift without a condition. Though the meaning and distinction between</w:t>
      </w:r>
      <w:r w:rsidR="00E16515" w:rsidRPr="00E477AE">
        <w:rPr>
          <w:rFonts w:ascii="Times New Roman" w:hAnsi="Times New Roman" w:cs="Times New Roman"/>
          <w:i/>
        </w:rPr>
        <w:t xml:space="preserve"> malum in se</w:t>
      </w:r>
      <w:r w:rsidR="00E16515" w:rsidRPr="00E477AE">
        <w:rPr>
          <w:rFonts w:ascii="Times New Roman" w:hAnsi="Times New Roman" w:cs="Times New Roman"/>
        </w:rPr>
        <w:t xml:space="preserve"> and </w:t>
      </w:r>
      <w:r w:rsidR="00196A18" w:rsidRPr="00E477AE">
        <w:rPr>
          <w:rFonts w:ascii="Times New Roman" w:hAnsi="Times New Roman" w:cs="Times New Roman"/>
          <w:i/>
        </w:rPr>
        <w:t xml:space="preserve">malum </w:t>
      </w:r>
      <w:r w:rsidR="00E16515" w:rsidRPr="00E477AE">
        <w:rPr>
          <w:rFonts w:ascii="Times New Roman" w:hAnsi="Times New Roman" w:cs="Times New Roman"/>
          <w:i/>
        </w:rPr>
        <w:t>prohibitum</w:t>
      </w:r>
      <w:r w:rsidR="00E16515" w:rsidRPr="00E477AE">
        <w:rPr>
          <w:rFonts w:ascii="Times New Roman" w:hAnsi="Times New Roman" w:cs="Times New Roman"/>
        </w:rPr>
        <w:t xml:space="preserve"> are not altogether clear</w:t>
      </w:r>
      <w:r w:rsidR="00196A18" w:rsidRPr="00E477AE">
        <w:rPr>
          <w:rFonts w:ascii="Times New Roman" w:hAnsi="Times New Roman" w:cs="Times New Roman"/>
        </w:rPr>
        <w:t>,</w:t>
      </w:r>
      <w:r w:rsidR="00196A18" w:rsidRPr="00E477AE">
        <w:rPr>
          <w:rStyle w:val="FootnoteReference"/>
          <w:rFonts w:ascii="Times New Roman" w:hAnsi="Times New Roman" w:cs="Times New Roman"/>
        </w:rPr>
        <w:footnoteReference w:id="81"/>
      </w:r>
      <w:r w:rsidR="00196A18" w:rsidRPr="00E477AE">
        <w:rPr>
          <w:rFonts w:ascii="Times New Roman" w:hAnsi="Times New Roman" w:cs="Times New Roman"/>
        </w:rPr>
        <w:t xml:space="preserve"> it can be generally said that </w:t>
      </w:r>
      <w:r w:rsidR="00196A18" w:rsidRPr="00E477AE">
        <w:rPr>
          <w:rFonts w:ascii="Times New Roman" w:hAnsi="Times New Roman" w:cs="Times New Roman"/>
          <w:i/>
        </w:rPr>
        <w:t xml:space="preserve">malum in se </w:t>
      </w:r>
      <w:r w:rsidR="00196A18" w:rsidRPr="00E477AE">
        <w:rPr>
          <w:rFonts w:ascii="Times New Roman" w:hAnsi="Times New Roman" w:cs="Times New Roman"/>
        </w:rPr>
        <w:t>refers to a</w:t>
      </w:r>
      <w:r w:rsidR="00E0774A" w:rsidRPr="00E477AE">
        <w:rPr>
          <w:rFonts w:ascii="Times New Roman" w:hAnsi="Times New Roman" w:cs="Times New Roman"/>
        </w:rPr>
        <w:t xml:space="preserve"> wrong that is</w:t>
      </w:r>
      <w:r w:rsidR="00196A18" w:rsidRPr="00E477AE">
        <w:rPr>
          <w:rFonts w:ascii="Times New Roman" w:hAnsi="Times New Roman" w:cs="Times New Roman"/>
        </w:rPr>
        <w:t xml:space="preserve"> fundamental</w:t>
      </w:r>
      <w:r w:rsidR="00E0774A" w:rsidRPr="00E477AE">
        <w:rPr>
          <w:rFonts w:ascii="Times New Roman" w:hAnsi="Times New Roman" w:cs="Times New Roman"/>
        </w:rPr>
        <w:t>ly</w:t>
      </w:r>
      <w:r w:rsidR="00196A18" w:rsidRPr="00E477AE">
        <w:rPr>
          <w:rFonts w:ascii="Times New Roman" w:hAnsi="Times New Roman" w:cs="Times New Roman"/>
        </w:rPr>
        <w:t xml:space="preserve"> or intrinsic</w:t>
      </w:r>
      <w:r w:rsidR="00E0774A" w:rsidRPr="00E477AE">
        <w:rPr>
          <w:rFonts w:ascii="Times New Roman" w:hAnsi="Times New Roman" w:cs="Times New Roman"/>
        </w:rPr>
        <w:t>ally</w:t>
      </w:r>
      <w:r w:rsidR="00196A18" w:rsidRPr="00E477AE">
        <w:rPr>
          <w:rFonts w:ascii="Times New Roman" w:hAnsi="Times New Roman" w:cs="Times New Roman"/>
        </w:rPr>
        <w:t xml:space="preserve"> </w:t>
      </w:r>
      <w:r w:rsidR="00E0774A" w:rsidRPr="00E477AE">
        <w:rPr>
          <w:rFonts w:ascii="Times New Roman" w:hAnsi="Times New Roman" w:cs="Times New Roman"/>
        </w:rPr>
        <w:t>im</w:t>
      </w:r>
      <w:r w:rsidR="00917F12" w:rsidRPr="00E477AE">
        <w:rPr>
          <w:rFonts w:ascii="Times New Roman" w:hAnsi="Times New Roman" w:cs="Times New Roman"/>
        </w:rPr>
        <w:t>moral</w:t>
      </w:r>
      <w:r w:rsidR="00196A18" w:rsidRPr="00E477AE">
        <w:rPr>
          <w:rFonts w:ascii="Times New Roman" w:hAnsi="Times New Roman" w:cs="Times New Roman"/>
        </w:rPr>
        <w:t>,</w:t>
      </w:r>
      <w:r w:rsidR="00E0774A" w:rsidRPr="00E477AE">
        <w:rPr>
          <w:rFonts w:ascii="Times New Roman" w:hAnsi="Times New Roman" w:cs="Times New Roman"/>
        </w:rPr>
        <w:t xml:space="preserve"> in the sense that it</w:t>
      </w:r>
      <w:r w:rsidR="00196A18" w:rsidRPr="00E477AE">
        <w:rPr>
          <w:rFonts w:ascii="Times New Roman" w:hAnsi="Times New Roman" w:cs="Times New Roman"/>
        </w:rPr>
        <w:t xml:space="preserve"> is likely to be condemned by every civilized society. In</w:t>
      </w:r>
      <w:r w:rsidR="00E0774A" w:rsidRPr="00E477AE">
        <w:rPr>
          <w:rFonts w:ascii="Times New Roman" w:hAnsi="Times New Roman" w:cs="Times New Roman"/>
        </w:rPr>
        <w:t xml:space="preserve"> contrast, </w:t>
      </w:r>
      <w:r w:rsidR="00196A18" w:rsidRPr="00E477AE">
        <w:rPr>
          <w:rFonts w:ascii="Times New Roman" w:hAnsi="Times New Roman" w:cs="Times New Roman"/>
          <w:i/>
        </w:rPr>
        <w:t>malum prohibitum</w:t>
      </w:r>
      <w:r w:rsidR="00E0774A" w:rsidRPr="00E477AE">
        <w:rPr>
          <w:rFonts w:ascii="Times New Roman" w:hAnsi="Times New Roman" w:cs="Times New Roman"/>
        </w:rPr>
        <w:t xml:space="preserve"> involves a wrong that is relatively minor </w:t>
      </w:r>
      <w:r w:rsidR="00196A18" w:rsidRPr="00E477AE">
        <w:rPr>
          <w:rFonts w:ascii="Times New Roman" w:hAnsi="Times New Roman" w:cs="Times New Roman"/>
        </w:rPr>
        <w:t>on the moral scale</w:t>
      </w:r>
      <w:r w:rsidR="00E0774A" w:rsidRPr="00E477AE">
        <w:rPr>
          <w:rFonts w:ascii="Times New Roman" w:hAnsi="Times New Roman" w:cs="Times New Roman"/>
        </w:rPr>
        <w:t>, although it is contrary to public interest or statute.</w:t>
      </w:r>
      <w:r w:rsidR="00064085" w:rsidRPr="00E477AE">
        <w:rPr>
          <w:rFonts w:ascii="Times New Roman" w:hAnsi="Times New Roman" w:cs="Times New Roman"/>
        </w:rPr>
        <w:t xml:space="preserve"> It has been suggested that the distinction between </w:t>
      </w:r>
      <w:r w:rsidR="00064085" w:rsidRPr="00E477AE">
        <w:rPr>
          <w:rFonts w:ascii="Times New Roman" w:hAnsi="Times New Roman" w:cs="Times New Roman"/>
          <w:i/>
        </w:rPr>
        <w:t>malum in se</w:t>
      </w:r>
      <w:r w:rsidR="00064085" w:rsidRPr="00E477AE">
        <w:rPr>
          <w:rFonts w:ascii="Times New Roman" w:hAnsi="Times New Roman" w:cs="Times New Roman"/>
        </w:rPr>
        <w:t xml:space="preserve"> and </w:t>
      </w:r>
      <w:r w:rsidR="00064085" w:rsidRPr="00E477AE">
        <w:rPr>
          <w:rFonts w:ascii="Times New Roman" w:hAnsi="Times New Roman" w:cs="Times New Roman"/>
          <w:i/>
        </w:rPr>
        <w:t>malum prohibitum</w:t>
      </w:r>
      <w:r w:rsidR="00A3019B" w:rsidRPr="00E477AE">
        <w:rPr>
          <w:rFonts w:ascii="Times New Roman" w:hAnsi="Times New Roman" w:cs="Times New Roman"/>
        </w:rPr>
        <w:t xml:space="preserve"> </w:t>
      </w:r>
      <w:r w:rsidR="00064085" w:rsidRPr="00E477AE">
        <w:rPr>
          <w:rFonts w:ascii="Times New Roman" w:hAnsi="Times New Roman" w:cs="Times New Roman"/>
        </w:rPr>
        <w:t>now applies to realty as well.</w:t>
      </w:r>
      <w:r w:rsidR="00064085" w:rsidRPr="00E477AE">
        <w:rPr>
          <w:rStyle w:val="FootnoteReference"/>
          <w:rFonts w:ascii="Times New Roman" w:hAnsi="Times New Roman" w:cs="Times New Roman"/>
        </w:rPr>
        <w:footnoteReference w:id="82"/>
      </w:r>
      <w:r w:rsidR="00064085" w:rsidRPr="00E477AE">
        <w:rPr>
          <w:rFonts w:ascii="Times New Roman" w:hAnsi="Times New Roman" w:cs="Times New Roman"/>
        </w:rPr>
        <w:t xml:space="preserve"> </w:t>
      </w:r>
      <w:r w:rsidR="0018306A" w:rsidRPr="00E477AE">
        <w:rPr>
          <w:rFonts w:ascii="Times New Roman" w:hAnsi="Times New Roman" w:cs="Times New Roman"/>
        </w:rPr>
        <w:t>O</w:t>
      </w:r>
      <w:r w:rsidR="000F2FD4" w:rsidRPr="00E477AE">
        <w:rPr>
          <w:rFonts w:ascii="Times New Roman" w:hAnsi="Times New Roman" w:cs="Times New Roman"/>
        </w:rPr>
        <w:t>n the other hand,</w:t>
      </w:r>
      <w:r w:rsidR="0018306A" w:rsidRPr="00E477AE">
        <w:rPr>
          <w:rFonts w:ascii="Times New Roman" w:hAnsi="Times New Roman" w:cs="Times New Roman"/>
        </w:rPr>
        <w:t xml:space="preserve"> if a void condition were regarded as a condition</w:t>
      </w:r>
      <w:r w:rsidR="00A3019B" w:rsidRPr="00E477AE">
        <w:rPr>
          <w:rFonts w:ascii="Times New Roman" w:hAnsi="Times New Roman" w:cs="Times New Roman"/>
        </w:rPr>
        <w:t xml:space="preserve"> subsequent, the relevant gift</w:t>
      </w:r>
      <w:r w:rsidR="00E0471A" w:rsidRPr="00E477AE">
        <w:rPr>
          <w:rFonts w:ascii="Times New Roman" w:hAnsi="Times New Roman" w:cs="Times New Roman"/>
        </w:rPr>
        <w:t xml:space="preserve"> would survive</w:t>
      </w:r>
      <w:r w:rsidR="00A3019B" w:rsidRPr="00E477AE">
        <w:rPr>
          <w:rFonts w:ascii="Times New Roman" w:hAnsi="Times New Roman" w:cs="Times New Roman"/>
        </w:rPr>
        <w:t xml:space="preserve"> the avoidance of the condition. In other words, the gift would run its natural course under the relevant instrument, as if it was not subject</w:t>
      </w:r>
      <w:r w:rsidR="00DE3261" w:rsidRPr="00E477AE">
        <w:rPr>
          <w:rFonts w:ascii="Times New Roman" w:hAnsi="Times New Roman" w:cs="Times New Roman"/>
        </w:rPr>
        <w:t xml:space="preserve"> to </w:t>
      </w:r>
      <w:r w:rsidR="00A3019B" w:rsidRPr="00E477AE">
        <w:rPr>
          <w:rFonts w:ascii="Times New Roman" w:hAnsi="Times New Roman" w:cs="Times New Roman"/>
        </w:rPr>
        <w:t xml:space="preserve">such </w:t>
      </w:r>
      <w:r w:rsidR="00DE3261" w:rsidRPr="00E477AE">
        <w:rPr>
          <w:rFonts w:ascii="Times New Roman" w:hAnsi="Times New Roman" w:cs="Times New Roman"/>
        </w:rPr>
        <w:t xml:space="preserve">a </w:t>
      </w:r>
      <w:r w:rsidR="00A3019B" w:rsidRPr="00E477AE">
        <w:rPr>
          <w:rFonts w:ascii="Times New Roman" w:hAnsi="Times New Roman" w:cs="Times New Roman"/>
        </w:rPr>
        <w:t>condition</w:t>
      </w:r>
      <w:r w:rsidR="00DE3261" w:rsidRPr="00E477AE">
        <w:rPr>
          <w:rFonts w:ascii="Times New Roman" w:hAnsi="Times New Roman" w:cs="Times New Roman"/>
        </w:rPr>
        <w:t>.</w:t>
      </w:r>
      <w:r w:rsidR="00A3019B" w:rsidRPr="00E477AE">
        <w:rPr>
          <w:rFonts w:ascii="Times New Roman" w:hAnsi="Times New Roman" w:cs="Times New Roman"/>
        </w:rPr>
        <w:t xml:space="preserve"> </w:t>
      </w:r>
      <w:r w:rsidR="000E1394">
        <w:rPr>
          <w:rFonts w:ascii="Times New Roman" w:hAnsi="Times New Roman" w:cs="Times New Roman"/>
        </w:rPr>
        <w:t>Examples of</w:t>
      </w:r>
      <w:r w:rsidR="00A4733B" w:rsidRPr="00E477AE">
        <w:rPr>
          <w:rFonts w:ascii="Times New Roman" w:hAnsi="Times New Roman" w:cs="Times New Roman"/>
        </w:rPr>
        <w:t xml:space="preserve"> conditions</w:t>
      </w:r>
      <w:r w:rsidR="00DE3261" w:rsidRPr="00E477AE">
        <w:rPr>
          <w:rFonts w:ascii="Times New Roman" w:hAnsi="Times New Roman" w:cs="Times New Roman"/>
        </w:rPr>
        <w:t xml:space="preserve"> that might be</w:t>
      </w:r>
      <w:r w:rsidR="00917F12" w:rsidRPr="00E477AE">
        <w:rPr>
          <w:rFonts w:ascii="Times New Roman" w:hAnsi="Times New Roman" w:cs="Times New Roman"/>
        </w:rPr>
        <w:t xml:space="preserve"> directly</w:t>
      </w:r>
      <w:r w:rsidR="00DE3261" w:rsidRPr="00E477AE">
        <w:rPr>
          <w:rFonts w:ascii="Times New Roman" w:hAnsi="Times New Roman" w:cs="Times New Roman"/>
        </w:rPr>
        <w:t xml:space="preserve"> contrary to law or public policy</w:t>
      </w:r>
      <w:r w:rsidR="001C417F" w:rsidRPr="00E477AE">
        <w:rPr>
          <w:rFonts w:ascii="Times New Roman" w:hAnsi="Times New Roman" w:cs="Times New Roman"/>
        </w:rPr>
        <w:t xml:space="preserve"> include those that prohibit or restrain </w:t>
      </w:r>
      <w:r w:rsidR="00A4733B" w:rsidRPr="00E477AE">
        <w:rPr>
          <w:rFonts w:ascii="Times New Roman" w:hAnsi="Times New Roman" w:cs="Times New Roman"/>
        </w:rPr>
        <w:t>marriage</w:t>
      </w:r>
      <w:r w:rsidR="001C417F" w:rsidRPr="00E477AE">
        <w:rPr>
          <w:rFonts w:ascii="Times New Roman" w:hAnsi="Times New Roman" w:cs="Times New Roman"/>
        </w:rPr>
        <w:t xml:space="preserve"> altogether</w:t>
      </w:r>
      <w:r w:rsidR="005A45B1" w:rsidRPr="00E477AE">
        <w:rPr>
          <w:rFonts w:ascii="Times New Roman" w:hAnsi="Times New Roman" w:cs="Times New Roman"/>
        </w:rPr>
        <w:t xml:space="preserve">, or interfere with marital relationships; </w:t>
      </w:r>
      <w:r w:rsidR="001C417F" w:rsidRPr="00E477AE">
        <w:rPr>
          <w:rFonts w:ascii="Times New Roman" w:hAnsi="Times New Roman" w:cs="Times New Roman"/>
        </w:rPr>
        <w:t xml:space="preserve">conditions that </w:t>
      </w:r>
      <w:r w:rsidR="005A45B1" w:rsidRPr="00E477AE">
        <w:rPr>
          <w:rFonts w:ascii="Times New Roman" w:hAnsi="Times New Roman" w:cs="Times New Roman"/>
        </w:rPr>
        <w:t>interfere with</w:t>
      </w:r>
      <w:r w:rsidR="001C417F" w:rsidRPr="00E477AE">
        <w:rPr>
          <w:rFonts w:ascii="Times New Roman" w:hAnsi="Times New Roman" w:cs="Times New Roman"/>
        </w:rPr>
        <w:t xml:space="preserve"> the discharge of parental duties</w:t>
      </w:r>
      <w:r w:rsidR="005A45B1" w:rsidRPr="00E477AE">
        <w:rPr>
          <w:rFonts w:ascii="Times New Roman" w:hAnsi="Times New Roman" w:cs="Times New Roman"/>
        </w:rPr>
        <w:t>;</w:t>
      </w:r>
      <w:r w:rsidR="00C35266" w:rsidRPr="00E477AE">
        <w:rPr>
          <w:rStyle w:val="FootnoteReference"/>
          <w:rFonts w:ascii="Times New Roman" w:hAnsi="Times New Roman" w:cs="Times New Roman"/>
        </w:rPr>
        <w:footnoteReference w:id="83"/>
      </w:r>
      <w:r w:rsidR="005A45B1" w:rsidRPr="00E477AE">
        <w:rPr>
          <w:rFonts w:ascii="Times New Roman" w:hAnsi="Times New Roman" w:cs="Times New Roman"/>
        </w:rPr>
        <w:t xml:space="preserve"> or racially discriminatory conditions.</w:t>
      </w:r>
      <w:r w:rsidR="00857333" w:rsidRPr="00E477AE">
        <w:rPr>
          <w:rStyle w:val="FootnoteReference"/>
          <w:rFonts w:ascii="Times New Roman" w:hAnsi="Times New Roman" w:cs="Times New Roman"/>
        </w:rPr>
        <w:footnoteReference w:id="84"/>
      </w:r>
      <w:r w:rsidR="00A4733B" w:rsidRPr="00E477AE">
        <w:rPr>
          <w:rFonts w:ascii="Times New Roman" w:hAnsi="Times New Roman" w:cs="Times New Roman"/>
        </w:rPr>
        <w:t xml:space="preserve"> </w:t>
      </w:r>
    </w:p>
    <w:p w14:paraId="3AB50197" w14:textId="30575431" w:rsidR="00993E41" w:rsidRPr="00E477AE" w:rsidRDefault="00993E41" w:rsidP="00521DCD">
      <w:pPr>
        <w:ind w:firstLine="720"/>
        <w:jc w:val="both"/>
        <w:rPr>
          <w:rFonts w:ascii="Times New Roman" w:hAnsi="Times New Roman" w:cs="Times New Roman"/>
        </w:rPr>
      </w:pPr>
      <w:r w:rsidRPr="00E477AE">
        <w:rPr>
          <w:rFonts w:ascii="Times New Roman" w:hAnsi="Times New Roman" w:cs="Times New Roman"/>
        </w:rPr>
        <w:t>All of the above is to say that a provision or condition in a trust instrument, which directly violates the law or public po</w:t>
      </w:r>
      <w:r w:rsidR="00CA3CCA" w:rsidRPr="00E477AE">
        <w:rPr>
          <w:rFonts w:ascii="Times New Roman" w:hAnsi="Times New Roman" w:cs="Times New Roman"/>
        </w:rPr>
        <w:t>licy</w:t>
      </w:r>
      <w:r w:rsidR="00461145">
        <w:rPr>
          <w:rFonts w:ascii="Times New Roman" w:hAnsi="Times New Roman" w:cs="Times New Roman"/>
        </w:rPr>
        <w:t xml:space="preserve"> comes within the narrow confines of the illegality principle in trusts</w:t>
      </w:r>
      <w:r w:rsidR="00CA3CCA" w:rsidRPr="00E477AE">
        <w:rPr>
          <w:rFonts w:ascii="Times New Roman" w:hAnsi="Times New Roman" w:cs="Times New Roman"/>
        </w:rPr>
        <w:t>,</w:t>
      </w:r>
      <w:r w:rsidR="00461145">
        <w:rPr>
          <w:rFonts w:ascii="Times New Roman" w:hAnsi="Times New Roman" w:cs="Times New Roman"/>
        </w:rPr>
        <w:t xml:space="preserve"> and</w:t>
      </w:r>
      <w:r w:rsidR="00D80469" w:rsidRPr="00E477AE">
        <w:rPr>
          <w:rFonts w:ascii="Times New Roman" w:hAnsi="Times New Roman" w:cs="Times New Roman"/>
        </w:rPr>
        <w:t xml:space="preserve"> might be</w:t>
      </w:r>
      <w:r w:rsidR="00461145">
        <w:rPr>
          <w:rFonts w:ascii="Times New Roman" w:hAnsi="Times New Roman" w:cs="Times New Roman"/>
        </w:rPr>
        <w:t xml:space="preserve"> declared void and</w:t>
      </w:r>
      <w:r w:rsidRPr="00E477AE">
        <w:rPr>
          <w:rFonts w:ascii="Times New Roman" w:hAnsi="Times New Roman" w:cs="Times New Roman"/>
        </w:rPr>
        <w:t xml:space="preserve"> unenforceable</w:t>
      </w:r>
      <w:r w:rsidR="00D80469" w:rsidRPr="00E477AE">
        <w:rPr>
          <w:rFonts w:ascii="Times New Roman" w:hAnsi="Times New Roman" w:cs="Times New Roman"/>
        </w:rPr>
        <w:t xml:space="preserve"> depending on the result of applying </w:t>
      </w:r>
      <w:r w:rsidR="00D80469" w:rsidRPr="00E477AE">
        <w:rPr>
          <w:rFonts w:ascii="Times New Roman" w:hAnsi="Times New Roman" w:cs="Times New Roman"/>
          <w:i/>
        </w:rPr>
        <w:t>Patel’s</w:t>
      </w:r>
      <w:r w:rsidR="00D80469" w:rsidRPr="00E477AE">
        <w:rPr>
          <w:rFonts w:ascii="Times New Roman" w:hAnsi="Times New Roman" w:cs="Times New Roman"/>
        </w:rPr>
        <w:t xml:space="preserve"> trio of considerations to the facts</w:t>
      </w:r>
      <w:r w:rsidRPr="00E477AE">
        <w:rPr>
          <w:rFonts w:ascii="Times New Roman" w:hAnsi="Times New Roman" w:cs="Times New Roman"/>
        </w:rPr>
        <w:t xml:space="preserve">. </w:t>
      </w:r>
      <w:r w:rsidR="00CA3CCA" w:rsidRPr="00E477AE">
        <w:rPr>
          <w:rFonts w:ascii="Times New Roman" w:hAnsi="Times New Roman" w:cs="Times New Roman"/>
        </w:rPr>
        <w:t xml:space="preserve">As I argued above, </w:t>
      </w:r>
      <w:r w:rsidR="0088747D" w:rsidRPr="00E477AE">
        <w:rPr>
          <w:rFonts w:ascii="Times New Roman" w:hAnsi="Times New Roman" w:cs="Times New Roman"/>
        </w:rPr>
        <w:t xml:space="preserve">these are the only sorts </w:t>
      </w:r>
      <w:r w:rsidRPr="00E477AE">
        <w:rPr>
          <w:rFonts w:ascii="Times New Roman" w:hAnsi="Times New Roman" w:cs="Times New Roman"/>
        </w:rPr>
        <w:t>of trust</w:t>
      </w:r>
      <w:r w:rsidR="0088747D" w:rsidRPr="00E477AE">
        <w:rPr>
          <w:rFonts w:ascii="Times New Roman" w:hAnsi="Times New Roman" w:cs="Times New Roman"/>
        </w:rPr>
        <w:t>s that come</w:t>
      </w:r>
      <w:r w:rsidRPr="00E477AE">
        <w:rPr>
          <w:rFonts w:ascii="Times New Roman" w:hAnsi="Times New Roman" w:cs="Times New Roman"/>
        </w:rPr>
        <w:t xml:space="preserve"> clearly within the illegality principle.</w:t>
      </w:r>
      <w:r w:rsidR="0088747D" w:rsidRPr="00E477AE">
        <w:rPr>
          <w:rFonts w:ascii="Times New Roman" w:hAnsi="Times New Roman" w:cs="Times New Roman"/>
        </w:rPr>
        <w:t xml:space="preserve"> </w:t>
      </w:r>
    </w:p>
    <w:p w14:paraId="3F607BC0" w14:textId="77777777" w:rsidR="00D3024F" w:rsidRPr="00E477AE" w:rsidRDefault="00D3024F" w:rsidP="00521DCD">
      <w:pPr>
        <w:jc w:val="both"/>
        <w:rPr>
          <w:rFonts w:ascii="Times New Roman" w:hAnsi="Times New Roman" w:cs="Times New Roman"/>
          <w:b/>
        </w:rPr>
      </w:pPr>
    </w:p>
    <w:p w14:paraId="5E1632D9" w14:textId="4A48797D" w:rsidR="00B52562" w:rsidRPr="00E477AE" w:rsidRDefault="00B52562" w:rsidP="00521DCD">
      <w:pPr>
        <w:jc w:val="both"/>
        <w:rPr>
          <w:rFonts w:ascii="Times New Roman" w:hAnsi="Times New Roman" w:cs="Times New Roman"/>
          <w:b/>
        </w:rPr>
      </w:pPr>
      <w:r w:rsidRPr="00E477AE">
        <w:rPr>
          <w:rFonts w:ascii="Times New Roman" w:hAnsi="Times New Roman" w:cs="Times New Roman"/>
          <w:b/>
        </w:rPr>
        <w:t>Conclusion</w:t>
      </w:r>
    </w:p>
    <w:p w14:paraId="14A99F14" w14:textId="18C5D86C" w:rsidR="00B52562" w:rsidRPr="00E477AE" w:rsidRDefault="00FE0FDD" w:rsidP="00521DCD">
      <w:pPr>
        <w:jc w:val="both"/>
        <w:rPr>
          <w:rFonts w:ascii="Times New Roman" w:hAnsi="Times New Roman" w:cs="Times New Roman"/>
        </w:rPr>
      </w:pPr>
      <w:r>
        <w:rPr>
          <w:rFonts w:ascii="Times New Roman" w:hAnsi="Times New Roman" w:cs="Times New Roman"/>
        </w:rPr>
        <w:t xml:space="preserve">While the Supreme Court’s recent and landmark decision in </w:t>
      </w:r>
      <w:r w:rsidRPr="00FE0FDD">
        <w:rPr>
          <w:rFonts w:ascii="Times New Roman" w:hAnsi="Times New Roman" w:cs="Times New Roman"/>
          <w:i/>
        </w:rPr>
        <w:t xml:space="preserve">Patel </w:t>
      </w:r>
      <w:r>
        <w:rPr>
          <w:rFonts w:ascii="Times New Roman" w:hAnsi="Times New Roman" w:cs="Times New Roman"/>
        </w:rPr>
        <w:t>relates to the application of the illegality principle</w:t>
      </w:r>
      <w:r w:rsidR="00DE6D02">
        <w:rPr>
          <w:rFonts w:ascii="Times New Roman" w:hAnsi="Times New Roman" w:cs="Times New Roman"/>
        </w:rPr>
        <w:t xml:space="preserve"> to</w:t>
      </w:r>
      <w:r>
        <w:rPr>
          <w:rFonts w:ascii="Times New Roman" w:hAnsi="Times New Roman" w:cs="Times New Roman"/>
        </w:rPr>
        <w:t xml:space="preserve"> an action for unjust enrichment, it has created an opportunity for re-examining the relevance and scope of the illegality principle in</w:t>
      </w:r>
      <w:r w:rsidR="00DE6D02">
        <w:rPr>
          <w:rFonts w:ascii="Times New Roman" w:hAnsi="Times New Roman" w:cs="Times New Roman"/>
        </w:rPr>
        <w:t xml:space="preserve"> the specific area of</w:t>
      </w:r>
      <w:r>
        <w:rPr>
          <w:rFonts w:ascii="Times New Roman" w:hAnsi="Times New Roman" w:cs="Times New Roman"/>
        </w:rPr>
        <w:t xml:space="preserve"> trusts</w:t>
      </w:r>
      <w:r w:rsidR="00DE6D02">
        <w:rPr>
          <w:rFonts w:ascii="Times New Roman" w:hAnsi="Times New Roman" w:cs="Times New Roman"/>
        </w:rPr>
        <w:t xml:space="preserve"> law</w:t>
      </w:r>
      <w:r>
        <w:rPr>
          <w:rFonts w:ascii="Times New Roman" w:hAnsi="Times New Roman" w:cs="Times New Roman"/>
        </w:rPr>
        <w:t>. In this piece, I have argued that t</w:t>
      </w:r>
      <w:r w:rsidR="00B52562" w:rsidRPr="00E477AE">
        <w:rPr>
          <w:rFonts w:ascii="Times New Roman" w:hAnsi="Times New Roman" w:cs="Times New Roman"/>
        </w:rPr>
        <w:t>he remit of</w:t>
      </w:r>
      <w:r w:rsidR="00B022A9">
        <w:rPr>
          <w:rFonts w:ascii="Times New Roman" w:hAnsi="Times New Roman" w:cs="Times New Roman"/>
        </w:rPr>
        <w:t xml:space="preserve"> the</w:t>
      </w:r>
      <w:r w:rsidR="00B52562" w:rsidRPr="00E477AE">
        <w:rPr>
          <w:rFonts w:ascii="Times New Roman" w:hAnsi="Times New Roman" w:cs="Times New Roman"/>
        </w:rPr>
        <w:t xml:space="preserve"> illegality</w:t>
      </w:r>
      <w:r w:rsidR="00B022A9">
        <w:rPr>
          <w:rFonts w:ascii="Times New Roman" w:hAnsi="Times New Roman" w:cs="Times New Roman"/>
        </w:rPr>
        <w:t xml:space="preserve"> principle</w:t>
      </w:r>
      <w:r w:rsidR="00B52562" w:rsidRPr="00E477AE">
        <w:rPr>
          <w:rFonts w:ascii="Times New Roman" w:hAnsi="Times New Roman" w:cs="Times New Roman"/>
        </w:rPr>
        <w:t xml:space="preserve"> in the law of trusts is very narrow</w:t>
      </w:r>
      <w:r w:rsidR="00B022A9">
        <w:rPr>
          <w:rFonts w:ascii="Times New Roman" w:hAnsi="Times New Roman" w:cs="Times New Roman"/>
        </w:rPr>
        <w:t>, and that this becomes obvious when attention is focused, as it should be, on the critical feature of a transaction or</w:t>
      </w:r>
      <w:r w:rsidR="00DE6D02">
        <w:rPr>
          <w:rFonts w:ascii="Times New Roman" w:hAnsi="Times New Roman" w:cs="Times New Roman"/>
        </w:rPr>
        <w:t xml:space="preserve"> on</w:t>
      </w:r>
      <w:r w:rsidR="00B022A9">
        <w:rPr>
          <w:rFonts w:ascii="Times New Roman" w:hAnsi="Times New Roman" w:cs="Times New Roman"/>
        </w:rPr>
        <w:t xml:space="preserve"> the primary transaction in any given case</w:t>
      </w:r>
      <w:r w:rsidR="00B52562" w:rsidRPr="00E477AE">
        <w:rPr>
          <w:rFonts w:ascii="Times New Roman" w:hAnsi="Times New Roman" w:cs="Times New Roman"/>
        </w:rPr>
        <w:t>. Where the primary transaction</w:t>
      </w:r>
      <w:r w:rsidR="00B3367C">
        <w:rPr>
          <w:rFonts w:ascii="Times New Roman" w:hAnsi="Times New Roman" w:cs="Times New Roman"/>
        </w:rPr>
        <w:t xml:space="preserve"> or the primary feature of a transaction</w:t>
      </w:r>
      <w:r w:rsidR="00B52562" w:rsidRPr="00E477AE">
        <w:rPr>
          <w:rFonts w:ascii="Times New Roman" w:hAnsi="Times New Roman" w:cs="Times New Roman"/>
        </w:rPr>
        <w:t xml:space="preserve"> engages a validly constituted trust,</w:t>
      </w:r>
      <w:r w:rsidR="00B3367C">
        <w:rPr>
          <w:rFonts w:ascii="Times New Roman" w:hAnsi="Times New Roman" w:cs="Times New Roman"/>
        </w:rPr>
        <w:t xml:space="preserve"> whether it is an express trust</w:t>
      </w:r>
      <w:r w:rsidR="00B52562" w:rsidRPr="00E477AE">
        <w:rPr>
          <w:rFonts w:ascii="Times New Roman" w:hAnsi="Times New Roman" w:cs="Times New Roman"/>
        </w:rPr>
        <w:t xml:space="preserve"> or one that arises by operation of law, the illegality doctrine is not engaged, and the tru</w:t>
      </w:r>
      <w:r w:rsidR="00B3367C">
        <w:rPr>
          <w:rFonts w:ascii="Times New Roman" w:hAnsi="Times New Roman" w:cs="Times New Roman"/>
        </w:rPr>
        <w:t>st would be enforced despite some</w:t>
      </w:r>
      <w:r w:rsidR="00B52562" w:rsidRPr="00E477AE">
        <w:rPr>
          <w:rFonts w:ascii="Times New Roman" w:hAnsi="Times New Roman" w:cs="Times New Roman"/>
        </w:rPr>
        <w:t xml:space="preserve"> underlying illegality.</w:t>
      </w:r>
      <w:r w:rsidR="00FA5BB4">
        <w:rPr>
          <w:rFonts w:ascii="Times New Roman" w:hAnsi="Times New Roman" w:cs="Times New Roman"/>
        </w:rPr>
        <w:t xml:space="preserve"> I have argued that most of the reported trust cases relating to the illegality principle support my hypothesis above.</w:t>
      </w:r>
      <w:r w:rsidR="00B52562" w:rsidRPr="00E477AE">
        <w:rPr>
          <w:rFonts w:ascii="Times New Roman" w:hAnsi="Times New Roman" w:cs="Times New Roman"/>
        </w:rPr>
        <w:t xml:space="preserve"> </w:t>
      </w:r>
      <w:r w:rsidR="00FA5BB4">
        <w:rPr>
          <w:rFonts w:ascii="Times New Roman" w:hAnsi="Times New Roman" w:cs="Times New Roman"/>
        </w:rPr>
        <w:t>Furthermore, I argued that</w:t>
      </w:r>
      <w:r w:rsidR="00B52562" w:rsidRPr="00E477AE">
        <w:rPr>
          <w:rFonts w:ascii="Times New Roman" w:hAnsi="Times New Roman" w:cs="Times New Roman"/>
        </w:rPr>
        <w:t xml:space="preserve"> the illegality doctrine is engaged in tru</w:t>
      </w:r>
      <w:r w:rsidR="00B3367C">
        <w:rPr>
          <w:rFonts w:ascii="Times New Roman" w:hAnsi="Times New Roman" w:cs="Times New Roman"/>
        </w:rPr>
        <w:t>sts law only where the trust</w:t>
      </w:r>
      <w:r w:rsidR="001F0563" w:rsidRPr="00E477AE">
        <w:rPr>
          <w:rFonts w:ascii="Times New Roman" w:hAnsi="Times New Roman" w:cs="Times New Roman"/>
        </w:rPr>
        <w:t>, or a provision thereof,</w:t>
      </w:r>
      <w:r w:rsidR="001A2A33" w:rsidRPr="00E477AE">
        <w:rPr>
          <w:rFonts w:ascii="Times New Roman" w:hAnsi="Times New Roman" w:cs="Times New Roman"/>
        </w:rPr>
        <w:t xml:space="preserve"> directly violates the law or</w:t>
      </w:r>
      <w:r w:rsidR="00B52562" w:rsidRPr="00E477AE">
        <w:rPr>
          <w:rFonts w:ascii="Times New Roman" w:hAnsi="Times New Roman" w:cs="Times New Roman"/>
        </w:rPr>
        <w:t xml:space="preserve"> public policy</w:t>
      </w:r>
      <w:r w:rsidR="00B3367C">
        <w:rPr>
          <w:rFonts w:ascii="Times New Roman" w:hAnsi="Times New Roman" w:cs="Times New Roman"/>
        </w:rPr>
        <w:t>. Even in the</w:t>
      </w:r>
      <w:r w:rsidR="001F0563" w:rsidRPr="00E477AE">
        <w:rPr>
          <w:rFonts w:ascii="Times New Roman" w:hAnsi="Times New Roman" w:cs="Times New Roman"/>
        </w:rPr>
        <w:t>se</w:t>
      </w:r>
      <w:r w:rsidR="00B3367C">
        <w:rPr>
          <w:rFonts w:ascii="Times New Roman" w:hAnsi="Times New Roman" w:cs="Times New Roman"/>
        </w:rPr>
        <w:t xml:space="preserve"> sorts of cases, where the tr</w:t>
      </w:r>
      <w:r w:rsidR="004A6477">
        <w:rPr>
          <w:rFonts w:ascii="Times New Roman" w:hAnsi="Times New Roman" w:cs="Times New Roman"/>
        </w:rPr>
        <w:t>usts directly violate the law or</w:t>
      </w:r>
      <w:r w:rsidR="00B3367C">
        <w:rPr>
          <w:rFonts w:ascii="Times New Roman" w:hAnsi="Times New Roman" w:cs="Times New Roman"/>
        </w:rPr>
        <w:t xml:space="preserve"> public policy</w:t>
      </w:r>
      <w:r w:rsidR="001F0563" w:rsidRPr="00E477AE">
        <w:rPr>
          <w:rFonts w:ascii="Times New Roman" w:hAnsi="Times New Roman" w:cs="Times New Roman"/>
        </w:rPr>
        <w:t>, illegality will not in itself obviate the enforcement of the trust</w:t>
      </w:r>
      <w:r w:rsidR="00B3367C">
        <w:rPr>
          <w:rFonts w:ascii="Times New Roman" w:hAnsi="Times New Roman" w:cs="Times New Roman"/>
        </w:rPr>
        <w:t>s</w:t>
      </w:r>
      <w:r w:rsidR="001F0563" w:rsidRPr="00E477AE">
        <w:rPr>
          <w:rFonts w:ascii="Times New Roman" w:hAnsi="Times New Roman" w:cs="Times New Roman"/>
        </w:rPr>
        <w:t xml:space="preserve">, unless such an outcome is ordained by the application of </w:t>
      </w:r>
      <w:r w:rsidR="001F0563" w:rsidRPr="00E477AE">
        <w:rPr>
          <w:rFonts w:ascii="Times New Roman" w:hAnsi="Times New Roman" w:cs="Times New Roman"/>
          <w:i/>
        </w:rPr>
        <w:t>Patel’s</w:t>
      </w:r>
      <w:r w:rsidR="001F0563" w:rsidRPr="00E477AE">
        <w:rPr>
          <w:rFonts w:ascii="Times New Roman" w:hAnsi="Times New Roman" w:cs="Times New Roman"/>
        </w:rPr>
        <w:t xml:space="preserve"> trio of considerations. </w:t>
      </w:r>
    </w:p>
    <w:p w14:paraId="03D1D3FA" w14:textId="77777777" w:rsidR="00BE3823" w:rsidRPr="00E477AE" w:rsidRDefault="00BE3823" w:rsidP="00521DCD">
      <w:pPr>
        <w:jc w:val="both"/>
        <w:rPr>
          <w:rFonts w:ascii="Times New Roman" w:hAnsi="Times New Roman" w:cs="Times New Roman"/>
        </w:rPr>
      </w:pPr>
    </w:p>
    <w:p w14:paraId="23BDC83B" w14:textId="77777777" w:rsidR="00BE3823" w:rsidRPr="00E477AE" w:rsidRDefault="00BE3823" w:rsidP="00521DCD">
      <w:pPr>
        <w:ind w:firstLine="720"/>
        <w:jc w:val="both"/>
        <w:rPr>
          <w:rFonts w:ascii="Times New Roman" w:hAnsi="Times New Roman" w:cs="Times New Roman"/>
        </w:rPr>
      </w:pPr>
    </w:p>
    <w:p w14:paraId="42B751EE" w14:textId="77777777" w:rsidR="00BE3823" w:rsidRPr="00E477AE" w:rsidRDefault="00BE3823" w:rsidP="00521DCD">
      <w:pPr>
        <w:ind w:firstLine="720"/>
        <w:jc w:val="both"/>
        <w:rPr>
          <w:rFonts w:ascii="Times New Roman" w:hAnsi="Times New Roman" w:cs="Times New Roman"/>
        </w:rPr>
      </w:pPr>
    </w:p>
    <w:p w14:paraId="0DCEF0C7" w14:textId="77777777" w:rsidR="00BE3823" w:rsidRPr="00E477AE" w:rsidRDefault="00BE3823" w:rsidP="00521DCD">
      <w:pPr>
        <w:ind w:firstLine="720"/>
        <w:jc w:val="both"/>
        <w:rPr>
          <w:rFonts w:ascii="Times New Roman" w:hAnsi="Times New Roman" w:cs="Times New Roman"/>
        </w:rPr>
      </w:pPr>
    </w:p>
    <w:p w14:paraId="56F7C98C" w14:textId="77777777" w:rsidR="00BE3823" w:rsidRPr="00E477AE" w:rsidRDefault="00BE3823" w:rsidP="00521DCD">
      <w:pPr>
        <w:ind w:firstLine="720"/>
        <w:jc w:val="both"/>
        <w:rPr>
          <w:rFonts w:ascii="Times New Roman" w:hAnsi="Times New Roman" w:cs="Times New Roman"/>
        </w:rPr>
      </w:pPr>
    </w:p>
    <w:p w14:paraId="7AFBF618" w14:textId="77777777" w:rsidR="00BE3823" w:rsidRPr="00E477AE" w:rsidRDefault="00BE3823" w:rsidP="00521DCD">
      <w:pPr>
        <w:ind w:firstLine="720"/>
        <w:jc w:val="both"/>
        <w:rPr>
          <w:rFonts w:ascii="Times New Roman" w:hAnsi="Times New Roman" w:cs="Times New Roman"/>
        </w:rPr>
      </w:pPr>
    </w:p>
    <w:p w14:paraId="2F1CE8B0" w14:textId="77777777" w:rsidR="00BE3823" w:rsidRPr="00E477AE" w:rsidRDefault="00BE3823" w:rsidP="00521DCD">
      <w:pPr>
        <w:ind w:firstLine="720"/>
        <w:jc w:val="both"/>
        <w:rPr>
          <w:rFonts w:ascii="Times New Roman" w:hAnsi="Times New Roman" w:cs="Times New Roman"/>
        </w:rPr>
      </w:pPr>
    </w:p>
    <w:p w14:paraId="0317660F" w14:textId="77777777" w:rsidR="00BE3823" w:rsidRPr="00E477AE" w:rsidRDefault="00BE3823" w:rsidP="00521DCD">
      <w:pPr>
        <w:ind w:firstLine="720"/>
        <w:jc w:val="both"/>
        <w:rPr>
          <w:rFonts w:ascii="Times New Roman" w:hAnsi="Times New Roman" w:cs="Times New Roman"/>
        </w:rPr>
      </w:pPr>
    </w:p>
    <w:p w14:paraId="33B2F0D1" w14:textId="77777777" w:rsidR="00BE3823" w:rsidRPr="00E477AE" w:rsidRDefault="00BE3823" w:rsidP="00521DCD">
      <w:pPr>
        <w:ind w:firstLine="720"/>
        <w:jc w:val="both"/>
        <w:rPr>
          <w:rFonts w:ascii="Times New Roman" w:hAnsi="Times New Roman" w:cs="Times New Roman"/>
        </w:rPr>
      </w:pPr>
    </w:p>
    <w:p w14:paraId="72CD5193" w14:textId="77777777" w:rsidR="00BE3823" w:rsidRPr="00E477AE" w:rsidRDefault="00BE3823" w:rsidP="00521DCD">
      <w:pPr>
        <w:ind w:firstLine="720"/>
        <w:jc w:val="both"/>
        <w:rPr>
          <w:rFonts w:ascii="Times New Roman" w:hAnsi="Times New Roman" w:cs="Times New Roman"/>
        </w:rPr>
      </w:pPr>
    </w:p>
    <w:p w14:paraId="49BF6877" w14:textId="77777777" w:rsidR="00BE3823" w:rsidRPr="00E477AE" w:rsidRDefault="00BE3823" w:rsidP="00521DCD">
      <w:pPr>
        <w:ind w:firstLine="720"/>
        <w:jc w:val="both"/>
        <w:rPr>
          <w:rFonts w:ascii="Times New Roman" w:hAnsi="Times New Roman" w:cs="Times New Roman"/>
        </w:rPr>
      </w:pPr>
    </w:p>
    <w:p w14:paraId="4F178501" w14:textId="77777777" w:rsidR="00BE3823" w:rsidRPr="00E477AE" w:rsidRDefault="00BE3823" w:rsidP="00521DCD">
      <w:pPr>
        <w:ind w:firstLine="720"/>
        <w:jc w:val="both"/>
        <w:rPr>
          <w:rFonts w:ascii="Times New Roman" w:hAnsi="Times New Roman" w:cs="Times New Roman"/>
        </w:rPr>
      </w:pPr>
    </w:p>
    <w:p w14:paraId="54566728" w14:textId="77777777" w:rsidR="00BE3823" w:rsidRPr="00E477AE" w:rsidRDefault="00BE3823" w:rsidP="00521DCD">
      <w:pPr>
        <w:ind w:firstLine="720"/>
        <w:jc w:val="both"/>
        <w:rPr>
          <w:rFonts w:ascii="Times New Roman" w:hAnsi="Times New Roman" w:cs="Times New Roman"/>
        </w:rPr>
      </w:pPr>
    </w:p>
    <w:p w14:paraId="11C043AC" w14:textId="77777777" w:rsidR="00BE3823" w:rsidRPr="00E477AE" w:rsidRDefault="00BE3823" w:rsidP="00521DCD">
      <w:pPr>
        <w:ind w:firstLine="720"/>
        <w:jc w:val="both"/>
        <w:rPr>
          <w:rFonts w:ascii="Times New Roman" w:hAnsi="Times New Roman" w:cs="Times New Roman"/>
        </w:rPr>
      </w:pPr>
    </w:p>
    <w:p w14:paraId="17F0E4AB" w14:textId="77777777" w:rsidR="00BE3823" w:rsidRPr="00E477AE" w:rsidRDefault="00BE3823" w:rsidP="00521DCD">
      <w:pPr>
        <w:ind w:firstLine="720"/>
        <w:jc w:val="both"/>
        <w:rPr>
          <w:rFonts w:ascii="Times New Roman" w:hAnsi="Times New Roman" w:cs="Times New Roman"/>
        </w:rPr>
      </w:pPr>
    </w:p>
    <w:p w14:paraId="0F813D08" w14:textId="77777777" w:rsidR="00BE3823" w:rsidRPr="00E477AE" w:rsidRDefault="00BE3823" w:rsidP="00521DCD">
      <w:pPr>
        <w:ind w:firstLine="720"/>
        <w:jc w:val="both"/>
        <w:rPr>
          <w:rFonts w:ascii="Times New Roman" w:hAnsi="Times New Roman" w:cs="Times New Roman"/>
        </w:rPr>
      </w:pPr>
    </w:p>
    <w:sectPr w:rsidR="00BE3823" w:rsidRPr="00E477AE" w:rsidSect="00B85DEF">
      <w:headerReference w:type="default" r:id="rId7"/>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569E9" w14:textId="77777777" w:rsidR="00BD4102" w:rsidRDefault="00BD4102" w:rsidP="00AC1019">
      <w:r>
        <w:separator/>
      </w:r>
    </w:p>
  </w:endnote>
  <w:endnote w:type="continuationSeparator" w:id="0">
    <w:p w14:paraId="365785AD" w14:textId="77777777" w:rsidR="00BD4102" w:rsidRDefault="00BD4102" w:rsidP="00AC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2D87" w14:textId="77777777" w:rsidR="00BD4102" w:rsidRDefault="00BD4102" w:rsidP="004D73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E2270" w14:textId="77777777" w:rsidR="00BD4102" w:rsidRDefault="00BD4102" w:rsidP="000055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2F0BC" w14:textId="35E5B600" w:rsidR="00BD4102" w:rsidRDefault="00BD4102" w:rsidP="004D73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1032">
      <w:rPr>
        <w:rStyle w:val="PageNumber"/>
        <w:noProof/>
      </w:rPr>
      <w:t>1</w:t>
    </w:r>
    <w:r>
      <w:rPr>
        <w:rStyle w:val="PageNumber"/>
      </w:rPr>
      <w:fldChar w:fldCharType="end"/>
    </w:r>
  </w:p>
  <w:p w14:paraId="2A8BE23C" w14:textId="77777777" w:rsidR="00BD4102" w:rsidRDefault="00BD4102" w:rsidP="000055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3C6D7" w14:textId="77777777" w:rsidR="00BD4102" w:rsidRDefault="00BD4102" w:rsidP="00AC1019">
      <w:r>
        <w:separator/>
      </w:r>
    </w:p>
  </w:footnote>
  <w:footnote w:type="continuationSeparator" w:id="0">
    <w:p w14:paraId="3024C6F1" w14:textId="77777777" w:rsidR="00BD4102" w:rsidRDefault="00BD4102" w:rsidP="00AC1019">
      <w:r>
        <w:continuationSeparator/>
      </w:r>
    </w:p>
  </w:footnote>
  <w:footnote w:id="1">
    <w:p w14:paraId="09E7C9C6" w14:textId="684D6F1A" w:rsidR="006C46E2" w:rsidRPr="00200620" w:rsidRDefault="006C46E2" w:rsidP="00200620">
      <w:pPr>
        <w:rPr>
          <w:rFonts w:ascii="Times New Roman" w:hAnsi="Times New Roman" w:cs="Times New Roman"/>
          <w:sz w:val="20"/>
          <w:szCs w:val="20"/>
        </w:rPr>
      </w:pPr>
      <w:r w:rsidRPr="00200620">
        <w:rPr>
          <w:rFonts w:ascii="Times New Roman" w:hAnsi="Times New Roman" w:cs="Times New Roman"/>
          <w:b/>
          <w:sz w:val="20"/>
          <w:szCs w:val="20"/>
        </w:rPr>
        <w:t>*</w:t>
      </w:r>
      <w:r>
        <w:rPr>
          <w:rFonts w:ascii="Times New Roman" w:hAnsi="Times New Roman" w:cs="Times New Roman"/>
          <w:sz w:val="20"/>
          <w:szCs w:val="20"/>
        </w:rPr>
        <w:t xml:space="preserve"> Remigius N Nwabueze, SJD (Toronto), Associate Professor of Law, University of Southampton, School of Law.</w:t>
      </w:r>
      <w:r w:rsidR="00200620">
        <w:rPr>
          <w:rFonts w:ascii="Times New Roman" w:hAnsi="Times New Roman" w:cs="Times New Roman"/>
          <w:sz w:val="20"/>
          <w:szCs w:val="20"/>
        </w:rPr>
        <w:t xml:space="preserve"> </w:t>
      </w:r>
      <w:r w:rsidR="00200620" w:rsidRPr="00200620">
        <w:rPr>
          <w:rFonts w:ascii="Times New Roman" w:hAnsi="Times New Roman" w:cs="Times New Roman"/>
          <w:sz w:val="20"/>
          <w:szCs w:val="20"/>
        </w:rPr>
        <w:t>This piece benefited immensely from the helpful and constructive criticism of the earlier draft by Professors Graham Virgo, John Mee, Peter Sparkes and Sarah Nield.</w:t>
      </w:r>
      <w:r w:rsidR="00200620">
        <w:rPr>
          <w:rFonts w:ascii="Times New Roman" w:hAnsi="Times New Roman" w:cs="Times New Roman"/>
          <w:sz w:val="20"/>
          <w:szCs w:val="20"/>
        </w:rPr>
        <w:t xml:space="preserve"> Many thanks also to the editor of CONV, Prof. Martin Dixon, and the anonymous reviewers for the helpful feedback.</w:t>
      </w:r>
    </w:p>
    <w:p w14:paraId="3FD92448" w14:textId="238EF721"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Patel v Mirza</w:t>
      </w:r>
      <w:r w:rsidRPr="00576DDD">
        <w:rPr>
          <w:rFonts w:ascii="Times New Roman" w:hAnsi="Times New Roman" w:cs="Times New Roman"/>
          <w:sz w:val="20"/>
          <w:szCs w:val="20"/>
        </w:rPr>
        <w:t xml:space="preserve"> [2016] UKSC 42. J Goudkamp, ‘The end of an era? Illegality in private law in the Supreme Court’ (2017) 133 LQR 14.</w:t>
      </w:r>
    </w:p>
  </w:footnote>
  <w:footnote w:id="2">
    <w:p w14:paraId="710D24A8" w14:textId="05409905"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G Virgo, ‘</w:t>
      </w:r>
      <w:r w:rsidRPr="00576DDD">
        <w:rPr>
          <w:rFonts w:ascii="Times New Roman" w:hAnsi="Times New Roman" w:cs="Times New Roman"/>
          <w:i/>
          <w:sz w:val="20"/>
          <w:szCs w:val="20"/>
        </w:rPr>
        <w:t>Patel v Mirza</w:t>
      </w:r>
      <w:r w:rsidRPr="00576DDD">
        <w:rPr>
          <w:rFonts w:ascii="Times New Roman" w:hAnsi="Times New Roman" w:cs="Times New Roman"/>
          <w:sz w:val="20"/>
          <w:szCs w:val="20"/>
        </w:rPr>
        <w:t>: one step forward and two steps back’ (2016) 22 Trusts &amp; Trustees 1090.</w:t>
      </w:r>
    </w:p>
  </w:footnote>
  <w:footnote w:id="3">
    <w:p w14:paraId="33390E82" w14:textId="278166AA"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008F61B2">
        <w:rPr>
          <w:rFonts w:ascii="Times New Roman" w:hAnsi="Times New Roman" w:cs="Times New Roman"/>
          <w:sz w:val="20"/>
          <w:szCs w:val="20"/>
        </w:rPr>
        <w:t>Similarly, if</w:t>
      </w:r>
      <w:r w:rsidRPr="00576DDD">
        <w:rPr>
          <w:rFonts w:ascii="Times New Roman" w:hAnsi="Times New Roman" w:cs="Times New Roman"/>
          <w:sz w:val="20"/>
          <w:szCs w:val="20"/>
        </w:rPr>
        <w:t xml:space="preserve"> a </w:t>
      </w:r>
      <w:r w:rsidR="008F61B2">
        <w:rPr>
          <w:rFonts w:ascii="Times New Roman" w:hAnsi="Times New Roman" w:cs="Times New Roman"/>
          <w:sz w:val="20"/>
          <w:szCs w:val="20"/>
        </w:rPr>
        <w:t>property right wa</w:t>
      </w:r>
      <w:r w:rsidRPr="00576DDD">
        <w:rPr>
          <w:rFonts w:ascii="Times New Roman" w:hAnsi="Times New Roman" w:cs="Times New Roman"/>
          <w:sz w:val="20"/>
          <w:szCs w:val="20"/>
        </w:rPr>
        <w:t xml:space="preserve">s validly created under an executed illegal contract, ‘the court simply ignores the illegality’: </w:t>
      </w:r>
      <w:r w:rsidR="007A27FE" w:rsidRPr="00576DDD">
        <w:rPr>
          <w:rFonts w:ascii="Times New Roman" w:hAnsi="Times New Roman" w:cs="Times New Roman"/>
          <w:sz w:val="20"/>
          <w:szCs w:val="20"/>
        </w:rPr>
        <w:t xml:space="preserve">The Law Commission, </w:t>
      </w:r>
      <w:r w:rsidR="007A27FE" w:rsidRPr="00576DDD">
        <w:rPr>
          <w:rFonts w:ascii="Times New Roman" w:hAnsi="Times New Roman" w:cs="Times New Roman"/>
          <w:i/>
          <w:sz w:val="20"/>
          <w:szCs w:val="20"/>
        </w:rPr>
        <w:t>The Illegality Defence: A Consultative Report</w:t>
      </w:r>
      <w:r w:rsidR="001729FB">
        <w:rPr>
          <w:rFonts w:ascii="Times New Roman" w:hAnsi="Times New Roman" w:cs="Times New Roman"/>
          <w:sz w:val="20"/>
          <w:szCs w:val="20"/>
        </w:rPr>
        <w:t>,</w:t>
      </w:r>
      <w:r w:rsidR="007A27FE">
        <w:rPr>
          <w:rFonts w:ascii="Times New Roman" w:hAnsi="Times New Roman" w:cs="Times New Roman"/>
          <w:sz w:val="20"/>
          <w:szCs w:val="20"/>
        </w:rPr>
        <w:t xml:space="preserve"> at paras. </w:t>
      </w:r>
      <w:r w:rsidR="008F61B2">
        <w:rPr>
          <w:rFonts w:ascii="Times New Roman" w:hAnsi="Times New Roman" w:cs="Times New Roman"/>
          <w:sz w:val="20"/>
          <w:szCs w:val="20"/>
        </w:rPr>
        <w:t xml:space="preserve"> 5.6.;</w:t>
      </w:r>
      <w:r w:rsidRPr="00576DDD">
        <w:rPr>
          <w:rFonts w:ascii="Times New Roman" w:hAnsi="Times New Roman" w:cs="Times New Roman"/>
          <w:sz w:val="20"/>
          <w:szCs w:val="20"/>
        </w:rPr>
        <w:t xml:space="preserve"> 5.11</w:t>
      </w:r>
      <w:r w:rsidR="001729FB">
        <w:rPr>
          <w:rFonts w:ascii="Times New Roman" w:hAnsi="Times New Roman" w:cs="Times New Roman"/>
          <w:sz w:val="20"/>
          <w:szCs w:val="20"/>
        </w:rPr>
        <w:t xml:space="preserve"> (</w:t>
      </w:r>
      <w:r w:rsidR="001729FB" w:rsidRPr="00576DDD">
        <w:rPr>
          <w:rFonts w:ascii="Times New Roman" w:hAnsi="Times New Roman" w:cs="Times New Roman"/>
          <w:sz w:val="20"/>
          <w:szCs w:val="20"/>
        </w:rPr>
        <w:t>Consul</w:t>
      </w:r>
      <w:r w:rsidR="001729FB">
        <w:rPr>
          <w:rFonts w:ascii="Times New Roman" w:hAnsi="Times New Roman" w:cs="Times New Roman"/>
          <w:sz w:val="20"/>
          <w:szCs w:val="20"/>
        </w:rPr>
        <w:t>tation Paper No 189)</w:t>
      </w:r>
      <w:r w:rsidRPr="00576DDD">
        <w:rPr>
          <w:rFonts w:ascii="Times New Roman" w:hAnsi="Times New Roman" w:cs="Times New Roman"/>
          <w:sz w:val="20"/>
          <w:szCs w:val="20"/>
        </w:rPr>
        <w:t>.</w:t>
      </w:r>
    </w:p>
  </w:footnote>
  <w:footnote w:id="4">
    <w:p w14:paraId="4E23D586" w14:textId="43313E08"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This distinction was anticipated by Mance LJ in </w:t>
      </w:r>
      <w:r w:rsidRPr="00576DDD">
        <w:rPr>
          <w:rFonts w:ascii="Times New Roman" w:hAnsi="Times New Roman" w:cs="Times New Roman"/>
          <w:i/>
          <w:sz w:val="20"/>
          <w:szCs w:val="20"/>
        </w:rPr>
        <w:t>Collier v Collier</w:t>
      </w:r>
      <w:r w:rsidRPr="00576DDD">
        <w:rPr>
          <w:rFonts w:ascii="Times New Roman" w:hAnsi="Times New Roman" w:cs="Times New Roman"/>
          <w:sz w:val="20"/>
          <w:szCs w:val="20"/>
        </w:rPr>
        <w:t xml:space="preserve"> [2002] EWCA</w:t>
      </w:r>
      <w:r w:rsidR="00576DDD">
        <w:rPr>
          <w:rFonts w:ascii="Times New Roman" w:hAnsi="Times New Roman" w:cs="Times New Roman"/>
          <w:sz w:val="20"/>
          <w:szCs w:val="20"/>
        </w:rPr>
        <w:t xml:space="preserve"> Civ 1095, at 97</w:t>
      </w:r>
      <w:r w:rsidR="00FC53A0">
        <w:rPr>
          <w:rFonts w:ascii="Times New Roman" w:hAnsi="Times New Roman" w:cs="Times New Roman"/>
          <w:sz w:val="20"/>
          <w:szCs w:val="20"/>
        </w:rPr>
        <w:t>.</w:t>
      </w:r>
    </w:p>
  </w:footnote>
  <w:footnote w:id="5">
    <w:p w14:paraId="00AC4311" w14:textId="4DF4C674" w:rsidR="008001D1" w:rsidRPr="00B709FA" w:rsidRDefault="008001D1" w:rsidP="00B709FA">
      <w:pPr>
        <w:pStyle w:val="FootnoteText"/>
        <w:jc w:val="both"/>
        <w:rPr>
          <w:rFonts w:ascii="Times New Roman" w:hAnsi="Times New Roman" w:cs="Times New Roman"/>
          <w:sz w:val="20"/>
          <w:szCs w:val="20"/>
        </w:rPr>
      </w:pPr>
      <w:r>
        <w:rPr>
          <w:rStyle w:val="FootnoteReference"/>
        </w:rPr>
        <w:footnoteRef/>
      </w:r>
      <w:r>
        <w:t xml:space="preserve"> </w:t>
      </w:r>
      <w:r w:rsidRPr="001B198B">
        <w:rPr>
          <w:rFonts w:ascii="Times New Roman" w:hAnsi="Times New Roman" w:cs="Times New Roman"/>
          <w:sz w:val="20"/>
          <w:szCs w:val="20"/>
          <w:lang w:val="en-GB"/>
        </w:rPr>
        <w:t>An example of such a trust that is expressly illegal is</w:t>
      </w:r>
      <w:r w:rsidR="001B198B" w:rsidRPr="001B198B">
        <w:rPr>
          <w:rFonts w:ascii="Times New Roman" w:hAnsi="Times New Roman" w:cs="Times New Roman"/>
          <w:i/>
          <w:sz w:val="20"/>
          <w:szCs w:val="20"/>
        </w:rPr>
        <w:t xml:space="preserve"> </w:t>
      </w:r>
      <w:r w:rsidR="001B198B" w:rsidRPr="00576DDD">
        <w:rPr>
          <w:rFonts w:ascii="Times New Roman" w:hAnsi="Times New Roman" w:cs="Times New Roman"/>
          <w:i/>
          <w:sz w:val="20"/>
          <w:szCs w:val="20"/>
        </w:rPr>
        <w:t>Thrupp v Collett</w:t>
      </w:r>
      <w:r w:rsidR="001B198B">
        <w:rPr>
          <w:rFonts w:ascii="Times New Roman" w:hAnsi="Times New Roman" w:cs="Times New Roman"/>
          <w:sz w:val="20"/>
          <w:szCs w:val="20"/>
        </w:rPr>
        <w:t xml:space="preserve"> [1858] 26 Beav 125.</w:t>
      </w:r>
      <w:r>
        <w:rPr>
          <w:lang w:val="en-GB"/>
        </w:rPr>
        <w:t xml:space="preserve"> </w:t>
      </w:r>
    </w:p>
  </w:footnote>
  <w:footnote w:id="6">
    <w:p w14:paraId="3741A8C7" w14:textId="426E349F" w:rsidR="00E64DFB" w:rsidRPr="00E64DFB" w:rsidRDefault="00E64DFB">
      <w:pPr>
        <w:pStyle w:val="FootnoteText"/>
        <w:rPr>
          <w:rFonts w:ascii="Times New Roman" w:hAnsi="Times New Roman" w:cs="Times New Roman"/>
          <w:lang w:val="en-GB"/>
        </w:rPr>
      </w:pPr>
      <w:r>
        <w:rPr>
          <w:rStyle w:val="FootnoteReference"/>
        </w:rPr>
        <w:footnoteRef/>
      </w:r>
      <w:r>
        <w:t xml:space="preserve"> </w:t>
      </w:r>
      <w:r w:rsidRPr="00E64DFB">
        <w:rPr>
          <w:rFonts w:ascii="Times New Roman" w:hAnsi="Times New Roman" w:cs="Times New Roman"/>
          <w:sz w:val="20"/>
          <w:szCs w:val="20"/>
          <w:lang w:val="en-GB"/>
        </w:rPr>
        <w:t>Adapted from</w:t>
      </w:r>
      <w:r w:rsidRPr="00E64DFB">
        <w:rPr>
          <w:rFonts w:ascii="Times New Roman" w:hAnsi="Times New Roman" w:cs="Times New Roman"/>
          <w:i/>
          <w:sz w:val="20"/>
          <w:szCs w:val="20"/>
        </w:rPr>
        <w:t xml:space="preserve"> </w:t>
      </w:r>
      <w:r w:rsidRPr="00576DDD">
        <w:rPr>
          <w:rFonts w:ascii="Times New Roman" w:hAnsi="Times New Roman" w:cs="Times New Roman"/>
          <w:i/>
          <w:sz w:val="20"/>
          <w:szCs w:val="20"/>
        </w:rPr>
        <w:t>Perpetual Executors and Trustees Association of Australia Ltd. v Wright</w:t>
      </w:r>
      <w:r w:rsidRPr="00576DDD">
        <w:rPr>
          <w:rFonts w:ascii="Times New Roman" w:hAnsi="Times New Roman" w:cs="Times New Roman"/>
          <w:sz w:val="20"/>
          <w:szCs w:val="20"/>
        </w:rPr>
        <w:t xml:space="preserve"> [1917] 23 C.L.R. 185</w:t>
      </w:r>
      <w:r>
        <w:rPr>
          <w:rFonts w:ascii="Times New Roman" w:hAnsi="Times New Roman" w:cs="Times New Roman"/>
          <w:sz w:val="20"/>
          <w:szCs w:val="20"/>
        </w:rPr>
        <w:t>.</w:t>
      </w:r>
    </w:p>
  </w:footnote>
  <w:footnote w:id="7">
    <w:p w14:paraId="6A5BADEF" w14:textId="49AF236C" w:rsidR="007B125F" w:rsidRPr="007B125F" w:rsidRDefault="007B125F">
      <w:pPr>
        <w:pStyle w:val="FootnoteText"/>
        <w:rPr>
          <w:rFonts w:ascii="Times New Roman" w:hAnsi="Times New Roman" w:cs="Times New Roman"/>
          <w:sz w:val="20"/>
          <w:szCs w:val="20"/>
          <w:lang w:val="en-GB"/>
        </w:rPr>
      </w:pPr>
      <w:r>
        <w:rPr>
          <w:rStyle w:val="FootnoteReference"/>
        </w:rPr>
        <w:footnoteRef/>
      </w:r>
      <w:r>
        <w:t xml:space="preserve"> </w:t>
      </w:r>
      <w:r w:rsidRPr="007B125F">
        <w:rPr>
          <w:rFonts w:ascii="Times New Roman" w:hAnsi="Times New Roman" w:cs="Times New Roman"/>
          <w:sz w:val="20"/>
          <w:szCs w:val="20"/>
          <w:lang w:val="en-GB"/>
        </w:rPr>
        <w:t>Ibid</w:t>
      </w:r>
      <w:r>
        <w:rPr>
          <w:rFonts w:ascii="Times New Roman" w:hAnsi="Times New Roman" w:cs="Times New Roman"/>
          <w:sz w:val="20"/>
          <w:szCs w:val="20"/>
          <w:lang w:val="en-GB"/>
        </w:rPr>
        <w:t>.</w:t>
      </w:r>
    </w:p>
  </w:footnote>
  <w:footnote w:id="8">
    <w:p w14:paraId="4A0E5C8E" w14:textId="05B1E460" w:rsidR="00301E0D" w:rsidRPr="00301E0D" w:rsidRDefault="00301E0D">
      <w:pPr>
        <w:pStyle w:val="FootnoteText"/>
        <w:rPr>
          <w:rFonts w:ascii="Times New Roman" w:hAnsi="Times New Roman" w:cs="Times New Roman"/>
          <w:sz w:val="20"/>
          <w:szCs w:val="20"/>
          <w:lang w:val="en-GB"/>
        </w:rPr>
      </w:pPr>
      <w:r>
        <w:rPr>
          <w:rStyle w:val="FootnoteReference"/>
        </w:rPr>
        <w:footnoteRef/>
      </w:r>
      <w:r>
        <w:t xml:space="preserve"> </w:t>
      </w:r>
      <w:r w:rsidRPr="00301E0D">
        <w:rPr>
          <w:rFonts w:ascii="Times New Roman" w:hAnsi="Times New Roman" w:cs="Times New Roman"/>
          <w:sz w:val="20"/>
          <w:szCs w:val="20"/>
          <w:lang w:val="en-GB"/>
        </w:rPr>
        <w:t>As in the</w:t>
      </w:r>
      <w:r w:rsidR="00824E3B">
        <w:rPr>
          <w:rFonts w:ascii="Times New Roman" w:hAnsi="Times New Roman" w:cs="Times New Roman"/>
          <w:sz w:val="20"/>
          <w:szCs w:val="20"/>
          <w:lang w:val="en-GB"/>
        </w:rPr>
        <w:t xml:space="preserve"> first transaction of the</w:t>
      </w:r>
      <w:r w:rsidRPr="00301E0D">
        <w:rPr>
          <w:rFonts w:ascii="Times New Roman" w:hAnsi="Times New Roman" w:cs="Times New Roman"/>
          <w:sz w:val="20"/>
          <w:szCs w:val="20"/>
          <w:lang w:val="en-GB"/>
        </w:rPr>
        <w:t xml:space="preserve"> second example above – the trust expressly contains an illegal term.</w:t>
      </w:r>
    </w:p>
  </w:footnote>
  <w:footnote w:id="9">
    <w:p w14:paraId="009BEFDD" w14:textId="5C1AA716" w:rsidR="00301E0D" w:rsidRPr="00301E0D" w:rsidRDefault="00301E0D">
      <w:pPr>
        <w:pStyle w:val="FootnoteText"/>
        <w:rPr>
          <w:lang w:val="en-GB"/>
        </w:rPr>
      </w:pPr>
      <w:r w:rsidRPr="00301E0D">
        <w:rPr>
          <w:rStyle w:val="FootnoteReference"/>
          <w:rFonts w:ascii="Times New Roman" w:hAnsi="Times New Roman" w:cs="Times New Roman"/>
          <w:sz w:val="20"/>
          <w:szCs w:val="20"/>
        </w:rPr>
        <w:footnoteRef/>
      </w:r>
      <w:r w:rsidRPr="00301E0D">
        <w:rPr>
          <w:rFonts w:ascii="Times New Roman" w:hAnsi="Times New Roman" w:cs="Times New Roman"/>
          <w:sz w:val="20"/>
          <w:szCs w:val="20"/>
        </w:rPr>
        <w:t xml:space="preserve"> </w:t>
      </w:r>
      <w:r w:rsidRPr="00301E0D">
        <w:rPr>
          <w:rFonts w:ascii="Times New Roman" w:hAnsi="Times New Roman" w:cs="Times New Roman"/>
          <w:sz w:val="20"/>
          <w:szCs w:val="20"/>
          <w:lang w:val="en-GB"/>
        </w:rPr>
        <w:t>As in the first example above.</w:t>
      </w:r>
    </w:p>
  </w:footnote>
  <w:footnote w:id="10">
    <w:p w14:paraId="6AE9C11C" w14:textId="07D49DAA" w:rsidR="00550871" w:rsidRPr="00576DDD" w:rsidRDefault="00550871" w:rsidP="00550871">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Collier</w:t>
      </w:r>
      <w:r w:rsidRPr="00576DDD">
        <w:rPr>
          <w:rFonts w:ascii="Times New Roman" w:hAnsi="Times New Roman" w:cs="Times New Roman"/>
          <w:sz w:val="20"/>
          <w:szCs w:val="20"/>
        </w:rPr>
        <w:t xml:space="preserve"> (n</w:t>
      </w:r>
      <w:r w:rsidR="00092C11">
        <w:rPr>
          <w:rFonts w:ascii="Times New Roman" w:hAnsi="Times New Roman" w:cs="Times New Roman"/>
          <w:sz w:val="20"/>
          <w:szCs w:val="20"/>
        </w:rPr>
        <w:t>4</w:t>
      </w:r>
      <w:r w:rsidRPr="00576DDD">
        <w:rPr>
          <w:rFonts w:ascii="Times New Roman" w:hAnsi="Times New Roman" w:cs="Times New Roman"/>
          <w:sz w:val="20"/>
          <w:szCs w:val="20"/>
        </w:rPr>
        <w:t>).</w:t>
      </w:r>
    </w:p>
  </w:footnote>
  <w:footnote w:id="11">
    <w:p w14:paraId="0BBDE089" w14:textId="7EC55415"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Haigh v Kaye</w:t>
      </w:r>
      <w:r w:rsidRPr="00576DDD">
        <w:rPr>
          <w:rFonts w:ascii="Times New Roman" w:hAnsi="Times New Roman" w:cs="Times New Roman"/>
          <w:sz w:val="20"/>
          <w:szCs w:val="20"/>
        </w:rPr>
        <w:t xml:space="preserve"> [1872] LR 7 Ch 469.</w:t>
      </w:r>
    </w:p>
  </w:footnote>
  <w:footnote w:id="12">
    <w:p w14:paraId="1F9318A1" w14:textId="48751AC4"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 at 473.</w:t>
      </w:r>
    </w:p>
  </w:footnote>
  <w:footnote w:id="13">
    <w:p w14:paraId="79255FFE" w14:textId="5A7D1FD1"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 at 474.</w:t>
      </w:r>
    </w:p>
  </w:footnote>
  <w:footnote w:id="14">
    <w:p w14:paraId="0F6F28C9" w14:textId="1B666E35"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 </w:t>
      </w:r>
    </w:p>
  </w:footnote>
  <w:footnote w:id="15">
    <w:p w14:paraId="02511641" w14:textId="63E24BA2"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Rochefoucauld v Boustead</w:t>
      </w:r>
      <w:r w:rsidRPr="00576DDD">
        <w:rPr>
          <w:rFonts w:ascii="Times New Roman" w:hAnsi="Times New Roman" w:cs="Times New Roman"/>
          <w:sz w:val="20"/>
          <w:szCs w:val="20"/>
        </w:rPr>
        <w:t xml:space="preserve"> [1897] 1 Ch 196; </w:t>
      </w:r>
      <w:r w:rsidRPr="00576DDD">
        <w:rPr>
          <w:rFonts w:ascii="Times New Roman" w:hAnsi="Times New Roman" w:cs="Times New Roman"/>
          <w:i/>
          <w:sz w:val="20"/>
          <w:szCs w:val="20"/>
        </w:rPr>
        <w:t>Bannister v Bannister</w:t>
      </w:r>
      <w:r w:rsidRPr="00576DDD">
        <w:rPr>
          <w:rFonts w:ascii="Times New Roman" w:hAnsi="Times New Roman" w:cs="Times New Roman"/>
          <w:sz w:val="20"/>
          <w:szCs w:val="20"/>
        </w:rPr>
        <w:t xml:space="preserve"> [1948] 2 All ER 133.</w:t>
      </w:r>
    </w:p>
  </w:footnote>
  <w:footnote w:id="16">
    <w:p w14:paraId="02901FC1" w14:textId="43282252"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Bannister</w:t>
      </w:r>
      <w:r w:rsidRPr="00576DDD">
        <w:rPr>
          <w:rFonts w:ascii="Times New Roman" w:hAnsi="Times New Roman" w:cs="Times New Roman"/>
          <w:sz w:val="20"/>
          <w:szCs w:val="20"/>
        </w:rPr>
        <w:t xml:space="preserve"> (n</w:t>
      </w:r>
      <w:r w:rsidR="00092C11">
        <w:rPr>
          <w:rFonts w:ascii="Times New Roman" w:hAnsi="Times New Roman" w:cs="Times New Roman"/>
          <w:sz w:val="20"/>
          <w:szCs w:val="20"/>
        </w:rPr>
        <w:t>15</w:t>
      </w:r>
      <w:r w:rsidRPr="00576DDD">
        <w:rPr>
          <w:rFonts w:ascii="Times New Roman" w:hAnsi="Times New Roman" w:cs="Times New Roman"/>
          <w:sz w:val="20"/>
          <w:szCs w:val="20"/>
        </w:rPr>
        <w:t>).</w:t>
      </w:r>
    </w:p>
  </w:footnote>
  <w:footnote w:id="17">
    <w:p w14:paraId="4C153840" w14:textId="2111DB6A"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Ayerst v Jenkins</w:t>
      </w:r>
      <w:r w:rsidRPr="00576DDD">
        <w:rPr>
          <w:rFonts w:ascii="Times New Roman" w:hAnsi="Times New Roman" w:cs="Times New Roman"/>
          <w:sz w:val="20"/>
          <w:szCs w:val="20"/>
        </w:rPr>
        <w:t xml:space="preserve"> [1873] LR 16 Eq. 275.</w:t>
      </w:r>
    </w:p>
  </w:footnote>
  <w:footnote w:id="18">
    <w:p w14:paraId="246B16AE" w14:textId="04C96BDA"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 at 283.</w:t>
      </w:r>
    </w:p>
  </w:footnote>
  <w:footnote w:id="19">
    <w:p w14:paraId="2D5E395F" w14:textId="014C8613"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 at 279.</w:t>
      </w:r>
    </w:p>
  </w:footnote>
  <w:footnote w:id="20">
    <w:p w14:paraId="5CBC8F96" w14:textId="328A17AB"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 at 283.</w:t>
      </w:r>
    </w:p>
  </w:footnote>
  <w:footnote w:id="21">
    <w:p w14:paraId="3963201A" w14:textId="7071C56B"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Benyon v Nettlefold</w:t>
      </w:r>
      <w:r w:rsidR="00631A71">
        <w:rPr>
          <w:rFonts w:ascii="Times New Roman" w:hAnsi="Times New Roman" w:cs="Times New Roman"/>
          <w:sz w:val="20"/>
          <w:szCs w:val="20"/>
        </w:rPr>
        <w:t xml:space="preserve"> [1850]</w:t>
      </w:r>
      <w:r w:rsidRPr="00576DDD">
        <w:rPr>
          <w:rFonts w:ascii="Times New Roman" w:hAnsi="Times New Roman" w:cs="Times New Roman"/>
          <w:sz w:val="20"/>
          <w:szCs w:val="20"/>
        </w:rPr>
        <w:t xml:space="preserve"> 3 Mac. &amp; G. 102  </w:t>
      </w:r>
    </w:p>
  </w:footnote>
  <w:footnote w:id="22">
    <w:p w14:paraId="1724B390" w14:textId="3066E25E"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Ayerst</w:t>
      </w:r>
      <w:r w:rsidR="00192765">
        <w:rPr>
          <w:rFonts w:ascii="Times New Roman" w:hAnsi="Times New Roman" w:cs="Times New Roman"/>
          <w:sz w:val="20"/>
          <w:szCs w:val="20"/>
        </w:rPr>
        <w:t xml:space="preserve"> (n</w:t>
      </w:r>
      <w:r w:rsidR="00092C11">
        <w:rPr>
          <w:rFonts w:ascii="Times New Roman" w:hAnsi="Times New Roman" w:cs="Times New Roman"/>
          <w:sz w:val="20"/>
          <w:szCs w:val="20"/>
        </w:rPr>
        <w:t>17</w:t>
      </w:r>
      <w:r w:rsidRPr="00576DDD">
        <w:rPr>
          <w:rFonts w:ascii="Times New Roman" w:hAnsi="Times New Roman" w:cs="Times New Roman"/>
          <w:sz w:val="20"/>
          <w:szCs w:val="20"/>
        </w:rPr>
        <w:t>), at 283.</w:t>
      </w:r>
    </w:p>
  </w:footnote>
  <w:footnote w:id="23">
    <w:p w14:paraId="67399323" w14:textId="0D5AFB7D"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w:t>
      </w:r>
    </w:p>
  </w:footnote>
  <w:footnote w:id="24">
    <w:p w14:paraId="70BF7821" w14:textId="0DA5F3E4"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Ibd, at 284.</w:t>
      </w:r>
    </w:p>
  </w:footnote>
  <w:footnote w:id="25">
    <w:p w14:paraId="124348E8" w14:textId="3F91E158"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Rider v Kidder</w:t>
      </w:r>
      <w:r w:rsidR="00DC1E61">
        <w:rPr>
          <w:rFonts w:ascii="Times New Roman" w:hAnsi="Times New Roman" w:cs="Times New Roman"/>
          <w:sz w:val="20"/>
          <w:szCs w:val="20"/>
        </w:rPr>
        <w:t xml:space="preserve"> [1806] 10 Ves. Jun.</w:t>
      </w:r>
      <w:r w:rsidRPr="00576DDD">
        <w:rPr>
          <w:rFonts w:ascii="Times New Roman" w:hAnsi="Times New Roman" w:cs="Times New Roman"/>
          <w:sz w:val="20"/>
          <w:szCs w:val="20"/>
        </w:rPr>
        <w:t xml:space="preserve"> 360, [1806] 3 ER 77.</w:t>
      </w:r>
    </w:p>
  </w:footnote>
  <w:footnote w:id="26">
    <w:p w14:paraId="1CB48A8C" w14:textId="53F82AD8"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 at 364.</w:t>
      </w:r>
    </w:p>
  </w:footnote>
  <w:footnote w:id="27">
    <w:p w14:paraId="051B5CD4" w14:textId="2D7FC58D"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w:t>
      </w:r>
    </w:p>
  </w:footnote>
  <w:footnote w:id="28">
    <w:p w14:paraId="7855766D" w14:textId="3C4BCE7E"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w:t>
      </w:r>
    </w:p>
  </w:footnote>
  <w:footnote w:id="29">
    <w:p w14:paraId="53F84BD9" w14:textId="089CD80E"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 xml:space="preserve">Symes v Hughes </w:t>
      </w:r>
      <w:r w:rsidRPr="00576DDD">
        <w:rPr>
          <w:rFonts w:ascii="Times New Roman" w:hAnsi="Times New Roman" w:cs="Times New Roman"/>
          <w:sz w:val="20"/>
          <w:szCs w:val="20"/>
        </w:rPr>
        <w:t>[1870] LR 9 Eq. 475</w:t>
      </w:r>
    </w:p>
  </w:footnote>
  <w:footnote w:id="30">
    <w:p w14:paraId="201EFD6A" w14:textId="643B23D2"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Tribe v Tribe</w:t>
      </w:r>
      <w:r w:rsidRPr="00576DDD">
        <w:rPr>
          <w:rFonts w:ascii="Times New Roman" w:hAnsi="Times New Roman" w:cs="Times New Roman"/>
          <w:sz w:val="20"/>
          <w:szCs w:val="20"/>
        </w:rPr>
        <w:t xml:space="preserve"> [1996] Ch. 107.</w:t>
      </w:r>
    </w:p>
  </w:footnote>
  <w:footnote w:id="31">
    <w:p w14:paraId="6DD59C8C" w14:textId="7F674170"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 xml:space="preserve">Symes </w:t>
      </w:r>
      <w:r w:rsidR="00C20931">
        <w:rPr>
          <w:rFonts w:ascii="Times New Roman" w:hAnsi="Times New Roman" w:cs="Times New Roman"/>
          <w:sz w:val="20"/>
          <w:szCs w:val="20"/>
        </w:rPr>
        <w:t>(n</w:t>
      </w:r>
      <w:r w:rsidR="00092C11">
        <w:rPr>
          <w:rFonts w:ascii="Times New Roman" w:hAnsi="Times New Roman" w:cs="Times New Roman"/>
          <w:sz w:val="20"/>
          <w:szCs w:val="20"/>
        </w:rPr>
        <w:t>29</w:t>
      </w:r>
      <w:r w:rsidRPr="00576DDD">
        <w:rPr>
          <w:rFonts w:ascii="Times New Roman" w:hAnsi="Times New Roman" w:cs="Times New Roman"/>
          <w:sz w:val="20"/>
          <w:szCs w:val="20"/>
        </w:rPr>
        <w:t>), at 478.</w:t>
      </w:r>
    </w:p>
  </w:footnote>
  <w:footnote w:id="32">
    <w:p w14:paraId="06B5A0BA" w14:textId="69DFB070"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 at 479.</w:t>
      </w:r>
    </w:p>
  </w:footnote>
  <w:footnote w:id="33">
    <w:p w14:paraId="6F35E2BB" w14:textId="142FB5A4"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In re Great Berlin Steamboat Co.</w:t>
      </w:r>
      <w:r w:rsidRPr="00576DDD">
        <w:rPr>
          <w:rFonts w:ascii="Times New Roman" w:hAnsi="Times New Roman" w:cs="Times New Roman"/>
          <w:sz w:val="20"/>
          <w:szCs w:val="20"/>
        </w:rPr>
        <w:t xml:space="preserve"> [1884] 26 Ch. D 616.</w:t>
      </w:r>
    </w:p>
  </w:footnote>
  <w:footnote w:id="34">
    <w:p w14:paraId="3AF1455E" w14:textId="6CC5FBAC"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00C20931">
        <w:rPr>
          <w:rFonts w:ascii="Times New Roman" w:hAnsi="Times New Roman" w:cs="Times New Roman"/>
          <w:sz w:val="20"/>
          <w:szCs w:val="20"/>
        </w:rPr>
        <w:t>Ibid.,</w:t>
      </w:r>
      <w:r w:rsidRPr="00576DDD">
        <w:rPr>
          <w:rFonts w:ascii="Times New Roman" w:hAnsi="Times New Roman" w:cs="Times New Roman"/>
          <w:i/>
          <w:sz w:val="20"/>
          <w:szCs w:val="20"/>
        </w:rPr>
        <w:t xml:space="preserve"> </w:t>
      </w:r>
      <w:r w:rsidRPr="00576DDD">
        <w:rPr>
          <w:rFonts w:ascii="Times New Roman" w:hAnsi="Times New Roman" w:cs="Times New Roman"/>
          <w:sz w:val="20"/>
          <w:szCs w:val="20"/>
        </w:rPr>
        <w:t>at 619 – italics mine.</w:t>
      </w:r>
    </w:p>
  </w:footnote>
  <w:footnote w:id="35">
    <w:p w14:paraId="55683C66" w14:textId="57A8ECC2"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 at 620.</w:t>
      </w:r>
    </w:p>
  </w:footnote>
  <w:footnote w:id="36">
    <w:p w14:paraId="2472A697" w14:textId="50F6B490"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w:t>
      </w:r>
    </w:p>
  </w:footnote>
  <w:footnote w:id="37">
    <w:p w14:paraId="2B6C5440" w14:textId="61AC96C4"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 xml:space="preserve">Cottington v Fletcher </w:t>
      </w:r>
      <w:r w:rsidRPr="00576DDD">
        <w:rPr>
          <w:rFonts w:ascii="Times New Roman" w:hAnsi="Times New Roman" w:cs="Times New Roman"/>
          <w:sz w:val="20"/>
          <w:szCs w:val="20"/>
        </w:rPr>
        <w:t>[1740] 2 Atk. 156.</w:t>
      </w:r>
    </w:p>
  </w:footnote>
  <w:footnote w:id="38">
    <w:p w14:paraId="56303867" w14:textId="117F8DF0"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00B11E44">
        <w:rPr>
          <w:rFonts w:ascii="Times New Roman" w:hAnsi="Times New Roman" w:cs="Times New Roman"/>
          <w:sz w:val="20"/>
          <w:szCs w:val="20"/>
        </w:rPr>
        <w:t>A</w:t>
      </w:r>
      <w:r w:rsidRPr="00576DDD">
        <w:rPr>
          <w:rFonts w:ascii="Times New Roman" w:hAnsi="Times New Roman" w:cs="Times New Roman"/>
          <w:sz w:val="20"/>
          <w:szCs w:val="20"/>
        </w:rPr>
        <w:t>dvowson is a right to nominate a clergy to a vacant benefice.</w:t>
      </w:r>
    </w:p>
  </w:footnote>
  <w:footnote w:id="39">
    <w:p w14:paraId="02DD61D8" w14:textId="6AB7DFDA"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000372B3">
        <w:rPr>
          <w:rFonts w:ascii="Times New Roman" w:hAnsi="Times New Roman" w:cs="Times New Roman"/>
          <w:sz w:val="20"/>
          <w:szCs w:val="20"/>
        </w:rPr>
        <w:t>Emphasized</w:t>
      </w:r>
      <w:r w:rsidRPr="00576DDD">
        <w:rPr>
          <w:rFonts w:ascii="Times New Roman" w:hAnsi="Times New Roman" w:cs="Times New Roman"/>
          <w:sz w:val="20"/>
          <w:szCs w:val="20"/>
        </w:rPr>
        <w:t xml:space="preserve"> in </w:t>
      </w:r>
      <w:r w:rsidRPr="00576DDD">
        <w:rPr>
          <w:rFonts w:ascii="Times New Roman" w:hAnsi="Times New Roman" w:cs="Times New Roman"/>
          <w:i/>
          <w:sz w:val="20"/>
          <w:szCs w:val="20"/>
        </w:rPr>
        <w:t>Muckleston v Brown</w:t>
      </w:r>
      <w:r w:rsidRPr="00576DDD">
        <w:rPr>
          <w:rFonts w:ascii="Times New Roman" w:hAnsi="Times New Roman" w:cs="Times New Roman"/>
          <w:sz w:val="20"/>
          <w:szCs w:val="20"/>
        </w:rPr>
        <w:t xml:space="preserve"> [1801] 6 Ves 52 at  68.</w:t>
      </w:r>
    </w:p>
  </w:footnote>
  <w:footnote w:id="40">
    <w:p w14:paraId="0BEF9AE9" w14:textId="1CEFC3CF"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Davies v Otty (No. 2)</w:t>
      </w:r>
      <w:r w:rsidRPr="00576DDD">
        <w:rPr>
          <w:rFonts w:ascii="Times New Roman" w:hAnsi="Times New Roman" w:cs="Times New Roman"/>
          <w:sz w:val="20"/>
          <w:szCs w:val="20"/>
        </w:rPr>
        <w:t xml:space="preserve"> [1865] 35 Beav. 208.</w:t>
      </w:r>
    </w:p>
  </w:footnote>
  <w:footnote w:id="41">
    <w:p w14:paraId="5A583D69" w14:textId="12EA7A91"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 at 210.</w:t>
      </w:r>
    </w:p>
  </w:footnote>
  <w:footnote w:id="42">
    <w:p w14:paraId="6AD83455" w14:textId="0097BFB2"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Underscored</w:t>
      </w:r>
      <w:r w:rsidR="000372B3">
        <w:rPr>
          <w:rFonts w:ascii="Times New Roman" w:hAnsi="Times New Roman" w:cs="Times New Roman"/>
          <w:sz w:val="20"/>
          <w:szCs w:val="20"/>
        </w:rPr>
        <w:t xml:space="preserve"> </w:t>
      </w:r>
      <w:r w:rsidRPr="00576DDD">
        <w:rPr>
          <w:rFonts w:ascii="Times New Roman" w:hAnsi="Times New Roman" w:cs="Times New Roman"/>
          <w:sz w:val="20"/>
          <w:szCs w:val="20"/>
        </w:rPr>
        <w:t xml:space="preserve">in </w:t>
      </w:r>
      <w:r w:rsidRPr="00576DDD">
        <w:rPr>
          <w:rFonts w:ascii="Times New Roman" w:hAnsi="Times New Roman" w:cs="Times New Roman"/>
          <w:i/>
          <w:sz w:val="20"/>
          <w:szCs w:val="20"/>
        </w:rPr>
        <w:t>Tinker v Tinker</w:t>
      </w:r>
      <w:r w:rsidRPr="00576DDD">
        <w:rPr>
          <w:rFonts w:ascii="Times New Roman" w:hAnsi="Times New Roman" w:cs="Times New Roman"/>
          <w:sz w:val="20"/>
          <w:szCs w:val="20"/>
        </w:rPr>
        <w:t xml:space="preserve"> [1970] P. 136 at 141.</w:t>
      </w:r>
    </w:p>
  </w:footnote>
  <w:footnote w:id="43">
    <w:p w14:paraId="2FBDD96C" w14:textId="34DE35E3"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00040FD0">
        <w:rPr>
          <w:rFonts w:ascii="Times New Roman" w:hAnsi="Times New Roman" w:cs="Times New Roman"/>
          <w:sz w:val="20"/>
          <w:szCs w:val="20"/>
        </w:rPr>
        <w:t xml:space="preserve"> Davies (n4</w:t>
      </w:r>
      <w:r w:rsidR="006A7C90">
        <w:rPr>
          <w:rFonts w:ascii="Times New Roman" w:hAnsi="Times New Roman" w:cs="Times New Roman"/>
          <w:sz w:val="20"/>
          <w:szCs w:val="20"/>
        </w:rPr>
        <w:t>0</w:t>
      </w:r>
      <w:r w:rsidRPr="00576DDD">
        <w:rPr>
          <w:rFonts w:ascii="Times New Roman" w:hAnsi="Times New Roman" w:cs="Times New Roman"/>
          <w:sz w:val="20"/>
          <w:szCs w:val="20"/>
        </w:rPr>
        <w:t>), at 213.</w:t>
      </w:r>
    </w:p>
  </w:footnote>
  <w:footnote w:id="44">
    <w:p w14:paraId="1EB34080" w14:textId="09454695" w:rsidR="009D62A8" w:rsidRPr="009D62A8" w:rsidRDefault="009D62A8">
      <w:pPr>
        <w:pStyle w:val="FootnoteText"/>
        <w:rPr>
          <w:sz w:val="20"/>
          <w:szCs w:val="20"/>
          <w:lang w:val="en-GB"/>
        </w:rPr>
      </w:pPr>
      <w:r>
        <w:rPr>
          <w:rStyle w:val="FootnoteReference"/>
        </w:rPr>
        <w:footnoteRef/>
      </w:r>
      <w:r>
        <w:t xml:space="preserve"> </w:t>
      </w:r>
      <w:r w:rsidRPr="009D62A8">
        <w:rPr>
          <w:rFonts w:ascii="Times New Roman" w:hAnsi="Times New Roman" w:cs="Times New Roman"/>
          <w:i/>
          <w:sz w:val="20"/>
          <w:szCs w:val="20"/>
        </w:rPr>
        <w:t>Tinsley v Milligan</w:t>
      </w:r>
      <w:r>
        <w:rPr>
          <w:rFonts w:ascii="Times New Roman" w:hAnsi="Times New Roman" w:cs="Times New Roman"/>
          <w:i/>
          <w:sz w:val="20"/>
          <w:szCs w:val="20"/>
        </w:rPr>
        <w:t xml:space="preserve"> </w:t>
      </w:r>
      <w:r>
        <w:rPr>
          <w:rFonts w:ascii="Times New Roman" w:hAnsi="Times New Roman" w:cs="Times New Roman"/>
          <w:sz w:val="20"/>
          <w:szCs w:val="20"/>
        </w:rPr>
        <w:t>[1994] 1 A.C. 340.</w:t>
      </w:r>
    </w:p>
  </w:footnote>
  <w:footnote w:id="45">
    <w:p w14:paraId="0EA00573" w14:textId="76EC2A58" w:rsidR="00536FED" w:rsidRPr="00536FED" w:rsidRDefault="00536FED">
      <w:pPr>
        <w:pStyle w:val="FootnoteText"/>
        <w:rPr>
          <w:rFonts w:ascii="Times New Roman" w:hAnsi="Times New Roman" w:cs="Times New Roman"/>
          <w:lang w:val="en-GB"/>
        </w:rPr>
      </w:pPr>
      <w:r>
        <w:rPr>
          <w:rStyle w:val="FootnoteReference"/>
        </w:rPr>
        <w:footnoteRef/>
      </w:r>
      <w:r>
        <w:t xml:space="preserve"> </w:t>
      </w:r>
      <w:r w:rsidRPr="00536FED">
        <w:rPr>
          <w:rFonts w:ascii="Times New Roman" w:hAnsi="Times New Roman" w:cs="Times New Roman"/>
          <w:sz w:val="20"/>
          <w:szCs w:val="20"/>
          <w:lang w:val="en-GB"/>
        </w:rPr>
        <w:t>Also</w:t>
      </w:r>
      <w:r>
        <w:rPr>
          <w:rFonts w:ascii="Times New Roman" w:hAnsi="Times New Roman" w:cs="Times New Roman"/>
          <w:lang w:val="en-GB"/>
        </w:rPr>
        <w:t>,</w:t>
      </w:r>
      <w:r w:rsidRPr="00536FED">
        <w:rPr>
          <w:rFonts w:ascii="Times New Roman" w:hAnsi="Times New Roman" w:cs="Times New Roman"/>
          <w:i/>
          <w:sz w:val="20"/>
          <w:szCs w:val="20"/>
        </w:rPr>
        <w:t xml:space="preserve"> </w:t>
      </w:r>
      <w:r w:rsidRPr="00576DDD">
        <w:rPr>
          <w:rFonts w:ascii="Times New Roman" w:hAnsi="Times New Roman" w:cs="Times New Roman"/>
          <w:i/>
          <w:sz w:val="20"/>
          <w:szCs w:val="20"/>
        </w:rPr>
        <w:t>Silverwood v Silverwood</w:t>
      </w:r>
      <w:r w:rsidRPr="00576DDD">
        <w:rPr>
          <w:rFonts w:ascii="Times New Roman" w:hAnsi="Times New Roman" w:cs="Times New Roman"/>
          <w:sz w:val="20"/>
          <w:szCs w:val="20"/>
        </w:rPr>
        <w:t xml:space="preserve"> [1997] 74 P &amp; CR 453.</w:t>
      </w:r>
    </w:p>
  </w:footnote>
  <w:footnote w:id="46">
    <w:p w14:paraId="1FC03ACE" w14:textId="08E8005C"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MacDonald v Myerson</w:t>
      </w:r>
      <w:r w:rsidRPr="00576DDD">
        <w:rPr>
          <w:rFonts w:ascii="Times New Roman" w:hAnsi="Times New Roman" w:cs="Times New Roman"/>
          <w:sz w:val="20"/>
          <w:szCs w:val="20"/>
        </w:rPr>
        <w:t xml:space="preserve"> </w:t>
      </w:r>
      <w:r w:rsidR="005645F9">
        <w:rPr>
          <w:rFonts w:ascii="Times New Roman" w:hAnsi="Times New Roman" w:cs="Times New Roman"/>
          <w:sz w:val="20"/>
          <w:szCs w:val="20"/>
        </w:rPr>
        <w:t>[2001] EWCA Civ</w:t>
      </w:r>
      <w:r w:rsidRPr="00576DDD">
        <w:rPr>
          <w:rFonts w:ascii="Times New Roman" w:hAnsi="Times New Roman" w:cs="Times New Roman"/>
          <w:sz w:val="20"/>
          <w:szCs w:val="20"/>
        </w:rPr>
        <w:t xml:space="preserve"> 66.</w:t>
      </w:r>
    </w:p>
  </w:footnote>
  <w:footnote w:id="47">
    <w:p w14:paraId="4FD882E1" w14:textId="607AD51F"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000372B3">
        <w:rPr>
          <w:rFonts w:ascii="Times New Roman" w:hAnsi="Times New Roman" w:cs="Times New Roman"/>
          <w:sz w:val="20"/>
          <w:szCs w:val="20"/>
        </w:rPr>
        <w:t xml:space="preserve">Also, </w:t>
      </w:r>
      <w:r w:rsidRPr="00576DDD">
        <w:rPr>
          <w:rFonts w:ascii="Times New Roman" w:hAnsi="Times New Roman" w:cs="Times New Roman"/>
          <w:i/>
          <w:sz w:val="20"/>
          <w:szCs w:val="20"/>
        </w:rPr>
        <w:t>Mortgage Express v MacDonnell</w:t>
      </w:r>
      <w:r w:rsidRPr="00576DDD">
        <w:rPr>
          <w:rFonts w:ascii="Times New Roman" w:hAnsi="Times New Roman" w:cs="Times New Roman"/>
          <w:sz w:val="20"/>
          <w:szCs w:val="20"/>
        </w:rPr>
        <w:t xml:space="preserve"> [2001] EWCA Civ 887.</w:t>
      </w:r>
    </w:p>
  </w:footnote>
  <w:footnote w:id="48">
    <w:p w14:paraId="2A60DEF7" w14:textId="7D472D73" w:rsidR="00C37BE3" w:rsidRPr="00C37BE3" w:rsidRDefault="00C37BE3">
      <w:pPr>
        <w:pStyle w:val="FootnoteText"/>
        <w:rPr>
          <w:lang w:val="en-GB"/>
        </w:rPr>
      </w:pPr>
      <w:r>
        <w:rPr>
          <w:rStyle w:val="FootnoteReference"/>
        </w:rPr>
        <w:footnoteRef/>
      </w:r>
      <w:r>
        <w:t xml:space="preserve"> </w:t>
      </w:r>
      <w:r w:rsidRPr="00C37BE3">
        <w:rPr>
          <w:rFonts w:ascii="Times New Roman" w:hAnsi="Times New Roman" w:cs="Times New Roman"/>
          <w:sz w:val="20"/>
          <w:szCs w:val="20"/>
          <w:lang w:val="en-GB"/>
        </w:rPr>
        <w:t>That is, the claimant needed to rely on the fact that the contract was illegal and so void, thus making the way for the claim in unjust enrichment.</w:t>
      </w:r>
    </w:p>
  </w:footnote>
  <w:footnote w:id="49">
    <w:p w14:paraId="342C4522" w14:textId="07D7659A"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Patel</w:t>
      </w:r>
      <w:r w:rsidRPr="00576DDD">
        <w:rPr>
          <w:rFonts w:ascii="Times New Roman" w:hAnsi="Times New Roman" w:cs="Times New Roman"/>
          <w:sz w:val="20"/>
          <w:szCs w:val="20"/>
        </w:rPr>
        <w:t xml:space="preserve"> (n1), at para. 120. This echoes the Law Commission’s criticism of the reliance principle: Law Commission, Paper No 189 (n</w:t>
      </w:r>
      <w:r w:rsidR="006A7C90">
        <w:rPr>
          <w:rFonts w:ascii="Times New Roman" w:hAnsi="Times New Roman" w:cs="Times New Roman"/>
          <w:sz w:val="20"/>
          <w:szCs w:val="20"/>
        </w:rPr>
        <w:t>3</w:t>
      </w:r>
      <w:r w:rsidRPr="00576DDD">
        <w:rPr>
          <w:rFonts w:ascii="Times New Roman" w:hAnsi="Times New Roman" w:cs="Times New Roman"/>
          <w:sz w:val="20"/>
          <w:szCs w:val="20"/>
        </w:rPr>
        <w:t>), at para. 5.15.</w:t>
      </w:r>
    </w:p>
  </w:footnote>
  <w:footnote w:id="50">
    <w:p w14:paraId="54E2BB90" w14:textId="531E5BCB"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Patel</w:t>
      </w:r>
      <w:r w:rsidR="006A7C90">
        <w:rPr>
          <w:rFonts w:ascii="Times New Roman" w:hAnsi="Times New Roman" w:cs="Times New Roman"/>
          <w:sz w:val="20"/>
          <w:szCs w:val="20"/>
        </w:rPr>
        <w:t xml:space="preserve"> (n1), at 120.</w:t>
      </w:r>
    </w:p>
  </w:footnote>
  <w:footnote w:id="51">
    <w:p w14:paraId="5591ACDA" w14:textId="18BA0F6E"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Virgo (n2)</w:t>
      </w:r>
      <w:r w:rsidR="006A7C90">
        <w:rPr>
          <w:rFonts w:ascii="Times New Roman" w:hAnsi="Times New Roman" w:cs="Times New Roman"/>
          <w:sz w:val="20"/>
          <w:szCs w:val="20"/>
        </w:rPr>
        <w:t xml:space="preserve">; </w:t>
      </w:r>
      <w:r w:rsidRPr="00576DDD">
        <w:rPr>
          <w:rFonts w:ascii="Times New Roman" w:hAnsi="Times New Roman" w:cs="Times New Roman"/>
          <w:i/>
          <w:sz w:val="20"/>
          <w:szCs w:val="20"/>
        </w:rPr>
        <w:t>Anzal v Ellahi</w:t>
      </w:r>
      <w:r w:rsidRPr="00576DDD">
        <w:rPr>
          <w:rFonts w:ascii="Times New Roman" w:hAnsi="Times New Roman" w:cs="Times New Roman"/>
          <w:sz w:val="20"/>
          <w:szCs w:val="20"/>
        </w:rPr>
        <w:t xml:space="preserve"> [1999] WL 819140</w:t>
      </w:r>
      <w:r w:rsidR="000372B3">
        <w:rPr>
          <w:rFonts w:ascii="Times New Roman" w:hAnsi="Times New Roman" w:cs="Times New Roman"/>
          <w:sz w:val="20"/>
          <w:szCs w:val="20"/>
        </w:rPr>
        <w:t>.</w:t>
      </w:r>
    </w:p>
  </w:footnote>
  <w:footnote w:id="52">
    <w:p w14:paraId="64149D4B" w14:textId="4563D302"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Goudkamp (n1), at 16.</w:t>
      </w:r>
    </w:p>
  </w:footnote>
  <w:footnote w:id="53">
    <w:p w14:paraId="1C2421A0" w14:textId="21E2A191" w:rsidR="0048733A" w:rsidRPr="0048733A" w:rsidRDefault="0048733A">
      <w:pPr>
        <w:pStyle w:val="FootnoteText"/>
        <w:rPr>
          <w:sz w:val="20"/>
          <w:szCs w:val="20"/>
          <w:lang w:val="en-GB"/>
        </w:rPr>
      </w:pPr>
      <w:r>
        <w:rPr>
          <w:rStyle w:val="FootnoteReference"/>
        </w:rPr>
        <w:footnoteRef/>
      </w:r>
      <w:r>
        <w:t xml:space="preserve"> </w:t>
      </w:r>
      <w:r w:rsidRPr="0048733A">
        <w:rPr>
          <w:rFonts w:ascii="Times New Roman" w:hAnsi="Times New Roman" w:cs="Times New Roman"/>
          <w:i/>
          <w:sz w:val="20"/>
          <w:szCs w:val="20"/>
        </w:rPr>
        <w:t>Collier</w:t>
      </w:r>
      <w:r w:rsidRPr="0048733A">
        <w:rPr>
          <w:rFonts w:ascii="Times New Roman" w:hAnsi="Times New Roman" w:cs="Times New Roman"/>
          <w:sz w:val="20"/>
          <w:szCs w:val="20"/>
        </w:rPr>
        <w:t xml:space="preserve"> (n</w:t>
      </w:r>
      <w:r w:rsidR="006A7C90">
        <w:rPr>
          <w:rFonts w:ascii="Times New Roman" w:hAnsi="Times New Roman" w:cs="Times New Roman"/>
          <w:sz w:val="20"/>
          <w:szCs w:val="20"/>
        </w:rPr>
        <w:t>4</w:t>
      </w:r>
      <w:r w:rsidRPr="0048733A">
        <w:rPr>
          <w:rFonts w:ascii="Times New Roman" w:hAnsi="Times New Roman" w:cs="Times New Roman"/>
          <w:sz w:val="20"/>
          <w:szCs w:val="20"/>
        </w:rPr>
        <w:t>)</w:t>
      </w:r>
    </w:p>
  </w:footnote>
  <w:footnote w:id="54">
    <w:p w14:paraId="12D7E47D" w14:textId="199BDEC4"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004F5247">
        <w:rPr>
          <w:rFonts w:ascii="Times New Roman" w:hAnsi="Times New Roman" w:cs="Times New Roman"/>
          <w:sz w:val="20"/>
          <w:szCs w:val="20"/>
        </w:rPr>
        <w:t>Ibid.</w:t>
      </w:r>
      <w:r w:rsidRPr="00576DDD">
        <w:rPr>
          <w:rFonts w:ascii="Times New Roman" w:hAnsi="Times New Roman" w:cs="Times New Roman"/>
          <w:sz w:val="20"/>
          <w:szCs w:val="20"/>
        </w:rPr>
        <w:t>, at para. 64</w:t>
      </w:r>
      <w:r w:rsidR="004F5247">
        <w:rPr>
          <w:rFonts w:ascii="Times New Roman" w:hAnsi="Times New Roman" w:cs="Times New Roman"/>
          <w:sz w:val="20"/>
          <w:szCs w:val="20"/>
        </w:rPr>
        <w:t xml:space="preserve"> (Chadwick LJ)</w:t>
      </w:r>
      <w:r w:rsidRPr="00576DDD">
        <w:rPr>
          <w:rFonts w:ascii="Times New Roman" w:hAnsi="Times New Roman" w:cs="Times New Roman"/>
          <w:sz w:val="20"/>
          <w:szCs w:val="20"/>
        </w:rPr>
        <w:t>.</w:t>
      </w:r>
    </w:p>
  </w:footnote>
  <w:footnote w:id="55">
    <w:p w14:paraId="7CF87DB3" w14:textId="1DE22582"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The outcome in </w:t>
      </w:r>
      <w:r w:rsidRPr="00576DDD">
        <w:rPr>
          <w:rFonts w:ascii="Times New Roman" w:hAnsi="Times New Roman" w:cs="Times New Roman"/>
          <w:i/>
          <w:sz w:val="20"/>
          <w:szCs w:val="20"/>
        </w:rPr>
        <w:t>Collier</w:t>
      </w:r>
      <w:r w:rsidRPr="00576DDD">
        <w:rPr>
          <w:rFonts w:ascii="Times New Roman" w:hAnsi="Times New Roman" w:cs="Times New Roman"/>
          <w:sz w:val="20"/>
          <w:szCs w:val="20"/>
        </w:rPr>
        <w:t xml:space="preserve"> was disapproved in </w:t>
      </w:r>
      <w:r w:rsidRPr="00576DDD">
        <w:rPr>
          <w:rFonts w:ascii="Times New Roman" w:hAnsi="Times New Roman" w:cs="Times New Roman"/>
          <w:i/>
          <w:sz w:val="20"/>
          <w:szCs w:val="20"/>
        </w:rPr>
        <w:t>Patel</w:t>
      </w:r>
      <w:r w:rsidRPr="00576DDD">
        <w:rPr>
          <w:rFonts w:ascii="Times New Roman" w:hAnsi="Times New Roman" w:cs="Times New Roman"/>
          <w:sz w:val="20"/>
          <w:szCs w:val="20"/>
        </w:rPr>
        <w:t>.</w:t>
      </w:r>
    </w:p>
  </w:footnote>
  <w:footnote w:id="56">
    <w:p w14:paraId="1FFCBA80" w14:textId="08DF2234"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Collier</w:t>
      </w:r>
      <w:r w:rsidRPr="00576DDD">
        <w:rPr>
          <w:rFonts w:ascii="Times New Roman" w:hAnsi="Times New Roman" w:cs="Times New Roman"/>
          <w:sz w:val="20"/>
          <w:szCs w:val="20"/>
        </w:rPr>
        <w:t xml:space="preserve"> (n</w:t>
      </w:r>
      <w:r w:rsidR="006A7C90">
        <w:rPr>
          <w:rFonts w:ascii="Times New Roman" w:hAnsi="Times New Roman" w:cs="Times New Roman"/>
          <w:sz w:val="20"/>
          <w:szCs w:val="20"/>
        </w:rPr>
        <w:t>4</w:t>
      </w:r>
      <w:r w:rsidRPr="00576DDD">
        <w:rPr>
          <w:rFonts w:ascii="Times New Roman" w:hAnsi="Times New Roman" w:cs="Times New Roman"/>
          <w:sz w:val="20"/>
          <w:szCs w:val="20"/>
        </w:rPr>
        <w:t>), at para. 99.</w:t>
      </w:r>
    </w:p>
  </w:footnote>
  <w:footnote w:id="57">
    <w:p w14:paraId="75A4F413" w14:textId="77777777"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Barrett v Barrett</w:t>
      </w:r>
      <w:r w:rsidRPr="00576DDD">
        <w:rPr>
          <w:rFonts w:ascii="Times New Roman" w:hAnsi="Times New Roman" w:cs="Times New Roman"/>
          <w:sz w:val="20"/>
          <w:szCs w:val="20"/>
        </w:rPr>
        <w:t xml:space="preserve"> [2008] EWHC 1061.</w:t>
      </w:r>
    </w:p>
  </w:footnote>
  <w:footnote w:id="58">
    <w:p w14:paraId="64397878" w14:textId="2F1C7C2F" w:rsidR="00B50B04" w:rsidRPr="00B50B04" w:rsidRDefault="00B50B04">
      <w:pPr>
        <w:pStyle w:val="FootnoteText"/>
        <w:rPr>
          <w:lang w:val="en-GB"/>
        </w:rPr>
      </w:pPr>
      <w:r>
        <w:rPr>
          <w:rStyle w:val="FootnoteReference"/>
        </w:rPr>
        <w:footnoteRef/>
      </w:r>
      <w:r>
        <w:t xml:space="preserve"> </w:t>
      </w:r>
      <w:r w:rsidRPr="00B50B04">
        <w:rPr>
          <w:rFonts w:ascii="Times New Roman" w:hAnsi="Times New Roman" w:cs="Times New Roman"/>
          <w:sz w:val="20"/>
          <w:szCs w:val="20"/>
          <w:lang w:val="en-GB"/>
        </w:rPr>
        <w:t>‘</w:t>
      </w:r>
      <w:r w:rsidR="006A7C90">
        <w:rPr>
          <w:rFonts w:ascii="Times New Roman" w:hAnsi="Times New Roman" w:cs="Times New Roman"/>
          <w:sz w:val="20"/>
          <w:szCs w:val="20"/>
          <w:lang w:val="en-GB"/>
        </w:rPr>
        <w:t>L</w:t>
      </w:r>
      <w:r w:rsidRPr="00B50B04">
        <w:rPr>
          <w:rFonts w:ascii="Times New Roman" w:hAnsi="Times New Roman" w:cs="Times New Roman"/>
          <w:sz w:val="20"/>
          <w:szCs w:val="20"/>
          <w:lang w:val="en-GB"/>
        </w:rPr>
        <w:t>egally recognised gift-giving relationship’ is used pejoratively here to indicate relationships that attract the presumption of advancement.</w:t>
      </w:r>
      <w:r w:rsidR="00A71F54">
        <w:rPr>
          <w:rFonts w:ascii="Times New Roman" w:hAnsi="Times New Roman" w:cs="Times New Roman"/>
          <w:sz w:val="20"/>
          <w:szCs w:val="20"/>
          <w:lang w:val="en-GB"/>
        </w:rPr>
        <w:t xml:space="preserve"> Otherwise, gift-giving potentially takes place in every relationship.</w:t>
      </w:r>
      <w:r>
        <w:rPr>
          <w:lang w:val="en-GB"/>
        </w:rPr>
        <w:t xml:space="preserve"> </w:t>
      </w:r>
    </w:p>
  </w:footnote>
  <w:footnote w:id="59">
    <w:p w14:paraId="2D68541D" w14:textId="7A83E9BF"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Collier (n</w:t>
      </w:r>
      <w:r w:rsidR="006A7C90">
        <w:rPr>
          <w:rFonts w:ascii="Times New Roman" w:hAnsi="Times New Roman" w:cs="Times New Roman"/>
          <w:sz w:val="20"/>
          <w:szCs w:val="20"/>
        </w:rPr>
        <w:t>4</w:t>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SMQ v RFQ &amp; MJQ</w:t>
      </w:r>
      <w:r w:rsidRPr="00576DDD">
        <w:rPr>
          <w:rFonts w:ascii="Times New Roman" w:hAnsi="Times New Roman" w:cs="Times New Roman"/>
          <w:sz w:val="20"/>
          <w:szCs w:val="20"/>
        </w:rPr>
        <w:t xml:space="preserve"> [2008] EWHC 1874 (Fam); </w:t>
      </w:r>
      <w:r w:rsidR="00DB728A" w:rsidRPr="006A7C90">
        <w:rPr>
          <w:rFonts w:ascii="Times New Roman" w:hAnsi="Times New Roman" w:cs="Times New Roman"/>
          <w:i/>
          <w:sz w:val="20"/>
          <w:szCs w:val="20"/>
        </w:rPr>
        <w:t>Chettier</w:t>
      </w:r>
      <w:r w:rsidR="006A7C90" w:rsidRPr="006A7C90">
        <w:rPr>
          <w:rFonts w:ascii="Times New Roman" w:hAnsi="Times New Roman" w:cs="Times New Roman"/>
          <w:i/>
          <w:sz w:val="20"/>
          <w:szCs w:val="20"/>
        </w:rPr>
        <w:t xml:space="preserve"> v Chettier</w:t>
      </w:r>
      <w:r w:rsidR="006A7C90">
        <w:rPr>
          <w:rFonts w:ascii="Times New Roman" w:hAnsi="Times New Roman" w:cs="Times New Roman"/>
          <w:sz w:val="20"/>
          <w:szCs w:val="20"/>
        </w:rPr>
        <w:t xml:space="preserve"> [1962] AC 294</w:t>
      </w:r>
      <w:r w:rsidR="00DB728A">
        <w:rPr>
          <w:rFonts w:ascii="Times New Roman" w:hAnsi="Times New Roman" w:cs="Times New Roman"/>
          <w:sz w:val="20"/>
          <w:szCs w:val="20"/>
        </w:rPr>
        <w:t>; Tinker (n</w:t>
      </w:r>
      <w:r w:rsidR="00A52AB7">
        <w:rPr>
          <w:rFonts w:ascii="Times New Roman" w:hAnsi="Times New Roman" w:cs="Times New Roman"/>
          <w:sz w:val="20"/>
          <w:szCs w:val="20"/>
        </w:rPr>
        <w:t>42</w:t>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Gascoigne v Gascoigne</w:t>
      </w:r>
      <w:r w:rsidRPr="00576DDD">
        <w:rPr>
          <w:rFonts w:ascii="Times New Roman" w:hAnsi="Times New Roman" w:cs="Times New Roman"/>
          <w:sz w:val="20"/>
          <w:szCs w:val="20"/>
        </w:rPr>
        <w:t xml:space="preserve"> [1918] 1 K.B. 223.</w:t>
      </w:r>
    </w:p>
  </w:footnote>
  <w:footnote w:id="60">
    <w:p w14:paraId="1E171F8B" w14:textId="11D50DA5"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Tribe</w:t>
      </w:r>
      <w:r w:rsidRPr="00576DDD">
        <w:rPr>
          <w:rFonts w:ascii="Times New Roman" w:hAnsi="Times New Roman" w:cs="Times New Roman"/>
          <w:sz w:val="20"/>
          <w:szCs w:val="20"/>
        </w:rPr>
        <w:t xml:space="preserve"> (n3</w:t>
      </w:r>
      <w:r w:rsidR="00A52AB7">
        <w:rPr>
          <w:rFonts w:ascii="Times New Roman" w:hAnsi="Times New Roman" w:cs="Times New Roman"/>
          <w:sz w:val="20"/>
          <w:szCs w:val="20"/>
        </w:rPr>
        <w:t>0</w:t>
      </w:r>
      <w:r w:rsidRPr="00576DDD">
        <w:rPr>
          <w:rFonts w:ascii="Times New Roman" w:hAnsi="Times New Roman" w:cs="Times New Roman"/>
          <w:sz w:val="20"/>
          <w:szCs w:val="20"/>
        </w:rPr>
        <w:t>).</w:t>
      </w:r>
    </w:p>
  </w:footnote>
  <w:footnote w:id="61">
    <w:p w14:paraId="279436C7" w14:textId="5053F510"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 at 134.</w:t>
      </w:r>
    </w:p>
  </w:footnote>
  <w:footnote w:id="62">
    <w:p w14:paraId="11C6CC22" w14:textId="1FD115AC"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w:t>
      </w:r>
    </w:p>
  </w:footnote>
  <w:footnote w:id="63">
    <w:p w14:paraId="28C870ED" w14:textId="17A085C2"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w:t>
      </w:r>
    </w:p>
  </w:footnote>
  <w:footnote w:id="64">
    <w:p w14:paraId="7D024A32" w14:textId="509AECF1"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Perpetual Executors</w:t>
      </w:r>
      <w:r w:rsidR="00BD55D1">
        <w:rPr>
          <w:rFonts w:ascii="Times New Roman" w:hAnsi="Times New Roman" w:cs="Times New Roman"/>
          <w:i/>
          <w:sz w:val="20"/>
          <w:szCs w:val="20"/>
        </w:rPr>
        <w:t xml:space="preserve"> </w:t>
      </w:r>
      <w:r w:rsidR="00BD55D1">
        <w:rPr>
          <w:rFonts w:ascii="Times New Roman" w:hAnsi="Times New Roman" w:cs="Times New Roman"/>
          <w:sz w:val="20"/>
          <w:szCs w:val="20"/>
        </w:rPr>
        <w:t>(n</w:t>
      </w:r>
      <w:r w:rsidR="009106F2">
        <w:rPr>
          <w:rFonts w:ascii="Times New Roman" w:hAnsi="Times New Roman" w:cs="Times New Roman"/>
          <w:sz w:val="20"/>
          <w:szCs w:val="20"/>
        </w:rPr>
        <w:t>6</w:t>
      </w:r>
      <w:r w:rsidR="00BD55D1">
        <w:rPr>
          <w:rFonts w:ascii="Times New Roman" w:hAnsi="Times New Roman" w:cs="Times New Roman"/>
          <w:sz w:val="20"/>
          <w:szCs w:val="20"/>
        </w:rPr>
        <w:t>).</w:t>
      </w:r>
    </w:p>
  </w:footnote>
  <w:footnote w:id="65">
    <w:p w14:paraId="44B68AD0" w14:textId="27E8CEB0"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 at 194.</w:t>
      </w:r>
    </w:p>
  </w:footnote>
  <w:footnote w:id="66">
    <w:p w14:paraId="5FDA9CF4" w14:textId="51F3946B"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For instance, a provision that is subversive of all religion or all morality: </w:t>
      </w:r>
      <w:r w:rsidRPr="00576DDD">
        <w:rPr>
          <w:rFonts w:ascii="Times New Roman" w:hAnsi="Times New Roman" w:cs="Times New Roman"/>
          <w:i/>
          <w:sz w:val="20"/>
          <w:szCs w:val="20"/>
        </w:rPr>
        <w:t>Thornton v Howe</w:t>
      </w:r>
      <w:r w:rsidRPr="00576DDD">
        <w:rPr>
          <w:rFonts w:ascii="Times New Roman" w:hAnsi="Times New Roman" w:cs="Times New Roman"/>
          <w:sz w:val="20"/>
          <w:szCs w:val="20"/>
        </w:rPr>
        <w:t xml:space="preserve"> [1862] 31 Beav. 14; </w:t>
      </w:r>
      <w:r w:rsidRPr="00576DDD">
        <w:rPr>
          <w:rFonts w:ascii="Times New Roman" w:hAnsi="Times New Roman" w:cs="Times New Roman"/>
          <w:i/>
          <w:sz w:val="20"/>
          <w:szCs w:val="20"/>
        </w:rPr>
        <w:t>Re Watson</w:t>
      </w:r>
      <w:r w:rsidRPr="00576DDD">
        <w:rPr>
          <w:rFonts w:ascii="Times New Roman" w:hAnsi="Times New Roman" w:cs="Times New Roman"/>
          <w:sz w:val="20"/>
          <w:szCs w:val="20"/>
        </w:rPr>
        <w:t xml:space="preserve"> [1973] 1 W.L.R.  1472.</w:t>
      </w:r>
    </w:p>
  </w:footnote>
  <w:footnote w:id="67">
    <w:p w14:paraId="26180CB2" w14:textId="6BCD1BAF"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Thrupp</w:t>
      </w:r>
      <w:r w:rsidR="00B22CDC">
        <w:rPr>
          <w:rFonts w:ascii="Times New Roman" w:hAnsi="Times New Roman" w:cs="Times New Roman"/>
          <w:sz w:val="20"/>
          <w:szCs w:val="20"/>
        </w:rPr>
        <w:t xml:space="preserve"> (n</w:t>
      </w:r>
      <w:r w:rsidR="000E1394">
        <w:rPr>
          <w:rFonts w:ascii="Times New Roman" w:hAnsi="Times New Roman" w:cs="Times New Roman"/>
          <w:sz w:val="20"/>
          <w:szCs w:val="20"/>
        </w:rPr>
        <w:t>5</w:t>
      </w:r>
      <w:r w:rsidR="00B22CDC">
        <w:rPr>
          <w:rFonts w:ascii="Times New Roman" w:hAnsi="Times New Roman" w:cs="Times New Roman"/>
          <w:sz w:val="20"/>
          <w:szCs w:val="20"/>
        </w:rPr>
        <w:t>).</w:t>
      </w:r>
    </w:p>
  </w:footnote>
  <w:footnote w:id="68">
    <w:p w14:paraId="5B4CAFB7" w14:textId="4BC5E03B"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 at 128.</w:t>
      </w:r>
    </w:p>
  </w:footnote>
  <w:footnote w:id="69">
    <w:p w14:paraId="304D1AF1" w14:textId="617F5F21"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 at 127-128.</w:t>
      </w:r>
    </w:p>
  </w:footnote>
  <w:footnote w:id="70">
    <w:p w14:paraId="4A7F2C35" w14:textId="579AD7E9"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Ex parte Yallop</w:t>
      </w:r>
      <w:r w:rsidRPr="00576DDD">
        <w:rPr>
          <w:rFonts w:ascii="Times New Roman" w:hAnsi="Times New Roman" w:cs="Times New Roman"/>
          <w:sz w:val="20"/>
          <w:szCs w:val="20"/>
        </w:rPr>
        <w:t xml:space="preserve"> [1808] 15 VES. JUN. 58.</w:t>
      </w:r>
    </w:p>
  </w:footnote>
  <w:footnote w:id="71">
    <w:p w14:paraId="138A7124" w14:textId="113C7ADB"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 at 66.</w:t>
      </w:r>
    </w:p>
  </w:footnote>
  <w:footnote w:id="72">
    <w:p w14:paraId="1E54C227" w14:textId="7FA8C2C6"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 at 69. Italics mine.</w:t>
      </w:r>
    </w:p>
  </w:footnote>
  <w:footnote w:id="73">
    <w:p w14:paraId="3350D60E" w14:textId="5E8A26E5"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Ibid., at 72. Italics mine.</w:t>
      </w:r>
    </w:p>
  </w:footnote>
  <w:footnote w:id="74">
    <w:p w14:paraId="053D2416" w14:textId="4ACC6BB8"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Curtis v Perry</w:t>
      </w:r>
      <w:r w:rsidRPr="00576DDD">
        <w:rPr>
          <w:rFonts w:ascii="Times New Roman" w:hAnsi="Times New Roman" w:cs="Times New Roman"/>
          <w:sz w:val="20"/>
          <w:szCs w:val="20"/>
        </w:rPr>
        <w:t xml:space="preserve"> [1802] 6 VES. JUN. 740.</w:t>
      </w:r>
    </w:p>
  </w:footnote>
  <w:footnote w:id="75">
    <w:p w14:paraId="5FDB6226" w14:textId="7C953D2E"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i/>
          <w:sz w:val="20"/>
          <w:szCs w:val="20"/>
        </w:rPr>
        <w:t>Halley v The Law Society</w:t>
      </w:r>
      <w:r w:rsidRPr="00576DDD">
        <w:rPr>
          <w:rFonts w:ascii="Times New Roman" w:hAnsi="Times New Roman" w:cs="Times New Roman"/>
          <w:sz w:val="20"/>
          <w:szCs w:val="20"/>
        </w:rPr>
        <w:t xml:space="preserve"> [2003] EWCA Civ 97.</w:t>
      </w:r>
    </w:p>
  </w:footnote>
  <w:footnote w:id="76">
    <w:p w14:paraId="0F095A6C" w14:textId="4B41E9E3"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Collier</w:t>
      </w:r>
      <w:r w:rsidRPr="00576DDD">
        <w:rPr>
          <w:rFonts w:ascii="Times New Roman" w:hAnsi="Times New Roman" w:cs="Times New Roman"/>
          <w:sz w:val="20"/>
          <w:szCs w:val="20"/>
        </w:rPr>
        <w:t xml:space="preserve"> (n</w:t>
      </w:r>
      <w:r w:rsidR="000E1394">
        <w:rPr>
          <w:rFonts w:ascii="Times New Roman" w:hAnsi="Times New Roman" w:cs="Times New Roman"/>
          <w:sz w:val="20"/>
          <w:szCs w:val="20"/>
        </w:rPr>
        <w:t>4</w:t>
      </w:r>
      <w:r w:rsidRPr="00576DDD">
        <w:rPr>
          <w:rFonts w:ascii="Times New Roman" w:hAnsi="Times New Roman" w:cs="Times New Roman"/>
          <w:sz w:val="20"/>
          <w:szCs w:val="20"/>
        </w:rPr>
        <w:t xml:space="preserve">), at para. 37. </w:t>
      </w:r>
    </w:p>
  </w:footnote>
  <w:footnote w:id="77">
    <w:p w14:paraId="5C417F92" w14:textId="09563C4D"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Law Commission, Paper No 189 (n</w:t>
      </w:r>
      <w:r w:rsidR="000E1394">
        <w:rPr>
          <w:rFonts w:ascii="Times New Roman" w:hAnsi="Times New Roman" w:cs="Times New Roman"/>
          <w:sz w:val="20"/>
          <w:szCs w:val="20"/>
        </w:rPr>
        <w:t>3</w:t>
      </w:r>
      <w:r w:rsidRPr="00576DDD">
        <w:rPr>
          <w:rFonts w:ascii="Times New Roman" w:hAnsi="Times New Roman" w:cs="Times New Roman"/>
          <w:sz w:val="20"/>
          <w:szCs w:val="20"/>
        </w:rPr>
        <w:t>),</w:t>
      </w:r>
      <w:r w:rsidR="001E548F" w:rsidRPr="00576DDD">
        <w:rPr>
          <w:rFonts w:ascii="Times New Roman" w:hAnsi="Times New Roman" w:cs="Times New Roman"/>
          <w:sz w:val="20"/>
          <w:szCs w:val="20"/>
        </w:rPr>
        <w:t xml:space="preserve"> </w:t>
      </w:r>
      <w:r w:rsidRPr="00576DDD">
        <w:rPr>
          <w:rFonts w:ascii="Times New Roman" w:hAnsi="Times New Roman" w:cs="Times New Roman"/>
          <w:sz w:val="20"/>
          <w:szCs w:val="20"/>
        </w:rPr>
        <w:t>at paras. 6.40.</w:t>
      </w:r>
    </w:p>
  </w:footnote>
  <w:footnote w:id="78">
    <w:p w14:paraId="4EBFD275" w14:textId="1ED48397"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There is the further difficulty of determining whether the provision is a void condition, or just a determinable limitation, which is valid: </w:t>
      </w:r>
      <w:r w:rsidRPr="00576DDD">
        <w:rPr>
          <w:rFonts w:ascii="Times New Roman" w:hAnsi="Times New Roman" w:cs="Times New Roman"/>
          <w:i/>
          <w:sz w:val="20"/>
          <w:szCs w:val="20"/>
        </w:rPr>
        <w:t>Re Lovell</w:t>
      </w:r>
      <w:r w:rsidRPr="00576DDD">
        <w:rPr>
          <w:rFonts w:ascii="Times New Roman" w:hAnsi="Times New Roman" w:cs="Times New Roman"/>
          <w:sz w:val="20"/>
          <w:szCs w:val="20"/>
        </w:rPr>
        <w:t xml:space="preserve"> [1920] 1 Ch. 122.</w:t>
      </w:r>
    </w:p>
  </w:footnote>
  <w:footnote w:id="79">
    <w:p w14:paraId="6F81AC37" w14:textId="3ABC152F"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L Tucker, et al. </w:t>
      </w:r>
      <w:r w:rsidRPr="00576DDD">
        <w:rPr>
          <w:rFonts w:ascii="Times New Roman" w:hAnsi="Times New Roman" w:cs="Times New Roman"/>
          <w:i/>
          <w:sz w:val="20"/>
          <w:szCs w:val="20"/>
        </w:rPr>
        <w:t>Lewin on Trusts, 19</w:t>
      </w:r>
      <w:r w:rsidRPr="00576DDD">
        <w:rPr>
          <w:rFonts w:ascii="Times New Roman" w:hAnsi="Times New Roman" w:cs="Times New Roman"/>
          <w:i/>
          <w:sz w:val="20"/>
          <w:szCs w:val="20"/>
          <w:vertAlign w:val="superscript"/>
        </w:rPr>
        <w:t>th</w:t>
      </w:r>
      <w:r w:rsidRPr="00576DDD">
        <w:rPr>
          <w:rFonts w:ascii="Times New Roman" w:hAnsi="Times New Roman" w:cs="Times New Roman"/>
          <w:i/>
          <w:sz w:val="20"/>
          <w:szCs w:val="20"/>
        </w:rPr>
        <w:t xml:space="preserve"> ed.</w:t>
      </w:r>
      <w:r w:rsidRPr="00576DDD">
        <w:rPr>
          <w:rFonts w:ascii="Times New Roman" w:hAnsi="Times New Roman" w:cs="Times New Roman"/>
          <w:sz w:val="20"/>
          <w:szCs w:val="20"/>
        </w:rPr>
        <w:t xml:space="preserve"> (London: Sweet &amp; Maxwell, 2015), ch. 5; D.W.M. Waters, et al. </w:t>
      </w:r>
      <w:r w:rsidRPr="00576DDD">
        <w:rPr>
          <w:rFonts w:ascii="Times New Roman" w:hAnsi="Times New Roman" w:cs="Times New Roman"/>
          <w:i/>
          <w:sz w:val="20"/>
          <w:szCs w:val="20"/>
        </w:rPr>
        <w:t>Waters’ Law of trusts in Canada, 4</w:t>
      </w:r>
      <w:r w:rsidRPr="00576DDD">
        <w:rPr>
          <w:rFonts w:ascii="Times New Roman" w:hAnsi="Times New Roman" w:cs="Times New Roman"/>
          <w:i/>
          <w:sz w:val="20"/>
          <w:szCs w:val="20"/>
          <w:vertAlign w:val="superscript"/>
        </w:rPr>
        <w:t>th</w:t>
      </w:r>
      <w:r w:rsidRPr="00576DDD">
        <w:rPr>
          <w:rFonts w:ascii="Times New Roman" w:hAnsi="Times New Roman" w:cs="Times New Roman"/>
          <w:i/>
          <w:sz w:val="20"/>
          <w:szCs w:val="20"/>
        </w:rPr>
        <w:t xml:space="preserve"> ed</w:t>
      </w:r>
      <w:r w:rsidRPr="00576DDD">
        <w:rPr>
          <w:rFonts w:ascii="Times New Roman" w:hAnsi="Times New Roman" w:cs="Times New Roman"/>
          <w:sz w:val="20"/>
          <w:szCs w:val="20"/>
        </w:rPr>
        <w:t xml:space="preserve">. (Toronto, Carswell, 2012), at ch. 8. </w:t>
      </w:r>
    </w:p>
  </w:footnote>
  <w:footnote w:id="80">
    <w:p w14:paraId="670CEFB8" w14:textId="4FCA4923"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Lewin on Trusts</w:t>
      </w:r>
      <w:r w:rsidR="001E548F" w:rsidRPr="00576DDD">
        <w:rPr>
          <w:rFonts w:ascii="Times New Roman" w:hAnsi="Times New Roman" w:cs="Times New Roman"/>
          <w:sz w:val="20"/>
          <w:szCs w:val="20"/>
        </w:rPr>
        <w:t xml:space="preserve"> (n</w:t>
      </w:r>
      <w:r w:rsidR="00EE2078">
        <w:rPr>
          <w:rFonts w:ascii="Times New Roman" w:hAnsi="Times New Roman" w:cs="Times New Roman"/>
          <w:sz w:val="20"/>
          <w:szCs w:val="20"/>
        </w:rPr>
        <w:t>8</w:t>
      </w:r>
      <w:r w:rsidR="000E1394">
        <w:rPr>
          <w:rFonts w:ascii="Times New Roman" w:hAnsi="Times New Roman" w:cs="Times New Roman"/>
          <w:sz w:val="20"/>
          <w:szCs w:val="20"/>
        </w:rPr>
        <w:t>0</w:t>
      </w:r>
      <w:r w:rsidR="001E548F" w:rsidRPr="00576DDD">
        <w:rPr>
          <w:rFonts w:ascii="Times New Roman" w:hAnsi="Times New Roman" w:cs="Times New Roman"/>
          <w:sz w:val="20"/>
          <w:szCs w:val="20"/>
        </w:rPr>
        <w:t>)</w:t>
      </w:r>
      <w:r w:rsidRPr="00576DDD">
        <w:rPr>
          <w:rFonts w:ascii="Times New Roman" w:hAnsi="Times New Roman" w:cs="Times New Roman"/>
          <w:sz w:val="20"/>
          <w:szCs w:val="20"/>
        </w:rPr>
        <w:t xml:space="preserve">, at 167. </w:t>
      </w:r>
    </w:p>
  </w:footnote>
  <w:footnote w:id="81">
    <w:p w14:paraId="48816805" w14:textId="0CBA6002"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Re Riper</w:t>
      </w:r>
      <w:r w:rsidRPr="00576DDD">
        <w:rPr>
          <w:rFonts w:ascii="Times New Roman" w:hAnsi="Times New Roman" w:cs="Times New Roman"/>
          <w:sz w:val="20"/>
          <w:szCs w:val="20"/>
        </w:rPr>
        <w:t xml:space="preserve"> [1946] 2 All ER 503; </w:t>
      </w:r>
      <w:r w:rsidRPr="00576DDD">
        <w:rPr>
          <w:rFonts w:ascii="Times New Roman" w:hAnsi="Times New Roman" w:cs="Times New Roman"/>
          <w:i/>
          <w:sz w:val="20"/>
          <w:szCs w:val="20"/>
        </w:rPr>
        <w:t>Re Moore</w:t>
      </w:r>
      <w:r w:rsidRPr="00576DDD">
        <w:rPr>
          <w:rFonts w:ascii="Times New Roman" w:hAnsi="Times New Roman" w:cs="Times New Roman"/>
          <w:sz w:val="20"/>
          <w:szCs w:val="20"/>
        </w:rPr>
        <w:t xml:space="preserve"> [1888] 39 Ch. D 116.</w:t>
      </w:r>
    </w:p>
  </w:footnote>
  <w:footnote w:id="82">
    <w:p w14:paraId="54FBA179" w14:textId="1672D173"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00162674" w:rsidRPr="00576DDD">
        <w:rPr>
          <w:rFonts w:ascii="Times New Roman" w:hAnsi="Times New Roman" w:cs="Times New Roman"/>
          <w:sz w:val="20"/>
          <w:szCs w:val="20"/>
        </w:rPr>
        <w:t xml:space="preserve"> Waters (n8</w:t>
      </w:r>
      <w:r w:rsidR="000E1394">
        <w:rPr>
          <w:rFonts w:ascii="Times New Roman" w:hAnsi="Times New Roman" w:cs="Times New Roman"/>
          <w:sz w:val="20"/>
          <w:szCs w:val="20"/>
        </w:rPr>
        <w:t>0</w:t>
      </w:r>
      <w:r w:rsidR="00162674" w:rsidRPr="00576DDD">
        <w:rPr>
          <w:rFonts w:ascii="Times New Roman" w:hAnsi="Times New Roman" w:cs="Times New Roman"/>
          <w:sz w:val="20"/>
          <w:szCs w:val="20"/>
        </w:rPr>
        <w:t>)</w:t>
      </w:r>
      <w:r w:rsidRPr="00576DDD">
        <w:rPr>
          <w:rFonts w:ascii="Times New Roman" w:hAnsi="Times New Roman" w:cs="Times New Roman"/>
          <w:sz w:val="20"/>
          <w:szCs w:val="20"/>
        </w:rPr>
        <w:t>, at 330.</w:t>
      </w:r>
    </w:p>
  </w:footnote>
  <w:footnote w:id="83">
    <w:p w14:paraId="7858DB01" w14:textId="5D6D79B5"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 xml:space="preserve">In re Sandbrook </w:t>
      </w:r>
      <w:r w:rsidRPr="000D3517">
        <w:rPr>
          <w:rFonts w:ascii="Times New Roman" w:hAnsi="Times New Roman" w:cs="Times New Roman"/>
          <w:sz w:val="20"/>
          <w:szCs w:val="20"/>
        </w:rPr>
        <w:t>[</w:t>
      </w:r>
      <w:r w:rsidR="000E1394">
        <w:rPr>
          <w:rFonts w:ascii="Times New Roman" w:hAnsi="Times New Roman" w:cs="Times New Roman"/>
          <w:sz w:val="20"/>
          <w:szCs w:val="20"/>
        </w:rPr>
        <w:t>1912] 2 Ch. 471;</w:t>
      </w:r>
      <w:r w:rsidR="000E1394" w:rsidRPr="000E1394">
        <w:rPr>
          <w:rFonts w:ascii="Times New Roman" w:hAnsi="Times New Roman" w:cs="Times New Roman"/>
          <w:i/>
          <w:sz w:val="20"/>
          <w:szCs w:val="20"/>
        </w:rPr>
        <w:t xml:space="preserve"> </w:t>
      </w:r>
      <w:r w:rsidR="000E1394" w:rsidRPr="00576DDD">
        <w:rPr>
          <w:rFonts w:ascii="Times New Roman" w:hAnsi="Times New Roman" w:cs="Times New Roman"/>
          <w:i/>
          <w:sz w:val="20"/>
          <w:szCs w:val="20"/>
        </w:rPr>
        <w:t xml:space="preserve">Blathwayt v Cawley </w:t>
      </w:r>
      <w:r w:rsidR="000E1394">
        <w:rPr>
          <w:rFonts w:ascii="Times New Roman" w:hAnsi="Times New Roman" w:cs="Times New Roman"/>
          <w:sz w:val="20"/>
          <w:szCs w:val="20"/>
        </w:rPr>
        <w:t>[1976] A</w:t>
      </w:r>
      <w:r w:rsidR="000E1394" w:rsidRPr="00576DDD">
        <w:rPr>
          <w:rFonts w:ascii="Times New Roman" w:hAnsi="Times New Roman" w:cs="Times New Roman"/>
          <w:sz w:val="20"/>
          <w:szCs w:val="20"/>
        </w:rPr>
        <w:t>C 397</w:t>
      </w:r>
      <w:r w:rsidR="000E1394">
        <w:rPr>
          <w:rFonts w:ascii="Times New Roman" w:hAnsi="Times New Roman" w:cs="Times New Roman"/>
          <w:sz w:val="20"/>
          <w:szCs w:val="20"/>
        </w:rPr>
        <w:t>;</w:t>
      </w:r>
      <w:r w:rsidR="000E1394" w:rsidRPr="000E1394">
        <w:rPr>
          <w:rFonts w:ascii="Times New Roman" w:hAnsi="Times New Roman" w:cs="Times New Roman"/>
          <w:i/>
          <w:sz w:val="20"/>
          <w:szCs w:val="20"/>
        </w:rPr>
        <w:t xml:space="preserve"> </w:t>
      </w:r>
      <w:r w:rsidR="000E1394" w:rsidRPr="00576DDD">
        <w:rPr>
          <w:rFonts w:ascii="Times New Roman" w:hAnsi="Times New Roman" w:cs="Times New Roman"/>
          <w:i/>
          <w:sz w:val="20"/>
          <w:szCs w:val="20"/>
        </w:rPr>
        <w:t>In re Boulter</w:t>
      </w:r>
      <w:r w:rsidR="000E1394" w:rsidRPr="00576DDD">
        <w:rPr>
          <w:rFonts w:ascii="Times New Roman" w:hAnsi="Times New Roman" w:cs="Times New Roman"/>
          <w:sz w:val="20"/>
          <w:szCs w:val="20"/>
        </w:rPr>
        <w:t xml:space="preserve"> [1922] 1 Ch 75</w:t>
      </w:r>
      <w:r w:rsidR="000E1394">
        <w:rPr>
          <w:rFonts w:ascii="Times New Roman" w:hAnsi="Times New Roman" w:cs="Times New Roman"/>
          <w:sz w:val="20"/>
          <w:szCs w:val="20"/>
        </w:rPr>
        <w:t xml:space="preserve">. </w:t>
      </w:r>
    </w:p>
  </w:footnote>
  <w:footnote w:id="84">
    <w:p w14:paraId="64F96E73" w14:textId="59DAFDE7" w:rsidR="00BD4102" w:rsidRPr="00576DDD" w:rsidRDefault="00BD4102" w:rsidP="00576DDD">
      <w:pPr>
        <w:pStyle w:val="FootnoteText"/>
        <w:jc w:val="both"/>
        <w:rPr>
          <w:rFonts w:ascii="Times New Roman" w:hAnsi="Times New Roman" w:cs="Times New Roman"/>
          <w:sz w:val="20"/>
          <w:szCs w:val="20"/>
        </w:rPr>
      </w:pPr>
      <w:r w:rsidRPr="00576DDD">
        <w:rPr>
          <w:rStyle w:val="FootnoteReference"/>
          <w:rFonts w:ascii="Times New Roman" w:hAnsi="Times New Roman" w:cs="Times New Roman"/>
          <w:sz w:val="20"/>
          <w:szCs w:val="20"/>
        </w:rPr>
        <w:footnoteRef/>
      </w:r>
      <w:r w:rsidRPr="00576DDD">
        <w:rPr>
          <w:rFonts w:ascii="Times New Roman" w:hAnsi="Times New Roman" w:cs="Times New Roman"/>
          <w:sz w:val="20"/>
          <w:szCs w:val="20"/>
        </w:rPr>
        <w:t xml:space="preserve"> </w:t>
      </w:r>
      <w:r w:rsidRPr="00576DDD">
        <w:rPr>
          <w:rFonts w:ascii="Times New Roman" w:hAnsi="Times New Roman" w:cs="Times New Roman"/>
          <w:i/>
          <w:sz w:val="20"/>
          <w:szCs w:val="20"/>
        </w:rPr>
        <w:t>Canada Trust Co. v Ontario</w:t>
      </w:r>
      <w:r w:rsidRPr="00576DDD">
        <w:rPr>
          <w:rFonts w:ascii="Times New Roman" w:hAnsi="Times New Roman" w:cs="Times New Roman"/>
          <w:sz w:val="20"/>
          <w:szCs w:val="20"/>
        </w:rPr>
        <w:t xml:space="preserve"> [1990] 69 D.L.R. (4</w:t>
      </w:r>
      <w:r w:rsidRPr="00576DDD">
        <w:rPr>
          <w:rFonts w:ascii="Times New Roman" w:hAnsi="Times New Roman" w:cs="Times New Roman"/>
          <w:sz w:val="20"/>
          <w:szCs w:val="20"/>
          <w:vertAlign w:val="superscript"/>
        </w:rPr>
        <w:t>th</w:t>
      </w:r>
      <w:r w:rsidRPr="00576DDD">
        <w:rPr>
          <w:rFonts w:ascii="Times New Roman" w:hAnsi="Times New Roman" w:cs="Times New Roman"/>
          <w:sz w:val="20"/>
          <w:szCs w:val="20"/>
        </w:rPr>
        <w:t>) 321 (Ont. C.A.).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A4DC8" w14:textId="3670EA01" w:rsidR="00A05CEA" w:rsidRPr="00A05CEA" w:rsidRDefault="00A05CEA" w:rsidP="00A05CEA">
    <w:pPr>
      <w:spacing w:line="264" w:lineRule="auto"/>
      <w:jc w:val="center"/>
      <w:rPr>
        <w:sz w:val="28"/>
        <w:szCs w:val="28"/>
      </w:rPr>
    </w:pPr>
    <w:r>
      <w:rPr>
        <w:noProof/>
        <w:color w:val="000000"/>
        <w:lang w:val="en-GB" w:eastAsia="en-GB"/>
      </w:rPr>
      <mc:AlternateContent>
        <mc:Choice Requires="wps">
          <w:drawing>
            <wp:anchor distT="0" distB="0" distL="114300" distR="114300" simplePos="0" relativeHeight="251659264" behindDoc="0" locked="0" layoutInCell="1" allowOverlap="1" wp14:anchorId="2626ECC4" wp14:editId="3E55DF63">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B9C96F3"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sdt>
      <w:sdtPr>
        <w:rPr>
          <w:color w:val="4F81BD" w:themeColor="accent1"/>
          <w:sz w:val="28"/>
          <w:szCs w:val="28"/>
        </w:rPr>
        <w:alias w:val="Title"/>
        <w:id w:val="15524250"/>
        <w:placeholder>
          <w:docPart w:val="DE683926A0F24C74BF499C739D86E576"/>
        </w:placeholder>
        <w:dataBinding w:prefixMappings="xmlns:ns0='http://schemas.openxmlformats.org/package/2006/metadata/core-properties' xmlns:ns1='http://purl.org/dc/elements/1.1/'" w:xpath="/ns0:coreProperties[1]/ns1:title[1]" w:storeItemID="{6C3C8BC8-F283-45AE-878A-BAB7291924A1}"/>
        <w:text/>
      </w:sdtPr>
      <w:sdtEndPr/>
      <w:sdtContent>
        <w:r w:rsidRPr="00A05CEA">
          <w:rPr>
            <w:color w:val="4F81BD" w:themeColor="accent1"/>
            <w:sz w:val="28"/>
            <w:szCs w:val="28"/>
          </w:rPr>
          <w:t>(2019) 2 conv</w:t>
        </w:r>
      </w:sdtContent>
    </w:sdt>
  </w:p>
  <w:p w14:paraId="64CAA98C" w14:textId="1C6176E1" w:rsidR="00A05CEA" w:rsidRDefault="00A05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C8E"/>
    <w:rsid w:val="00002C07"/>
    <w:rsid w:val="0000553F"/>
    <w:rsid w:val="00007417"/>
    <w:rsid w:val="00007A8D"/>
    <w:rsid w:val="00017753"/>
    <w:rsid w:val="00022813"/>
    <w:rsid w:val="000244A0"/>
    <w:rsid w:val="000253F8"/>
    <w:rsid w:val="00027F95"/>
    <w:rsid w:val="000319E9"/>
    <w:rsid w:val="000372B3"/>
    <w:rsid w:val="00040FD0"/>
    <w:rsid w:val="000466E2"/>
    <w:rsid w:val="0004674B"/>
    <w:rsid w:val="00055F3C"/>
    <w:rsid w:val="00056A44"/>
    <w:rsid w:val="00061F15"/>
    <w:rsid w:val="00064085"/>
    <w:rsid w:val="000707E8"/>
    <w:rsid w:val="00071AD3"/>
    <w:rsid w:val="00074FD2"/>
    <w:rsid w:val="000773DB"/>
    <w:rsid w:val="00082417"/>
    <w:rsid w:val="000850E0"/>
    <w:rsid w:val="00085935"/>
    <w:rsid w:val="00085A7E"/>
    <w:rsid w:val="000870BD"/>
    <w:rsid w:val="00092C11"/>
    <w:rsid w:val="00095798"/>
    <w:rsid w:val="000958CA"/>
    <w:rsid w:val="000A0FA4"/>
    <w:rsid w:val="000A3434"/>
    <w:rsid w:val="000A3487"/>
    <w:rsid w:val="000A3B86"/>
    <w:rsid w:val="000A47DB"/>
    <w:rsid w:val="000A5AB5"/>
    <w:rsid w:val="000A6DEF"/>
    <w:rsid w:val="000A70ED"/>
    <w:rsid w:val="000B33E1"/>
    <w:rsid w:val="000B567D"/>
    <w:rsid w:val="000C2B64"/>
    <w:rsid w:val="000C2B8E"/>
    <w:rsid w:val="000C73F4"/>
    <w:rsid w:val="000D0C3D"/>
    <w:rsid w:val="000D3153"/>
    <w:rsid w:val="000D3517"/>
    <w:rsid w:val="000D5B22"/>
    <w:rsid w:val="000D6288"/>
    <w:rsid w:val="000E1394"/>
    <w:rsid w:val="000E23F9"/>
    <w:rsid w:val="000E2A7B"/>
    <w:rsid w:val="000E6185"/>
    <w:rsid w:val="000E6387"/>
    <w:rsid w:val="000F228E"/>
    <w:rsid w:val="000F2FD4"/>
    <w:rsid w:val="000F54AE"/>
    <w:rsid w:val="00112C41"/>
    <w:rsid w:val="001133C4"/>
    <w:rsid w:val="00113E8C"/>
    <w:rsid w:val="001154A9"/>
    <w:rsid w:val="001243AE"/>
    <w:rsid w:val="0012447D"/>
    <w:rsid w:val="0012691D"/>
    <w:rsid w:val="00127D93"/>
    <w:rsid w:val="00131248"/>
    <w:rsid w:val="00136B7F"/>
    <w:rsid w:val="00136DD1"/>
    <w:rsid w:val="00142EF2"/>
    <w:rsid w:val="00144619"/>
    <w:rsid w:val="00147DA2"/>
    <w:rsid w:val="00152530"/>
    <w:rsid w:val="001525F3"/>
    <w:rsid w:val="00152C9B"/>
    <w:rsid w:val="00154454"/>
    <w:rsid w:val="001559D0"/>
    <w:rsid w:val="00162674"/>
    <w:rsid w:val="001634D4"/>
    <w:rsid w:val="00164700"/>
    <w:rsid w:val="0017071A"/>
    <w:rsid w:val="001717E4"/>
    <w:rsid w:val="001729FB"/>
    <w:rsid w:val="0018306A"/>
    <w:rsid w:val="0018609A"/>
    <w:rsid w:val="00186D50"/>
    <w:rsid w:val="00187408"/>
    <w:rsid w:val="001878B5"/>
    <w:rsid w:val="001904E8"/>
    <w:rsid w:val="00192362"/>
    <w:rsid w:val="00192765"/>
    <w:rsid w:val="00193FBD"/>
    <w:rsid w:val="00196A18"/>
    <w:rsid w:val="001A1759"/>
    <w:rsid w:val="001A2A33"/>
    <w:rsid w:val="001B004E"/>
    <w:rsid w:val="001B043F"/>
    <w:rsid w:val="001B198B"/>
    <w:rsid w:val="001B26F0"/>
    <w:rsid w:val="001B45FE"/>
    <w:rsid w:val="001B69C4"/>
    <w:rsid w:val="001C01DB"/>
    <w:rsid w:val="001C241B"/>
    <w:rsid w:val="001C417F"/>
    <w:rsid w:val="001C43F1"/>
    <w:rsid w:val="001C56FC"/>
    <w:rsid w:val="001C6F1C"/>
    <w:rsid w:val="001D4CED"/>
    <w:rsid w:val="001D512F"/>
    <w:rsid w:val="001D5BBE"/>
    <w:rsid w:val="001E45A6"/>
    <w:rsid w:val="001E4C54"/>
    <w:rsid w:val="001E548F"/>
    <w:rsid w:val="001E5DFF"/>
    <w:rsid w:val="001E7830"/>
    <w:rsid w:val="001F0563"/>
    <w:rsid w:val="001F187B"/>
    <w:rsid w:val="001F3271"/>
    <w:rsid w:val="001F5075"/>
    <w:rsid w:val="00200620"/>
    <w:rsid w:val="00203567"/>
    <w:rsid w:val="002044A5"/>
    <w:rsid w:val="00204743"/>
    <w:rsid w:val="00204FB4"/>
    <w:rsid w:val="00207ADD"/>
    <w:rsid w:val="00210D97"/>
    <w:rsid w:val="00211925"/>
    <w:rsid w:val="00213A34"/>
    <w:rsid w:val="00222195"/>
    <w:rsid w:val="00222D79"/>
    <w:rsid w:val="00227E1A"/>
    <w:rsid w:val="00241366"/>
    <w:rsid w:val="00243C24"/>
    <w:rsid w:val="00244037"/>
    <w:rsid w:val="00246BD5"/>
    <w:rsid w:val="00254481"/>
    <w:rsid w:val="0026328C"/>
    <w:rsid w:val="00265CC9"/>
    <w:rsid w:val="00271494"/>
    <w:rsid w:val="00272626"/>
    <w:rsid w:val="00272BEE"/>
    <w:rsid w:val="00273243"/>
    <w:rsid w:val="00280BD1"/>
    <w:rsid w:val="00281946"/>
    <w:rsid w:val="00282E6B"/>
    <w:rsid w:val="00283A11"/>
    <w:rsid w:val="00283C77"/>
    <w:rsid w:val="00287D35"/>
    <w:rsid w:val="00291638"/>
    <w:rsid w:val="00292A2D"/>
    <w:rsid w:val="00294DAE"/>
    <w:rsid w:val="002A176F"/>
    <w:rsid w:val="002A1BB0"/>
    <w:rsid w:val="002A4374"/>
    <w:rsid w:val="002A480C"/>
    <w:rsid w:val="002A58D8"/>
    <w:rsid w:val="002B2688"/>
    <w:rsid w:val="002B3F36"/>
    <w:rsid w:val="002B63B0"/>
    <w:rsid w:val="002C0099"/>
    <w:rsid w:val="002C564A"/>
    <w:rsid w:val="002C5E72"/>
    <w:rsid w:val="002C7464"/>
    <w:rsid w:val="002D0647"/>
    <w:rsid w:val="002D28DF"/>
    <w:rsid w:val="002D4AC3"/>
    <w:rsid w:val="002E7020"/>
    <w:rsid w:val="002F0FDD"/>
    <w:rsid w:val="00301E0D"/>
    <w:rsid w:val="00304640"/>
    <w:rsid w:val="00304D8B"/>
    <w:rsid w:val="0030688B"/>
    <w:rsid w:val="003111EE"/>
    <w:rsid w:val="003117D4"/>
    <w:rsid w:val="00315D47"/>
    <w:rsid w:val="0031658F"/>
    <w:rsid w:val="00316879"/>
    <w:rsid w:val="00316A13"/>
    <w:rsid w:val="003202D0"/>
    <w:rsid w:val="00320FC3"/>
    <w:rsid w:val="003213DC"/>
    <w:rsid w:val="003227F8"/>
    <w:rsid w:val="0033731C"/>
    <w:rsid w:val="0034068E"/>
    <w:rsid w:val="00340767"/>
    <w:rsid w:val="003450EE"/>
    <w:rsid w:val="00351192"/>
    <w:rsid w:val="0035194C"/>
    <w:rsid w:val="003563E6"/>
    <w:rsid w:val="00356851"/>
    <w:rsid w:val="003606E2"/>
    <w:rsid w:val="003633EA"/>
    <w:rsid w:val="003708AB"/>
    <w:rsid w:val="00370ED4"/>
    <w:rsid w:val="00371045"/>
    <w:rsid w:val="00371434"/>
    <w:rsid w:val="00372383"/>
    <w:rsid w:val="00373E66"/>
    <w:rsid w:val="00384DE5"/>
    <w:rsid w:val="003970FD"/>
    <w:rsid w:val="003A0ECF"/>
    <w:rsid w:val="003A2261"/>
    <w:rsid w:val="003A4BA5"/>
    <w:rsid w:val="003A512A"/>
    <w:rsid w:val="003A6EB4"/>
    <w:rsid w:val="003A7F55"/>
    <w:rsid w:val="003C1D2F"/>
    <w:rsid w:val="003C5017"/>
    <w:rsid w:val="003C6115"/>
    <w:rsid w:val="003D0AE0"/>
    <w:rsid w:val="003D1A84"/>
    <w:rsid w:val="003D1B92"/>
    <w:rsid w:val="003D48BC"/>
    <w:rsid w:val="003D4F4F"/>
    <w:rsid w:val="003D5630"/>
    <w:rsid w:val="003D630B"/>
    <w:rsid w:val="003E0060"/>
    <w:rsid w:val="003E30A6"/>
    <w:rsid w:val="003E4EB1"/>
    <w:rsid w:val="003E586F"/>
    <w:rsid w:val="003E7074"/>
    <w:rsid w:val="003F5AEA"/>
    <w:rsid w:val="003F6DE8"/>
    <w:rsid w:val="003F6E03"/>
    <w:rsid w:val="00400A96"/>
    <w:rsid w:val="00402C65"/>
    <w:rsid w:val="004036E5"/>
    <w:rsid w:val="00406691"/>
    <w:rsid w:val="00406C0A"/>
    <w:rsid w:val="0041061E"/>
    <w:rsid w:val="00414620"/>
    <w:rsid w:val="004178BA"/>
    <w:rsid w:val="00417C03"/>
    <w:rsid w:val="00422E32"/>
    <w:rsid w:val="00422E3A"/>
    <w:rsid w:val="004248AD"/>
    <w:rsid w:val="00427153"/>
    <w:rsid w:val="0043445B"/>
    <w:rsid w:val="00435348"/>
    <w:rsid w:val="00441DC4"/>
    <w:rsid w:val="00445B86"/>
    <w:rsid w:val="004460E6"/>
    <w:rsid w:val="004471B7"/>
    <w:rsid w:val="00447266"/>
    <w:rsid w:val="004543AA"/>
    <w:rsid w:val="00456EC9"/>
    <w:rsid w:val="00461145"/>
    <w:rsid w:val="0046221B"/>
    <w:rsid w:val="00463B91"/>
    <w:rsid w:val="004731DB"/>
    <w:rsid w:val="004736D1"/>
    <w:rsid w:val="004742BA"/>
    <w:rsid w:val="004771EB"/>
    <w:rsid w:val="004809E4"/>
    <w:rsid w:val="00481BDD"/>
    <w:rsid w:val="00482765"/>
    <w:rsid w:val="00484441"/>
    <w:rsid w:val="004871ED"/>
    <w:rsid w:val="00487282"/>
    <w:rsid w:val="0048733A"/>
    <w:rsid w:val="004902FD"/>
    <w:rsid w:val="004935E1"/>
    <w:rsid w:val="004948BA"/>
    <w:rsid w:val="00494BAB"/>
    <w:rsid w:val="004951DA"/>
    <w:rsid w:val="004A01B0"/>
    <w:rsid w:val="004A4612"/>
    <w:rsid w:val="004A50E6"/>
    <w:rsid w:val="004A6477"/>
    <w:rsid w:val="004A7620"/>
    <w:rsid w:val="004B0FA1"/>
    <w:rsid w:val="004B42E0"/>
    <w:rsid w:val="004B4DC9"/>
    <w:rsid w:val="004B7552"/>
    <w:rsid w:val="004C1109"/>
    <w:rsid w:val="004C3084"/>
    <w:rsid w:val="004C7A3B"/>
    <w:rsid w:val="004D060D"/>
    <w:rsid w:val="004D33BC"/>
    <w:rsid w:val="004D3856"/>
    <w:rsid w:val="004D54EF"/>
    <w:rsid w:val="004D5C10"/>
    <w:rsid w:val="004D73E3"/>
    <w:rsid w:val="004D79E0"/>
    <w:rsid w:val="004E1226"/>
    <w:rsid w:val="004E1668"/>
    <w:rsid w:val="004E25CD"/>
    <w:rsid w:val="004E4025"/>
    <w:rsid w:val="004E6263"/>
    <w:rsid w:val="004F5247"/>
    <w:rsid w:val="004F69A0"/>
    <w:rsid w:val="005013FF"/>
    <w:rsid w:val="00503C1A"/>
    <w:rsid w:val="00504D3E"/>
    <w:rsid w:val="0050597D"/>
    <w:rsid w:val="00506FA4"/>
    <w:rsid w:val="00507AAB"/>
    <w:rsid w:val="00517CFE"/>
    <w:rsid w:val="005216F2"/>
    <w:rsid w:val="00521DCD"/>
    <w:rsid w:val="005224F8"/>
    <w:rsid w:val="00526CAF"/>
    <w:rsid w:val="00527E8D"/>
    <w:rsid w:val="00530DB5"/>
    <w:rsid w:val="00531405"/>
    <w:rsid w:val="00536FED"/>
    <w:rsid w:val="00544B21"/>
    <w:rsid w:val="00546AFF"/>
    <w:rsid w:val="005503FD"/>
    <w:rsid w:val="00550871"/>
    <w:rsid w:val="00551385"/>
    <w:rsid w:val="005523BC"/>
    <w:rsid w:val="00553383"/>
    <w:rsid w:val="005556B6"/>
    <w:rsid w:val="00560047"/>
    <w:rsid w:val="00561942"/>
    <w:rsid w:val="005635A2"/>
    <w:rsid w:val="005642ED"/>
    <w:rsid w:val="005645F9"/>
    <w:rsid w:val="00571D1F"/>
    <w:rsid w:val="00572AB6"/>
    <w:rsid w:val="00573945"/>
    <w:rsid w:val="00576DDD"/>
    <w:rsid w:val="005810FF"/>
    <w:rsid w:val="005827A7"/>
    <w:rsid w:val="005863AA"/>
    <w:rsid w:val="0059269F"/>
    <w:rsid w:val="005929DC"/>
    <w:rsid w:val="00597A48"/>
    <w:rsid w:val="005A29B3"/>
    <w:rsid w:val="005A4140"/>
    <w:rsid w:val="005A45B1"/>
    <w:rsid w:val="005A4A08"/>
    <w:rsid w:val="005A5446"/>
    <w:rsid w:val="005A7291"/>
    <w:rsid w:val="005B0ABE"/>
    <w:rsid w:val="005B0DF4"/>
    <w:rsid w:val="005B493F"/>
    <w:rsid w:val="005B524A"/>
    <w:rsid w:val="005B52A2"/>
    <w:rsid w:val="005C0F3E"/>
    <w:rsid w:val="005C1032"/>
    <w:rsid w:val="005C1128"/>
    <w:rsid w:val="005C39BA"/>
    <w:rsid w:val="005C39C3"/>
    <w:rsid w:val="005C75ED"/>
    <w:rsid w:val="005C7B53"/>
    <w:rsid w:val="005D01AC"/>
    <w:rsid w:val="005D4936"/>
    <w:rsid w:val="005D50DB"/>
    <w:rsid w:val="005D6237"/>
    <w:rsid w:val="005D73F9"/>
    <w:rsid w:val="005E19FB"/>
    <w:rsid w:val="005E3EA9"/>
    <w:rsid w:val="005E65BC"/>
    <w:rsid w:val="005F07C8"/>
    <w:rsid w:val="005F3DC6"/>
    <w:rsid w:val="005F730A"/>
    <w:rsid w:val="006002CD"/>
    <w:rsid w:val="006027D2"/>
    <w:rsid w:val="00602884"/>
    <w:rsid w:val="006040CD"/>
    <w:rsid w:val="00605AA9"/>
    <w:rsid w:val="00611A87"/>
    <w:rsid w:val="006209B8"/>
    <w:rsid w:val="0062352B"/>
    <w:rsid w:val="00624636"/>
    <w:rsid w:val="0062541F"/>
    <w:rsid w:val="0062629E"/>
    <w:rsid w:val="00631A71"/>
    <w:rsid w:val="006346CB"/>
    <w:rsid w:val="0063597D"/>
    <w:rsid w:val="0063783C"/>
    <w:rsid w:val="00641A0F"/>
    <w:rsid w:val="0064280A"/>
    <w:rsid w:val="00650C79"/>
    <w:rsid w:val="006557C5"/>
    <w:rsid w:val="00656991"/>
    <w:rsid w:val="00664B31"/>
    <w:rsid w:val="00666D5D"/>
    <w:rsid w:val="006700C9"/>
    <w:rsid w:val="0067290F"/>
    <w:rsid w:val="0068157E"/>
    <w:rsid w:val="00694365"/>
    <w:rsid w:val="006A0569"/>
    <w:rsid w:val="006A3644"/>
    <w:rsid w:val="006A4C0E"/>
    <w:rsid w:val="006A5EAE"/>
    <w:rsid w:val="006A7711"/>
    <w:rsid w:val="006A7C90"/>
    <w:rsid w:val="006B0893"/>
    <w:rsid w:val="006B0C39"/>
    <w:rsid w:val="006B15FD"/>
    <w:rsid w:val="006B172E"/>
    <w:rsid w:val="006B2533"/>
    <w:rsid w:val="006B3EDC"/>
    <w:rsid w:val="006B600E"/>
    <w:rsid w:val="006B6354"/>
    <w:rsid w:val="006C042A"/>
    <w:rsid w:val="006C1DAE"/>
    <w:rsid w:val="006C3039"/>
    <w:rsid w:val="006C3A96"/>
    <w:rsid w:val="006C46E2"/>
    <w:rsid w:val="006C5E35"/>
    <w:rsid w:val="006E1264"/>
    <w:rsid w:val="006E3423"/>
    <w:rsid w:val="006F0D4B"/>
    <w:rsid w:val="006F1260"/>
    <w:rsid w:val="006F1EA2"/>
    <w:rsid w:val="006F26F7"/>
    <w:rsid w:val="006F3033"/>
    <w:rsid w:val="006F6F04"/>
    <w:rsid w:val="006F7398"/>
    <w:rsid w:val="00702D5E"/>
    <w:rsid w:val="007045DB"/>
    <w:rsid w:val="007054FE"/>
    <w:rsid w:val="00705CC0"/>
    <w:rsid w:val="00707404"/>
    <w:rsid w:val="00712198"/>
    <w:rsid w:val="00714E2C"/>
    <w:rsid w:val="00715539"/>
    <w:rsid w:val="00717590"/>
    <w:rsid w:val="007225D8"/>
    <w:rsid w:val="00722B7B"/>
    <w:rsid w:val="0072430C"/>
    <w:rsid w:val="007247BC"/>
    <w:rsid w:val="00725651"/>
    <w:rsid w:val="00726135"/>
    <w:rsid w:val="00726D58"/>
    <w:rsid w:val="00731E3D"/>
    <w:rsid w:val="00732B61"/>
    <w:rsid w:val="00733519"/>
    <w:rsid w:val="0073490A"/>
    <w:rsid w:val="00734C5C"/>
    <w:rsid w:val="0073670A"/>
    <w:rsid w:val="00740C9E"/>
    <w:rsid w:val="00741299"/>
    <w:rsid w:val="00741A29"/>
    <w:rsid w:val="00741C93"/>
    <w:rsid w:val="00742D5A"/>
    <w:rsid w:val="00745E3D"/>
    <w:rsid w:val="00750340"/>
    <w:rsid w:val="00751616"/>
    <w:rsid w:val="00754BEE"/>
    <w:rsid w:val="007558A1"/>
    <w:rsid w:val="00760E6C"/>
    <w:rsid w:val="00764ABE"/>
    <w:rsid w:val="00765E56"/>
    <w:rsid w:val="007709D7"/>
    <w:rsid w:val="007721DF"/>
    <w:rsid w:val="00774830"/>
    <w:rsid w:val="00780ED3"/>
    <w:rsid w:val="007839BA"/>
    <w:rsid w:val="00784B32"/>
    <w:rsid w:val="0078726F"/>
    <w:rsid w:val="007902F4"/>
    <w:rsid w:val="00791F1C"/>
    <w:rsid w:val="00795049"/>
    <w:rsid w:val="007A27FE"/>
    <w:rsid w:val="007A2BB7"/>
    <w:rsid w:val="007A414D"/>
    <w:rsid w:val="007B125F"/>
    <w:rsid w:val="007B1F54"/>
    <w:rsid w:val="007B27EB"/>
    <w:rsid w:val="007B65E1"/>
    <w:rsid w:val="007C1E26"/>
    <w:rsid w:val="007D0D96"/>
    <w:rsid w:val="007D6C4E"/>
    <w:rsid w:val="007D6E43"/>
    <w:rsid w:val="007D71B3"/>
    <w:rsid w:val="007D754C"/>
    <w:rsid w:val="007E22AE"/>
    <w:rsid w:val="007E3285"/>
    <w:rsid w:val="007E5F40"/>
    <w:rsid w:val="007F0011"/>
    <w:rsid w:val="007F33E8"/>
    <w:rsid w:val="007F4832"/>
    <w:rsid w:val="007F5AD3"/>
    <w:rsid w:val="008001D1"/>
    <w:rsid w:val="008020D6"/>
    <w:rsid w:val="00803833"/>
    <w:rsid w:val="00812AF9"/>
    <w:rsid w:val="00817800"/>
    <w:rsid w:val="00822C40"/>
    <w:rsid w:val="0082409B"/>
    <w:rsid w:val="00824E3B"/>
    <w:rsid w:val="00826FD6"/>
    <w:rsid w:val="008328E5"/>
    <w:rsid w:val="00832F17"/>
    <w:rsid w:val="008415DB"/>
    <w:rsid w:val="008420EF"/>
    <w:rsid w:val="00844298"/>
    <w:rsid w:val="00844A68"/>
    <w:rsid w:val="00851C14"/>
    <w:rsid w:val="00854F44"/>
    <w:rsid w:val="00855CBC"/>
    <w:rsid w:val="00857333"/>
    <w:rsid w:val="008600D3"/>
    <w:rsid w:val="00863DC7"/>
    <w:rsid w:val="00870CAF"/>
    <w:rsid w:val="00882822"/>
    <w:rsid w:val="0088747D"/>
    <w:rsid w:val="0089104D"/>
    <w:rsid w:val="0089428F"/>
    <w:rsid w:val="00896283"/>
    <w:rsid w:val="008A3973"/>
    <w:rsid w:val="008B0D4F"/>
    <w:rsid w:val="008B4AE2"/>
    <w:rsid w:val="008B5C13"/>
    <w:rsid w:val="008C1A4C"/>
    <w:rsid w:val="008C2E74"/>
    <w:rsid w:val="008C45A5"/>
    <w:rsid w:val="008C554B"/>
    <w:rsid w:val="008C6DCD"/>
    <w:rsid w:val="008D303A"/>
    <w:rsid w:val="008D7521"/>
    <w:rsid w:val="008E0E61"/>
    <w:rsid w:val="008E2015"/>
    <w:rsid w:val="008E4E85"/>
    <w:rsid w:val="008F2579"/>
    <w:rsid w:val="008F53D6"/>
    <w:rsid w:val="008F61B2"/>
    <w:rsid w:val="008F7431"/>
    <w:rsid w:val="0090018E"/>
    <w:rsid w:val="0090291E"/>
    <w:rsid w:val="00902C17"/>
    <w:rsid w:val="00906197"/>
    <w:rsid w:val="00906373"/>
    <w:rsid w:val="0090638E"/>
    <w:rsid w:val="00906857"/>
    <w:rsid w:val="009106F2"/>
    <w:rsid w:val="00912C95"/>
    <w:rsid w:val="00912E16"/>
    <w:rsid w:val="009133FD"/>
    <w:rsid w:val="00915FEB"/>
    <w:rsid w:val="00917A00"/>
    <w:rsid w:val="00917F12"/>
    <w:rsid w:val="00920127"/>
    <w:rsid w:val="00923E5D"/>
    <w:rsid w:val="00931BDD"/>
    <w:rsid w:val="00932A64"/>
    <w:rsid w:val="00935AEA"/>
    <w:rsid w:val="00935E94"/>
    <w:rsid w:val="00941055"/>
    <w:rsid w:val="009420FA"/>
    <w:rsid w:val="00943B75"/>
    <w:rsid w:val="00944AD0"/>
    <w:rsid w:val="00944F8C"/>
    <w:rsid w:val="00951CB6"/>
    <w:rsid w:val="009538C4"/>
    <w:rsid w:val="00956CAD"/>
    <w:rsid w:val="00965C28"/>
    <w:rsid w:val="009660E9"/>
    <w:rsid w:val="0096674F"/>
    <w:rsid w:val="00966F0A"/>
    <w:rsid w:val="0096756E"/>
    <w:rsid w:val="00970803"/>
    <w:rsid w:val="00971CE8"/>
    <w:rsid w:val="00973F6C"/>
    <w:rsid w:val="00980A9F"/>
    <w:rsid w:val="00981D3B"/>
    <w:rsid w:val="00993E41"/>
    <w:rsid w:val="00995641"/>
    <w:rsid w:val="009A0748"/>
    <w:rsid w:val="009A3241"/>
    <w:rsid w:val="009A37F8"/>
    <w:rsid w:val="009A6E0A"/>
    <w:rsid w:val="009B042F"/>
    <w:rsid w:val="009B09C0"/>
    <w:rsid w:val="009C0D72"/>
    <w:rsid w:val="009C1334"/>
    <w:rsid w:val="009C3415"/>
    <w:rsid w:val="009C407C"/>
    <w:rsid w:val="009C60DD"/>
    <w:rsid w:val="009C6566"/>
    <w:rsid w:val="009D0A6C"/>
    <w:rsid w:val="009D0EAD"/>
    <w:rsid w:val="009D25F4"/>
    <w:rsid w:val="009D62A8"/>
    <w:rsid w:val="009D676E"/>
    <w:rsid w:val="009D697E"/>
    <w:rsid w:val="009D77F1"/>
    <w:rsid w:val="009E0ABB"/>
    <w:rsid w:val="009E2D25"/>
    <w:rsid w:val="009E40F9"/>
    <w:rsid w:val="009F0ED4"/>
    <w:rsid w:val="009F286F"/>
    <w:rsid w:val="009F318B"/>
    <w:rsid w:val="009F3E8F"/>
    <w:rsid w:val="009F68EC"/>
    <w:rsid w:val="009F7FFD"/>
    <w:rsid w:val="00A007EA"/>
    <w:rsid w:val="00A01B2E"/>
    <w:rsid w:val="00A048F9"/>
    <w:rsid w:val="00A05CEA"/>
    <w:rsid w:val="00A075D7"/>
    <w:rsid w:val="00A1191A"/>
    <w:rsid w:val="00A12796"/>
    <w:rsid w:val="00A16195"/>
    <w:rsid w:val="00A20E5E"/>
    <w:rsid w:val="00A25113"/>
    <w:rsid w:val="00A261AE"/>
    <w:rsid w:val="00A265FB"/>
    <w:rsid w:val="00A27069"/>
    <w:rsid w:val="00A3019B"/>
    <w:rsid w:val="00A32AD0"/>
    <w:rsid w:val="00A35525"/>
    <w:rsid w:val="00A35D9E"/>
    <w:rsid w:val="00A36A8E"/>
    <w:rsid w:val="00A46CAA"/>
    <w:rsid w:val="00A4733B"/>
    <w:rsid w:val="00A52AB7"/>
    <w:rsid w:val="00A54750"/>
    <w:rsid w:val="00A57309"/>
    <w:rsid w:val="00A576D2"/>
    <w:rsid w:val="00A63840"/>
    <w:rsid w:val="00A644EC"/>
    <w:rsid w:val="00A669DE"/>
    <w:rsid w:val="00A71F54"/>
    <w:rsid w:val="00A721B5"/>
    <w:rsid w:val="00A76DD6"/>
    <w:rsid w:val="00A778DC"/>
    <w:rsid w:val="00A82975"/>
    <w:rsid w:val="00A85AF5"/>
    <w:rsid w:val="00A93041"/>
    <w:rsid w:val="00A9774A"/>
    <w:rsid w:val="00AA2286"/>
    <w:rsid w:val="00AA3E93"/>
    <w:rsid w:val="00AA53F4"/>
    <w:rsid w:val="00AA5527"/>
    <w:rsid w:val="00AA6473"/>
    <w:rsid w:val="00AB1453"/>
    <w:rsid w:val="00AB3ED8"/>
    <w:rsid w:val="00AB6594"/>
    <w:rsid w:val="00AB7A51"/>
    <w:rsid w:val="00AB7BB0"/>
    <w:rsid w:val="00AC1019"/>
    <w:rsid w:val="00AC10C2"/>
    <w:rsid w:val="00AC4515"/>
    <w:rsid w:val="00AC750B"/>
    <w:rsid w:val="00AD6278"/>
    <w:rsid w:val="00AE10E2"/>
    <w:rsid w:val="00AE1E92"/>
    <w:rsid w:val="00AE2385"/>
    <w:rsid w:val="00AF2C62"/>
    <w:rsid w:val="00AF52F7"/>
    <w:rsid w:val="00AF74BD"/>
    <w:rsid w:val="00B01FE2"/>
    <w:rsid w:val="00B022A9"/>
    <w:rsid w:val="00B03549"/>
    <w:rsid w:val="00B041E8"/>
    <w:rsid w:val="00B04A79"/>
    <w:rsid w:val="00B076ED"/>
    <w:rsid w:val="00B11E44"/>
    <w:rsid w:val="00B22CDC"/>
    <w:rsid w:val="00B24C62"/>
    <w:rsid w:val="00B3367C"/>
    <w:rsid w:val="00B33B9B"/>
    <w:rsid w:val="00B35D4D"/>
    <w:rsid w:val="00B35F36"/>
    <w:rsid w:val="00B40D6E"/>
    <w:rsid w:val="00B45D6F"/>
    <w:rsid w:val="00B50B04"/>
    <w:rsid w:val="00B52562"/>
    <w:rsid w:val="00B53E12"/>
    <w:rsid w:val="00B54029"/>
    <w:rsid w:val="00B54E05"/>
    <w:rsid w:val="00B55605"/>
    <w:rsid w:val="00B64A99"/>
    <w:rsid w:val="00B64B2B"/>
    <w:rsid w:val="00B64E55"/>
    <w:rsid w:val="00B675FB"/>
    <w:rsid w:val="00B709FA"/>
    <w:rsid w:val="00B735D8"/>
    <w:rsid w:val="00B7436C"/>
    <w:rsid w:val="00B74A79"/>
    <w:rsid w:val="00B74D2C"/>
    <w:rsid w:val="00B75479"/>
    <w:rsid w:val="00B75D3D"/>
    <w:rsid w:val="00B84339"/>
    <w:rsid w:val="00B853F3"/>
    <w:rsid w:val="00B858AA"/>
    <w:rsid w:val="00B85DBF"/>
    <w:rsid w:val="00B85DEF"/>
    <w:rsid w:val="00B86AEE"/>
    <w:rsid w:val="00B90587"/>
    <w:rsid w:val="00B91D4D"/>
    <w:rsid w:val="00B9343C"/>
    <w:rsid w:val="00B95172"/>
    <w:rsid w:val="00B95C4A"/>
    <w:rsid w:val="00B96635"/>
    <w:rsid w:val="00B977BA"/>
    <w:rsid w:val="00B97DF8"/>
    <w:rsid w:val="00BA0488"/>
    <w:rsid w:val="00BA05C1"/>
    <w:rsid w:val="00BA146B"/>
    <w:rsid w:val="00BA6073"/>
    <w:rsid w:val="00BA7849"/>
    <w:rsid w:val="00BB0214"/>
    <w:rsid w:val="00BB46ED"/>
    <w:rsid w:val="00BB77A6"/>
    <w:rsid w:val="00BC4C5D"/>
    <w:rsid w:val="00BD2576"/>
    <w:rsid w:val="00BD4102"/>
    <w:rsid w:val="00BD45B3"/>
    <w:rsid w:val="00BD55D1"/>
    <w:rsid w:val="00BD5B45"/>
    <w:rsid w:val="00BD6229"/>
    <w:rsid w:val="00BE0F10"/>
    <w:rsid w:val="00BE3823"/>
    <w:rsid w:val="00BE410F"/>
    <w:rsid w:val="00BE49A5"/>
    <w:rsid w:val="00BE7822"/>
    <w:rsid w:val="00BF388E"/>
    <w:rsid w:val="00BF4F5D"/>
    <w:rsid w:val="00BF6EBE"/>
    <w:rsid w:val="00C13C43"/>
    <w:rsid w:val="00C16985"/>
    <w:rsid w:val="00C175EA"/>
    <w:rsid w:val="00C20931"/>
    <w:rsid w:val="00C21EEC"/>
    <w:rsid w:val="00C30A35"/>
    <w:rsid w:val="00C3174E"/>
    <w:rsid w:val="00C35266"/>
    <w:rsid w:val="00C37BE3"/>
    <w:rsid w:val="00C37D4B"/>
    <w:rsid w:val="00C413EE"/>
    <w:rsid w:val="00C44386"/>
    <w:rsid w:val="00C4643C"/>
    <w:rsid w:val="00C50001"/>
    <w:rsid w:val="00C52C7E"/>
    <w:rsid w:val="00C54864"/>
    <w:rsid w:val="00C549C6"/>
    <w:rsid w:val="00C643EB"/>
    <w:rsid w:val="00C677EE"/>
    <w:rsid w:val="00C707C7"/>
    <w:rsid w:val="00C749A5"/>
    <w:rsid w:val="00C75024"/>
    <w:rsid w:val="00C75882"/>
    <w:rsid w:val="00C76CF8"/>
    <w:rsid w:val="00C80C83"/>
    <w:rsid w:val="00C81B0E"/>
    <w:rsid w:val="00C81C48"/>
    <w:rsid w:val="00C82EA9"/>
    <w:rsid w:val="00C84330"/>
    <w:rsid w:val="00C85720"/>
    <w:rsid w:val="00C85E51"/>
    <w:rsid w:val="00CA23E2"/>
    <w:rsid w:val="00CA3CCA"/>
    <w:rsid w:val="00CB2313"/>
    <w:rsid w:val="00CB57FF"/>
    <w:rsid w:val="00CB7B35"/>
    <w:rsid w:val="00CC0210"/>
    <w:rsid w:val="00CC1A2D"/>
    <w:rsid w:val="00CC489D"/>
    <w:rsid w:val="00CC713C"/>
    <w:rsid w:val="00CD19E5"/>
    <w:rsid w:val="00CD6F17"/>
    <w:rsid w:val="00CE0D4D"/>
    <w:rsid w:val="00CE1246"/>
    <w:rsid w:val="00CE13A8"/>
    <w:rsid w:val="00CE3DB9"/>
    <w:rsid w:val="00CE6387"/>
    <w:rsid w:val="00CE78E7"/>
    <w:rsid w:val="00CF284C"/>
    <w:rsid w:val="00CF31C4"/>
    <w:rsid w:val="00CF7634"/>
    <w:rsid w:val="00D0225D"/>
    <w:rsid w:val="00D04260"/>
    <w:rsid w:val="00D06C55"/>
    <w:rsid w:val="00D1162F"/>
    <w:rsid w:val="00D13D55"/>
    <w:rsid w:val="00D13E54"/>
    <w:rsid w:val="00D142D1"/>
    <w:rsid w:val="00D14CEB"/>
    <w:rsid w:val="00D22C85"/>
    <w:rsid w:val="00D27A67"/>
    <w:rsid w:val="00D3024F"/>
    <w:rsid w:val="00D313A8"/>
    <w:rsid w:val="00D35B16"/>
    <w:rsid w:val="00D41D42"/>
    <w:rsid w:val="00D43541"/>
    <w:rsid w:val="00D4529E"/>
    <w:rsid w:val="00D47C8E"/>
    <w:rsid w:val="00D50FE8"/>
    <w:rsid w:val="00D5203F"/>
    <w:rsid w:val="00D53301"/>
    <w:rsid w:val="00D54C42"/>
    <w:rsid w:val="00D566AC"/>
    <w:rsid w:val="00D6702B"/>
    <w:rsid w:val="00D70F57"/>
    <w:rsid w:val="00D71B04"/>
    <w:rsid w:val="00D71E44"/>
    <w:rsid w:val="00D72E7D"/>
    <w:rsid w:val="00D73135"/>
    <w:rsid w:val="00D7599B"/>
    <w:rsid w:val="00D76CEF"/>
    <w:rsid w:val="00D80469"/>
    <w:rsid w:val="00D8260E"/>
    <w:rsid w:val="00D902D7"/>
    <w:rsid w:val="00DA0467"/>
    <w:rsid w:val="00DA1BD9"/>
    <w:rsid w:val="00DA2AD2"/>
    <w:rsid w:val="00DA5F54"/>
    <w:rsid w:val="00DA745C"/>
    <w:rsid w:val="00DA7D84"/>
    <w:rsid w:val="00DB119A"/>
    <w:rsid w:val="00DB42E6"/>
    <w:rsid w:val="00DB728A"/>
    <w:rsid w:val="00DC1E61"/>
    <w:rsid w:val="00DC2A79"/>
    <w:rsid w:val="00DC57BF"/>
    <w:rsid w:val="00DC7389"/>
    <w:rsid w:val="00DD048A"/>
    <w:rsid w:val="00DD06BB"/>
    <w:rsid w:val="00DD2084"/>
    <w:rsid w:val="00DD2FA9"/>
    <w:rsid w:val="00DD6026"/>
    <w:rsid w:val="00DD72B6"/>
    <w:rsid w:val="00DD7ECB"/>
    <w:rsid w:val="00DE25D6"/>
    <w:rsid w:val="00DE3261"/>
    <w:rsid w:val="00DE45FF"/>
    <w:rsid w:val="00DE4F98"/>
    <w:rsid w:val="00DE5544"/>
    <w:rsid w:val="00DE62AA"/>
    <w:rsid w:val="00DE6D02"/>
    <w:rsid w:val="00DE6DCD"/>
    <w:rsid w:val="00DF07BC"/>
    <w:rsid w:val="00DF19BD"/>
    <w:rsid w:val="00DF2839"/>
    <w:rsid w:val="00DF71CC"/>
    <w:rsid w:val="00DF7CAA"/>
    <w:rsid w:val="00E0303A"/>
    <w:rsid w:val="00E0471A"/>
    <w:rsid w:val="00E0545C"/>
    <w:rsid w:val="00E068E8"/>
    <w:rsid w:val="00E0774A"/>
    <w:rsid w:val="00E110FF"/>
    <w:rsid w:val="00E11756"/>
    <w:rsid w:val="00E11F6E"/>
    <w:rsid w:val="00E13834"/>
    <w:rsid w:val="00E16515"/>
    <w:rsid w:val="00E16AA0"/>
    <w:rsid w:val="00E174FD"/>
    <w:rsid w:val="00E17F83"/>
    <w:rsid w:val="00E2015B"/>
    <w:rsid w:val="00E22209"/>
    <w:rsid w:val="00E237B3"/>
    <w:rsid w:val="00E23CC8"/>
    <w:rsid w:val="00E25BC0"/>
    <w:rsid w:val="00E315E7"/>
    <w:rsid w:val="00E372C0"/>
    <w:rsid w:val="00E42ED0"/>
    <w:rsid w:val="00E453B5"/>
    <w:rsid w:val="00E477AE"/>
    <w:rsid w:val="00E5485F"/>
    <w:rsid w:val="00E6166B"/>
    <w:rsid w:val="00E64DFB"/>
    <w:rsid w:val="00E6748B"/>
    <w:rsid w:val="00E7089D"/>
    <w:rsid w:val="00E71133"/>
    <w:rsid w:val="00E716BF"/>
    <w:rsid w:val="00E7366E"/>
    <w:rsid w:val="00E80818"/>
    <w:rsid w:val="00E8108C"/>
    <w:rsid w:val="00E81FD1"/>
    <w:rsid w:val="00E82021"/>
    <w:rsid w:val="00E8207E"/>
    <w:rsid w:val="00E87ABD"/>
    <w:rsid w:val="00E90776"/>
    <w:rsid w:val="00E91D49"/>
    <w:rsid w:val="00E9503E"/>
    <w:rsid w:val="00E95EF6"/>
    <w:rsid w:val="00EA3897"/>
    <w:rsid w:val="00EA791D"/>
    <w:rsid w:val="00EB0BC7"/>
    <w:rsid w:val="00EB40AB"/>
    <w:rsid w:val="00EB4772"/>
    <w:rsid w:val="00EB56ED"/>
    <w:rsid w:val="00EC28C3"/>
    <w:rsid w:val="00EC345B"/>
    <w:rsid w:val="00EC4EEC"/>
    <w:rsid w:val="00EC5858"/>
    <w:rsid w:val="00EC7928"/>
    <w:rsid w:val="00ED0510"/>
    <w:rsid w:val="00ED1426"/>
    <w:rsid w:val="00ED58A6"/>
    <w:rsid w:val="00ED7BF7"/>
    <w:rsid w:val="00EE2078"/>
    <w:rsid w:val="00EE4A6F"/>
    <w:rsid w:val="00EF0C70"/>
    <w:rsid w:val="00EF17CF"/>
    <w:rsid w:val="00EF1EAD"/>
    <w:rsid w:val="00EF718E"/>
    <w:rsid w:val="00F00CEC"/>
    <w:rsid w:val="00F01B61"/>
    <w:rsid w:val="00F024FC"/>
    <w:rsid w:val="00F05DAB"/>
    <w:rsid w:val="00F1704F"/>
    <w:rsid w:val="00F20FFA"/>
    <w:rsid w:val="00F21288"/>
    <w:rsid w:val="00F21C93"/>
    <w:rsid w:val="00F22C12"/>
    <w:rsid w:val="00F233AD"/>
    <w:rsid w:val="00F24906"/>
    <w:rsid w:val="00F24AC5"/>
    <w:rsid w:val="00F36527"/>
    <w:rsid w:val="00F3716A"/>
    <w:rsid w:val="00F410F0"/>
    <w:rsid w:val="00F42A0B"/>
    <w:rsid w:val="00F440C1"/>
    <w:rsid w:val="00F44687"/>
    <w:rsid w:val="00F45172"/>
    <w:rsid w:val="00F4584F"/>
    <w:rsid w:val="00F46685"/>
    <w:rsid w:val="00F5145F"/>
    <w:rsid w:val="00F51E6E"/>
    <w:rsid w:val="00F5407E"/>
    <w:rsid w:val="00F55803"/>
    <w:rsid w:val="00F55E93"/>
    <w:rsid w:val="00F64572"/>
    <w:rsid w:val="00F70B0E"/>
    <w:rsid w:val="00F70C22"/>
    <w:rsid w:val="00F70EE4"/>
    <w:rsid w:val="00F71016"/>
    <w:rsid w:val="00F7187D"/>
    <w:rsid w:val="00F72CE6"/>
    <w:rsid w:val="00F73F97"/>
    <w:rsid w:val="00F76762"/>
    <w:rsid w:val="00F76856"/>
    <w:rsid w:val="00F82F31"/>
    <w:rsid w:val="00F86F08"/>
    <w:rsid w:val="00F93FDD"/>
    <w:rsid w:val="00F94F85"/>
    <w:rsid w:val="00F95160"/>
    <w:rsid w:val="00F95C11"/>
    <w:rsid w:val="00FA07A1"/>
    <w:rsid w:val="00FA0986"/>
    <w:rsid w:val="00FA5BB4"/>
    <w:rsid w:val="00FB50C7"/>
    <w:rsid w:val="00FC2957"/>
    <w:rsid w:val="00FC5046"/>
    <w:rsid w:val="00FC53A0"/>
    <w:rsid w:val="00FC70E3"/>
    <w:rsid w:val="00FC74AE"/>
    <w:rsid w:val="00FD0103"/>
    <w:rsid w:val="00FD56AD"/>
    <w:rsid w:val="00FD7C0D"/>
    <w:rsid w:val="00FE0FDD"/>
    <w:rsid w:val="00FE1839"/>
    <w:rsid w:val="00FE25E4"/>
    <w:rsid w:val="00FE3560"/>
    <w:rsid w:val="00FE65F9"/>
    <w:rsid w:val="00FE77AD"/>
    <w:rsid w:val="00FE7A6C"/>
    <w:rsid w:val="00FF0FD0"/>
    <w:rsid w:val="00FF27F3"/>
    <w:rsid w:val="00FF6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AA1E5EB"/>
  <w15:docId w15:val="{870C73D3-4A32-44D5-8227-AA0DE345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C1019"/>
  </w:style>
  <w:style w:type="character" w:customStyle="1" w:styleId="FootnoteTextChar">
    <w:name w:val="Footnote Text Char"/>
    <w:basedOn w:val="DefaultParagraphFont"/>
    <w:link w:val="FootnoteText"/>
    <w:uiPriority w:val="99"/>
    <w:rsid w:val="00AC1019"/>
  </w:style>
  <w:style w:type="character" w:styleId="FootnoteReference">
    <w:name w:val="footnote reference"/>
    <w:basedOn w:val="DefaultParagraphFont"/>
    <w:uiPriority w:val="99"/>
    <w:unhideWhenUsed/>
    <w:rsid w:val="00AC1019"/>
    <w:rPr>
      <w:vertAlign w:val="superscript"/>
    </w:rPr>
  </w:style>
  <w:style w:type="paragraph" w:styleId="EndnoteText">
    <w:name w:val="endnote text"/>
    <w:basedOn w:val="Normal"/>
    <w:link w:val="EndnoteTextChar"/>
    <w:uiPriority w:val="99"/>
    <w:unhideWhenUsed/>
    <w:rsid w:val="00B74D2C"/>
  </w:style>
  <w:style w:type="character" w:customStyle="1" w:styleId="EndnoteTextChar">
    <w:name w:val="Endnote Text Char"/>
    <w:basedOn w:val="DefaultParagraphFont"/>
    <w:link w:val="EndnoteText"/>
    <w:uiPriority w:val="99"/>
    <w:rsid w:val="00B74D2C"/>
  </w:style>
  <w:style w:type="character" w:styleId="EndnoteReference">
    <w:name w:val="endnote reference"/>
    <w:basedOn w:val="DefaultParagraphFont"/>
    <w:uiPriority w:val="99"/>
    <w:unhideWhenUsed/>
    <w:rsid w:val="00B74D2C"/>
    <w:rPr>
      <w:vertAlign w:val="superscript"/>
    </w:rPr>
  </w:style>
  <w:style w:type="paragraph" w:styleId="Footer">
    <w:name w:val="footer"/>
    <w:basedOn w:val="Normal"/>
    <w:link w:val="FooterChar"/>
    <w:uiPriority w:val="99"/>
    <w:unhideWhenUsed/>
    <w:rsid w:val="0000553F"/>
    <w:pPr>
      <w:tabs>
        <w:tab w:val="center" w:pos="4320"/>
        <w:tab w:val="right" w:pos="8640"/>
      </w:tabs>
    </w:pPr>
  </w:style>
  <w:style w:type="character" w:customStyle="1" w:styleId="FooterChar">
    <w:name w:val="Footer Char"/>
    <w:basedOn w:val="DefaultParagraphFont"/>
    <w:link w:val="Footer"/>
    <w:uiPriority w:val="99"/>
    <w:rsid w:val="0000553F"/>
  </w:style>
  <w:style w:type="character" w:styleId="PageNumber">
    <w:name w:val="page number"/>
    <w:basedOn w:val="DefaultParagraphFont"/>
    <w:uiPriority w:val="99"/>
    <w:semiHidden/>
    <w:unhideWhenUsed/>
    <w:rsid w:val="0000553F"/>
  </w:style>
  <w:style w:type="paragraph" w:styleId="Header">
    <w:name w:val="header"/>
    <w:basedOn w:val="Normal"/>
    <w:link w:val="HeaderChar"/>
    <w:uiPriority w:val="99"/>
    <w:unhideWhenUsed/>
    <w:rsid w:val="00A05CEA"/>
    <w:pPr>
      <w:tabs>
        <w:tab w:val="center" w:pos="4513"/>
        <w:tab w:val="right" w:pos="9026"/>
      </w:tabs>
    </w:pPr>
  </w:style>
  <w:style w:type="character" w:customStyle="1" w:styleId="HeaderChar">
    <w:name w:val="Header Char"/>
    <w:basedOn w:val="DefaultParagraphFont"/>
    <w:link w:val="Header"/>
    <w:uiPriority w:val="99"/>
    <w:rsid w:val="00A05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683926A0F24C74BF499C739D86E576"/>
        <w:category>
          <w:name w:val="General"/>
          <w:gallery w:val="placeholder"/>
        </w:category>
        <w:types>
          <w:type w:val="bbPlcHdr"/>
        </w:types>
        <w:behaviors>
          <w:behavior w:val="content"/>
        </w:behaviors>
        <w:guid w:val="{E92D76CF-73F8-4884-A2C9-05189E82F8A4}"/>
      </w:docPartPr>
      <w:docPartBody>
        <w:p w:rsidR="00F5227E" w:rsidRDefault="00A065F5" w:rsidP="00A065F5">
          <w:pPr>
            <w:pStyle w:val="DE683926A0F24C74BF499C739D86E576"/>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F5"/>
    <w:rsid w:val="00A065F5"/>
    <w:rsid w:val="00F52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683926A0F24C74BF499C739D86E576">
    <w:name w:val="DE683926A0F24C74BF499C739D86E576"/>
    <w:rsid w:val="00A06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CE988-E1F0-4155-8FE4-B1198519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8482</Words>
  <Characters>48350</Characters>
  <Application>Microsoft Office Word</Application>
  <DocSecurity>4</DocSecurity>
  <Lines>402</Lines>
  <Paragraphs>113</Paragraphs>
  <ScaleCrop>false</ScaleCrop>
  <HeadingPairs>
    <vt:vector size="2" baseType="variant">
      <vt:variant>
        <vt:lpstr>Title</vt:lpstr>
      </vt:variant>
      <vt:variant>
        <vt:i4>1</vt:i4>
      </vt:variant>
    </vt:vector>
  </HeadingPairs>
  <TitlesOfParts>
    <vt:vector size="1" baseType="lpstr">
      <vt:lpstr>(2019) 2 conv</vt:lpstr>
    </vt:vector>
  </TitlesOfParts>
  <Company>University of Southampton</Company>
  <LinksUpToDate>false</LinksUpToDate>
  <CharactersWithSpaces>56719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2 conv</dc:title>
  <dc:subject/>
  <dc:creator>Remigius Nwabueze</dc:creator>
  <cp:keywords/>
  <dc:description/>
  <cp:lastModifiedBy>Edwards L.</cp:lastModifiedBy>
  <cp:revision>2</cp:revision>
  <cp:lastPrinted>2017-06-30T12:47:00Z</cp:lastPrinted>
  <dcterms:created xsi:type="dcterms:W3CDTF">2018-11-29T12:49:00Z</dcterms:created>
  <dcterms:modified xsi:type="dcterms:W3CDTF">2018-11-29T12:49:00Z</dcterms:modified>
</cp:coreProperties>
</file>