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AAF93" w14:textId="77777777" w:rsidR="00731235" w:rsidRPr="000C14F7" w:rsidRDefault="00731235" w:rsidP="00731235">
      <w:pPr>
        <w:spacing w:before="120"/>
        <w:rPr>
          <w:b/>
          <w:bCs/>
          <w:sz w:val="24"/>
        </w:rPr>
      </w:pPr>
      <w:bookmarkStart w:id="0" w:name="_GoBack"/>
      <w:bookmarkEnd w:id="0"/>
      <w:r w:rsidRPr="000C14F7">
        <w:rPr>
          <w:b/>
          <w:sz w:val="24"/>
        </w:rPr>
        <w:t>Gene expression profiling in a</w:t>
      </w:r>
      <w:r>
        <w:rPr>
          <w:b/>
          <w:sz w:val="24"/>
        </w:rPr>
        <w:t>n open-label</w:t>
      </w:r>
      <w:r w:rsidRPr="000C14F7">
        <w:rPr>
          <w:b/>
          <w:sz w:val="24"/>
        </w:rPr>
        <w:t xml:space="preserve"> </w:t>
      </w:r>
      <w:r w:rsidRPr="000C14F7">
        <w:rPr>
          <w:b/>
          <w:bCs/>
          <w:sz w:val="24"/>
        </w:rPr>
        <w:t xml:space="preserve">randomised </w:t>
      </w:r>
      <w:r>
        <w:rPr>
          <w:b/>
          <w:bCs/>
          <w:sz w:val="24"/>
        </w:rPr>
        <w:t xml:space="preserve">phase 3 </w:t>
      </w:r>
      <w:r w:rsidRPr="000C14F7">
        <w:rPr>
          <w:b/>
          <w:bCs/>
          <w:sz w:val="24"/>
        </w:rPr>
        <w:t xml:space="preserve">trial </w:t>
      </w:r>
      <w:r>
        <w:rPr>
          <w:b/>
          <w:bCs/>
          <w:sz w:val="24"/>
        </w:rPr>
        <w:t xml:space="preserve">(REMoDL-B) </w:t>
      </w:r>
      <w:r w:rsidRPr="000C14F7">
        <w:rPr>
          <w:b/>
          <w:bCs/>
          <w:sz w:val="24"/>
        </w:rPr>
        <w:t>of bortezomib added to standard chemoimmunotherapy for diffuse large B-cell lymphoma.</w:t>
      </w:r>
    </w:p>
    <w:p w14:paraId="454E6F85" w14:textId="77777777" w:rsidR="00731235" w:rsidRDefault="00731235" w:rsidP="00731235">
      <w:pPr>
        <w:spacing w:before="120"/>
        <w:rPr>
          <w:b/>
          <w:bCs/>
        </w:rPr>
      </w:pPr>
    </w:p>
    <w:p w14:paraId="6D192857" w14:textId="674407CF" w:rsidR="00731235" w:rsidRPr="003B1D1F" w:rsidRDefault="00731235" w:rsidP="00731235">
      <w:pPr>
        <w:pStyle w:val="p1"/>
        <w:rPr>
          <w:rFonts w:asciiTheme="minorHAnsi" w:hAnsiTheme="minorHAnsi"/>
          <w:sz w:val="24"/>
        </w:rPr>
      </w:pPr>
      <w:r w:rsidRPr="003B1D1F">
        <w:rPr>
          <w:rFonts w:asciiTheme="minorHAnsi" w:hAnsiTheme="minorHAnsi"/>
          <w:b/>
          <w:bCs/>
          <w:sz w:val="24"/>
        </w:rPr>
        <w:t>Andrew Davies</w:t>
      </w:r>
      <w:r w:rsidRPr="003B1D1F">
        <w:rPr>
          <w:rFonts w:asciiTheme="minorHAnsi" w:hAnsiTheme="minorHAnsi"/>
          <w:b/>
          <w:bCs/>
          <w:sz w:val="24"/>
          <w:vertAlign w:val="superscript"/>
        </w:rPr>
        <w:t>1,3</w:t>
      </w:r>
      <w:r w:rsidRPr="003B1D1F">
        <w:rPr>
          <w:rFonts w:asciiTheme="minorHAnsi" w:hAnsiTheme="minorHAnsi"/>
          <w:b/>
          <w:bCs/>
          <w:sz w:val="24"/>
        </w:rPr>
        <w:t>, T</w:t>
      </w:r>
      <w:r>
        <w:rPr>
          <w:rFonts w:asciiTheme="minorHAnsi" w:hAnsiTheme="minorHAnsi"/>
          <w:b/>
          <w:bCs/>
          <w:sz w:val="24"/>
        </w:rPr>
        <w:t>homas</w:t>
      </w:r>
      <w:r w:rsidRPr="003B1D1F">
        <w:rPr>
          <w:rFonts w:asciiTheme="minorHAnsi" w:hAnsiTheme="minorHAnsi"/>
          <w:b/>
          <w:bCs/>
          <w:sz w:val="24"/>
        </w:rPr>
        <w:t xml:space="preserve"> Cummin</w:t>
      </w:r>
      <w:r w:rsidRPr="003B1D1F">
        <w:rPr>
          <w:rFonts w:asciiTheme="minorHAnsi" w:hAnsiTheme="minorHAnsi"/>
          <w:b/>
          <w:bCs/>
          <w:sz w:val="24"/>
          <w:vertAlign w:val="superscript"/>
        </w:rPr>
        <w:t xml:space="preserve">1,3 </w:t>
      </w:r>
      <w:r w:rsidRPr="003B1D1F">
        <w:rPr>
          <w:rFonts w:asciiTheme="minorHAnsi" w:hAnsiTheme="minorHAnsi"/>
          <w:b/>
          <w:bCs/>
          <w:sz w:val="24"/>
        </w:rPr>
        <w:t>, Sharon Barrans</w:t>
      </w:r>
      <w:r w:rsidRPr="003B1D1F">
        <w:rPr>
          <w:rFonts w:asciiTheme="minorHAnsi" w:hAnsiTheme="minorHAnsi"/>
          <w:b/>
          <w:bCs/>
          <w:sz w:val="24"/>
          <w:vertAlign w:val="superscript"/>
        </w:rPr>
        <w:t>2</w:t>
      </w:r>
      <w:r w:rsidRPr="003B1D1F">
        <w:rPr>
          <w:rFonts w:asciiTheme="minorHAnsi" w:hAnsiTheme="minorHAnsi"/>
          <w:b/>
          <w:bCs/>
          <w:sz w:val="24"/>
        </w:rPr>
        <w:t>, Tom Maishman</w:t>
      </w:r>
      <w:r w:rsidRPr="003B1D1F">
        <w:rPr>
          <w:rFonts w:asciiTheme="minorHAnsi" w:hAnsiTheme="minorHAnsi"/>
          <w:b/>
          <w:bCs/>
          <w:sz w:val="24"/>
          <w:vertAlign w:val="superscript"/>
        </w:rPr>
        <w:t>3</w:t>
      </w:r>
      <w:r w:rsidRPr="003B1D1F">
        <w:rPr>
          <w:rFonts w:asciiTheme="minorHAnsi" w:hAnsiTheme="minorHAnsi"/>
          <w:b/>
          <w:bCs/>
          <w:sz w:val="24"/>
        </w:rPr>
        <w:t>, Christoph Mamot</w:t>
      </w:r>
      <w:r>
        <w:rPr>
          <w:rFonts w:asciiTheme="minorHAnsi" w:hAnsiTheme="minorHAnsi"/>
          <w:b/>
          <w:bCs/>
          <w:sz w:val="24"/>
          <w:vertAlign w:val="superscript"/>
        </w:rPr>
        <w:t>4#</w:t>
      </w:r>
      <w:r w:rsidRPr="003B1D1F">
        <w:rPr>
          <w:rFonts w:asciiTheme="minorHAnsi" w:hAnsiTheme="minorHAnsi"/>
          <w:b/>
          <w:bCs/>
          <w:sz w:val="24"/>
        </w:rPr>
        <w:t>, Urban Novak</w:t>
      </w:r>
      <w:r>
        <w:rPr>
          <w:rFonts w:asciiTheme="minorHAnsi" w:hAnsiTheme="minorHAnsi"/>
          <w:b/>
          <w:bCs/>
          <w:sz w:val="24"/>
          <w:vertAlign w:val="superscript"/>
        </w:rPr>
        <w:t>5#</w:t>
      </w:r>
      <w:r w:rsidRPr="003B1D1F">
        <w:rPr>
          <w:rFonts w:asciiTheme="minorHAnsi" w:hAnsiTheme="minorHAnsi"/>
          <w:b/>
          <w:bCs/>
          <w:sz w:val="24"/>
        </w:rPr>
        <w:t>, Josh Caddy</w:t>
      </w:r>
      <w:r w:rsidRPr="003B1D1F">
        <w:rPr>
          <w:rFonts w:asciiTheme="minorHAnsi" w:hAnsiTheme="minorHAnsi"/>
          <w:b/>
          <w:bCs/>
          <w:sz w:val="24"/>
          <w:vertAlign w:val="superscript"/>
        </w:rPr>
        <w:t>3</w:t>
      </w:r>
      <w:r w:rsidRPr="003B1D1F">
        <w:rPr>
          <w:rFonts w:asciiTheme="minorHAnsi" w:hAnsiTheme="minorHAnsi"/>
          <w:b/>
          <w:bCs/>
          <w:sz w:val="24"/>
        </w:rPr>
        <w:t>, Louise Stanton</w:t>
      </w:r>
      <w:r w:rsidRPr="003B1D1F">
        <w:rPr>
          <w:rFonts w:asciiTheme="minorHAnsi" w:hAnsiTheme="minorHAnsi"/>
          <w:b/>
          <w:bCs/>
          <w:sz w:val="24"/>
          <w:vertAlign w:val="superscript"/>
        </w:rPr>
        <w:t>3</w:t>
      </w:r>
      <w:r w:rsidRPr="003B1D1F">
        <w:rPr>
          <w:rFonts w:asciiTheme="minorHAnsi" w:hAnsiTheme="minorHAnsi"/>
          <w:b/>
          <w:bCs/>
          <w:sz w:val="24"/>
        </w:rPr>
        <w:t>, Shamim Kazmi-Stokes</w:t>
      </w:r>
      <w:r>
        <w:rPr>
          <w:rFonts w:asciiTheme="minorHAnsi" w:hAnsiTheme="minorHAnsi"/>
          <w:b/>
          <w:bCs/>
          <w:sz w:val="24"/>
          <w:vertAlign w:val="superscript"/>
        </w:rPr>
        <w:t>6</w:t>
      </w:r>
      <w:r w:rsidRPr="003B1D1F">
        <w:rPr>
          <w:rFonts w:asciiTheme="minorHAnsi" w:hAnsiTheme="minorHAnsi"/>
          <w:b/>
          <w:bCs/>
          <w:sz w:val="24"/>
        </w:rPr>
        <w:t>, Andrew McMillan</w:t>
      </w:r>
      <w:r>
        <w:rPr>
          <w:rFonts w:asciiTheme="minorHAnsi" w:hAnsiTheme="minorHAnsi"/>
          <w:b/>
          <w:bCs/>
          <w:sz w:val="24"/>
          <w:vertAlign w:val="superscript"/>
        </w:rPr>
        <w:t>7</w:t>
      </w:r>
      <w:r w:rsidRPr="003B1D1F">
        <w:rPr>
          <w:rFonts w:asciiTheme="minorHAnsi" w:hAnsiTheme="minorHAnsi"/>
          <w:b/>
          <w:bCs/>
          <w:sz w:val="24"/>
        </w:rPr>
        <w:t>, Paul Fields</w:t>
      </w:r>
      <w:r>
        <w:rPr>
          <w:rFonts w:asciiTheme="minorHAnsi" w:hAnsiTheme="minorHAnsi"/>
          <w:b/>
          <w:bCs/>
          <w:sz w:val="24"/>
          <w:vertAlign w:val="superscript"/>
        </w:rPr>
        <w:t>8</w:t>
      </w:r>
      <w:r w:rsidRPr="003B1D1F">
        <w:rPr>
          <w:rFonts w:asciiTheme="minorHAnsi" w:hAnsiTheme="minorHAnsi"/>
          <w:b/>
          <w:bCs/>
          <w:sz w:val="24"/>
        </w:rPr>
        <w:t>, Christopher Pocock</w:t>
      </w:r>
      <w:r>
        <w:rPr>
          <w:rFonts w:asciiTheme="minorHAnsi" w:hAnsiTheme="minorHAnsi"/>
          <w:b/>
          <w:bCs/>
          <w:sz w:val="24"/>
          <w:vertAlign w:val="superscript"/>
        </w:rPr>
        <w:t>9</w:t>
      </w:r>
      <w:r w:rsidRPr="003B1D1F">
        <w:rPr>
          <w:rFonts w:asciiTheme="minorHAnsi" w:hAnsiTheme="minorHAnsi"/>
          <w:b/>
          <w:bCs/>
          <w:sz w:val="24"/>
        </w:rPr>
        <w:t>, Graham Collins</w:t>
      </w:r>
      <w:r w:rsidRPr="003B1D1F">
        <w:rPr>
          <w:rFonts w:asciiTheme="minorHAnsi" w:hAnsiTheme="minorHAnsi"/>
          <w:b/>
          <w:bCs/>
          <w:sz w:val="24"/>
          <w:vertAlign w:val="superscript"/>
        </w:rPr>
        <w:t>1</w:t>
      </w:r>
      <w:r>
        <w:rPr>
          <w:rFonts w:asciiTheme="minorHAnsi" w:hAnsiTheme="minorHAnsi"/>
          <w:b/>
          <w:bCs/>
          <w:sz w:val="24"/>
          <w:vertAlign w:val="superscript"/>
        </w:rPr>
        <w:t>0</w:t>
      </w:r>
      <w:r w:rsidRPr="003B1D1F">
        <w:rPr>
          <w:rFonts w:asciiTheme="minorHAnsi" w:hAnsiTheme="minorHAnsi"/>
          <w:b/>
          <w:bCs/>
          <w:sz w:val="24"/>
        </w:rPr>
        <w:t xml:space="preserve">, </w:t>
      </w:r>
      <w:r w:rsidR="008E1F99">
        <w:rPr>
          <w:rFonts w:asciiTheme="minorHAnsi" w:hAnsiTheme="minorHAnsi"/>
          <w:b/>
          <w:bCs/>
          <w:sz w:val="24"/>
        </w:rPr>
        <w:t>Richard Stephens</w:t>
      </w:r>
      <w:r w:rsidR="008E1F99" w:rsidRPr="009C0CA5">
        <w:rPr>
          <w:rFonts w:asciiTheme="minorHAnsi" w:hAnsiTheme="minorHAnsi"/>
          <w:b/>
          <w:bCs/>
          <w:sz w:val="24"/>
          <w:vertAlign w:val="superscript"/>
        </w:rPr>
        <w:t>11</w:t>
      </w:r>
      <w:r w:rsidR="008E1F99">
        <w:rPr>
          <w:rFonts w:asciiTheme="minorHAnsi" w:hAnsiTheme="minorHAnsi"/>
          <w:b/>
          <w:bCs/>
          <w:sz w:val="24"/>
        </w:rPr>
        <w:t xml:space="preserve">, </w:t>
      </w:r>
      <w:r w:rsidRPr="003B1D1F">
        <w:rPr>
          <w:rFonts w:asciiTheme="minorHAnsi" w:hAnsiTheme="minorHAnsi"/>
          <w:b/>
          <w:bCs/>
          <w:sz w:val="24"/>
        </w:rPr>
        <w:t>Francesco Cucco</w:t>
      </w:r>
      <w:r w:rsidRPr="003B1D1F">
        <w:rPr>
          <w:rFonts w:asciiTheme="minorHAnsi" w:hAnsiTheme="minorHAnsi"/>
          <w:b/>
          <w:bCs/>
          <w:sz w:val="24"/>
          <w:vertAlign w:val="superscript"/>
        </w:rPr>
        <w:t>1</w:t>
      </w:r>
      <w:r w:rsidR="008E1F99">
        <w:rPr>
          <w:rFonts w:asciiTheme="minorHAnsi" w:hAnsiTheme="minorHAnsi"/>
          <w:b/>
          <w:bCs/>
          <w:sz w:val="24"/>
          <w:vertAlign w:val="superscript"/>
        </w:rPr>
        <w:t>2</w:t>
      </w:r>
      <w:r w:rsidRPr="003B1D1F">
        <w:rPr>
          <w:rFonts w:asciiTheme="minorHAnsi" w:hAnsiTheme="minorHAnsi"/>
          <w:b/>
          <w:bCs/>
          <w:sz w:val="24"/>
        </w:rPr>
        <w:t xml:space="preserve">, </w:t>
      </w:r>
      <w:r w:rsidRPr="003B1D1F">
        <w:rPr>
          <w:rStyle w:val="s1"/>
          <w:rFonts w:asciiTheme="minorHAnsi" w:hAnsiTheme="minorHAnsi"/>
          <w:b/>
          <w:sz w:val="24"/>
        </w:rPr>
        <w:t>Alexandra Clipson</w:t>
      </w:r>
      <w:r w:rsidRPr="003B1D1F">
        <w:rPr>
          <w:rStyle w:val="s1"/>
          <w:rFonts w:asciiTheme="minorHAnsi" w:hAnsiTheme="minorHAnsi"/>
          <w:b/>
          <w:sz w:val="24"/>
          <w:vertAlign w:val="superscript"/>
        </w:rPr>
        <w:t>1</w:t>
      </w:r>
      <w:r w:rsidR="008E1F99">
        <w:rPr>
          <w:rStyle w:val="s1"/>
          <w:rFonts w:asciiTheme="minorHAnsi" w:hAnsiTheme="minorHAnsi"/>
          <w:b/>
          <w:sz w:val="24"/>
          <w:vertAlign w:val="superscript"/>
        </w:rPr>
        <w:t>2</w:t>
      </w:r>
      <w:r w:rsidRPr="003B1D1F">
        <w:rPr>
          <w:rStyle w:val="s1"/>
          <w:rFonts w:asciiTheme="minorHAnsi" w:hAnsiTheme="minorHAnsi"/>
          <w:b/>
          <w:sz w:val="24"/>
        </w:rPr>
        <w:t>,</w:t>
      </w:r>
      <w:r w:rsidRPr="003B1D1F">
        <w:rPr>
          <w:rStyle w:val="s1"/>
          <w:rFonts w:asciiTheme="minorHAnsi" w:hAnsiTheme="minorHAnsi"/>
          <w:sz w:val="24"/>
        </w:rPr>
        <w:t xml:space="preserve"> </w:t>
      </w:r>
      <w:r w:rsidRPr="003B1D1F">
        <w:rPr>
          <w:rFonts w:asciiTheme="minorHAnsi" w:hAnsiTheme="minorHAnsi"/>
          <w:b/>
          <w:bCs/>
          <w:sz w:val="24"/>
        </w:rPr>
        <w:t>Chulin Sha</w:t>
      </w:r>
      <w:r>
        <w:rPr>
          <w:rFonts w:asciiTheme="minorHAnsi" w:hAnsiTheme="minorHAnsi"/>
          <w:b/>
          <w:bCs/>
          <w:sz w:val="24"/>
          <w:vertAlign w:val="superscript"/>
        </w:rPr>
        <w:t>1</w:t>
      </w:r>
      <w:r w:rsidR="008E1F99">
        <w:rPr>
          <w:rFonts w:asciiTheme="minorHAnsi" w:hAnsiTheme="minorHAnsi"/>
          <w:b/>
          <w:bCs/>
          <w:sz w:val="24"/>
          <w:vertAlign w:val="superscript"/>
        </w:rPr>
        <w:t>3</w:t>
      </w:r>
      <w:r w:rsidRPr="003B1D1F">
        <w:rPr>
          <w:rFonts w:asciiTheme="minorHAnsi" w:hAnsiTheme="minorHAnsi"/>
          <w:b/>
          <w:bCs/>
          <w:sz w:val="24"/>
        </w:rPr>
        <w:t>, Reuben Tooze</w:t>
      </w:r>
      <w:r w:rsidRPr="003B1D1F">
        <w:rPr>
          <w:rFonts w:asciiTheme="minorHAnsi" w:hAnsiTheme="minorHAnsi"/>
          <w:b/>
          <w:bCs/>
          <w:sz w:val="24"/>
          <w:vertAlign w:val="superscript"/>
        </w:rPr>
        <w:t>2,1</w:t>
      </w:r>
      <w:r w:rsidR="008E1F99">
        <w:rPr>
          <w:rFonts w:asciiTheme="minorHAnsi" w:hAnsiTheme="minorHAnsi"/>
          <w:b/>
          <w:bCs/>
          <w:sz w:val="24"/>
          <w:vertAlign w:val="superscript"/>
        </w:rPr>
        <w:t>4</w:t>
      </w:r>
      <w:r w:rsidRPr="003B1D1F">
        <w:rPr>
          <w:rFonts w:asciiTheme="minorHAnsi" w:hAnsiTheme="minorHAnsi"/>
          <w:b/>
          <w:bCs/>
          <w:sz w:val="24"/>
        </w:rPr>
        <w:t>, Matthew Care</w:t>
      </w:r>
      <w:r w:rsidRPr="003B1D1F">
        <w:rPr>
          <w:rFonts w:asciiTheme="minorHAnsi" w:hAnsiTheme="minorHAnsi"/>
          <w:b/>
          <w:bCs/>
          <w:sz w:val="24"/>
          <w:vertAlign w:val="superscript"/>
        </w:rPr>
        <w:t>1</w:t>
      </w:r>
      <w:r w:rsidR="008E1F99">
        <w:rPr>
          <w:rFonts w:asciiTheme="minorHAnsi" w:hAnsiTheme="minorHAnsi"/>
          <w:b/>
          <w:bCs/>
          <w:sz w:val="24"/>
          <w:vertAlign w:val="superscript"/>
        </w:rPr>
        <w:t>4</w:t>
      </w:r>
      <w:r w:rsidRPr="003B1D1F">
        <w:rPr>
          <w:rFonts w:asciiTheme="minorHAnsi" w:hAnsiTheme="minorHAnsi"/>
          <w:b/>
          <w:bCs/>
          <w:sz w:val="24"/>
        </w:rPr>
        <w:t>, Gareth Griffiths</w:t>
      </w:r>
      <w:r w:rsidRPr="003B1D1F">
        <w:rPr>
          <w:rFonts w:asciiTheme="minorHAnsi" w:hAnsiTheme="minorHAnsi"/>
          <w:b/>
          <w:bCs/>
          <w:sz w:val="24"/>
          <w:vertAlign w:val="superscript"/>
        </w:rPr>
        <w:t>3</w:t>
      </w:r>
      <w:r w:rsidRPr="003B1D1F">
        <w:rPr>
          <w:rFonts w:asciiTheme="minorHAnsi" w:hAnsiTheme="minorHAnsi"/>
          <w:b/>
          <w:bCs/>
          <w:sz w:val="24"/>
        </w:rPr>
        <w:t>, Ming</w:t>
      </w:r>
      <w:r>
        <w:rPr>
          <w:rFonts w:asciiTheme="minorHAnsi" w:hAnsiTheme="minorHAnsi"/>
          <w:b/>
          <w:bCs/>
          <w:sz w:val="24"/>
        </w:rPr>
        <w:t>-Qing</w:t>
      </w:r>
      <w:r w:rsidRPr="003B1D1F">
        <w:rPr>
          <w:rFonts w:asciiTheme="minorHAnsi" w:hAnsiTheme="minorHAnsi"/>
          <w:b/>
          <w:bCs/>
          <w:sz w:val="24"/>
        </w:rPr>
        <w:t xml:space="preserve"> Du</w:t>
      </w:r>
      <w:r w:rsidRPr="003B1D1F">
        <w:rPr>
          <w:rFonts w:asciiTheme="minorHAnsi" w:hAnsiTheme="minorHAnsi"/>
          <w:b/>
          <w:bCs/>
          <w:sz w:val="24"/>
          <w:vertAlign w:val="superscript"/>
        </w:rPr>
        <w:t>1</w:t>
      </w:r>
      <w:r w:rsidR="008E1F99">
        <w:rPr>
          <w:rFonts w:asciiTheme="minorHAnsi" w:hAnsiTheme="minorHAnsi"/>
          <w:b/>
          <w:bCs/>
          <w:sz w:val="24"/>
          <w:vertAlign w:val="superscript"/>
        </w:rPr>
        <w:t>2</w:t>
      </w:r>
      <w:r w:rsidRPr="003B1D1F">
        <w:rPr>
          <w:rFonts w:asciiTheme="minorHAnsi" w:hAnsiTheme="minorHAnsi"/>
          <w:b/>
          <w:bCs/>
          <w:sz w:val="24"/>
        </w:rPr>
        <w:t>, David Westhead</w:t>
      </w:r>
      <w:r w:rsidRPr="003B1D1F">
        <w:rPr>
          <w:rFonts w:asciiTheme="minorHAnsi" w:hAnsiTheme="minorHAnsi"/>
          <w:b/>
          <w:bCs/>
          <w:sz w:val="24"/>
          <w:vertAlign w:val="superscript"/>
        </w:rPr>
        <w:t>1</w:t>
      </w:r>
      <w:r w:rsidR="008E1F99">
        <w:rPr>
          <w:rFonts w:asciiTheme="minorHAnsi" w:hAnsiTheme="minorHAnsi"/>
          <w:b/>
          <w:bCs/>
          <w:sz w:val="24"/>
          <w:vertAlign w:val="superscript"/>
        </w:rPr>
        <w:t>3</w:t>
      </w:r>
      <w:r w:rsidRPr="003B1D1F">
        <w:rPr>
          <w:rFonts w:asciiTheme="minorHAnsi" w:hAnsiTheme="minorHAnsi"/>
          <w:b/>
          <w:bCs/>
          <w:sz w:val="24"/>
        </w:rPr>
        <w:t>, Catherine Burton</w:t>
      </w:r>
      <w:r w:rsidRPr="003B1D1F">
        <w:rPr>
          <w:rFonts w:asciiTheme="minorHAnsi" w:hAnsiTheme="minorHAnsi"/>
          <w:b/>
          <w:bCs/>
          <w:sz w:val="24"/>
          <w:vertAlign w:val="superscript"/>
        </w:rPr>
        <w:t>2</w:t>
      </w:r>
      <w:r w:rsidRPr="003B1D1F">
        <w:rPr>
          <w:rFonts w:asciiTheme="minorHAnsi" w:hAnsiTheme="minorHAnsi"/>
          <w:b/>
          <w:bCs/>
          <w:sz w:val="24"/>
        </w:rPr>
        <w:t>, Peter Johnson</w:t>
      </w:r>
      <w:r w:rsidRPr="003B1D1F">
        <w:rPr>
          <w:rFonts w:asciiTheme="minorHAnsi" w:hAnsiTheme="minorHAnsi"/>
          <w:b/>
          <w:bCs/>
          <w:sz w:val="24"/>
          <w:vertAlign w:val="superscript"/>
        </w:rPr>
        <w:t>1*</w:t>
      </w:r>
      <w:r w:rsidRPr="003B1D1F">
        <w:rPr>
          <w:rFonts w:asciiTheme="minorHAnsi" w:hAnsiTheme="minorHAnsi"/>
          <w:b/>
          <w:bCs/>
          <w:sz w:val="24"/>
        </w:rPr>
        <w:t xml:space="preserve">. </w:t>
      </w:r>
    </w:p>
    <w:p w14:paraId="792D8870" w14:textId="77777777" w:rsidR="00731235" w:rsidRPr="003B1D1F" w:rsidRDefault="00731235" w:rsidP="00731235">
      <w:pPr>
        <w:spacing w:before="120"/>
        <w:rPr>
          <w:b/>
          <w:bCs/>
          <w:sz w:val="40"/>
        </w:rPr>
      </w:pPr>
    </w:p>
    <w:p w14:paraId="62D8342F" w14:textId="77777777" w:rsidR="00731235" w:rsidRDefault="00731235" w:rsidP="00731235">
      <w:pPr>
        <w:spacing w:after="0"/>
        <w:rPr>
          <w:bCs/>
        </w:rPr>
      </w:pPr>
      <w:r w:rsidRPr="003B1D1F">
        <w:rPr>
          <w:bCs/>
        </w:rPr>
        <w:t>1. Cancer Research UK Centre, University of Southampton</w:t>
      </w:r>
      <w:r>
        <w:rPr>
          <w:bCs/>
        </w:rPr>
        <w:t>, Southampton, UK</w:t>
      </w:r>
    </w:p>
    <w:p w14:paraId="1B56E6E3" w14:textId="77777777" w:rsidR="00731235" w:rsidRDefault="00731235" w:rsidP="00731235">
      <w:pPr>
        <w:spacing w:after="0"/>
        <w:rPr>
          <w:bCs/>
        </w:rPr>
      </w:pPr>
      <w:r>
        <w:rPr>
          <w:bCs/>
        </w:rPr>
        <w:t>Prof A Davies PhD</w:t>
      </w:r>
    </w:p>
    <w:p w14:paraId="6FE456F2" w14:textId="77777777" w:rsidR="00731235" w:rsidRDefault="00731235" w:rsidP="00731235">
      <w:pPr>
        <w:spacing w:after="0"/>
        <w:rPr>
          <w:bCs/>
        </w:rPr>
      </w:pPr>
      <w:r>
        <w:rPr>
          <w:bCs/>
        </w:rPr>
        <w:t>T E Cummin MRCP</w:t>
      </w:r>
    </w:p>
    <w:p w14:paraId="25E882DE" w14:textId="77777777" w:rsidR="00731235" w:rsidRDefault="00731235" w:rsidP="00731235">
      <w:pPr>
        <w:spacing w:after="0"/>
        <w:rPr>
          <w:bCs/>
        </w:rPr>
      </w:pPr>
      <w:r>
        <w:rPr>
          <w:bCs/>
        </w:rPr>
        <w:t>Prof P W M Johnson FMedSci</w:t>
      </w:r>
    </w:p>
    <w:p w14:paraId="63F1495A" w14:textId="77777777" w:rsidR="00731235" w:rsidRPr="003B1D1F" w:rsidRDefault="00731235" w:rsidP="00731235">
      <w:pPr>
        <w:spacing w:after="0"/>
        <w:rPr>
          <w:bCs/>
        </w:rPr>
      </w:pPr>
    </w:p>
    <w:p w14:paraId="3A97DF35" w14:textId="77777777" w:rsidR="00731235" w:rsidRPr="00C83F57" w:rsidRDefault="00731235" w:rsidP="00731235">
      <w:pPr>
        <w:spacing w:after="0"/>
        <w:rPr>
          <w:bCs/>
          <w:color w:val="000000" w:themeColor="text1"/>
        </w:rPr>
      </w:pPr>
      <w:r w:rsidRPr="003B1D1F">
        <w:rPr>
          <w:bCs/>
        </w:rPr>
        <w:t xml:space="preserve">2. </w:t>
      </w:r>
      <w:r w:rsidRPr="00C83F57">
        <w:rPr>
          <w:bCs/>
          <w:color w:val="000000" w:themeColor="text1"/>
        </w:rPr>
        <w:t>Haematological Malignancy Diagnostic Service, Leeds Cancer Centre, Leeds Teaching Hospitals, Leeds, UK</w:t>
      </w:r>
    </w:p>
    <w:p w14:paraId="6F5AC21A" w14:textId="77777777" w:rsidR="00731235" w:rsidRDefault="00731235" w:rsidP="00731235">
      <w:pPr>
        <w:spacing w:after="0"/>
        <w:rPr>
          <w:bCs/>
        </w:rPr>
      </w:pPr>
      <w:r>
        <w:rPr>
          <w:bCs/>
        </w:rPr>
        <w:t>S Barrans PhD</w:t>
      </w:r>
    </w:p>
    <w:p w14:paraId="07D55516" w14:textId="77777777" w:rsidR="00731235" w:rsidRDefault="00731235" w:rsidP="00731235">
      <w:pPr>
        <w:spacing w:after="0"/>
        <w:rPr>
          <w:bCs/>
        </w:rPr>
      </w:pPr>
      <w:r>
        <w:rPr>
          <w:bCs/>
        </w:rPr>
        <w:t>C Burton FRCPath</w:t>
      </w:r>
    </w:p>
    <w:p w14:paraId="1E2DE75D" w14:textId="77777777" w:rsidR="00731235" w:rsidRPr="003B1D1F" w:rsidRDefault="00731235" w:rsidP="00731235">
      <w:pPr>
        <w:spacing w:after="0"/>
        <w:rPr>
          <w:bCs/>
        </w:rPr>
      </w:pPr>
    </w:p>
    <w:p w14:paraId="6211A15E" w14:textId="77777777" w:rsidR="00731235" w:rsidRDefault="00731235" w:rsidP="00731235">
      <w:pPr>
        <w:spacing w:after="0"/>
        <w:rPr>
          <w:bCs/>
        </w:rPr>
      </w:pPr>
      <w:r w:rsidRPr="003B1D1F">
        <w:rPr>
          <w:bCs/>
        </w:rPr>
        <w:t>3. Southampton Clinical Trials Unit, University of Southampton</w:t>
      </w:r>
      <w:r>
        <w:rPr>
          <w:bCs/>
        </w:rPr>
        <w:t>, Southampton, UK</w:t>
      </w:r>
    </w:p>
    <w:p w14:paraId="59687108" w14:textId="77777777" w:rsidR="00731235" w:rsidRDefault="00731235" w:rsidP="00731235">
      <w:pPr>
        <w:spacing w:after="0"/>
        <w:rPr>
          <w:bCs/>
        </w:rPr>
      </w:pPr>
      <w:r>
        <w:rPr>
          <w:bCs/>
        </w:rPr>
        <w:t>T Maishman PhD</w:t>
      </w:r>
    </w:p>
    <w:p w14:paraId="16C5309A" w14:textId="77777777" w:rsidR="00731235" w:rsidRDefault="00731235" w:rsidP="00731235">
      <w:pPr>
        <w:spacing w:after="0"/>
        <w:rPr>
          <w:bCs/>
        </w:rPr>
      </w:pPr>
      <w:r>
        <w:rPr>
          <w:bCs/>
        </w:rPr>
        <w:t>J Caddy BSc</w:t>
      </w:r>
    </w:p>
    <w:p w14:paraId="25E63E9E" w14:textId="77777777" w:rsidR="00731235" w:rsidRDefault="00731235" w:rsidP="00731235">
      <w:pPr>
        <w:spacing w:after="0"/>
        <w:rPr>
          <w:bCs/>
        </w:rPr>
      </w:pPr>
      <w:r>
        <w:rPr>
          <w:bCs/>
        </w:rPr>
        <w:t>L Stanton MSc</w:t>
      </w:r>
    </w:p>
    <w:p w14:paraId="0CFCEF7F" w14:textId="77777777" w:rsidR="00731235" w:rsidRDefault="00731235" w:rsidP="00731235">
      <w:pPr>
        <w:spacing w:after="0"/>
        <w:rPr>
          <w:bCs/>
        </w:rPr>
      </w:pPr>
      <w:r>
        <w:rPr>
          <w:bCs/>
        </w:rPr>
        <w:t>Prof G Griffiths PhD</w:t>
      </w:r>
    </w:p>
    <w:p w14:paraId="5E7C822C" w14:textId="77777777" w:rsidR="00731235" w:rsidRPr="003B1D1F" w:rsidRDefault="00731235" w:rsidP="00731235">
      <w:pPr>
        <w:spacing w:after="0"/>
        <w:rPr>
          <w:bCs/>
        </w:rPr>
      </w:pPr>
    </w:p>
    <w:p w14:paraId="699AC42C" w14:textId="77777777" w:rsidR="00731235" w:rsidRDefault="00731235" w:rsidP="00731235">
      <w:pPr>
        <w:spacing w:after="0"/>
        <w:rPr>
          <w:rFonts w:ascii="Calibri" w:hAnsi="Calibri" w:cs="Times New Roman"/>
          <w:color w:val="000000" w:themeColor="text1"/>
          <w:lang w:val="en-US" w:eastAsia="en-US"/>
        </w:rPr>
      </w:pPr>
      <w:r w:rsidRPr="003B1D1F">
        <w:rPr>
          <w:rFonts w:ascii="Calibri" w:hAnsi="Calibri" w:cs="Times New Roman"/>
          <w:color w:val="000000" w:themeColor="text1"/>
          <w:lang w:val="en-US" w:eastAsia="en-US"/>
        </w:rPr>
        <w:t>4. Medical Oncology, Cantonal Hospital Aarau, Switzerland</w:t>
      </w:r>
    </w:p>
    <w:p w14:paraId="7164C54A" w14:textId="77777777" w:rsidR="00731235" w:rsidRDefault="00731235" w:rsidP="00731235">
      <w:pPr>
        <w:spacing w:after="0"/>
        <w:rPr>
          <w:rFonts w:ascii="Calibri" w:hAnsi="Calibri" w:cs="Times New Roman"/>
          <w:color w:val="000000" w:themeColor="text1"/>
          <w:lang w:val="en-US" w:eastAsia="en-US"/>
        </w:rPr>
      </w:pPr>
      <w:r>
        <w:rPr>
          <w:rFonts w:ascii="Calibri" w:hAnsi="Calibri" w:cs="Times New Roman"/>
          <w:color w:val="000000" w:themeColor="text1"/>
          <w:lang w:val="en-US" w:eastAsia="en-US"/>
        </w:rPr>
        <w:t>Prof C Mamot MD</w:t>
      </w:r>
    </w:p>
    <w:p w14:paraId="41F1AB02" w14:textId="77777777" w:rsidR="00731235" w:rsidRPr="003B1D1F" w:rsidRDefault="00731235" w:rsidP="00731235">
      <w:pPr>
        <w:spacing w:after="0"/>
        <w:rPr>
          <w:rFonts w:ascii="Calibri" w:hAnsi="Calibri" w:cs="Times New Roman"/>
          <w:color w:val="000000" w:themeColor="text1"/>
          <w:lang w:val="en-US" w:eastAsia="en-US"/>
        </w:rPr>
      </w:pPr>
    </w:p>
    <w:p w14:paraId="6F3A40C5" w14:textId="77777777" w:rsidR="00731235" w:rsidRDefault="00731235" w:rsidP="00731235">
      <w:pPr>
        <w:pStyle w:val="p1"/>
        <w:spacing w:line="276" w:lineRule="auto"/>
        <w:rPr>
          <w:rFonts w:ascii="Calibri" w:hAnsi="Calibri" w:cs="Times New Roman"/>
          <w:bCs/>
          <w:sz w:val="22"/>
          <w:szCs w:val="22"/>
        </w:rPr>
      </w:pPr>
      <w:r>
        <w:rPr>
          <w:rFonts w:ascii="Calibri" w:hAnsi="Calibri" w:cs="Times New Roman"/>
          <w:color w:val="000000" w:themeColor="text1"/>
          <w:sz w:val="22"/>
          <w:szCs w:val="22"/>
        </w:rPr>
        <w:t>5</w:t>
      </w:r>
      <w:r w:rsidRPr="003B1D1F">
        <w:rPr>
          <w:rFonts w:ascii="Calibri" w:hAnsi="Calibri" w:cs="Times New Roman"/>
          <w:color w:val="000000" w:themeColor="text1"/>
          <w:sz w:val="22"/>
          <w:szCs w:val="22"/>
        </w:rPr>
        <w:t xml:space="preserve">. </w:t>
      </w:r>
      <w:r w:rsidRPr="003B1D1F">
        <w:rPr>
          <w:rFonts w:ascii="Calibri" w:hAnsi="Calibri" w:cs="Times New Roman"/>
          <w:bCs/>
          <w:sz w:val="22"/>
          <w:szCs w:val="22"/>
        </w:rPr>
        <w:t>Department of Medical Oncology, Inselspital, Bern University Hospital, University of Bern, Switzerland</w:t>
      </w:r>
    </w:p>
    <w:p w14:paraId="28D3A5A0" w14:textId="77777777" w:rsidR="00731235" w:rsidRDefault="00731235" w:rsidP="00731235">
      <w:pPr>
        <w:spacing w:after="0"/>
        <w:rPr>
          <w:rFonts w:ascii="Calibri" w:hAnsi="Calibri" w:cs="Times New Roman"/>
          <w:color w:val="000000" w:themeColor="text1"/>
          <w:lang w:val="en-US" w:eastAsia="en-US"/>
        </w:rPr>
      </w:pPr>
      <w:r>
        <w:rPr>
          <w:rFonts w:ascii="Calibri" w:hAnsi="Calibri" w:cs="Times New Roman"/>
          <w:color w:val="000000" w:themeColor="text1"/>
          <w:lang w:val="en-US" w:eastAsia="en-US"/>
        </w:rPr>
        <w:t>U Novak MD</w:t>
      </w:r>
    </w:p>
    <w:p w14:paraId="5A85BFDE" w14:textId="77777777" w:rsidR="00731235" w:rsidRPr="003B1D1F" w:rsidRDefault="00731235" w:rsidP="00731235">
      <w:pPr>
        <w:pStyle w:val="p1"/>
        <w:spacing w:line="276" w:lineRule="auto"/>
        <w:rPr>
          <w:rFonts w:ascii="Calibri" w:hAnsi="Calibri" w:cs="Times New Roman"/>
          <w:sz w:val="22"/>
          <w:szCs w:val="22"/>
        </w:rPr>
      </w:pPr>
    </w:p>
    <w:p w14:paraId="581E9232" w14:textId="77777777" w:rsidR="00731235" w:rsidRDefault="00731235" w:rsidP="00731235">
      <w:pPr>
        <w:spacing w:after="0"/>
        <w:rPr>
          <w:rFonts w:ascii="Calibri" w:hAnsi="Calibri" w:cs="Times New Roman"/>
          <w:color w:val="000000" w:themeColor="text1"/>
          <w:lang w:val="en-US" w:eastAsia="en-US"/>
        </w:rPr>
      </w:pPr>
      <w:r>
        <w:rPr>
          <w:rFonts w:ascii="Calibri" w:hAnsi="Calibri" w:cs="Times New Roman"/>
          <w:color w:val="000000" w:themeColor="text1"/>
          <w:lang w:val="en-US" w:eastAsia="en-US"/>
        </w:rPr>
        <w:t>6</w:t>
      </w:r>
      <w:r w:rsidRPr="003B1D1F">
        <w:rPr>
          <w:rFonts w:ascii="Calibri" w:hAnsi="Calibri" w:cs="Times New Roman"/>
          <w:color w:val="000000" w:themeColor="text1"/>
          <w:lang w:val="en-US" w:eastAsia="en-US"/>
        </w:rPr>
        <w:t>. Centre for Drug Development, Cancer Research UK, London, UK</w:t>
      </w:r>
    </w:p>
    <w:p w14:paraId="27DB6D3E" w14:textId="77777777" w:rsidR="00731235" w:rsidRDefault="00731235" w:rsidP="00731235">
      <w:pPr>
        <w:spacing w:after="0"/>
        <w:rPr>
          <w:rFonts w:ascii="Calibri" w:hAnsi="Calibri" w:cs="Times New Roman"/>
          <w:color w:val="000000" w:themeColor="text1"/>
          <w:lang w:val="en-US" w:eastAsia="en-US"/>
        </w:rPr>
      </w:pPr>
      <w:r>
        <w:rPr>
          <w:rFonts w:ascii="Calibri" w:hAnsi="Calibri" w:cs="Times New Roman"/>
          <w:color w:val="000000" w:themeColor="text1"/>
          <w:lang w:val="en-US" w:eastAsia="en-US"/>
        </w:rPr>
        <w:t>S Kazmi-Stokes PhD</w:t>
      </w:r>
    </w:p>
    <w:p w14:paraId="27FABEA3" w14:textId="77777777" w:rsidR="00731235" w:rsidRPr="003B1D1F" w:rsidRDefault="00731235" w:rsidP="00731235">
      <w:pPr>
        <w:spacing w:after="0"/>
        <w:rPr>
          <w:rFonts w:ascii="Calibri" w:hAnsi="Calibri" w:cs="Times New Roman"/>
          <w:color w:val="000000" w:themeColor="text1"/>
          <w:lang w:val="en-US" w:eastAsia="en-US"/>
        </w:rPr>
      </w:pPr>
    </w:p>
    <w:p w14:paraId="59704842" w14:textId="77777777" w:rsidR="00731235" w:rsidRPr="00B65EDB" w:rsidRDefault="00731235" w:rsidP="00731235">
      <w:pPr>
        <w:pStyle w:val="p1"/>
        <w:rPr>
          <w:rFonts w:asciiTheme="minorHAnsi" w:eastAsiaTheme="minorHAnsi" w:hAnsiTheme="minorHAnsi" w:cs="Times New Roman"/>
          <w:color w:val="000000" w:themeColor="text1"/>
          <w:sz w:val="22"/>
          <w:szCs w:val="22"/>
        </w:rPr>
      </w:pPr>
      <w:r w:rsidRPr="00B65EDB">
        <w:rPr>
          <w:rFonts w:asciiTheme="minorHAnsi" w:hAnsiTheme="minorHAnsi"/>
          <w:bCs/>
          <w:color w:val="000000" w:themeColor="text1"/>
          <w:sz w:val="22"/>
          <w:szCs w:val="22"/>
        </w:rPr>
        <w:t xml:space="preserve">7. Department of Haematology, </w:t>
      </w:r>
      <w:r w:rsidRPr="00B65EDB">
        <w:rPr>
          <w:rFonts w:asciiTheme="minorHAnsi" w:eastAsiaTheme="minorHAnsi" w:hAnsiTheme="minorHAnsi" w:cs="Times New Roman"/>
          <w:color w:val="000000" w:themeColor="text1"/>
          <w:sz w:val="22"/>
          <w:szCs w:val="22"/>
        </w:rPr>
        <w:t>Nottingham University Hospitals NHS Trust</w:t>
      </w:r>
      <w:r w:rsidRPr="00B65EDB">
        <w:rPr>
          <w:rFonts w:asciiTheme="minorHAnsi" w:hAnsiTheme="minorHAnsi"/>
          <w:color w:val="000000" w:themeColor="text1"/>
          <w:sz w:val="22"/>
          <w:szCs w:val="22"/>
        </w:rPr>
        <w:t xml:space="preserve">, </w:t>
      </w:r>
      <w:r>
        <w:rPr>
          <w:rFonts w:asciiTheme="minorHAnsi" w:hAnsiTheme="minorHAnsi"/>
          <w:color w:val="000000" w:themeColor="text1"/>
          <w:sz w:val="22"/>
          <w:szCs w:val="22"/>
        </w:rPr>
        <w:t xml:space="preserve">Nottingham, </w:t>
      </w:r>
      <w:r w:rsidRPr="00B65EDB">
        <w:rPr>
          <w:rFonts w:asciiTheme="minorHAnsi" w:hAnsiTheme="minorHAnsi"/>
          <w:color w:val="000000" w:themeColor="text1"/>
          <w:sz w:val="22"/>
          <w:szCs w:val="22"/>
        </w:rPr>
        <w:t>UK</w:t>
      </w:r>
    </w:p>
    <w:p w14:paraId="4390EC09" w14:textId="77777777" w:rsidR="00731235" w:rsidRDefault="00731235" w:rsidP="00731235">
      <w:pPr>
        <w:spacing w:after="0"/>
      </w:pPr>
      <w:r>
        <w:t>A McMillan FRCPath</w:t>
      </w:r>
    </w:p>
    <w:p w14:paraId="29BBE9DE" w14:textId="77777777" w:rsidR="00731235" w:rsidRPr="003B1D1F" w:rsidRDefault="00731235" w:rsidP="00731235">
      <w:pPr>
        <w:spacing w:after="0"/>
      </w:pPr>
    </w:p>
    <w:p w14:paraId="29079FE6" w14:textId="77777777" w:rsidR="00731235" w:rsidRDefault="00731235" w:rsidP="00731235">
      <w:pPr>
        <w:spacing w:after="0"/>
        <w:rPr>
          <w:bCs/>
          <w:color w:val="000000" w:themeColor="text1"/>
        </w:rPr>
      </w:pPr>
      <w:r>
        <w:rPr>
          <w:bCs/>
          <w:color w:val="000000" w:themeColor="text1"/>
        </w:rPr>
        <w:t>8</w:t>
      </w:r>
      <w:r w:rsidRPr="003B1D1F">
        <w:rPr>
          <w:bCs/>
          <w:color w:val="000000" w:themeColor="text1"/>
        </w:rPr>
        <w:t xml:space="preserve">. </w:t>
      </w:r>
      <w:r>
        <w:rPr>
          <w:bCs/>
          <w:color w:val="000000" w:themeColor="text1"/>
        </w:rPr>
        <w:t xml:space="preserve">Department of Haematology, </w:t>
      </w:r>
      <w:r w:rsidRPr="003B1D1F">
        <w:rPr>
          <w:bCs/>
          <w:color w:val="000000" w:themeColor="text1"/>
        </w:rPr>
        <w:t xml:space="preserve">Guy's and St Thomas's Hospitals NHS Trust, </w:t>
      </w:r>
      <w:r>
        <w:rPr>
          <w:bCs/>
          <w:color w:val="000000" w:themeColor="text1"/>
        </w:rPr>
        <w:t>Kings Health Partners, London,</w:t>
      </w:r>
      <w:r w:rsidRPr="003B1D1F">
        <w:rPr>
          <w:bCs/>
          <w:color w:val="000000" w:themeColor="text1"/>
        </w:rPr>
        <w:t xml:space="preserve"> UK</w:t>
      </w:r>
    </w:p>
    <w:p w14:paraId="248E0184" w14:textId="77777777" w:rsidR="00731235" w:rsidRDefault="00731235" w:rsidP="00731235">
      <w:pPr>
        <w:spacing w:after="0"/>
        <w:rPr>
          <w:bCs/>
          <w:color w:val="000000" w:themeColor="text1"/>
        </w:rPr>
      </w:pPr>
      <w:r>
        <w:rPr>
          <w:bCs/>
          <w:color w:val="000000" w:themeColor="text1"/>
        </w:rPr>
        <w:t>P Fields MD</w:t>
      </w:r>
    </w:p>
    <w:p w14:paraId="76DCD8F3" w14:textId="77777777" w:rsidR="00731235" w:rsidRPr="003B1D1F" w:rsidRDefault="00731235" w:rsidP="00731235">
      <w:pPr>
        <w:spacing w:after="0"/>
        <w:rPr>
          <w:bCs/>
          <w:color w:val="000000" w:themeColor="text1"/>
        </w:rPr>
      </w:pPr>
    </w:p>
    <w:p w14:paraId="117BE4BB" w14:textId="77777777" w:rsidR="00731235" w:rsidRDefault="00731235" w:rsidP="00731235">
      <w:pPr>
        <w:spacing w:after="0"/>
        <w:rPr>
          <w:rFonts w:ascii="Calibri" w:hAnsi="Calibri" w:cs="Times New Roman"/>
          <w:lang w:val="en-US" w:eastAsia="en-US"/>
        </w:rPr>
      </w:pPr>
      <w:r>
        <w:rPr>
          <w:rFonts w:ascii="Calibri" w:hAnsi="Calibri" w:cs="Times New Roman"/>
          <w:lang w:val="en-US" w:eastAsia="en-US"/>
        </w:rPr>
        <w:t>9</w:t>
      </w:r>
      <w:r w:rsidRPr="003B1D1F">
        <w:rPr>
          <w:rFonts w:ascii="Calibri" w:hAnsi="Calibri" w:cs="Times New Roman"/>
          <w:lang w:val="en-US" w:eastAsia="en-US"/>
        </w:rPr>
        <w:t xml:space="preserve">. </w:t>
      </w:r>
      <w:r>
        <w:rPr>
          <w:rFonts w:ascii="Calibri" w:hAnsi="Calibri" w:cs="Times New Roman"/>
          <w:lang w:val="en-US" w:eastAsia="en-US"/>
        </w:rPr>
        <w:t xml:space="preserve">Department of Haematology, </w:t>
      </w:r>
      <w:r w:rsidRPr="003B1D1F">
        <w:rPr>
          <w:rFonts w:ascii="Calibri" w:hAnsi="Calibri" w:cs="Times New Roman"/>
          <w:lang w:val="en-US" w:eastAsia="en-US"/>
        </w:rPr>
        <w:t>East Kent Hospitals Uuniversity Foundation Trust, Canterbury, UK</w:t>
      </w:r>
    </w:p>
    <w:p w14:paraId="5902968D" w14:textId="77777777" w:rsidR="00731235" w:rsidRDefault="00731235" w:rsidP="00731235">
      <w:pPr>
        <w:spacing w:after="0"/>
        <w:rPr>
          <w:rFonts w:ascii="Calibri" w:hAnsi="Calibri" w:cs="Times New Roman"/>
          <w:lang w:val="en-US" w:eastAsia="en-US"/>
        </w:rPr>
      </w:pPr>
      <w:r>
        <w:rPr>
          <w:rFonts w:ascii="Calibri" w:hAnsi="Calibri" w:cs="Times New Roman"/>
          <w:lang w:val="en-US" w:eastAsia="en-US"/>
        </w:rPr>
        <w:t>C Pocock PhD</w:t>
      </w:r>
    </w:p>
    <w:p w14:paraId="5356770A" w14:textId="77777777" w:rsidR="00731235" w:rsidRPr="003B1D1F" w:rsidRDefault="00731235" w:rsidP="00731235">
      <w:pPr>
        <w:spacing w:after="0"/>
        <w:rPr>
          <w:rFonts w:ascii="Calibri" w:hAnsi="Calibri" w:cs="Times New Roman"/>
          <w:lang w:val="en-US" w:eastAsia="en-US"/>
        </w:rPr>
      </w:pPr>
    </w:p>
    <w:p w14:paraId="37218FFA" w14:textId="77777777" w:rsidR="00731235" w:rsidRDefault="00731235" w:rsidP="00731235">
      <w:pPr>
        <w:spacing w:after="0"/>
        <w:rPr>
          <w:rFonts w:cstheme="minorHAnsi"/>
          <w:lang w:val="en"/>
        </w:rPr>
      </w:pPr>
      <w:r>
        <w:rPr>
          <w:bCs/>
        </w:rPr>
        <w:t xml:space="preserve">10. </w:t>
      </w:r>
      <w:r w:rsidRPr="00A87826">
        <w:rPr>
          <w:rFonts w:cstheme="minorHAnsi"/>
          <w:lang w:val="en"/>
        </w:rPr>
        <w:t>Oxford Cancer and Haematology Centre, Churchill Hospital, Oxford, UK</w:t>
      </w:r>
    </w:p>
    <w:p w14:paraId="1D9D3F64" w14:textId="77777777" w:rsidR="00731235" w:rsidRDefault="00731235" w:rsidP="00731235">
      <w:pPr>
        <w:spacing w:after="0"/>
        <w:rPr>
          <w:rFonts w:cstheme="minorHAnsi"/>
          <w:lang w:val="en"/>
        </w:rPr>
      </w:pPr>
      <w:r>
        <w:rPr>
          <w:rFonts w:cstheme="minorHAnsi"/>
          <w:lang w:val="en"/>
        </w:rPr>
        <w:t>G P Collins FRCPath</w:t>
      </w:r>
    </w:p>
    <w:p w14:paraId="3495A370" w14:textId="77777777" w:rsidR="00731235" w:rsidRDefault="00731235" w:rsidP="00731235">
      <w:pPr>
        <w:spacing w:after="0"/>
        <w:rPr>
          <w:rFonts w:cstheme="minorHAnsi"/>
          <w:lang w:val="en"/>
        </w:rPr>
      </w:pPr>
    </w:p>
    <w:p w14:paraId="26C48900" w14:textId="769A8DBF" w:rsidR="008E1F99" w:rsidRDefault="008E1F99" w:rsidP="00731235">
      <w:pPr>
        <w:spacing w:after="0"/>
        <w:rPr>
          <w:rFonts w:cstheme="minorHAnsi"/>
          <w:lang w:val="en"/>
        </w:rPr>
      </w:pPr>
      <w:r>
        <w:rPr>
          <w:rFonts w:cstheme="minorHAnsi"/>
          <w:lang w:val="en"/>
        </w:rPr>
        <w:t xml:space="preserve">11. </w:t>
      </w:r>
      <w:r w:rsidR="00E42BF1">
        <w:rPr>
          <w:rFonts w:cstheme="minorHAnsi"/>
          <w:lang w:val="en"/>
        </w:rPr>
        <w:t>National Cancer Research Institute Consumer Fo</w:t>
      </w:r>
      <w:r w:rsidR="002A62E2">
        <w:rPr>
          <w:rFonts w:cstheme="minorHAnsi"/>
          <w:lang w:val="en"/>
        </w:rPr>
        <w:t>rum.</w:t>
      </w:r>
    </w:p>
    <w:p w14:paraId="223CC662" w14:textId="4DF47C36" w:rsidR="002A62E2" w:rsidRDefault="0057628E" w:rsidP="00731235">
      <w:pPr>
        <w:spacing w:after="0"/>
        <w:rPr>
          <w:rFonts w:cstheme="minorHAnsi"/>
          <w:lang w:val="en"/>
        </w:rPr>
      </w:pPr>
      <w:r>
        <w:rPr>
          <w:rFonts w:cstheme="minorHAnsi"/>
          <w:lang w:val="en"/>
        </w:rPr>
        <w:t xml:space="preserve">R </w:t>
      </w:r>
      <w:r w:rsidR="002A62E2">
        <w:rPr>
          <w:rFonts w:cstheme="minorHAnsi"/>
          <w:lang w:val="en"/>
        </w:rPr>
        <w:t>Stephens MA</w:t>
      </w:r>
    </w:p>
    <w:p w14:paraId="15ED2204" w14:textId="77777777" w:rsidR="008E1F99" w:rsidRDefault="008E1F99" w:rsidP="00731235">
      <w:pPr>
        <w:spacing w:after="0"/>
        <w:rPr>
          <w:rFonts w:cstheme="minorHAnsi"/>
          <w:lang w:val="en"/>
        </w:rPr>
      </w:pPr>
    </w:p>
    <w:p w14:paraId="6BABDDCC" w14:textId="37EC8CCE" w:rsidR="00731235" w:rsidRDefault="00731235" w:rsidP="00731235">
      <w:pPr>
        <w:spacing w:after="0"/>
      </w:pPr>
      <w:r>
        <w:rPr>
          <w:bCs/>
        </w:rPr>
        <w:t>1</w:t>
      </w:r>
      <w:r w:rsidR="008E1F99">
        <w:rPr>
          <w:bCs/>
        </w:rPr>
        <w:t>2</w:t>
      </w:r>
      <w:r>
        <w:rPr>
          <w:bCs/>
        </w:rPr>
        <w:t xml:space="preserve">. </w:t>
      </w:r>
      <w:r w:rsidRPr="00845C89">
        <w:t>Department of Pathology, University of Cambridge, Cambridge, UK</w:t>
      </w:r>
    </w:p>
    <w:p w14:paraId="3B68BA58" w14:textId="77777777" w:rsidR="00731235" w:rsidRDefault="00731235" w:rsidP="00731235">
      <w:pPr>
        <w:spacing w:after="0"/>
      </w:pPr>
      <w:r>
        <w:t>F Cucco PhD</w:t>
      </w:r>
    </w:p>
    <w:p w14:paraId="3BC196B7" w14:textId="77777777" w:rsidR="00731235" w:rsidRDefault="00731235" w:rsidP="00731235">
      <w:pPr>
        <w:spacing w:after="0"/>
      </w:pPr>
      <w:r>
        <w:t>A Clipson PhD</w:t>
      </w:r>
    </w:p>
    <w:p w14:paraId="0CBFAEAB" w14:textId="77777777" w:rsidR="00731235" w:rsidRDefault="00731235" w:rsidP="00731235">
      <w:pPr>
        <w:spacing w:after="0"/>
      </w:pPr>
      <w:r>
        <w:t>Prof M-Q Du PhD</w:t>
      </w:r>
    </w:p>
    <w:p w14:paraId="309C94D6" w14:textId="77777777" w:rsidR="00731235" w:rsidRDefault="00731235" w:rsidP="00731235">
      <w:pPr>
        <w:spacing w:after="0"/>
      </w:pPr>
    </w:p>
    <w:p w14:paraId="0206B0DC" w14:textId="08E2974D" w:rsidR="00731235" w:rsidRDefault="00731235" w:rsidP="00731235">
      <w:pPr>
        <w:spacing w:after="0"/>
        <w:rPr>
          <w:bCs/>
        </w:rPr>
      </w:pPr>
      <w:r>
        <w:t>1</w:t>
      </w:r>
      <w:r w:rsidR="008E1F99">
        <w:t>3</w:t>
      </w:r>
      <w:r>
        <w:t xml:space="preserve">. </w:t>
      </w:r>
      <w:r w:rsidRPr="00A87826">
        <w:rPr>
          <w:bCs/>
        </w:rPr>
        <w:t>School of Molecular and Cellular Biology, Faculty of Biological Sciences, University of Leeds, Leeds, UK</w:t>
      </w:r>
    </w:p>
    <w:p w14:paraId="55BB969A" w14:textId="77777777" w:rsidR="00731235" w:rsidRDefault="00731235" w:rsidP="00731235">
      <w:pPr>
        <w:spacing w:after="0"/>
        <w:rPr>
          <w:bCs/>
        </w:rPr>
      </w:pPr>
      <w:r>
        <w:rPr>
          <w:bCs/>
        </w:rPr>
        <w:t>C Sha PhD</w:t>
      </w:r>
    </w:p>
    <w:p w14:paraId="188D7202" w14:textId="77777777" w:rsidR="00731235" w:rsidRDefault="00731235" w:rsidP="00731235">
      <w:pPr>
        <w:spacing w:after="0"/>
        <w:rPr>
          <w:bCs/>
        </w:rPr>
      </w:pPr>
      <w:r>
        <w:rPr>
          <w:bCs/>
        </w:rPr>
        <w:t>Prof D R Westhead DPhil</w:t>
      </w:r>
    </w:p>
    <w:p w14:paraId="055B7BF7" w14:textId="77777777" w:rsidR="00731235" w:rsidRDefault="00731235" w:rsidP="00731235">
      <w:pPr>
        <w:spacing w:after="0"/>
        <w:rPr>
          <w:bCs/>
        </w:rPr>
      </w:pPr>
    </w:p>
    <w:p w14:paraId="21AF5FEA" w14:textId="77D31DFD" w:rsidR="00731235" w:rsidRDefault="00731235" w:rsidP="00731235">
      <w:pPr>
        <w:spacing w:after="0"/>
        <w:rPr>
          <w:bCs/>
        </w:rPr>
      </w:pPr>
      <w:r>
        <w:rPr>
          <w:bCs/>
        </w:rPr>
        <w:t>1</w:t>
      </w:r>
      <w:r w:rsidR="008E1F99">
        <w:rPr>
          <w:bCs/>
        </w:rPr>
        <w:t>4</w:t>
      </w:r>
      <w:r>
        <w:rPr>
          <w:bCs/>
        </w:rPr>
        <w:t>.</w:t>
      </w:r>
      <w:r w:rsidR="00486825">
        <w:rPr>
          <w:rFonts w:cstheme="minorHAnsi"/>
          <w:lang w:val="en"/>
        </w:rPr>
        <w:t>Section</w:t>
      </w:r>
      <w:r w:rsidR="00486825" w:rsidRPr="00A87826">
        <w:rPr>
          <w:rFonts w:cstheme="minorHAnsi"/>
          <w:lang w:val="en"/>
        </w:rPr>
        <w:t xml:space="preserve"> </w:t>
      </w:r>
      <w:r w:rsidRPr="00A87826">
        <w:rPr>
          <w:rFonts w:cstheme="minorHAnsi"/>
          <w:lang w:val="en"/>
        </w:rPr>
        <w:t xml:space="preserve">of Experimental Haematology, </w:t>
      </w:r>
      <w:r>
        <w:rPr>
          <w:rFonts w:cstheme="minorHAnsi"/>
          <w:lang w:val="en"/>
        </w:rPr>
        <w:t>University of Leeds, Leeds, UK</w:t>
      </w:r>
    </w:p>
    <w:p w14:paraId="5FFF5BCA" w14:textId="77777777" w:rsidR="00731235" w:rsidRDefault="00731235" w:rsidP="00731235">
      <w:pPr>
        <w:spacing w:after="0"/>
        <w:rPr>
          <w:bCs/>
        </w:rPr>
      </w:pPr>
      <w:r>
        <w:rPr>
          <w:bCs/>
        </w:rPr>
        <w:t>Prof R Tooze PhD</w:t>
      </w:r>
    </w:p>
    <w:p w14:paraId="62712EAB" w14:textId="77777777" w:rsidR="00731235" w:rsidRDefault="00731235" w:rsidP="00731235">
      <w:pPr>
        <w:spacing w:after="0"/>
        <w:rPr>
          <w:bCs/>
        </w:rPr>
      </w:pPr>
      <w:r>
        <w:rPr>
          <w:bCs/>
        </w:rPr>
        <w:t>M A Care PhD</w:t>
      </w:r>
    </w:p>
    <w:p w14:paraId="2B18519B" w14:textId="77777777" w:rsidR="00731235" w:rsidRDefault="00731235" w:rsidP="00731235">
      <w:pPr>
        <w:spacing w:after="0"/>
        <w:rPr>
          <w:bCs/>
        </w:rPr>
      </w:pPr>
    </w:p>
    <w:p w14:paraId="5EFF67F8" w14:textId="77777777" w:rsidR="00731235" w:rsidRPr="003B1D1F" w:rsidRDefault="00731235" w:rsidP="00731235">
      <w:pPr>
        <w:spacing w:after="0"/>
        <w:rPr>
          <w:bCs/>
        </w:rPr>
      </w:pPr>
    </w:p>
    <w:p w14:paraId="07448BEF" w14:textId="77777777" w:rsidR="00731235" w:rsidRPr="00664FFE" w:rsidRDefault="00731235" w:rsidP="00731235">
      <w:pPr>
        <w:spacing w:after="0"/>
        <w:rPr>
          <w:rFonts w:ascii="Calibri" w:hAnsi="Calibri" w:cs="Times New Roman"/>
          <w:color w:val="000000" w:themeColor="text1"/>
          <w:lang w:val="en-US" w:eastAsia="en-US"/>
        </w:rPr>
      </w:pPr>
      <w:r>
        <w:rPr>
          <w:rFonts w:ascii="Calibri" w:hAnsi="Calibri" w:cs="Times New Roman"/>
          <w:color w:val="000000" w:themeColor="text1"/>
          <w:lang w:val="en-US" w:eastAsia="en-US"/>
        </w:rPr>
        <w:t>#</w:t>
      </w:r>
      <w:r w:rsidRPr="003B1D1F">
        <w:rPr>
          <w:rFonts w:ascii="Calibri" w:hAnsi="Calibri" w:cs="Times New Roman"/>
          <w:color w:val="000000" w:themeColor="text1"/>
          <w:lang w:val="en-US" w:eastAsia="en-US"/>
        </w:rPr>
        <w:t xml:space="preserve"> Swiss Group for Clinical Cancer Research, Switzerland</w:t>
      </w:r>
    </w:p>
    <w:p w14:paraId="6BB90672" w14:textId="77777777" w:rsidR="00731235" w:rsidRPr="00692206" w:rsidRDefault="00731235" w:rsidP="00731235">
      <w:pPr>
        <w:spacing w:before="120"/>
        <w:rPr>
          <w:b/>
          <w:bCs/>
        </w:rPr>
      </w:pPr>
      <w:r>
        <w:rPr>
          <w:b/>
          <w:bCs/>
        </w:rPr>
        <w:t>* corresponding author:  johnsonp@soton.ac.uk</w:t>
      </w:r>
    </w:p>
    <w:p w14:paraId="28AEDA1E" w14:textId="77777777" w:rsidR="000C14F7" w:rsidRDefault="000C14F7">
      <w:pPr>
        <w:rPr>
          <w:b/>
          <w:bCs/>
        </w:rPr>
      </w:pPr>
      <w:r>
        <w:rPr>
          <w:b/>
          <w:bCs/>
        </w:rPr>
        <w:br w:type="page"/>
      </w:r>
    </w:p>
    <w:p w14:paraId="0216AA84" w14:textId="7C92D97F" w:rsidR="008676CA" w:rsidRPr="00751F16" w:rsidRDefault="008676CA" w:rsidP="0030644C">
      <w:pPr>
        <w:spacing w:before="120"/>
        <w:outlineLvl w:val="0"/>
        <w:rPr>
          <w:b/>
          <w:bCs/>
        </w:rPr>
      </w:pPr>
      <w:r w:rsidRPr="00751F16">
        <w:rPr>
          <w:b/>
          <w:bCs/>
        </w:rPr>
        <w:lastRenderedPageBreak/>
        <w:t>Summary</w:t>
      </w:r>
    </w:p>
    <w:p w14:paraId="6C12A569" w14:textId="111B8EBD" w:rsidR="004710FD" w:rsidRPr="00751F16" w:rsidRDefault="00A6133F" w:rsidP="00324F29">
      <w:pPr>
        <w:spacing w:before="120" w:after="240"/>
        <w:jc w:val="both"/>
        <w:rPr>
          <w:rFonts w:eastAsia="Times New Roman" w:cstheme="minorHAnsi"/>
          <w:color w:val="1C1D1E"/>
          <w:lang w:val="en" w:eastAsia="en-GB"/>
        </w:rPr>
      </w:pPr>
      <w:r w:rsidRPr="00700792">
        <w:rPr>
          <w:rFonts w:eastAsia="Times New Roman" w:cstheme="minorHAnsi"/>
          <w:b/>
          <w:color w:val="1C1D1E"/>
          <w:lang w:val="en" w:eastAsia="en-GB"/>
        </w:rPr>
        <w:t>Background</w:t>
      </w:r>
      <w:r w:rsidRPr="00751F16">
        <w:rPr>
          <w:rFonts w:eastAsia="Times New Roman" w:cstheme="minorHAnsi"/>
          <w:color w:val="1C1D1E"/>
          <w:lang w:val="en" w:eastAsia="en-GB"/>
        </w:rPr>
        <w:t xml:space="preserve">: </w:t>
      </w:r>
      <w:r w:rsidR="00B340B8">
        <w:rPr>
          <w:rFonts w:eastAsia="Times New Roman" w:cstheme="minorHAnsi"/>
          <w:color w:val="1C1D1E"/>
          <w:lang w:val="en" w:eastAsia="en-GB"/>
        </w:rPr>
        <w:t>Biologically distinct sub-types of d</w:t>
      </w:r>
      <w:r w:rsidR="004710FD" w:rsidRPr="00751F16">
        <w:rPr>
          <w:rFonts w:eastAsia="Times New Roman" w:cstheme="minorHAnsi"/>
          <w:color w:val="1C1D1E"/>
          <w:lang w:val="en" w:eastAsia="en-GB"/>
        </w:rPr>
        <w:t xml:space="preserve">iffuse large B-cell lymphoma (DLBCL) can be identified using </w:t>
      </w:r>
      <w:r w:rsidR="00700792">
        <w:rPr>
          <w:rFonts w:eastAsia="Times New Roman" w:cstheme="minorHAnsi"/>
          <w:color w:val="1C1D1E"/>
          <w:lang w:val="en" w:eastAsia="en-GB"/>
        </w:rPr>
        <w:t>gene expression analysis to determine the</w:t>
      </w:r>
      <w:r w:rsidR="00B340B8">
        <w:rPr>
          <w:rFonts w:eastAsia="Times New Roman" w:cstheme="minorHAnsi"/>
          <w:color w:val="1C1D1E"/>
          <w:lang w:val="en" w:eastAsia="en-GB"/>
        </w:rPr>
        <w:t>ir</w:t>
      </w:r>
      <w:r w:rsidR="00700792">
        <w:rPr>
          <w:rFonts w:eastAsia="Times New Roman" w:cstheme="minorHAnsi"/>
          <w:color w:val="1C1D1E"/>
          <w:lang w:val="en" w:eastAsia="en-GB"/>
        </w:rPr>
        <w:t xml:space="preserve"> </w:t>
      </w:r>
      <w:r w:rsidR="004710FD" w:rsidRPr="00751F16">
        <w:rPr>
          <w:rFonts w:eastAsia="Times New Roman" w:cstheme="minorHAnsi"/>
          <w:color w:val="1C1D1E"/>
          <w:lang w:val="en" w:eastAsia="en-GB"/>
        </w:rPr>
        <w:t>cell of origin (COO)</w:t>
      </w:r>
      <w:r w:rsidR="00700792">
        <w:rPr>
          <w:rFonts w:eastAsia="Times New Roman" w:cstheme="minorHAnsi"/>
          <w:color w:val="1C1D1E"/>
          <w:lang w:val="en" w:eastAsia="en-GB"/>
        </w:rPr>
        <w:t xml:space="preserve">, </w:t>
      </w:r>
      <w:r w:rsidR="003C04AB">
        <w:rPr>
          <w:rFonts w:eastAsia="Times New Roman" w:cstheme="minorHAnsi"/>
          <w:color w:val="1C1D1E"/>
          <w:lang w:val="en" w:eastAsia="en-GB"/>
        </w:rPr>
        <w:t>corresponding to germinal cent</w:t>
      </w:r>
      <w:r w:rsidR="004710FD" w:rsidRPr="00751F16">
        <w:rPr>
          <w:rFonts w:eastAsia="Times New Roman" w:cstheme="minorHAnsi"/>
          <w:color w:val="1C1D1E"/>
          <w:lang w:val="en" w:eastAsia="en-GB"/>
        </w:rPr>
        <w:t>r</w:t>
      </w:r>
      <w:r w:rsidR="003C04AB">
        <w:rPr>
          <w:rFonts w:eastAsia="Times New Roman" w:cstheme="minorHAnsi"/>
          <w:color w:val="1C1D1E"/>
          <w:lang w:val="en" w:eastAsia="en-GB"/>
        </w:rPr>
        <w:t>e</w:t>
      </w:r>
      <w:r w:rsidR="004710FD" w:rsidRPr="00751F16">
        <w:rPr>
          <w:rFonts w:eastAsia="Times New Roman" w:cstheme="minorHAnsi"/>
          <w:color w:val="1C1D1E"/>
          <w:lang w:val="en" w:eastAsia="en-GB"/>
        </w:rPr>
        <w:t xml:space="preserve"> (GCB) or activated  B‐cells (ABC). This study investigated whether adding bortezomib(B) </w:t>
      </w:r>
      <w:r w:rsidR="00EB2AE5" w:rsidRPr="00751F16">
        <w:rPr>
          <w:rFonts w:eastAsia="Times New Roman" w:cstheme="minorHAnsi"/>
          <w:color w:val="1C1D1E"/>
          <w:lang w:val="en" w:eastAsia="en-GB"/>
        </w:rPr>
        <w:t xml:space="preserve">to standard therapy </w:t>
      </w:r>
      <w:r w:rsidR="00135776" w:rsidRPr="00751F16">
        <w:rPr>
          <w:rFonts w:eastAsia="Times New Roman" w:cstheme="minorHAnsi"/>
          <w:color w:val="1C1D1E"/>
          <w:lang w:val="en" w:eastAsia="en-GB"/>
        </w:rPr>
        <w:t xml:space="preserve">could </w:t>
      </w:r>
      <w:r w:rsidR="004710FD" w:rsidRPr="00751F16">
        <w:rPr>
          <w:rFonts w:eastAsia="Times New Roman" w:cstheme="minorHAnsi"/>
          <w:color w:val="1C1D1E"/>
          <w:lang w:val="en" w:eastAsia="en-GB"/>
        </w:rPr>
        <w:t xml:space="preserve">improve outcomes in </w:t>
      </w:r>
      <w:r w:rsidR="00B340B8">
        <w:rPr>
          <w:rFonts w:eastAsia="Times New Roman" w:cstheme="minorHAnsi"/>
          <w:color w:val="1C1D1E"/>
          <w:lang w:val="en" w:eastAsia="en-GB"/>
        </w:rPr>
        <w:t>these subtypes.</w:t>
      </w:r>
    </w:p>
    <w:p w14:paraId="2260A2EF" w14:textId="20C74214" w:rsidR="004710FD" w:rsidRPr="00751F16" w:rsidRDefault="00A6133F" w:rsidP="00324F29">
      <w:pPr>
        <w:spacing w:before="120" w:after="240"/>
        <w:jc w:val="both"/>
        <w:rPr>
          <w:rFonts w:eastAsia="Times New Roman" w:cstheme="minorHAnsi"/>
          <w:color w:val="1C1D1E"/>
          <w:lang w:val="en" w:eastAsia="en-GB"/>
        </w:rPr>
      </w:pPr>
      <w:r w:rsidRPr="00B340B8">
        <w:rPr>
          <w:rFonts w:eastAsia="Times New Roman" w:cstheme="minorHAnsi"/>
          <w:b/>
          <w:color w:val="1C1D1E"/>
          <w:lang w:val="en" w:eastAsia="en-GB"/>
        </w:rPr>
        <w:t>Methods</w:t>
      </w:r>
      <w:r w:rsidRPr="00751F16">
        <w:rPr>
          <w:rFonts w:eastAsia="Times New Roman" w:cstheme="minorHAnsi"/>
          <w:color w:val="1C1D1E"/>
          <w:lang w:val="en" w:eastAsia="en-GB"/>
        </w:rPr>
        <w:t xml:space="preserve">: </w:t>
      </w:r>
      <w:r w:rsidR="003C04AB" w:rsidRPr="00751F16">
        <w:rPr>
          <w:rFonts w:eastAsia="Times New Roman" w:cstheme="minorHAnsi"/>
          <w:color w:val="1C1D1E"/>
          <w:lang w:val="en" w:eastAsia="en-GB"/>
        </w:rPr>
        <w:t>Th</w:t>
      </w:r>
      <w:r w:rsidR="003C04AB">
        <w:rPr>
          <w:rFonts w:eastAsia="Times New Roman" w:cstheme="minorHAnsi"/>
          <w:color w:val="1C1D1E"/>
          <w:lang w:val="en" w:eastAsia="en-GB"/>
        </w:rPr>
        <w:t xml:space="preserve">e </w:t>
      </w:r>
      <w:r w:rsidR="003C04AB" w:rsidRPr="00C011DE">
        <w:rPr>
          <w:bCs/>
        </w:rPr>
        <w:t>REMoDL-B</w:t>
      </w:r>
      <w:r w:rsidR="003C04AB" w:rsidRPr="00C011DE">
        <w:rPr>
          <w:rFonts w:eastAsia="Times New Roman" w:cstheme="minorHAnsi"/>
          <w:color w:val="1C1D1E"/>
          <w:lang w:val="en" w:eastAsia="en-GB"/>
        </w:rPr>
        <w:t xml:space="preserve"> trial</w:t>
      </w:r>
      <w:r w:rsidR="003C04AB">
        <w:rPr>
          <w:rFonts w:eastAsia="Times New Roman" w:cstheme="minorHAnsi"/>
          <w:color w:val="1C1D1E"/>
          <w:lang w:val="en" w:eastAsia="en-GB"/>
        </w:rPr>
        <w:t xml:space="preserve"> </w:t>
      </w:r>
      <w:r w:rsidR="003C04AB" w:rsidRPr="00751F16">
        <w:rPr>
          <w:rFonts w:eastAsia="Times New Roman" w:cstheme="minorHAnsi"/>
          <w:color w:val="1C1D1E"/>
          <w:lang w:val="en" w:eastAsia="en-GB"/>
        </w:rPr>
        <w:t xml:space="preserve">is an open-label adaptive two-stage randomised controlled trial </w:t>
      </w:r>
      <w:r w:rsidR="004710FD" w:rsidRPr="00751F16">
        <w:rPr>
          <w:rFonts w:eastAsia="Times New Roman" w:cstheme="minorHAnsi"/>
          <w:color w:val="1C1D1E"/>
          <w:lang w:val="en" w:eastAsia="en-GB"/>
        </w:rPr>
        <w:t xml:space="preserve">at </w:t>
      </w:r>
      <w:r w:rsidR="009752F7" w:rsidRPr="00751F16">
        <w:rPr>
          <w:rFonts w:eastAsia="Times New Roman" w:cstheme="minorHAnsi"/>
          <w:color w:val="1C1D1E"/>
          <w:lang w:val="en" w:eastAsia="en-GB"/>
        </w:rPr>
        <w:t>107</w:t>
      </w:r>
      <w:r w:rsidR="004710FD" w:rsidRPr="00751F16">
        <w:rPr>
          <w:rFonts w:eastAsia="Times New Roman" w:cstheme="minorHAnsi"/>
          <w:color w:val="1C1D1E"/>
          <w:lang w:val="en" w:eastAsia="en-GB"/>
        </w:rPr>
        <w:t xml:space="preserve"> centres in the United Kingdom and Switzerland. </w:t>
      </w:r>
      <w:r w:rsidR="003C04AB">
        <w:rPr>
          <w:rFonts w:eastAsia="Times New Roman" w:cstheme="minorHAnsi"/>
          <w:color w:val="1C1D1E"/>
          <w:lang w:val="en" w:eastAsia="en-GB"/>
        </w:rPr>
        <w:t>Eligible p</w:t>
      </w:r>
      <w:r w:rsidR="003C04AB" w:rsidRPr="00751F16">
        <w:rPr>
          <w:rFonts w:eastAsia="Times New Roman" w:cstheme="minorHAnsi"/>
          <w:color w:val="1C1D1E"/>
          <w:lang w:val="en" w:eastAsia="en-GB"/>
        </w:rPr>
        <w:t>atients (pts)</w:t>
      </w:r>
      <w:r w:rsidR="003C04AB">
        <w:rPr>
          <w:rFonts w:eastAsia="Times New Roman" w:cstheme="minorHAnsi"/>
          <w:color w:val="1C1D1E"/>
          <w:lang w:val="en" w:eastAsia="en-GB"/>
        </w:rPr>
        <w:t xml:space="preserve"> had</w:t>
      </w:r>
      <w:r w:rsidR="003C04AB" w:rsidRPr="00751F16">
        <w:rPr>
          <w:rFonts w:eastAsia="Times New Roman" w:cstheme="minorHAnsi"/>
          <w:color w:val="1C1D1E"/>
          <w:lang w:val="en" w:eastAsia="en-GB"/>
        </w:rPr>
        <w:t xml:space="preserve"> </w:t>
      </w:r>
      <w:r w:rsidR="003C04AB">
        <w:rPr>
          <w:rFonts w:eastAsia="Times New Roman" w:cstheme="minorHAnsi"/>
          <w:color w:val="1C1D1E"/>
          <w:lang w:val="en" w:eastAsia="en-GB"/>
        </w:rPr>
        <w:t xml:space="preserve">previously untreated, </w:t>
      </w:r>
      <w:r w:rsidR="003C04AB" w:rsidRPr="00692206">
        <w:rPr>
          <w:rFonts w:eastAsia="Calibri" w:cs="Calibri"/>
          <w:spacing w:val="-1"/>
        </w:rPr>
        <w:t>h</w:t>
      </w:r>
      <w:r w:rsidR="003C04AB" w:rsidRPr="00692206">
        <w:rPr>
          <w:rFonts w:eastAsia="Calibri" w:cs="Calibri"/>
        </w:rPr>
        <w:t>ist</w:t>
      </w:r>
      <w:r w:rsidR="003C04AB" w:rsidRPr="00692206">
        <w:rPr>
          <w:rFonts w:eastAsia="Calibri" w:cs="Calibri"/>
          <w:spacing w:val="1"/>
        </w:rPr>
        <w:t>o</w:t>
      </w:r>
      <w:r w:rsidR="003C04AB" w:rsidRPr="00692206">
        <w:rPr>
          <w:rFonts w:eastAsia="Calibri" w:cs="Calibri"/>
          <w:spacing w:val="-3"/>
        </w:rPr>
        <w:t>l</w:t>
      </w:r>
      <w:r w:rsidR="003C04AB" w:rsidRPr="00692206">
        <w:rPr>
          <w:rFonts w:eastAsia="Calibri" w:cs="Calibri"/>
          <w:spacing w:val="1"/>
        </w:rPr>
        <w:t>o</w:t>
      </w:r>
      <w:r w:rsidR="003C04AB" w:rsidRPr="00692206">
        <w:rPr>
          <w:rFonts w:eastAsia="Calibri" w:cs="Calibri"/>
          <w:spacing w:val="-1"/>
        </w:rPr>
        <w:t>g</w:t>
      </w:r>
      <w:r w:rsidR="003C04AB" w:rsidRPr="00692206">
        <w:rPr>
          <w:rFonts w:eastAsia="Calibri" w:cs="Calibri"/>
        </w:rPr>
        <w:t>ically</w:t>
      </w:r>
      <w:r w:rsidR="003C04AB" w:rsidRPr="00692206">
        <w:rPr>
          <w:rFonts w:eastAsia="Calibri"/>
          <w:position w:val="1"/>
        </w:rPr>
        <w:t xml:space="preserve"> </w:t>
      </w:r>
      <w:r w:rsidR="003C04AB" w:rsidRPr="00692206">
        <w:rPr>
          <w:rFonts w:eastAsia="Calibri" w:cs="Calibri"/>
          <w:spacing w:val="-2"/>
        </w:rPr>
        <w:t>c</w:t>
      </w:r>
      <w:r w:rsidR="003C04AB" w:rsidRPr="00692206">
        <w:rPr>
          <w:rFonts w:eastAsia="Calibri" w:cs="Calibri"/>
          <w:spacing w:val="1"/>
        </w:rPr>
        <w:t>o</w:t>
      </w:r>
      <w:r w:rsidR="003C04AB" w:rsidRPr="00692206">
        <w:rPr>
          <w:rFonts w:eastAsia="Calibri" w:cs="Calibri"/>
          <w:spacing w:val="-1"/>
        </w:rPr>
        <w:t>n</w:t>
      </w:r>
      <w:r w:rsidR="003C04AB" w:rsidRPr="00692206">
        <w:rPr>
          <w:rFonts w:eastAsia="Calibri" w:cs="Calibri"/>
        </w:rPr>
        <w:t>fi</w:t>
      </w:r>
      <w:r w:rsidR="003C04AB" w:rsidRPr="00692206">
        <w:rPr>
          <w:rFonts w:eastAsia="Calibri" w:cs="Calibri"/>
          <w:spacing w:val="-3"/>
        </w:rPr>
        <w:t>r</w:t>
      </w:r>
      <w:r w:rsidR="003C04AB" w:rsidRPr="00692206">
        <w:rPr>
          <w:rFonts w:eastAsia="Calibri" w:cs="Calibri"/>
          <w:spacing w:val="1"/>
        </w:rPr>
        <w:t>me</w:t>
      </w:r>
      <w:r w:rsidR="003C04AB" w:rsidRPr="00692206">
        <w:rPr>
          <w:rFonts w:eastAsia="Calibri" w:cs="Calibri"/>
        </w:rPr>
        <w:t>d</w:t>
      </w:r>
      <w:r w:rsidR="003C04AB" w:rsidRPr="00692206">
        <w:rPr>
          <w:rFonts w:eastAsia="Calibri" w:cs="Calibri"/>
          <w:spacing w:val="27"/>
        </w:rPr>
        <w:t xml:space="preserve"> </w:t>
      </w:r>
      <w:r w:rsidR="003C04AB" w:rsidRPr="00692206">
        <w:rPr>
          <w:rFonts w:eastAsia="Calibri" w:cs="Calibri"/>
          <w:spacing w:val="1"/>
        </w:rPr>
        <w:t>DL</w:t>
      </w:r>
      <w:r w:rsidR="003C04AB" w:rsidRPr="00692206">
        <w:rPr>
          <w:rFonts w:eastAsia="Calibri" w:cs="Calibri"/>
        </w:rPr>
        <w:t>B</w:t>
      </w:r>
      <w:r w:rsidR="003C04AB">
        <w:rPr>
          <w:rFonts w:eastAsia="Calibri" w:cs="Calibri"/>
        </w:rPr>
        <w:t>C</w:t>
      </w:r>
      <w:r w:rsidR="003C04AB" w:rsidRPr="00692206">
        <w:rPr>
          <w:rFonts w:eastAsia="Calibri" w:cs="Calibri"/>
        </w:rPr>
        <w:t>L</w:t>
      </w:r>
      <w:r w:rsidR="003C04AB" w:rsidRPr="00692206">
        <w:rPr>
          <w:rFonts w:eastAsia="Calibri" w:cs="Calibri"/>
          <w:spacing w:val="30"/>
        </w:rPr>
        <w:t xml:space="preserve"> </w:t>
      </w:r>
      <w:r w:rsidR="003C04AB" w:rsidRPr="00692206">
        <w:rPr>
          <w:rFonts w:eastAsia="Calibri"/>
          <w:spacing w:val="1"/>
        </w:rPr>
        <w:t>with sufficient diagnostic material for gene expression profiling</w:t>
      </w:r>
      <w:r w:rsidR="003C04AB" w:rsidRPr="00692206">
        <w:rPr>
          <w:rFonts w:eastAsia="Calibri"/>
          <w:position w:val="1"/>
        </w:rPr>
        <w:t xml:space="preserve"> </w:t>
      </w:r>
      <w:r w:rsidR="003C04AB">
        <w:rPr>
          <w:rFonts w:eastAsia="Calibri"/>
          <w:spacing w:val="1"/>
        </w:rPr>
        <w:t>and</w:t>
      </w:r>
      <w:r w:rsidR="003C04AB" w:rsidRPr="00692206">
        <w:rPr>
          <w:rFonts w:eastAsia="Calibri"/>
          <w:spacing w:val="1"/>
        </w:rPr>
        <w:t xml:space="preserve"> pathology review; age 18 years or older; Eastern Cooperative Oncology Group performance status of </w:t>
      </w:r>
      <w:r w:rsidR="0089702E">
        <w:rPr>
          <w:rFonts w:eastAsia="Calibri"/>
          <w:spacing w:val="1"/>
        </w:rPr>
        <w:t>≤</w:t>
      </w:r>
      <w:r w:rsidR="003C04AB" w:rsidRPr="00692206">
        <w:rPr>
          <w:rFonts w:eastAsia="Calibri"/>
          <w:spacing w:val="1"/>
        </w:rPr>
        <w:t xml:space="preserve">2; bulky </w:t>
      </w:r>
      <w:r w:rsidR="003C04AB" w:rsidRPr="00692206">
        <w:rPr>
          <w:rFonts w:eastAsia="Calibri" w:cs="Calibri"/>
          <w:spacing w:val="-1"/>
        </w:rPr>
        <w:t>s</w:t>
      </w:r>
      <w:r w:rsidR="003C04AB" w:rsidRPr="00692206">
        <w:rPr>
          <w:rFonts w:eastAsia="Calibri" w:cs="Calibri"/>
        </w:rPr>
        <w:t>ta</w:t>
      </w:r>
      <w:r w:rsidR="003C04AB" w:rsidRPr="00692206">
        <w:rPr>
          <w:rFonts w:eastAsia="Calibri" w:cs="Calibri"/>
          <w:spacing w:val="-1"/>
        </w:rPr>
        <w:t>g</w:t>
      </w:r>
      <w:r w:rsidR="003C04AB" w:rsidRPr="00692206">
        <w:rPr>
          <w:rFonts w:eastAsia="Calibri" w:cs="Calibri"/>
        </w:rPr>
        <w:t>e</w:t>
      </w:r>
      <w:r w:rsidR="00391097">
        <w:rPr>
          <w:rFonts w:eastAsia="Calibri" w:cs="Calibri"/>
          <w:spacing w:val="1"/>
        </w:rPr>
        <w:t xml:space="preserve"> I or stage II-</w:t>
      </w:r>
      <w:r w:rsidR="003C04AB" w:rsidRPr="00692206">
        <w:rPr>
          <w:rFonts w:eastAsia="Calibri" w:cs="Calibri"/>
          <w:spacing w:val="-3"/>
        </w:rPr>
        <w:t>I</w:t>
      </w:r>
      <w:r w:rsidR="003C04AB" w:rsidRPr="00692206">
        <w:rPr>
          <w:rFonts w:eastAsia="Calibri" w:cs="Calibri"/>
        </w:rPr>
        <w:t xml:space="preserve">V </w:t>
      </w:r>
      <w:r w:rsidR="003C04AB" w:rsidRPr="00692206">
        <w:rPr>
          <w:rFonts w:eastAsia="Calibri" w:cs="Calibri"/>
          <w:spacing w:val="-3"/>
          <w:position w:val="1"/>
        </w:rPr>
        <w:t>r</w:t>
      </w:r>
      <w:r w:rsidR="003C04AB" w:rsidRPr="00692206">
        <w:rPr>
          <w:rFonts w:eastAsia="Calibri" w:cs="Calibri"/>
          <w:spacing w:val="1"/>
          <w:position w:val="1"/>
        </w:rPr>
        <w:t>e</w:t>
      </w:r>
      <w:r w:rsidR="003C04AB" w:rsidRPr="00692206">
        <w:rPr>
          <w:rFonts w:eastAsia="Calibri" w:cs="Calibri"/>
          <w:spacing w:val="-1"/>
          <w:position w:val="1"/>
        </w:rPr>
        <w:t>qu</w:t>
      </w:r>
      <w:r w:rsidR="003C04AB" w:rsidRPr="00692206">
        <w:rPr>
          <w:rFonts w:eastAsia="Calibri" w:cs="Calibri"/>
          <w:position w:val="1"/>
        </w:rPr>
        <w:t>iri</w:t>
      </w:r>
      <w:r w:rsidR="003C04AB" w:rsidRPr="00692206">
        <w:rPr>
          <w:rFonts w:eastAsia="Calibri" w:cs="Calibri"/>
          <w:spacing w:val="-1"/>
          <w:position w:val="1"/>
        </w:rPr>
        <w:t>n</w:t>
      </w:r>
      <w:r w:rsidR="003C04AB" w:rsidRPr="00692206">
        <w:rPr>
          <w:rFonts w:eastAsia="Calibri" w:cs="Calibri"/>
          <w:position w:val="1"/>
        </w:rPr>
        <w:t>g f</w:t>
      </w:r>
      <w:r w:rsidR="003C04AB" w:rsidRPr="00692206">
        <w:rPr>
          <w:rFonts w:eastAsia="Calibri" w:cs="Calibri"/>
          <w:spacing w:val="-1"/>
          <w:position w:val="1"/>
        </w:rPr>
        <w:t>u</w:t>
      </w:r>
      <w:r w:rsidR="003C04AB" w:rsidRPr="00692206">
        <w:rPr>
          <w:rFonts w:eastAsia="Calibri" w:cs="Calibri"/>
          <w:position w:val="1"/>
        </w:rPr>
        <w:t>ll c</w:t>
      </w:r>
      <w:r w:rsidR="003C04AB" w:rsidRPr="00692206">
        <w:rPr>
          <w:rFonts w:eastAsia="Calibri" w:cs="Calibri"/>
          <w:spacing w:val="1"/>
          <w:position w:val="1"/>
        </w:rPr>
        <w:t>o</w:t>
      </w:r>
      <w:r w:rsidR="003C04AB" w:rsidRPr="00692206">
        <w:rPr>
          <w:rFonts w:eastAsia="Calibri" w:cs="Calibri"/>
          <w:spacing w:val="-1"/>
          <w:position w:val="1"/>
        </w:rPr>
        <w:t>u</w:t>
      </w:r>
      <w:r w:rsidR="003C04AB" w:rsidRPr="00692206">
        <w:rPr>
          <w:rFonts w:eastAsia="Calibri" w:cs="Calibri"/>
          <w:position w:val="1"/>
        </w:rPr>
        <w:t>r</w:t>
      </w:r>
      <w:r w:rsidR="003C04AB" w:rsidRPr="00692206">
        <w:rPr>
          <w:rFonts w:eastAsia="Calibri" w:cs="Calibri"/>
          <w:spacing w:val="-2"/>
          <w:position w:val="1"/>
        </w:rPr>
        <w:t>s</w:t>
      </w:r>
      <w:r w:rsidR="003C04AB" w:rsidRPr="00692206">
        <w:rPr>
          <w:rFonts w:eastAsia="Calibri" w:cs="Calibri"/>
          <w:position w:val="1"/>
        </w:rPr>
        <w:t>e c</w:t>
      </w:r>
      <w:r w:rsidR="003C04AB" w:rsidRPr="00692206">
        <w:rPr>
          <w:rFonts w:eastAsia="Calibri" w:cs="Calibri"/>
          <w:spacing w:val="-1"/>
          <w:position w:val="1"/>
        </w:rPr>
        <w:t>h</w:t>
      </w:r>
      <w:r w:rsidR="003C04AB" w:rsidRPr="00692206">
        <w:rPr>
          <w:rFonts w:eastAsia="Calibri" w:cs="Calibri"/>
          <w:spacing w:val="-2"/>
          <w:position w:val="1"/>
        </w:rPr>
        <w:t>e</w:t>
      </w:r>
      <w:r w:rsidR="003C04AB" w:rsidRPr="00692206">
        <w:rPr>
          <w:rFonts w:eastAsia="Calibri" w:cs="Calibri"/>
          <w:spacing w:val="-1"/>
          <w:position w:val="1"/>
        </w:rPr>
        <w:t>m</w:t>
      </w:r>
      <w:r w:rsidR="003C04AB" w:rsidRPr="00692206">
        <w:rPr>
          <w:rFonts w:eastAsia="Calibri" w:cs="Calibri"/>
          <w:spacing w:val="1"/>
          <w:position w:val="1"/>
        </w:rPr>
        <w:t>o</w:t>
      </w:r>
      <w:r w:rsidR="003C04AB" w:rsidRPr="00692206">
        <w:rPr>
          <w:rFonts w:eastAsia="Calibri" w:cs="Calibri"/>
          <w:position w:val="1"/>
        </w:rPr>
        <w:t>t</w:t>
      </w:r>
      <w:r w:rsidR="003C04AB" w:rsidRPr="00692206">
        <w:rPr>
          <w:rFonts w:eastAsia="Calibri" w:cs="Calibri"/>
          <w:spacing w:val="-1"/>
          <w:position w:val="1"/>
        </w:rPr>
        <w:t>h</w:t>
      </w:r>
      <w:r w:rsidR="003C04AB" w:rsidRPr="00692206">
        <w:rPr>
          <w:rFonts w:eastAsia="Calibri" w:cs="Calibri"/>
          <w:spacing w:val="1"/>
          <w:position w:val="1"/>
        </w:rPr>
        <w:t>e</w:t>
      </w:r>
      <w:r w:rsidR="003C04AB" w:rsidRPr="00692206">
        <w:rPr>
          <w:rFonts w:eastAsia="Calibri" w:cs="Calibri"/>
          <w:position w:val="1"/>
        </w:rPr>
        <w:t>ra</w:t>
      </w:r>
      <w:r w:rsidR="003C04AB" w:rsidRPr="00692206">
        <w:rPr>
          <w:rFonts w:eastAsia="Calibri" w:cs="Calibri"/>
          <w:spacing w:val="-3"/>
          <w:position w:val="1"/>
        </w:rPr>
        <w:t>p</w:t>
      </w:r>
      <w:r w:rsidR="003C04AB" w:rsidRPr="00692206">
        <w:rPr>
          <w:rFonts w:eastAsia="Calibri" w:cs="Calibri"/>
          <w:position w:val="1"/>
        </w:rPr>
        <w:t>y;</w:t>
      </w:r>
      <w:r w:rsidR="003C04AB" w:rsidRPr="00692206">
        <w:rPr>
          <w:rFonts w:eastAsia="Calibri" w:cs="Calibri"/>
        </w:rPr>
        <w:t xml:space="preserve"> measurable disease, and car</w:t>
      </w:r>
      <w:r w:rsidR="003C04AB" w:rsidRPr="00692206">
        <w:rPr>
          <w:rFonts w:eastAsia="Calibri" w:cs="Calibri"/>
          <w:spacing w:val="-1"/>
        </w:rPr>
        <w:t>d</w:t>
      </w:r>
      <w:r w:rsidR="003C04AB" w:rsidRPr="00692206">
        <w:rPr>
          <w:rFonts w:eastAsia="Calibri" w:cs="Calibri"/>
        </w:rPr>
        <w:t>iac, lung, renal and liver</w:t>
      </w:r>
      <w:r w:rsidR="003C04AB" w:rsidRPr="00692206">
        <w:rPr>
          <w:rFonts w:eastAsia="Calibri" w:cs="Calibri"/>
          <w:spacing w:val="8"/>
        </w:rPr>
        <w:t xml:space="preserve"> </w:t>
      </w:r>
      <w:r w:rsidR="003C04AB" w:rsidRPr="00692206">
        <w:rPr>
          <w:rFonts w:eastAsia="Calibri" w:cs="Calibri"/>
        </w:rPr>
        <w:t>f</w:t>
      </w:r>
      <w:r w:rsidR="003C04AB" w:rsidRPr="00692206">
        <w:rPr>
          <w:rFonts w:eastAsia="Calibri" w:cs="Calibri"/>
          <w:spacing w:val="-1"/>
        </w:rPr>
        <w:t>un</w:t>
      </w:r>
      <w:r w:rsidR="003C04AB" w:rsidRPr="00692206">
        <w:rPr>
          <w:rFonts w:eastAsia="Calibri" w:cs="Calibri"/>
        </w:rPr>
        <w:t>cti</w:t>
      </w:r>
      <w:r w:rsidR="003C04AB" w:rsidRPr="00692206">
        <w:rPr>
          <w:rFonts w:eastAsia="Calibri" w:cs="Calibri"/>
          <w:spacing w:val="1"/>
        </w:rPr>
        <w:t>o</w:t>
      </w:r>
      <w:r w:rsidR="003C04AB" w:rsidRPr="00692206">
        <w:rPr>
          <w:rFonts w:eastAsia="Calibri" w:cs="Calibri"/>
        </w:rPr>
        <w:t>n</w:t>
      </w:r>
      <w:r w:rsidR="003C04AB" w:rsidRPr="00692206">
        <w:rPr>
          <w:rFonts w:eastAsia="Calibri" w:cs="Calibri"/>
          <w:spacing w:val="7"/>
        </w:rPr>
        <w:t xml:space="preserve"> </w:t>
      </w:r>
      <w:r w:rsidR="003C04AB" w:rsidRPr="00692206">
        <w:rPr>
          <w:rFonts w:eastAsia="Calibri" w:cs="Calibri"/>
        </w:rPr>
        <w:t>s</w:t>
      </w:r>
      <w:r w:rsidR="003C04AB" w:rsidRPr="00692206">
        <w:rPr>
          <w:rFonts w:eastAsia="Calibri" w:cs="Calibri"/>
          <w:spacing w:val="-1"/>
        </w:rPr>
        <w:t>u</w:t>
      </w:r>
      <w:r w:rsidR="003C04AB" w:rsidRPr="00692206">
        <w:rPr>
          <w:rFonts w:eastAsia="Calibri" w:cs="Calibri"/>
        </w:rPr>
        <w:t>fficie</w:t>
      </w:r>
      <w:r w:rsidR="003C04AB" w:rsidRPr="00692206">
        <w:rPr>
          <w:rFonts w:eastAsia="Calibri" w:cs="Calibri"/>
          <w:spacing w:val="-1"/>
        </w:rPr>
        <w:t>n</w:t>
      </w:r>
      <w:r w:rsidR="003C04AB" w:rsidRPr="00692206">
        <w:rPr>
          <w:rFonts w:eastAsia="Calibri" w:cs="Calibri"/>
        </w:rPr>
        <w:t>t</w:t>
      </w:r>
      <w:r w:rsidR="003C04AB" w:rsidRPr="00692206">
        <w:rPr>
          <w:rFonts w:eastAsia="Calibri" w:cs="Calibri"/>
          <w:spacing w:val="8"/>
        </w:rPr>
        <w:t xml:space="preserve"> </w:t>
      </w:r>
      <w:r w:rsidR="003C04AB" w:rsidRPr="00692206">
        <w:rPr>
          <w:rFonts w:eastAsia="Calibri" w:cs="Calibri"/>
        </w:rPr>
        <w:t>to</w:t>
      </w:r>
      <w:r w:rsidR="003C04AB" w:rsidRPr="00692206">
        <w:rPr>
          <w:rFonts w:eastAsia="Calibri" w:cs="Calibri"/>
          <w:spacing w:val="9"/>
        </w:rPr>
        <w:t xml:space="preserve"> </w:t>
      </w:r>
      <w:r w:rsidR="003C04AB" w:rsidRPr="00692206">
        <w:rPr>
          <w:rFonts w:eastAsia="Calibri" w:cs="Calibri"/>
        </w:rPr>
        <w:t>t</w:t>
      </w:r>
      <w:r w:rsidR="003C04AB" w:rsidRPr="00692206">
        <w:rPr>
          <w:rFonts w:eastAsia="Calibri" w:cs="Calibri"/>
          <w:spacing w:val="1"/>
        </w:rPr>
        <w:t>o</w:t>
      </w:r>
      <w:r w:rsidR="003C04AB" w:rsidRPr="00692206">
        <w:rPr>
          <w:rFonts w:eastAsia="Calibri" w:cs="Calibri"/>
          <w:spacing w:val="-3"/>
        </w:rPr>
        <w:t>l</w:t>
      </w:r>
      <w:r w:rsidR="003C04AB" w:rsidRPr="00692206">
        <w:rPr>
          <w:rFonts w:eastAsia="Calibri" w:cs="Calibri"/>
          <w:spacing w:val="1"/>
        </w:rPr>
        <w:t>e</w:t>
      </w:r>
      <w:r w:rsidR="003C04AB" w:rsidRPr="00692206">
        <w:rPr>
          <w:rFonts w:eastAsia="Calibri" w:cs="Calibri"/>
        </w:rPr>
        <w:t>ra</w:t>
      </w:r>
      <w:r w:rsidR="003C04AB" w:rsidRPr="00692206">
        <w:rPr>
          <w:rFonts w:eastAsia="Calibri" w:cs="Calibri"/>
          <w:spacing w:val="-2"/>
        </w:rPr>
        <w:t>t</w:t>
      </w:r>
      <w:r w:rsidR="003C04AB" w:rsidRPr="00692206">
        <w:rPr>
          <w:rFonts w:eastAsia="Calibri" w:cs="Calibri"/>
        </w:rPr>
        <w:t>e</w:t>
      </w:r>
      <w:r w:rsidR="003C04AB" w:rsidRPr="00692206">
        <w:rPr>
          <w:rFonts w:eastAsia="Calibri" w:cs="Calibri"/>
          <w:spacing w:val="8"/>
        </w:rPr>
        <w:t xml:space="preserve"> chemotherapy.</w:t>
      </w:r>
      <w:r w:rsidR="003C04AB">
        <w:rPr>
          <w:rFonts w:eastAsia="Calibri" w:cs="Calibri"/>
          <w:spacing w:val="8"/>
        </w:rPr>
        <w:t xml:space="preserve"> </w:t>
      </w:r>
      <w:r w:rsidR="003C04AB">
        <w:rPr>
          <w:rFonts w:eastAsia="Times New Roman" w:cstheme="minorHAnsi"/>
          <w:color w:val="1C1D1E"/>
          <w:lang w:val="en" w:eastAsia="en-GB"/>
        </w:rPr>
        <w:t>Pts</w:t>
      </w:r>
      <w:r w:rsidR="004710FD" w:rsidRPr="00751F16">
        <w:rPr>
          <w:rFonts w:eastAsia="Times New Roman" w:cstheme="minorHAnsi"/>
          <w:color w:val="1C1D1E"/>
          <w:lang w:val="en" w:eastAsia="en-GB"/>
        </w:rPr>
        <w:t xml:space="preserve"> </w:t>
      </w:r>
      <w:r w:rsidR="002F4E5C" w:rsidRPr="00751F16">
        <w:rPr>
          <w:rFonts w:eastAsia="Times New Roman" w:cstheme="minorHAnsi"/>
          <w:color w:val="1C1D1E"/>
          <w:lang w:val="en" w:eastAsia="en-GB"/>
        </w:rPr>
        <w:t xml:space="preserve">initially received 1 cycle of standard </w:t>
      </w:r>
      <w:r w:rsidR="004710FD" w:rsidRPr="00751F16">
        <w:rPr>
          <w:rFonts w:eastAsia="Times New Roman" w:cstheme="minorHAnsi"/>
          <w:color w:val="1C1D1E"/>
          <w:lang w:val="en" w:eastAsia="en-GB"/>
        </w:rPr>
        <w:t xml:space="preserve">R‐CHOP. </w:t>
      </w:r>
      <w:r w:rsidRPr="00751F16">
        <w:rPr>
          <w:rFonts w:eastAsia="Times New Roman" w:cstheme="minorHAnsi"/>
          <w:color w:val="1C1D1E"/>
          <w:lang w:val="en" w:eastAsia="en-GB"/>
        </w:rPr>
        <w:t xml:space="preserve"> </w:t>
      </w:r>
      <w:r w:rsidR="004710FD" w:rsidRPr="00751F16">
        <w:rPr>
          <w:rFonts w:eastAsia="Times New Roman" w:cstheme="minorHAnsi"/>
          <w:color w:val="1C1D1E"/>
          <w:lang w:val="en" w:eastAsia="en-GB"/>
        </w:rPr>
        <w:t xml:space="preserve">During this time, </w:t>
      </w:r>
      <w:r w:rsidR="006960E5">
        <w:rPr>
          <w:rFonts w:eastAsia="Times New Roman" w:cstheme="minorHAnsi"/>
          <w:color w:val="1C1D1E"/>
          <w:lang w:val="en" w:eastAsia="en-GB"/>
        </w:rPr>
        <w:t>gene</w:t>
      </w:r>
      <w:r w:rsidR="004710FD" w:rsidRPr="00751F16">
        <w:rPr>
          <w:rFonts w:eastAsia="Times New Roman" w:cstheme="minorHAnsi"/>
          <w:color w:val="1C1D1E"/>
          <w:lang w:val="en" w:eastAsia="en-GB"/>
        </w:rPr>
        <w:t xml:space="preserve"> expression profiling </w:t>
      </w:r>
      <w:r w:rsidR="006960E5">
        <w:rPr>
          <w:rFonts w:eastAsia="Times New Roman" w:cstheme="minorHAnsi"/>
          <w:color w:val="1C1D1E"/>
          <w:lang w:val="en" w:eastAsia="en-GB"/>
        </w:rPr>
        <w:t xml:space="preserve">by </w:t>
      </w:r>
      <w:r w:rsidR="006960E5" w:rsidRPr="00692206">
        <w:t xml:space="preserve">whole genome cDNA-mediated annealing, selection, </w:t>
      </w:r>
      <w:r w:rsidR="006960E5">
        <w:t>extension and ligation</w:t>
      </w:r>
      <w:r w:rsidR="006960E5" w:rsidRPr="00692206">
        <w:t xml:space="preserve"> assay</w:t>
      </w:r>
      <w:r w:rsidR="006960E5" w:rsidRPr="00751F16">
        <w:rPr>
          <w:rFonts w:eastAsia="Times New Roman" w:cstheme="minorHAnsi"/>
          <w:color w:val="1C1D1E"/>
          <w:lang w:val="en" w:eastAsia="en-GB"/>
        </w:rPr>
        <w:t xml:space="preserve"> </w:t>
      </w:r>
      <w:r w:rsidR="004710FD" w:rsidRPr="00751F16">
        <w:rPr>
          <w:rFonts w:eastAsia="Times New Roman" w:cstheme="minorHAnsi"/>
          <w:color w:val="1C1D1E"/>
          <w:lang w:val="en" w:eastAsia="en-GB"/>
        </w:rPr>
        <w:t>was performed</w:t>
      </w:r>
      <w:r w:rsidR="00DA76D2">
        <w:rPr>
          <w:rFonts w:eastAsia="Times New Roman" w:cstheme="minorHAnsi"/>
          <w:color w:val="1C1D1E"/>
          <w:lang w:val="en" w:eastAsia="en-GB"/>
        </w:rPr>
        <w:t xml:space="preserve"> on routine diagnostic biopsy material</w:t>
      </w:r>
      <w:r w:rsidR="004710FD" w:rsidRPr="00751F16">
        <w:rPr>
          <w:rFonts w:eastAsia="Times New Roman" w:cstheme="minorHAnsi"/>
          <w:color w:val="1C1D1E"/>
          <w:lang w:val="en" w:eastAsia="en-GB"/>
        </w:rPr>
        <w:t xml:space="preserve">. </w:t>
      </w:r>
      <w:r w:rsidR="00B340B8">
        <w:rPr>
          <w:rFonts w:eastAsia="Times New Roman" w:cstheme="minorHAnsi"/>
          <w:color w:val="1C1D1E"/>
          <w:lang w:val="en" w:eastAsia="en-GB"/>
        </w:rPr>
        <w:t xml:space="preserve"> </w:t>
      </w:r>
      <w:r w:rsidR="003C04AB" w:rsidRPr="00C011DE">
        <w:rPr>
          <w:rFonts w:eastAsia="Times New Roman" w:cstheme="minorHAnsi"/>
          <w:color w:val="1C1D1E"/>
          <w:lang w:val="en" w:eastAsia="en-GB"/>
        </w:rPr>
        <w:t xml:space="preserve">Patients were </w:t>
      </w:r>
      <w:r w:rsidR="003C04AB">
        <w:rPr>
          <w:rFonts w:eastAsia="Times New Roman" w:cstheme="minorHAnsi"/>
          <w:color w:val="1C1D1E"/>
          <w:lang w:val="en" w:eastAsia="en-GB"/>
        </w:rPr>
        <w:t xml:space="preserve">then </w:t>
      </w:r>
      <w:r w:rsidR="003C04AB" w:rsidRPr="00C011DE">
        <w:rPr>
          <w:rFonts w:eastAsia="Times New Roman" w:cstheme="minorHAnsi"/>
          <w:color w:val="1C1D1E"/>
          <w:lang w:val="en" w:eastAsia="en-GB"/>
        </w:rPr>
        <w:t>centrally assigned (1:1) via a web-based s</w:t>
      </w:r>
      <w:r w:rsidR="0089702E">
        <w:rPr>
          <w:rFonts w:eastAsia="Times New Roman" w:cstheme="minorHAnsi"/>
          <w:color w:val="1C1D1E"/>
          <w:lang w:val="en" w:eastAsia="en-GB"/>
        </w:rPr>
        <w:t xml:space="preserve">ystem, with block randomisation </w:t>
      </w:r>
      <w:r w:rsidR="00F34CFE">
        <w:rPr>
          <w:rFonts w:eastAsia="Times New Roman" w:cstheme="minorHAnsi"/>
          <w:color w:val="1C1D1E"/>
          <w:lang w:val="en" w:eastAsia="en-GB"/>
        </w:rPr>
        <w:t xml:space="preserve">stratified </w:t>
      </w:r>
      <w:r w:rsidR="0089702E">
        <w:rPr>
          <w:rFonts w:eastAsia="Times New Roman" w:cstheme="minorHAnsi"/>
          <w:color w:val="1C1D1E"/>
          <w:lang w:val="en" w:eastAsia="en-GB"/>
        </w:rPr>
        <w:t>by</w:t>
      </w:r>
      <w:r w:rsidR="003C04AB" w:rsidRPr="00C011DE">
        <w:rPr>
          <w:rFonts w:eastAsia="Times New Roman" w:cstheme="minorHAnsi"/>
          <w:color w:val="1C1D1E"/>
          <w:lang w:val="en" w:eastAsia="en-GB"/>
        </w:rPr>
        <w:t xml:space="preserve"> </w:t>
      </w:r>
      <w:r w:rsidR="003C04AB" w:rsidRPr="00751F16">
        <w:rPr>
          <w:rFonts w:eastAsia="Times New Roman" w:cstheme="minorHAnsi"/>
          <w:color w:val="1C1D1E"/>
          <w:lang w:val="en" w:eastAsia="en-GB"/>
        </w:rPr>
        <w:t>international prognostic index and</w:t>
      </w:r>
      <w:r w:rsidR="004710FD" w:rsidRPr="00751F16">
        <w:rPr>
          <w:rFonts w:eastAsia="Times New Roman" w:cstheme="minorHAnsi"/>
          <w:color w:val="1C1D1E"/>
          <w:lang w:val="en" w:eastAsia="en-GB"/>
        </w:rPr>
        <w:t xml:space="preserve"> COO subtype to continue R‐CHOP +/‐ bortezomib (1.3 mg/m</w:t>
      </w:r>
      <w:r w:rsidR="004710FD" w:rsidRPr="00B340B8">
        <w:rPr>
          <w:rFonts w:eastAsia="Times New Roman" w:cstheme="minorHAnsi"/>
          <w:color w:val="1C1D1E"/>
          <w:vertAlign w:val="superscript"/>
          <w:lang w:val="en" w:eastAsia="en-GB"/>
        </w:rPr>
        <w:t>2</w:t>
      </w:r>
      <w:r w:rsidR="004710FD" w:rsidRPr="00751F16">
        <w:rPr>
          <w:rFonts w:eastAsia="Times New Roman" w:cstheme="minorHAnsi"/>
          <w:color w:val="1C1D1E"/>
          <w:lang w:val="en" w:eastAsia="en-GB"/>
        </w:rPr>
        <w:t xml:space="preserve"> IV or 1.6 mg/m</w:t>
      </w:r>
      <w:r w:rsidR="004710FD" w:rsidRPr="00B340B8">
        <w:rPr>
          <w:rFonts w:eastAsia="Times New Roman" w:cstheme="minorHAnsi"/>
          <w:color w:val="1C1D1E"/>
          <w:vertAlign w:val="superscript"/>
          <w:lang w:val="en" w:eastAsia="en-GB"/>
        </w:rPr>
        <w:t>2</w:t>
      </w:r>
      <w:r w:rsidR="004710FD" w:rsidRPr="00751F16">
        <w:rPr>
          <w:rFonts w:eastAsia="Times New Roman" w:cstheme="minorHAnsi"/>
          <w:color w:val="1C1D1E"/>
          <w:lang w:val="en" w:eastAsia="en-GB"/>
        </w:rPr>
        <w:t xml:space="preserve"> SC) days 1+8 for cycles 2‐6. The primary endpoint was 30 month progression‐free survival (PFS) for the GCB + ABC population.</w:t>
      </w:r>
      <w:r w:rsidR="003C04AB" w:rsidRPr="003C04AB">
        <w:rPr>
          <w:rFonts w:eastAsia="Times New Roman" w:cstheme="minorHAnsi"/>
          <w:color w:val="1C1D1E"/>
          <w:lang w:val="en" w:eastAsia="en-GB"/>
        </w:rPr>
        <w:t xml:space="preserve"> </w:t>
      </w:r>
      <w:r w:rsidR="003C04AB">
        <w:rPr>
          <w:rFonts w:eastAsia="Times New Roman" w:cstheme="minorHAnsi"/>
          <w:color w:val="1C1D1E"/>
          <w:lang w:val="en" w:eastAsia="en-GB"/>
        </w:rPr>
        <w:t xml:space="preserve">The primary analysis was intention-to-treat. </w:t>
      </w:r>
      <w:r w:rsidR="004710FD" w:rsidRPr="00751F16">
        <w:rPr>
          <w:rFonts w:eastAsia="Times New Roman" w:cstheme="minorHAnsi"/>
          <w:color w:val="1C1D1E"/>
          <w:lang w:val="en" w:eastAsia="en-GB"/>
        </w:rPr>
        <w:t xml:space="preserve"> The safety population consisted of all participants </w:t>
      </w:r>
      <w:r w:rsidR="00EB2AE5" w:rsidRPr="00751F16">
        <w:rPr>
          <w:rFonts w:eastAsia="Times New Roman" w:cstheme="minorHAnsi"/>
          <w:color w:val="1C1D1E"/>
          <w:lang w:val="en" w:eastAsia="en-GB"/>
        </w:rPr>
        <w:t>who</w:t>
      </w:r>
      <w:r w:rsidR="004710FD" w:rsidRPr="00751F16">
        <w:rPr>
          <w:rFonts w:eastAsia="Times New Roman" w:cstheme="minorHAnsi"/>
          <w:color w:val="1C1D1E"/>
          <w:lang w:val="en" w:eastAsia="en-GB"/>
        </w:rPr>
        <w:t xml:space="preserve"> received </w:t>
      </w:r>
      <w:r w:rsidR="00EB2AE5" w:rsidRPr="00751F16">
        <w:rPr>
          <w:rFonts w:eastAsia="Times New Roman" w:cstheme="minorHAnsi"/>
          <w:color w:val="1C1D1E"/>
          <w:lang w:val="en" w:eastAsia="en-GB"/>
        </w:rPr>
        <w:t xml:space="preserve">at least </w:t>
      </w:r>
      <w:r w:rsidR="004710FD" w:rsidRPr="00751F16">
        <w:rPr>
          <w:rFonts w:eastAsia="Times New Roman" w:cstheme="minorHAnsi"/>
          <w:color w:val="1C1D1E"/>
          <w:lang w:val="en" w:eastAsia="en-GB"/>
        </w:rPr>
        <w:t xml:space="preserve">one dose of study drug. </w:t>
      </w:r>
      <w:r w:rsidR="00EB2AE5" w:rsidRPr="00751F16">
        <w:rPr>
          <w:rFonts w:eastAsia="Times New Roman" w:cstheme="minorHAnsi"/>
          <w:color w:val="1C1D1E"/>
          <w:lang w:val="en" w:eastAsia="en-GB"/>
        </w:rPr>
        <w:t>The s</w:t>
      </w:r>
      <w:r w:rsidR="004710FD" w:rsidRPr="00751F16">
        <w:rPr>
          <w:rFonts w:eastAsia="Times New Roman" w:cstheme="minorHAnsi"/>
          <w:color w:val="1C1D1E"/>
          <w:lang w:val="en" w:eastAsia="en-GB"/>
        </w:rPr>
        <w:t xml:space="preserve">tudy </w:t>
      </w:r>
      <w:r w:rsidR="00EB2AE5" w:rsidRPr="00751F16">
        <w:rPr>
          <w:rFonts w:eastAsia="Times New Roman" w:cstheme="minorHAnsi"/>
          <w:color w:val="1C1D1E"/>
          <w:lang w:val="en" w:eastAsia="en-GB"/>
        </w:rPr>
        <w:t xml:space="preserve">was </w:t>
      </w:r>
      <w:r w:rsidR="0089702E">
        <w:rPr>
          <w:rFonts w:eastAsia="Times New Roman" w:cstheme="minorHAnsi"/>
          <w:color w:val="1C1D1E"/>
          <w:lang w:val="en" w:eastAsia="en-GB"/>
        </w:rPr>
        <w:t>registered at ClinicalT</w:t>
      </w:r>
      <w:r w:rsidR="004710FD" w:rsidRPr="00751F16">
        <w:rPr>
          <w:rFonts w:eastAsia="Times New Roman" w:cstheme="minorHAnsi"/>
          <w:color w:val="1C1D1E"/>
          <w:lang w:val="en" w:eastAsia="en-GB"/>
        </w:rPr>
        <w:t>rials.gov</w:t>
      </w:r>
      <w:r w:rsidR="00EB2AE5" w:rsidRPr="00751F16">
        <w:rPr>
          <w:rFonts w:eastAsia="Times New Roman" w:cstheme="minorHAnsi"/>
          <w:color w:val="1C1D1E"/>
          <w:lang w:val="en" w:eastAsia="en-GB"/>
        </w:rPr>
        <w:t>:</w:t>
      </w:r>
      <w:r w:rsidR="004710FD" w:rsidRPr="00751F16">
        <w:rPr>
          <w:rFonts w:eastAsia="Times New Roman" w:cstheme="minorHAnsi"/>
          <w:color w:val="1C1D1E"/>
          <w:lang w:val="en" w:eastAsia="en-GB"/>
        </w:rPr>
        <w:t xml:space="preserve"> </w:t>
      </w:r>
      <w:r w:rsidR="004710FD" w:rsidRPr="00751F16">
        <w:rPr>
          <w:rFonts w:cstheme="minorHAnsi"/>
        </w:rPr>
        <w:t>NCT01324596.</w:t>
      </w:r>
      <w:r w:rsidR="00F34CFE">
        <w:rPr>
          <w:rFonts w:cstheme="minorHAnsi"/>
        </w:rPr>
        <w:t xml:space="preserve"> </w:t>
      </w:r>
      <w:r w:rsidR="00F34CFE" w:rsidRPr="0076384B">
        <w:rPr>
          <w:rFonts w:cstheme="minorHAnsi"/>
        </w:rPr>
        <w:t xml:space="preserve">We report the </w:t>
      </w:r>
      <w:r w:rsidR="00F34CFE">
        <w:rPr>
          <w:rFonts w:cstheme="minorHAnsi"/>
        </w:rPr>
        <w:t xml:space="preserve">PFS </w:t>
      </w:r>
      <w:r w:rsidR="00F34CFE" w:rsidRPr="0076384B">
        <w:rPr>
          <w:rFonts w:cstheme="minorHAnsi"/>
        </w:rPr>
        <w:t>and safety outcomes for patients</w:t>
      </w:r>
      <w:r w:rsidR="00F34CFE">
        <w:rPr>
          <w:rFonts w:cstheme="minorHAnsi"/>
        </w:rPr>
        <w:t xml:space="preserve"> in the follow-up phase after the required number of events occurred. Recruitment and treatment has completed for all participants, with long-term follow-up continuing</w:t>
      </w:r>
    </w:p>
    <w:p w14:paraId="70577E84" w14:textId="1D2AD277" w:rsidR="004710FD" w:rsidRPr="00751F16" w:rsidRDefault="00A6133F" w:rsidP="00324F29">
      <w:pPr>
        <w:spacing w:before="120" w:after="240"/>
        <w:jc w:val="both"/>
        <w:rPr>
          <w:rFonts w:eastAsia="Times New Roman" w:cstheme="minorHAnsi"/>
          <w:color w:val="1C1D1E"/>
          <w:lang w:val="en" w:eastAsia="en-GB"/>
        </w:rPr>
      </w:pPr>
      <w:r w:rsidRPr="00EA56B1">
        <w:rPr>
          <w:rFonts w:eastAsia="Times New Roman" w:cstheme="minorHAnsi"/>
          <w:b/>
          <w:color w:val="1C1D1E"/>
          <w:lang w:val="en" w:eastAsia="en-GB"/>
        </w:rPr>
        <w:t>Findings</w:t>
      </w:r>
      <w:r w:rsidRPr="00751F16">
        <w:rPr>
          <w:rFonts w:eastAsia="Times New Roman" w:cstheme="minorHAnsi"/>
          <w:color w:val="1C1D1E"/>
          <w:lang w:val="en" w:eastAsia="en-GB"/>
        </w:rPr>
        <w:t xml:space="preserve">: </w:t>
      </w:r>
      <w:r w:rsidR="00834D75">
        <w:rPr>
          <w:rFonts w:eastAsia="Times New Roman" w:cstheme="minorHAnsi"/>
          <w:color w:val="1C1D1E"/>
          <w:lang w:val="en" w:eastAsia="en-GB"/>
        </w:rPr>
        <w:t xml:space="preserve">Between June 2011 and June </w:t>
      </w:r>
      <w:r w:rsidR="004710FD" w:rsidRPr="00751F16">
        <w:rPr>
          <w:rFonts w:eastAsia="Times New Roman" w:cstheme="minorHAnsi"/>
          <w:color w:val="1C1D1E"/>
          <w:lang w:val="en" w:eastAsia="en-GB"/>
        </w:rPr>
        <w:t>2015, 1128 eligible pts were registered</w:t>
      </w:r>
      <w:r w:rsidR="00834D75">
        <w:rPr>
          <w:rFonts w:eastAsia="Times New Roman" w:cstheme="minorHAnsi"/>
          <w:color w:val="1C1D1E"/>
          <w:lang w:val="en" w:eastAsia="en-GB"/>
        </w:rPr>
        <w:t xml:space="preserve"> and a total of 918 randomised</w:t>
      </w:r>
      <w:r w:rsidR="004710FD" w:rsidRPr="00751F16">
        <w:rPr>
          <w:rFonts w:eastAsia="Times New Roman" w:cstheme="minorHAnsi"/>
          <w:color w:val="1C1D1E"/>
          <w:lang w:val="en" w:eastAsia="en-GB"/>
        </w:rPr>
        <w:t xml:space="preserve">. </w:t>
      </w:r>
      <w:r w:rsidR="00834D75" w:rsidRPr="00751F16">
        <w:rPr>
          <w:rFonts w:eastAsia="Times New Roman" w:cstheme="minorHAnsi"/>
          <w:color w:val="1C1D1E"/>
          <w:lang w:val="en" w:eastAsia="en-GB"/>
        </w:rPr>
        <w:t xml:space="preserve">There was no </w:t>
      </w:r>
      <w:r w:rsidR="00834D75">
        <w:rPr>
          <w:rFonts w:eastAsia="Times New Roman" w:cstheme="minorHAnsi"/>
          <w:color w:val="1C1D1E"/>
          <w:lang w:val="en" w:eastAsia="en-GB"/>
        </w:rPr>
        <w:t xml:space="preserve">evidence for a </w:t>
      </w:r>
      <w:r w:rsidR="00834D75" w:rsidRPr="00751F16">
        <w:rPr>
          <w:rFonts w:eastAsia="Times New Roman" w:cstheme="minorHAnsi"/>
          <w:color w:val="1C1D1E"/>
          <w:lang w:val="en" w:eastAsia="en-GB"/>
        </w:rPr>
        <w:t>differ</w:t>
      </w:r>
      <w:r w:rsidR="00834D75">
        <w:rPr>
          <w:rFonts w:eastAsia="Times New Roman" w:cstheme="minorHAnsi"/>
          <w:color w:val="1C1D1E"/>
          <w:lang w:val="en" w:eastAsia="en-GB"/>
        </w:rPr>
        <w:t xml:space="preserve">ence in PFS </w:t>
      </w:r>
      <w:r w:rsidR="00834D75" w:rsidRPr="00751F16">
        <w:rPr>
          <w:rFonts w:eastAsia="Times New Roman" w:cstheme="minorHAnsi"/>
          <w:color w:val="1C1D1E"/>
          <w:lang w:val="en" w:eastAsia="en-GB"/>
        </w:rPr>
        <w:t>in the combined GCB + ABC population between R‐CHOP (N=361)and RB‐CHOP (N=358) (</w:t>
      </w:r>
      <w:r w:rsidR="00834D75">
        <w:rPr>
          <w:rFonts w:eastAsia="Times New Roman" w:cstheme="minorHAnsi"/>
          <w:color w:val="1C1D1E"/>
          <w:lang w:val="en" w:eastAsia="en-GB"/>
        </w:rPr>
        <w:t>30 month PFS: 70.</w:t>
      </w:r>
      <w:r w:rsidR="008425BE">
        <w:rPr>
          <w:rFonts w:eastAsia="Times New Roman" w:cstheme="minorHAnsi"/>
          <w:color w:val="1C1D1E"/>
          <w:lang w:val="en" w:eastAsia="en-GB"/>
        </w:rPr>
        <w:t>6</w:t>
      </w:r>
      <w:r w:rsidR="00834D75" w:rsidRPr="00751F16">
        <w:rPr>
          <w:rFonts w:eastAsia="Times New Roman" w:cstheme="minorHAnsi"/>
          <w:color w:val="1C1D1E"/>
          <w:lang w:val="en" w:eastAsia="en-GB"/>
        </w:rPr>
        <w:t xml:space="preserve">% vs </w:t>
      </w:r>
      <w:r w:rsidR="00834D75">
        <w:rPr>
          <w:rFonts w:eastAsia="Times New Roman" w:cstheme="minorHAnsi"/>
          <w:color w:val="1C1D1E"/>
          <w:lang w:val="en" w:eastAsia="en-GB"/>
        </w:rPr>
        <w:t>7</w:t>
      </w:r>
      <w:r w:rsidR="008425BE">
        <w:rPr>
          <w:rFonts w:eastAsia="Times New Roman" w:cstheme="minorHAnsi"/>
          <w:color w:val="1C1D1E"/>
          <w:lang w:val="en" w:eastAsia="en-GB"/>
        </w:rPr>
        <w:t>5.2</w:t>
      </w:r>
      <w:r w:rsidR="00834D75" w:rsidRPr="00751F16">
        <w:rPr>
          <w:rFonts w:eastAsia="Times New Roman" w:cstheme="minorHAnsi"/>
          <w:color w:val="1C1D1E"/>
          <w:lang w:val="en" w:eastAsia="en-GB"/>
        </w:rPr>
        <w:t>%</w:t>
      </w:r>
      <w:r w:rsidR="00834D75">
        <w:rPr>
          <w:rFonts w:eastAsia="Times New Roman" w:cstheme="minorHAnsi"/>
          <w:color w:val="1C1D1E"/>
          <w:lang w:val="en" w:eastAsia="en-GB"/>
        </w:rPr>
        <w:t xml:space="preserve"> respectively</w:t>
      </w:r>
      <w:r w:rsidR="00834D75" w:rsidRPr="00751F16">
        <w:rPr>
          <w:rFonts w:eastAsia="Times New Roman" w:cstheme="minorHAnsi"/>
          <w:color w:val="1C1D1E"/>
          <w:lang w:val="en" w:eastAsia="en-GB"/>
        </w:rPr>
        <w:t xml:space="preserve">) adjusted </w:t>
      </w:r>
      <w:r w:rsidR="00834D75" w:rsidRPr="00751F16">
        <w:rPr>
          <w:rFonts w:cstheme="minorHAnsi"/>
        </w:rPr>
        <w:t xml:space="preserve">HR = 0.82, 95% CI </w:t>
      </w:r>
      <w:r w:rsidR="00834D75" w:rsidRPr="00751F16">
        <w:rPr>
          <w:rFonts w:cstheme="minorHAnsi"/>
          <w:bCs/>
          <w:color w:val="000000" w:themeColor="text1"/>
        </w:rPr>
        <w:t>0.63 - 1.08</w:t>
      </w:r>
      <w:r w:rsidR="00834D75" w:rsidRPr="00751F16">
        <w:rPr>
          <w:rFonts w:cstheme="minorHAnsi"/>
        </w:rPr>
        <w:t>; P=0.16</w:t>
      </w:r>
      <w:r w:rsidR="00834D75" w:rsidRPr="00751F16">
        <w:rPr>
          <w:rFonts w:eastAsia="Times New Roman" w:cstheme="minorHAnsi"/>
          <w:color w:val="1C1D1E"/>
          <w:lang w:val="en" w:eastAsia="en-GB"/>
        </w:rPr>
        <w:t xml:space="preserve">.  </w:t>
      </w:r>
      <w:r w:rsidR="00F34CFE">
        <w:rPr>
          <w:rFonts w:cstheme="minorHAnsi"/>
          <w:color w:val="1C1D1E"/>
          <w:lang w:val="en"/>
        </w:rPr>
        <w:t xml:space="preserve">The most common </w:t>
      </w:r>
      <w:r w:rsidR="00F34CFE" w:rsidRPr="00751F16">
        <w:rPr>
          <w:rFonts w:cstheme="minorHAnsi"/>
          <w:color w:val="1C1D1E"/>
          <w:lang w:val="en"/>
        </w:rPr>
        <w:t>Grade ≥</w:t>
      </w:r>
      <w:r w:rsidR="00F34CFE">
        <w:rPr>
          <w:rFonts w:cstheme="minorHAnsi"/>
          <w:color w:val="1C1D1E"/>
          <w:lang w:val="en"/>
        </w:rPr>
        <w:t xml:space="preserve">3 adverse event experienced was </w:t>
      </w:r>
      <w:r w:rsidR="00F34CFE" w:rsidRPr="00751F16">
        <w:rPr>
          <w:rFonts w:cstheme="minorHAnsi"/>
          <w:color w:val="1C1D1E"/>
          <w:lang w:val="en"/>
        </w:rPr>
        <w:t>haematological toxicity</w:t>
      </w:r>
      <w:r w:rsidR="00F34CFE">
        <w:rPr>
          <w:rFonts w:cstheme="minorHAnsi"/>
          <w:color w:val="1C1D1E"/>
          <w:lang w:val="en"/>
        </w:rPr>
        <w:t>, with 178 (39.8%) and 187 (42.1%) of pts receiving R-CHOP and RB-CHOP experienced, respectively. However,</w:t>
      </w:r>
      <w:r w:rsidR="004D6379">
        <w:rPr>
          <w:rFonts w:cstheme="minorHAnsi"/>
          <w:color w:val="1C1D1E"/>
          <w:lang w:val="en"/>
        </w:rPr>
        <w:t xml:space="preserve"> </w:t>
      </w:r>
      <w:r w:rsidR="00834D75" w:rsidRPr="00751F16">
        <w:rPr>
          <w:rFonts w:cstheme="minorHAnsi"/>
          <w:color w:val="1C1D1E"/>
          <w:lang w:val="en"/>
        </w:rPr>
        <w:t xml:space="preserve">RB‐CHOP was not associated with increased haematological toxicity and </w:t>
      </w:r>
      <w:r w:rsidR="00834D75">
        <w:rPr>
          <w:rFonts w:cstheme="minorHAnsi"/>
          <w:color w:val="1C1D1E"/>
          <w:lang w:val="en"/>
        </w:rPr>
        <w:t>87</w:t>
      </w:r>
      <w:r w:rsidR="00834D75" w:rsidRPr="00751F16">
        <w:rPr>
          <w:rFonts w:cstheme="minorHAnsi"/>
          <w:color w:val="1C1D1E"/>
          <w:lang w:val="en"/>
        </w:rPr>
        <w:t>% of pts completed 6 cycles; Grade ≥</w:t>
      </w:r>
      <w:r w:rsidR="00834D75">
        <w:rPr>
          <w:rFonts w:cstheme="minorHAnsi"/>
          <w:color w:val="1C1D1E"/>
          <w:lang w:val="en"/>
        </w:rPr>
        <w:t>3</w:t>
      </w:r>
      <w:r w:rsidR="00834D75" w:rsidRPr="00751F16">
        <w:rPr>
          <w:rFonts w:cstheme="minorHAnsi"/>
          <w:color w:val="1C1D1E"/>
          <w:lang w:val="en"/>
        </w:rPr>
        <w:t xml:space="preserve"> neuropathy occurred in </w:t>
      </w:r>
      <w:r w:rsidR="00834D75">
        <w:rPr>
          <w:rFonts w:cstheme="minorHAnsi"/>
          <w:color w:val="1C1D1E"/>
          <w:lang w:val="en"/>
        </w:rPr>
        <w:t>3.8</w:t>
      </w:r>
      <w:r w:rsidR="00834D75" w:rsidRPr="00751F16">
        <w:rPr>
          <w:rFonts w:cstheme="minorHAnsi"/>
          <w:color w:val="1C1D1E"/>
          <w:lang w:val="en"/>
        </w:rPr>
        <w:t xml:space="preserve">% RB‐CHOP </w:t>
      </w:r>
      <w:r w:rsidR="00834D75" w:rsidRPr="00751F16">
        <w:rPr>
          <w:rFonts w:cstheme="minorHAnsi"/>
          <w:i/>
          <w:iCs/>
          <w:color w:val="1C1D1E"/>
          <w:lang w:val="en"/>
        </w:rPr>
        <w:t>vs</w:t>
      </w:r>
      <w:r w:rsidR="00834D75" w:rsidRPr="00751F16">
        <w:rPr>
          <w:rFonts w:cstheme="minorHAnsi"/>
          <w:color w:val="1C1D1E"/>
          <w:lang w:val="en"/>
        </w:rPr>
        <w:t xml:space="preserve"> </w:t>
      </w:r>
      <w:r w:rsidR="00834D75">
        <w:rPr>
          <w:rFonts w:cstheme="minorHAnsi"/>
          <w:color w:val="1C1D1E"/>
          <w:lang w:val="en"/>
        </w:rPr>
        <w:t>1.8</w:t>
      </w:r>
      <w:r w:rsidR="00834D75" w:rsidRPr="00751F16">
        <w:rPr>
          <w:rFonts w:cstheme="minorHAnsi"/>
          <w:color w:val="1C1D1E"/>
          <w:lang w:val="en"/>
        </w:rPr>
        <w:t xml:space="preserve">% R‐CHOP pts.  </w:t>
      </w:r>
      <w:r w:rsidR="00F34CFE">
        <w:rPr>
          <w:rFonts w:cstheme="minorHAnsi"/>
          <w:color w:val="1C1D1E"/>
          <w:lang w:val="en"/>
        </w:rPr>
        <w:t>Serious adverse events occurred in 190 (42.5%) and 223 (50.2%) of pts, including 5 and 4 treatment-related deaths in pts receiving R-CHOP and RB-CHOP, respectively.</w:t>
      </w:r>
    </w:p>
    <w:p w14:paraId="679D8A08" w14:textId="52CBDB11" w:rsidR="004710FD" w:rsidRPr="00751F16" w:rsidRDefault="00A6133F" w:rsidP="00324F29">
      <w:pPr>
        <w:spacing w:before="120" w:after="240"/>
        <w:jc w:val="both"/>
        <w:rPr>
          <w:rFonts w:eastAsia="Times New Roman" w:cstheme="minorHAnsi"/>
          <w:color w:val="1C1D1E"/>
          <w:lang w:val="en" w:eastAsia="en-GB"/>
        </w:rPr>
      </w:pPr>
      <w:r w:rsidRPr="000A0FBD">
        <w:rPr>
          <w:rFonts w:eastAsia="Times New Roman" w:cstheme="minorHAnsi"/>
          <w:b/>
          <w:bCs/>
          <w:color w:val="1C1D1E"/>
          <w:lang w:val="en" w:eastAsia="en-GB"/>
        </w:rPr>
        <w:t>Interpretation</w:t>
      </w:r>
      <w:r w:rsidRPr="00751F16">
        <w:rPr>
          <w:rFonts w:eastAsia="Times New Roman" w:cstheme="minorHAnsi"/>
          <w:bCs/>
          <w:color w:val="1C1D1E"/>
          <w:lang w:val="en" w:eastAsia="en-GB"/>
        </w:rPr>
        <w:t xml:space="preserve">: </w:t>
      </w:r>
      <w:r w:rsidR="00834D75">
        <w:rPr>
          <w:rFonts w:eastAsia="Times New Roman" w:cstheme="minorHAnsi"/>
          <w:bCs/>
          <w:color w:val="1C1D1E"/>
          <w:lang w:val="en" w:eastAsia="en-GB"/>
        </w:rPr>
        <w:t>This is the first large-scale study in DLBCL to use r</w:t>
      </w:r>
      <w:r w:rsidR="00CA11C3" w:rsidRPr="00751F16">
        <w:rPr>
          <w:rFonts w:eastAsia="Times New Roman" w:cstheme="minorHAnsi"/>
          <w:bCs/>
          <w:color w:val="1C1D1E"/>
          <w:lang w:val="en" w:eastAsia="en-GB"/>
        </w:rPr>
        <w:t xml:space="preserve">eal-time </w:t>
      </w:r>
      <w:r w:rsidR="004710FD" w:rsidRPr="00751F16">
        <w:rPr>
          <w:rFonts w:eastAsia="Times New Roman" w:cstheme="minorHAnsi"/>
          <w:bCs/>
          <w:color w:val="1C1D1E"/>
          <w:lang w:val="en" w:eastAsia="en-GB"/>
        </w:rPr>
        <w:t xml:space="preserve">molecular characterisation </w:t>
      </w:r>
      <w:r w:rsidR="00834D75">
        <w:rPr>
          <w:rFonts w:eastAsia="Times New Roman" w:cstheme="minorHAnsi"/>
          <w:bCs/>
          <w:color w:val="1C1D1E"/>
          <w:lang w:val="en" w:eastAsia="en-GB"/>
        </w:rPr>
        <w:t>for</w:t>
      </w:r>
      <w:r w:rsidR="00CA11C3" w:rsidRPr="00751F16">
        <w:rPr>
          <w:rFonts w:eastAsia="Times New Roman" w:cstheme="minorHAnsi"/>
          <w:bCs/>
          <w:color w:val="1C1D1E"/>
          <w:lang w:val="en" w:eastAsia="en-GB"/>
        </w:rPr>
        <w:t xml:space="preserve"> prospective </w:t>
      </w:r>
      <w:r w:rsidR="004710FD" w:rsidRPr="00751F16">
        <w:rPr>
          <w:rFonts w:eastAsia="Times New Roman" w:cstheme="minorHAnsi"/>
          <w:bCs/>
          <w:color w:val="1C1D1E"/>
          <w:lang w:val="en" w:eastAsia="en-GB"/>
        </w:rPr>
        <w:t>stratification and randomisation</w:t>
      </w:r>
      <w:r w:rsidR="00CA11C3" w:rsidRPr="00751F16">
        <w:rPr>
          <w:rFonts w:eastAsia="Times New Roman" w:cstheme="minorHAnsi"/>
          <w:bCs/>
          <w:color w:val="1C1D1E"/>
          <w:lang w:val="en" w:eastAsia="en-GB"/>
        </w:rPr>
        <w:t>, and subsequent analysis of biologically distinct subgroups</w:t>
      </w:r>
      <w:r w:rsidR="004710FD" w:rsidRPr="00751F16">
        <w:rPr>
          <w:rFonts w:eastAsia="Times New Roman" w:cstheme="minorHAnsi"/>
          <w:bCs/>
          <w:color w:val="1C1D1E"/>
          <w:lang w:val="en" w:eastAsia="en-GB"/>
        </w:rPr>
        <w:t xml:space="preserve">. </w:t>
      </w:r>
      <w:r w:rsidR="00806C26" w:rsidRPr="00751F16">
        <w:rPr>
          <w:rFonts w:eastAsia="Times New Roman" w:cstheme="minorHAnsi"/>
          <w:bCs/>
          <w:color w:val="1C1D1E"/>
          <w:lang w:val="en" w:eastAsia="en-GB"/>
        </w:rPr>
        <w:t>The a</w:t>
      </w:r>
      <w:r w:rsidR="005F3AAD" w:rsidRPr="00751F16">
        <w:rPr>
          <w:rFonts w:eastAsia="Times New Roman" w:cstheme="minorHAnsi"/>
          <w:bCs/>
          <w:color w:val="1C1D1E"/>
          <w:lang w:val="en" w:eastAsia="en-GB"/>
        </w:rPr>
        <w:t>ddition of bortezomib did not improve outcomes in the ABC subgroup as expected, but prot</w:t>
      </w:r>
      <w:r w:rsidR="005E1DDB" w:rsidRPr="00751F16">
        <w:rPr>
          <w:rFonts w:eastAsia="Times New Roman" w:cstheme="minorHAnsi"/>
          <w:bCs/>
          <w:color w:val="1C1D1E"/>
          <w:lang w:val="en" w:eastAsia="en-GB"/>
        </w:rPr>
        <w:t xml:space="preserve">eosome inhibition could be investigated as a </w:t>
      </w:r>
      <w:r w:rsidR="00806C26" w:rsidRPr="00751F16">
        <w:rPr>
          <w:rFonts w:eastAsia="Times New Roman" w:cstheme="minorHAnsi"/>
          <w:bCs/>
          <w:color w:val="1C1D1E"/>
          <w:lang w:val="en" w:eastAsia="en-GB"/>
        </w:rPr>
        <w:t xml:space="preserve">possible </w:t>
      </w:r>
      <w:r w:rsidR="005E1DDB" w:rsidRPr="00751F16">
        <w:rPr>
          <w:rFonts w:eastAsia="Times New Roman" w:cstheme="minorHAnsi"/>
          <w:bCs/>
          <w:color w:val="1C1D1E"/>
          <w:lang w:val="en" w:eastAsia="en-GB"/>
        </w:rPr>
        <w:t>me</w:t>
      </w:r>
      <w:r w:rsidR="009176E7" w:rsidRPr="00751F16">
        <w:rPr>
          <w:rFonts w:eastAsia="Times New Roman" w:cstheme="minorHAnsi"/>
          <w:bCs/>
          <w:color w:val="1C1D1E"/>
          <w:lang w:val="en" w:eastAsia="en-GB"/>
        </w:rPr>
        <w:t>a</w:t>
      </w:r>
      <w:r w:rsidR="005E1DDB" w:rsidRPr="00751F16">
        <w:rPr>
          <w:rFonts w:eastAsia="Times New Roman" w:cstheme="minorHAnsi"/>
          <w:bCs/>
          <w:color w:val="1C1D1E"/>
          <w:lang w:val="en" w:eastAsia="en-GB"/>
        </w:rPr>
        <w:t>ns to improve the treatment of cytogenetic 'double-hit' DLBCL.</w:t>
      </w:r>
    </w:p>
    <w:p w14:paraId="237A69C2" w14:textId="61148901" w:rsidR="00751F16" w:rsidRDefault="004710FD" w:rsidP="009C0CA5">
      <w:pPr>
        <w:spacing w:before="120" w:after="240"/>
        <w:rPr>
          <w:b/>
          <w:bCs/>
        </w:rPr>
      </w:pPr>
      <w:r w:rsidRPr="00BC32BD">
        <w:rPr>
          <w:rFonts w:eastAsia="Times New Roman" w:cstheme="minorHAnsi"/>
          <w:b/>
          <w:bCs/>
          <w:color w:val="1C1D1E"/>
          <w:lang w:val="en" w:eastAsia="en-GB"/>
        </w:rPr>
        <w:t>Funding</w:t>
      </w:r>
      <w:r w:rsidRPr="00751F16">
        <w:rPr>
          <w:rFonts w:eastAsia="Times New Roman" w:cstheme="minorHAnsi"/>
          <w:bCs/>
          <w:color w:val="1C1D1E"/>
          <w:lang w:val="en" w:eastAsia="en-GB"/>
        </w:rPr>
        <w:t>: Janssen-Cilag</w:t>
      </w:r>
      <w:r w:rsidR="00834D75">
        <w:rPr>
          <w:rFonts w:eastAsia="Times New Roman" w:cstheme="minorHAnsi"/>
          <w:bCs/>
          <w:color w:val="1C1D1E"/>
          <w:lang w:val="en" w:eastAsia="en-GB"/>
        </w:rPr>
        <w:t>,</w:t>
      </w:r>
      <w:r w:rsidR="00BC32BD">
        <w:rPr>
          <w:rFonts w:eastAsia="Times New Roman" w:cstheme="minorHAnsi"/>
          <w:bCs/>
          <w:color w:val="1C1D1E"/>
          <w:lang w:val="en" w:eastAsia="en-GB"/>
        </w:rPr>
        <w:t xml:space="preserve"> Bloodwise</w:t>
      </w:r>
      <w:r w:rsidR="00834D75">
        <w:rPr>
          <w:rFonts w:eastAsia="Times New Roman" w:cstheme="minorHAnsi"/>
          <w:bCs/>
          <w:color w:val="1C1D1E"/>
          <w:lang w:val="en" w:eastAsia="en-GB"/>
        </w:rPr>
        <w:t xml:space="preserve"> and Cancer Research UK</w:t>
      </w:r>
      <w:r w:rsidRPr="00751F16">
        <w:rPr>
          <w:rFonts w:eastAsia="Times New Roman" w:cstheme="minorHAnsi"/>
          <w:bCs/>
          <w:color w:val="1C1D1E"/>
          <w:lang w:val="en" w:eastAsia="en-GB"/>
        </w:rPr>
        <w:t>.</w:t>
      </w:r>
      <w:r w:rsidR="0030644C">
        <w:rPr>
          <w:rFonts w:eastAsia="Times New Roman" w:cstheme="minorHAnsi"/>
          <w:bCs/>
          <w:color w:val="1C1D1E"/>
          <w:lang w:val="en" w:eastAsia="en-GB"/>
        </w:rPr>
        <w:t xml:space="preserve"> </w:t>
      </w:r>
      <w:r w:rsidR="00751F16">
        <w:rPr>
          <w:b/>
          <w:bCs/>
        </w:rPr>
        <w:br w:type="page"/>
      </w:r>
    </w:p>
    <w:p w14:paraId="7DA77490" w14:textId="389E1438" w:rsidR="008676CA" w:rsidRPr="00692206" w:rsidRDefault="008676CA" w:rsidP="0030644C">
      <w:pPr>
        <w:spacing w:before="120"/>
        <w:outlineLvl w:val="0"/>
        <w:rPr>
          <w:b/>
          <w:bCs/>
        </w:rPr>
      </w:pPr>
      <w:r w:rsidRPr="00692206">
        <w:rPr>
          <w:b/>
          <w:bCs/>
        </w:rPr>
        <w:lastRenderedPageBreak/>
        <w:t>Introduction</w:t>
      </w:r>
    </w:p>
    <w:p w14:paraId="1C2FB37F" w14:textId="4AB8BF74" w:rsidR="008676CA" w:rsidRPr="00692206" w:rsidRDefault="00F74583" w:rsidP="00324F29">
      <w:pPr>
        <w:spacing w:before="120" w:after="120"/>
        <w:jc w:val="both"/>
      </w:pPr>
      <w:r w:rsidRPr="00692206">
        <w:t xml:space="preserve">The </w:t>
      </w:r>
      <w:r w:rsidR="003B5B0B" w:rsidRPr="00692206">
        <w:t xml:space="preserve">combination of </w:t>
      </w:r>
      <w:r w:rsidRPr="00692206">
        <w:t>rituximab, cyclophosphamide, doxorubicin, vincristine and prednisolone</w:t>
      </w:r>
      <w:r w:rsidR="003B5B0B" w:rsidRPr="00692206">
        <w:t xml:space="preserve"> (R-CHOP </w:t>
      </w:r>
      <w:r w:rsidRPr="00692206">
        <w:t xml:space="preserve">) has been considered standard of care for </w:t>
      </w:r>
      <w:r w:rsidR="00FE074D" w:rsidRPr="00692206">
        <w:t>diffuse large B-cell lymphoma (DLB</w:t>
      </w:r>
      <w:r w:rsidR="0097394F" w:rsidRPr="00692206">
        <w:t>C</w:t>
      </w:r>
      <w:r w:rsidR="00FE074D" w:rsidRPr="00692206">
        <w:t xml:space="preserve">L) for </w:t>
      </w:r>
      <w:r w:rsidR="00FD76B2" w:rsidRPr="00692206">
        <w:t>more than 15 years</w:t>
      </w:r>
      <w:r w:rsidRPr="00692206">
        <w:t xml:space="preserve">. </w:t>
      </w:r>
      <w:r w:rsidR="00FE074D" w:rsidRPr="00692206">
        <w:t xml:space="preserve">Reported </w:t>
      </w:r>
      <w:r w:rsidR="006B37A5">
        <w:t xml:space="preserve">5 year </w:t>
      </w:r>
      <w:r w:rsidR="00FE074D" w:rsidRPr="00692206">
        <w:t>p</w:t>
      </w:r>
      <w:r w:rsidRPr="00692206">
        <w:t>rogression free</w:t>
      </w:r>
      <w:r w:rsidR="007B0FEA" w:rsidRPr="00692206">
        <w:t xml:space="preserve"> (PFS)</w:t>
      </w:r>
      <w:r w:rsidRPr="00692206">
        <w:t xml:space="preserve"> and overall survival</w:t>
      </w:r>
      <w:r w:rsidR="007B0FEA" w:rsidRPr="00692206">
        <w:t xml:space="preserve"> (OS)</w:t>
      </w:r>
      <w:r w:rsidRPr="00692206">
        <w:t xml:space="preserve"> </w:t>
      </w:r>
      <w:r w:rsidR="00FE074D" w:rsidRPr="00692206">
        <w:t xml:space="preserve">in trials of </w:t>
      </w:r>
      <w:r w:rsidRPr="00692206">
        <w:t xml:space="preserve">R-CHOP are </w:t>
      </w:r>
      <w:r w:rsidR="001970B0" w:rsidRPr="00692206">
        <w:t>70-</w:t>
      </w:r>
      <w:r w:rsidR="003B5B0B" w:rsidRPr="00692206">
        <w:t>75</w:t>
      </w:r>
      <w:r w:rsidRPr="00692206">
        <w:t xml:space="preserve">% and </w:t>
      </w:r>
      <w:r w:rsidR="001970B0" w:rsidRPr="00692206">
        <w:t>75-</w:t>
      </w:r>
      <w:r w:rsidR="003B5B0B" w:rsidRPr="00692206">
        <w:t>80</w:t>
      </w:r>
      <w:r w:rsidRPr="00692206">
        <w:t>% respectively</w:t>
      </w:r>
      <w:r w:rsidR="000C6100" w:rsidRPr="009C0CA5">
        <w:rPr>
          <w:vertAlign w:val="superscript"/>
        </w:rPr>
        <w:t>1</w:t>
      </w:r>
      <w:r w:rsidR="00FE074D" w:rsidRPr="00692206">
        <w:t>, although unselected population-based series show lower figures</w:t>
      </w:r>
      <w:r w:rsidR="000C6100" w:rsidRPr="009C0CA5">
        <w:rPr>
          <w:vertAlign w:val="superscript"/>
        </w:rPr>
        <w:t>2</w:t>
      </w:r>
      <w:r w:rsidR="00F16C16" w:rsidRPr="00692206">
        <w:t>.</w:t>
      </w:r>
      <w:r w:rsidR="00CE18E6" w:rsidRPr="00692206">
        <w:t xml:space="preserve"> </w:t>
      </w:r>
      <w:r w:rsidR="00F16C16" w:rsidRPr="00692206">
        <w:t xml:space="preserve">  </w:t>
      </w:r>
      <w:r w:rsidR="003B5B0B" w:rsidRPr="00692206">
        <w:t>P</w:t>
      </w:r>
      <w:r w:rsidR="00CE18E6" w:rsidRPr="00692206">
        <w:t xml:space="preserve">atients </w:t>
      </w:r>
      <w:r w:rsidR="003B5B0B" w:rsidRPr="00692206">
        <w:t xml:space="preserve">with lymphoma that </w:t>
      </w:r>
      <w:r w:rsidR="00CE18E6" w:rsidRPr="00692206">
        <w:t>fail</w:t>
      </w:r>
      <w:r w:rsidR="003B5B0B" w:rsidRPr="00692206">
        <w:t>s</w:t>
      </w:r>
      <w:r w:rsidR="00CE18E6" w:rsidRPr="00692206">
        <w:t xml:space="preserve"> to respond or </w:t>
      </w:r>
      <w:r w:rsidR="003B5B0B" w:rsidRPr="00692206">
        <w:t>recurs</w:t>
      </w:r>
      <w:r w:rsidR="00CE18E6" w:rsidRPr="00692206">
        <w:t xml:space="preserve"> </w:t>
      </w:r>
      <w:r w:rsidR="003B5B0B" w:rsidRPr="00692206">
        <w:t xml:space="preserve">have a poor outlook, with only </w:t>
      </w:r>
      <w:r w:rsidR="007C3804" w:rsidRPr="00692206">
        <w:t>one third</w:t>
      </w:r>
      <w:r w:rsidR="00CE18E6" w:rsidRPr="00692206">
        <w:t xml:space="preserve"> alive at 2 years</w:t>
      </w:r>
      <w:r w:rsidR="000C6100" w:rsidRPr="009C0CA5">
        <w:rPr>
          <w:vertAlign w:val="superscript"/>
        </w:rPr>
        <w:t>3</w:t>
      </w:r>
      <w:r w:rsidR="00CE18E6" w:rsidRPr="00692206">
        <w:t>.</w:t>
      </w:r>
      <w:r w:rsidRPr="00692206">
        <w:t xml:space="preserve"> </w:t>
      </w:r>
      <w:r w:rsidR="00F70F42">
        <w:t xml:space="preserve"> </w:t>
      </w:r>
      <w:r w:rsidR="001970B0" w:rsidRPr="00692206">
        <w:t>A variety of</w:t>
      </w:r>
      <w:r w:rsidRPr="00692206">
        <w:t xml:space="preserve"> </w:t>
      </w:r>
      <w:r w:rsidR="007C3804" w:rsidRPr="00692206">
        <w:t xml:space="preserve">approaches </w:t>
      </w:r>
      <w:r w:rsidRPr="00692206">
        <w:t>have</w:t>
      </w:r>
      <w:r w:rsidR="007C3804" w:rsidRPr="00692206">
        <w:t xml:space="preserve"> been</w:t>
      </w:r>
      <w:r w:rsidRPr="00692206">
        <w:t xml:space="preserve"> attempted to improve outcomes </w:t>
      </w:r>
      <w:r w:rsidR="00836BAA" w:rsidRPr="00692206">
        <w:t>for</w:t>
      </w:r>
      <w:r w:rsidRPr="00692206">
        <w:t xml:space="preserve"> these patients</w:t>
      </w:r>
      <w:r w:rsidR="007C3804" w:rsidRPr="00692206">
        <w:t>,</w:t>
      </w:r>
      <w:r w:rsidRPr="00692206">
        <w:t xml:space="preserve"> </w:t>
      </w:r>
      <w:r w:rsidR="00836BAA" w:rsidRPr="00692206">
        <w:t>but</w:t>
      </w:r>
      <w:r w:rsidRPr="00692206">
        <w:t xml:space="preserve"> </w:t>
      </w:r>
      <w:r w:rsidR="001970B0" w:rsidRPr="00692206">
        <w:t xml:space="preserve">none </w:t>
      </w:r>
      <w:r w:rsidR="007C3804" w:rsidRPr="00692206">
        <w:t>ha</w:t>
      </w:r>
      <w:r w:rsidR="001970B0" w:rsidRPr="00692206">
        <w:t>s</w:t>
      </w:r>
      <w:r w:rsidR="007C3804" w:rsidRPr="00692206">
        <w:t xml:space="preserve"> so far </w:t>
      </w:r>
      <w:r w:rsidRPr="00692206">
        <w:t>increase</w:t>
      </w:r>
      <w:r w:rsidR="001970B0" w:rsidRPr="00692206">
        <w:t>d</w:t>
      </w:r>
      <w:r w:rsidRPr="00692206">
        <w:t xml:space="preserve"> </w:t>
      </w:r>
      <w:r w:rsidR="007C3804" w:rsidRPr="00692206">
        <w:t xml:space="preserve">the </w:t>
      </w:r>
      <w:r w:rsidR="00EF5BA5" w:rsidRPr="00692206">
        <w:t>OS</w:t>
      </w:r>
      <w:r w:rsidRPr="00692206">
        <w:t>.</w:t>
      </w:r>
      <w:r w:rsidR="00B870FB" w:rsidRPr="00692206">
        <w:t xml:space="preserve"> The </w:t>
      </w:r>
      <w:r w:rsidR="007C3804" w:rsidRPr="00692206">
        <w:t xml:space="preserve">recognised </w:t>
      </w:r>
      <w:r w:rsidR="00B870FB" w:rsidRPr="00692206">
        <w:t xml:space="preserve">molecular heterogeneity of this aggressive lymphoma </w:t>
      </w:r>
      <w:r w:rsidR="007C3804" w:rsidRPr="00692206">
        <w:t>contributes to the complexity of this problem.</w:t>
      </w:r>
    </w:p>
    <w:p w14:paraId="687FD91E" w14:textId="05388D37" w:rsidR="00287797" w:rsidRPr="00692206" w:rsidRDefault="00F74583" w:rsidP="00324F29">
      <w:pPr>
        <w:spacing w:before="120" w:after="120"/>
        <w:jc w:val="both"/>
        <w:rPr>
          <w:color w:val="8DB3E2" w:themeColor="text2" w:themeTint="66"/>
        </w:rPr>
      </w:pPr>
      <w:r w:rsidRPr="00692206">
        <w:t>Gene expression profiling</w:t>
      </w:r>
      <w:r w:rsidR="00307DCC" w:rsidRPr="00692206">
        <w:t xml:space="preserve"> (GEP)</w:t>
      </w:r>
      <w:r w:rsidRPr="00692206">
        <w:t xml:space="preserve"> of DLB</w:t>
      </w:r>
      <w:r w:rsidR="00697395">
        <w:t>C</w:t>
      </w:r>
      <w:r w:rsidRPr="00692206">
        <w:t>L has been used to define subgroups with distinct</w:t>
      </w:r>
      <w:r w:rsidR="007C3804" w:rsidRPr="00692206">
        <w:t xml:space="preserve"> pathogenesis</w:t>
      </w:r>
      <w:r w:rsidRPr="00692206">
        <w:t xml:space="preserve">. </w:t>
      </w:r>
      <w:r w:rsidR="006451F1" w:rsidRPr="00692206">
        <w:t>The cell of origin (COO) cl</w:t>
      </w:r>
      <w:r w:rsidR="009E088D" w:rsidRPr="00692206">
        <w:t>assificati</w:t>
      </w:r>
      <w:r w:rsidR="00D43206" w:rsidRPr="00692206">
        <w:t xml:space="preserve">on </w:t>
      </w:r>
      <w:r w:rsidR="007C3804" w:rsidRPr="00692206">
        <w:t>recognises t</w:t>
      </w:r>
      <w:r w:rsidR="00D43206" w:rsidRPr="00692206">
        <w:t xml:space="preserve">hose cases with gene expression similar to peripheral blood B cells undergoing in-vitro </w:t>
      </w:r>
      <w:r w:rsidR="00ED6D1F" w:rsidRPr="00692206">
        <w:t>antigen activation</w:t>
      </w:r>
      <w:r w:rsidR="007C3804" w:rsidRPr="00692206">
        <w:t xml:space="preserve">, </w:t>
      </w:r>
      <w:r w:rsidR="00D43206" w:rsidRPr="00692206">
        <w:t>referred to as the activated B-cell</w:t>
      </w:r>
      <w:r w:rsidR="00ED6D1F" w:rsidRPr="00692206">
        <w:t xml:space="preserve"> </w:t>
      </w:r>
      <w:r w:rsidR="00B870FB" w:rsidRPr="00692206">
        <w:t xml:space="preserve">(ABC) </w:t>
      </w:r>
      <w:r w:rsidR="00ED6D1F" w:rsidRPr="00692206">
        <w:t>subtype</w:t>
      </w:r>
      <w:r w:rsidR="007C3804" w:rsidRPr="00692206">
        <w:t>,</w:t>
      </w:r>
      <w:r w:rsidR="00ED6D1F" w:rsidRPr="00692206">
        <w:t xml:space="preserve"> whilst the germinal centre B-cell </w:t>
      </w:r>
      <w:r w:rsidR="00B870FB" w:rsidRPr="00692206">
        <w:t xml:space="preserve">(GCB) </w:t>
      </w:r>
      <w:r w:rsidR="00ED6D1F" w:rsidRPr="00692206">
        <w:t>subtype resemble B cells in the germinal centre</w:t>
      </w:r>
      <w:r w:rsidR="00535565" w:rsidRPr="00692206">
        <w:t xml:space="preserve">. </w:t>
      </w:r>
      <w:r w:rsidR="007736E8" w:rsidRPr="00692206">
        <w:t>Retrospective s</w:t>
      </w:r>
      <w:r w:rsidR="00B61AFA" w:rsidRPr="00692206">
        <w:t xml:space="preserve">tudies </w:t>
      </w:r>
      <w:r w:rsidR="00724513" w:rsidRPr="00692206">
        <w:t>suggested</w:t>
      </w:r>
      <w:r w:rsidR="00B61AFA" w:rsidRPr="00692206">
        <w:t xml:space="preserve"> that the ABC subtype had worse </w:t>
      </w:r>
      <w:r w:rsidR="007736E8" w:rsidRPr="00692206">
        <w:t xml:space="preserve">outcomes, </w:t>
      </w:r>
      <w:r w:rsidR="00B61AFA" w:rsidRPr="00692206">
        <w:rPr>
          <w:rFonts w:eastAsia="Calibri" w:cs="Arial"/>
          <w:lang w:val="en-US"/>
        </w:rPr>
        <w:t>with 3 year progression free survival</w:t>
      </w:r>
      <w:r w:rsidR="002B1232" w:rsidRPr="00692206">
        <w:rPr>
          <w:rFonts w:eastAsia="Calibri" w:cs="Arial"/>
          <w:lang w:val="en-US"/>
        </w:rPr>
        <w:t xml:space="preserve"> (PFS)</w:t>
      </w:r>
      <w:r w:rsidR="00B61AFA" w:rsidRPr="00692206">
        <w:rPr>
          <w:rFonts w:eastAsia="Calibri" w:cs="Arial"/>
          <w:lang w:val="en-US"/>
        </w:rPr>
        <w:t xml:space="preserve"> </w:t>
      </w:r>
      <w:r w:rsidR="00724513" w:rsidRPr="00692206">
        <w:rPr>
          <w:rFonts w:eastAsia="Calibri" w:cs="Arial"/>
          <w:lang w:val="en-US"/>
        </w:rPr>
        <w:t xml:space="preserve">after R-CHOP </w:t>
      </w:r>
      <w:r w:rsidR="00B61AFA" w:rsidRPr="00692206">
        <w:rPr>
          <w:rFonts w:eastAsia="Calibri" w:cs="Arial"/>
          <w:lang w:val="en-US"/>
        </w:rPr>
        <w:t>of the ABC group 40%</w:t>
      </w:r>
      <w:r w:rsidR="007736E8" w:rsidRPr="00692206">
        <w:rPr>
          <w:rFonts w:eastAsia="Calibri" w:cs="Arial"/>
          <w:lang w:val="en-US"/>
        </w:rPr>
        <w:t>,</w:t>
      </w:r>
      <w:r w:rsidR="00B61AFA" w:rsidRPr="00692206">
        <w:rPr>
          <w:rFonts w:eastAsia="Calibri" w:cs="Arial"/>
          <w:lang w:val="en-US"/>
        </w:rPr>
        <w:t xml:space="preserve"> compared to 75% in the GCB group</w:t>
      </w:r>
      <w:r w:rsidR="004D5BEC" w:rsidRPr="009C0CA5">
        <w:rPr>
          <w:rFonts w:eastAsia="Calibri" w:cs="Arial"/>
          <w:vertAlign w:val="superscript"/>
          <w:lang w:val="en-US"/>
        </w:rPr>
        <w:t>4</w:t>
      </w:r>
      <w:r w:rsidR="00B61AFA" w:rsidRPr="00692206">
        <w:rPr>
          <w:rFonts w:eastAsia="Calibri" w:cs="Arial"/>
          <w:lang w:val="en-US"/>
        </w:rPr>
        <w:t>.</w:t>
      </w:r>
    </w:p>
    <w:p w14:paraId="6B638140" w14:textId="4A18624F" w:rsidR="00B43ED3" w:rsidRPr="00692206" w:rsidRDefault="002B1232" w:rsidP="00324F29">
      <w:pPr>
        <w:pStyle w:val="p1"/>
        <w:spacing w:before="120" w:after="120" w:line="276" w:lineRule="auto"/>
        <w:jc w:val="both"/>
        <w:rPr>
          <w:rFonts w:asciiTheme="minorHAnsi" w:eastAsia="Times New Roman" w:hAnsiTheme="minorHAnsi" w:cs="Times New Roman"/>
          <w:sz w:val="22"/>
          <w:szCs w:val="22"/>
        </w:rPr>
      </w:pPr>
      <w:r w:rsidRPr="00692206">
        <w:rPr>
          <w:rFonts w:asciiTheme="minorHAnsi" w:hAnsiTheme="minorHAnsi"/>
          <w:sz w:val="22"/>
          <w:szCs w:val="22"/>
        </w:rPr>
        <w:t xml:space="preserve">The subtypes have distinct </w:t>
      </w:r>
      <w:r w:rsidR="00981448" w:rsidRPr="00692206">
        <w:rPr>
          <w:rFonts w:asciiTheme="minorHAnsi" w:hAnsiTheme="minorHAnsi"/>
          <w:sz w:val="22"/>
          <w:szCs w:val="22"/>
        </w:rPr>
        <w:t>genomic</w:t>
      </w:r>
      <w:r w:rsidRPr="00692206">
        <w:rPr>
          <w:rFonts w:asciiTheme="minorHAnsi" w:hAnsiTheme="minorHAnsi"/>
          <w:sz w:val="22"/>
          <w:szCs w:val="22"/>
        </w:rPr>
        <w:t xml:space="preserve"> </w:t>
      </w:r>
      <w:r w:rsidR="007736E8" w:rsidRPr="00692206">
        <w:rPr>
          <w:rFonts w:asciiTheme="minorHAnsi" w:hAnsiTheme="minorHAnsi"/>
          <w:sz w:val="22"/>
          <w:szCs w:val="22"/>
        </w:rPr>
        <w:t>characteristics</w:t>
      </w:r>
      <w:r w:rsidRPr="00692206">
        <w:rPr>
          <w:rFonts w:asciiTheme="minorHAnsi" w:hAnsiTheme="minorHAnsi"/>
          <w:sz w:val="22"/>
          <w:szCs w:val="22"/>
        </w:rPr>
        <w:t xml:space="preserve">. </w:t>
      </w:r>
      <w:r w:rsidR="007736E8" w:rsidRPr="00692206">
        <w:rPr>
          <w:rFonts w:asciiTheme="minorHAnsi" w:hAnsiTheme="minorHAnsi"/>
          <w:sz w:val="22"/>
          <w:szCs w:val="22"/>
        </w:rPr>
        <w:t xml:space="preserve">The </w:t>
      </w:r>
      <w:r w:rsidR="00ED6D1F" w:rsidRPr="00692206">
        <w:rPr>
          <w:rFonts w:asciiTheme="minorHAnsi" w:hAnsiTheme="minorHAnsi"/>
          <w:sz w:val="22"/>
          <w:szCs w:val="22"/>
        </w:rPr>
        <w:t xml:space="preserve">ABC subtype </w:t>
      </w:r>
      <w:r w:rsidR="007736E8" w:rsidRPr="00692206">
        <w:rPr>
          <w:rFonts w:asciiTheme="minorHAnsi" w:hAnsiTheme="minorHAnsi"/>
          <w:sz w:val="22"/>
          <w:szCs w:val="22"/>
        </w:rPr>
        <w:t>shows a higher prevalence of</w:t>
      </w:r>
      <w:r w:rsidR="00ED6D1F" w:rsidRPr="00692206">
        <w:rPr>
          <w:rFonts w:asciiTheme="minorHAnsi" w:hAnsiTheme="minorHAnsi"/>
          <w:sz w:val="22"/>
          <w:szCs w:val="22"/>
        </w:rPr>
        <w:t xml:space="preserve"> mutations </w:t>
      </w:r>
      <w:r w:rsidR="007736E8" w:rsidRPr="00692206">
        <w:rPr>
          <w:rFonts w:asciiTheme="minorHAnsi" w:hAnsiTheme="minorHAnsi"/>
          <w:sz w:val="22"/>
          <w:szCs w:val="22"/>
        </w:rPr>
        <w:t xml:space="preserve">in genes </w:t>
      </w:r>
      <w:r w:rsidR="00ED6D1F" w:rsidRPr="00692206">
        <w:rPr>
          <w:rFonts w:asciiTheme="minorHAnsi" w:hAnsiTheme="minorHAnsi"/>
          <w:sz w:val="22"/>
          <w:szCs w:val="22"/>
        </w:rPr>
        <w:t>involved in B-cell receptor (BCR) signalling</w:t>
      </w:r>
      <w:r w:rsidR="006B66F1" w:rsidRPr="00692206">
        <w:rPr>
          <w:rFonts w:asciiTheme="minorHAnsi" w:hAnsiTheme="minorHAnsi"/>
          <w:sz w:val="22"/>
          <w:szCs w:val="22"/>
        </w:rPr>
        <w:t xml:space="preserve"> and regulators of </w:t>
      </w:r>
      <w:r w:rsidR="00ED6D1F" w:rsidRPr="00692206">
        <w:rPr>
          <w:rFonts w:asciiTheme="minorHAnsi" w:hAnsiTheme="minorHAnsi"/>
          <w:sz w:val="22"/>
          <w:szCs w:val="22"/>
        </w:rPr>
        <w:t xml:space="preserve"> </w:t>
      </w:r>
      <w:r w:rsidR="00152A4C" w:rsidRPr="00692206">
        <w:rPr>
          <w:rFonts w:asciiTheme="minorHAnsi" w:hAnsiTheme="minorHAnsi"/>
          <w:sz w:val="22"/>
          <w:szCs w:val="22"/>
        </w:rPr>
        <w:t>NF</w:t>
      </w:r>
      <w:r w:rsidRPr="00692206">
        <w:rPr>
          <w:rFonts w:asciiTheme="minorHAnsi" w:hAnsiTheme="minorHAnsi"/>
          <w:sz w:val="22"/>
          <w:szCs w:val="22"/>
        </w:rPr>
        <w:t>-</w:t>
      </w:r>
      <w:r w:rsidR="00152A4C" w:rsidRPr="00692206">
        <w:rPr>
          <w:rFonts w:asciiTheme="minorHAnsi" w:hAnsiTheme="minorHAnsi"/>
          <w:sz w:val="22"/>
          <w:szCs w:val="22"/>
        </w:rPr>
        <w:t xml:space="preserve">κB </w:t>
      </w:r>
      <w:r w:rsidR="00152A4C" w:rsidRPr="00692206">
        <w:rPr>
          <w:rFonts w:asciiTheme="minorHAnsi" w:eastAsia="Calibri" w:hAnsiTheme="minorHAnsi"/>
          <w:sz w:val="22"/>
          <w:szCs w:val="22"/>
        </w:rPr>
        <w:t>(</w:t>
      </w:r>
      <w:r w:rsidR="00152A4C" w:rsidRPr="00692206">
        <w:rPr>
          <w:rFonts w:asciiTheme="minorHAnsi" w:eastAsia="Calibri" w:hAnsiTheme="minorHAnsi"/>
          <w:i/>
          <w:sz w:val="22"/>
          <w:szCs w:val="22"/>
        </w:rPr>
        <w:t>MYD88,CD79B,TNAIP3, CARD11, TRAF2, TRAF5, MAP3K7, TNFRSF11A</w:t>
      </w:r>
      <w:r w:rsidR="00152A4C" w:rsidRPr="00692206">
        <w:rPr>
          <w:rFonts w:asciiTheme="minorHAnsi" w:eastAsia="Calibri" w:hAnsiTheme="minorHAnsi"/>
          <w:sz w:val="22"/>
          <w:szCs w:val="22"/>
        </w:rPr>
        <w:t>)</w:t>
      </w:r>
      <w:r w:rsidR="007736E8" w:rsidRPr="00692206">
        <w:rPr>
          <w:rFonts w:asciiTheme="minorHAnsi" w:eastAsia="Calibri" w:hAnsiTheme="minorHAnsi"/>
          <w:sz w:val="22"/>
          <w:szCs w:val="22"/>
        </w:rPr>
        <w:t>,</w:t>
      </w:r>
      <w:r w:rsidR="00152A4C" w:rsidRPr="00692206">
        <w:rPr>
          <w:rFonts w:asciiTheme="minorHAnsi" w:hAnsiTheme="minorHAnsi"/>
          <w:sz w:val="22"/>
          <w:szCs w:val="22"/>
        </w:rPr>
        <w:t xml:space="preserve"> </w:t>
      </w:r>
      <w:r w:rsidR="00ED6D1F" w:rsidRPr="00692206">
        <w:rPr>
          <w:rFonts w:asciiTheme="minorHAnsi" w:hAnsiTheme="minorHAnsi"/>
          <w:sz w:val="22"/>
          <w:szCs w:val="22"/>
        </w:rPr>
        <w:t>compared with the GCB subtyp</w:t>
      </w:r>
      <w:r w:rsidR="002A387B">
        <w:rPr>
          <w:rFonts w:asciiTheme="minorHAnsi" w:hAnsiTheme="minorHAnsi"/>
          <w:sz w:val="22"/>
          <w:szCs w:val="22"/>
        </w:rPr>
        <w:t>e</w:t>
      </w:r>
      <w:r w:rsidR="00ED6D1F" w:rsidRPr="00692206">
        <w:rPr>
          <w:rFonts w:asciiTheme="minorHAnsi" w:hAnsiTheme="minorHAnsi"/>
          <w:sz w:val="22"/>
          <w:szCs w:val="22"/>
        </w:rPr>
        <w:t>.</w:t>
      </w:r>
      <w:r w:rsidR="006B66F1" w:rsidRPr="00692206">
        <w:rPr>
          <w:rFonts w:asciiTheme="minorHAnsi" w:eastAsia="Calibri" w:hAnsiTheme="minorHAnsi"/>
          <w:sz w:val="22"/>
          <w:szCs w:val="22"/>
        </w:rPr>
        <w:t xml:space="preserve"> </w:t>
      </w:r>
      <w:r w:rsidR="007736E8" w:rsidRPr="00692206">
        <w:rPr>
          <w:rFonts w:asciiTheme="minorHAnsi" w:eastAsia="Calibri" w:hAnsiTheme="minorHAnsi"/>
          <w:sz w:val="22"/>
          <w:szCs w:val="22"/>
        </w:rPr>
        <w:t xml:space="preserve"> </w:t>
      </w:r>
      <w:r w:rsidR="00BE7B28" w:rsidRPr="00692206">
        <w:rPr>
          <w:rFonts w:asciiTheme="minorHAnsi" w:hAnsiTheme="minorHAnsi"/>
          <w:sz w:val="22"/>
          <w:szCs w:val="22"/>
        </w:rPr>
        <w:t>Constitutive NF</w:t>
      </w:r>
      <w:r w:rsidR="00DF2138" w:rsidRPr="00692206">
        <w:rPr>
          <w:rFonts w:asciiTheme="minorHAnsi" w:hAnsiTheme="minorHAnsi"/>
          <w:sz w:val="22"/>
          <w:szCs w:val="22"/>
        </w:rPr>
        <w:t>-</w:t>
      </w:r>
      <w:r w:rsidR="00BE7B28" w:rsidRPr="00692206">
        <w:rPr>
          <w:rFonts w:asciiTheme="minorHAnsi" w:hAnsiTheme="minorHAnsi"/>
          <w:sz w:val="22"/>
          <w:szCs w:val="22"/>
        </w:rPr>
        <w:t>κB activation</w:t>
      </w:r>
      <w:r w:rsidR="00981448" w:rsidRPr="00692206">
        <w:rPr>
          <w:rFonts w:asciiTheme="minorHAnsi" w:hAnsiTheme="minorHAnsi"/>
          <w:sz w:val="22"/>
          <w:szCs w:val="22"/>
        </w:rPr>
        <w:t xml:space="preserve"> </w:t>
      </w:r>
      <w:r w:rsidR="00BE7B28" w:rsidRPr="00692206">
        <w:rPr>
          <w:rFonts w:asciiTheme="minorHAnsi" w:hAnsiTheme="minorHAnsi"/>
          <w:sz w:val="22"/>
          <w:szCs w:val="22"/>
        </w:rPr>
        <w:t>downstream of th</w:t>
      </w:r>
      <w:r w:rsidR="00152A4C" w:rsidRPr="00692206">
        <w:rPr>
          <w:rFonts w:asciiTheme="minorHAnsi" w:hAnsiTheme="minorHAnsi"/>
          <w:sz w:val="22"/>
          <w:szCs w:val="22"/>
        </w:rPr>
        <w:t>e BCR is a feature of ABC DLBCL</w:t>
      </w:r>
      <w:r w:rsidR="00981448" w:rsidRPr="00692206">
        <w:rPr>
          <w:rFonts w:asciiTheme="minorHAnsi" w:hAnsiTheme="minorHAnsi"/>
          <w:sz w:val="22"/>
          <w:szCs w:val="22"/>
        </w:rPr>
        <w:t xml:space="preserve">. </w:t>
      </w:r>
      <w:r w:rsidR="00152A4C" w:rsidRPr="00692206">
        <w:rPr>
          <w:rFonts w:asciiTheme="minorHAnsi" w:hAnsiTheme="minorHAnsi"/>
          <w:sz w:val="22"/>
          <w:szCs w:val="22"/>
        </w:rPr>
        <w:t xml:space="preserve"> </w:t>
      </w:r>
      <w:r w:rsidR="00981448" w:rsidRPr="00692206">
        <w:rPr>
          <w:rFonts w:asciiTheme="minorHAnsi" w:hAnsiTheme="minorHAnsi"/>
          <w:sz w:val="22"/>
          <w:szCs w:val="22"/>
        </w:rPr>
        <w:t>G</w:t>
      </w:r>
      <w:r w:rsidR="00A15B6F" w:rsidRPr="00692206">
        <w:rPr>
          <w:rFonts w:asciiTheme="minorHAnsi" w:hAnsiTheme="minorHAnsi"/>
          <w:sz w:val="22"/>
          <w:szCs w:val="22"/>
        </w:rPr>
        <w:t>en</w:t>
      </w:r>
      <w:r w:rsidR="00981448" w:rsidRPr="00692206">
        <w:rPr>
          <w:rFonts w:asciiTheme="minorHAnsi" w:hAnsiTheme="minorHAnsi"/>
          <w:sz w:val="22"/>
          <w:szCs w:val="22"/>
        </w:rPr>
        <w:t>om</w:t>
      </w:r>
      <w:r w:rsidR="00A15B6F" w:rsidRPr="00692206">
        <w:rPr>
          <w:rFonts w:asciiTheme="minorHAnsi" w:hAnsiTheme="minorHAnsi"/>
          <w:sz w:val="22"/>
          <w:szCs w:val="22"/>
        </w:rPr>
        <w:t xml:space="preserve">ic, pharmacological and RNA interference screens have </w:t>
      </w:r>
      <w:r w:rsidR="00981448" w:rsidRPr="00692206">
        <w:rPr>
          <w:rFonts w:asciiTheme="minorHAnsi" w:hAnsiTheme="minorHAnsi"/>
          <w:sz w:val="22"/>
          <w:szCs w:val="22"/>
        </w:rPr>
        <w:t xml:space="preserve">shown </w:t>
      </w:r>
      <w:r w:rsidR="00A15B6F" w:rsidRPr="00692206">
        <w:rPr>
          <w:rFonts w:asciiTheme="minorHAnsi" w:hAnsiTheme="minorHAnsi"/>
          <w:sz w:val="22"/>
          <w:szCs w:val="22"/>
        </w:rPr>
        <w:t>selective oncogenic addiction of the ABC subtype</w:t>
      </w:r>
      <w:r w:rsidR="00BE7B28" w:rsidRPr="00692206">
        <w:rPr>
          <w:rFonts w:asciiTheme="minorHAnsi" w:hAnsiTheme="minorHAnsi"/>
          <w:sz w:val="22"/>
          <w:szCs w:val="22"/>
        </w:rPr>
        <w:t xml:space="preserve"> to activation of this protein complex</w:t>
      </w:r>
      <w:r w:rsidR="00D369B6" w:rsidRPr="009C0CA5">
        <w:rPr>
          <w:rFonts w:asciiTheme="minorHAnsi" w:hAnsiTheme="minorHAnsi"/>
          <w:sz w:val="22"/>
          <w:szCs w:val="22"/>
          <w:vertAlign w:val="superscript"/>
        </w:rPr>
        <w:t>5</w:t>
      </w:r>
      <w:r w:rsidR="00D213B4" w:rsidRPr="00692206">
        <w:rPr>
          <w:rFonts w:asciiTheme="minorHAnsi" w:hAnsiTheme="minorHAnsi"/>
          <w:sz w:val="22"/>
          <w:szCs w:val="22"/>
        </w:rPr>
        <w:t>.</w:t>
      </w:r>
      <w:r w:rsidR="00DB7CA2">
        <w:rPr>
          <w:rFonts w:asciiTheme="minorHAnsi" w:hAnsiTheme="minorHAnsi"/>
          <w:sz w:val="22"/>
          <w:szCs w:val="22"/>
        </w:rPr>
        <w:t xml:space="preserve"> </w:t>
      </w:r>
      <w:r w:rsidR="00D213B4" w:rsidRPr="00692206">
        <w:rPr>
          <w:rFonts w:asciiTheme="minorHAnsi" w:hAnsiTheme="minorHAnsi"/>
          <w:sz w:val="22"/>
          <w:szCs w:val="22"/>
        </w:rPr>
        <w:t xml:space="preserve"> Bortezomib is</w:t>
      </w:r>
      <w:r w:rsidR="00450913" w:rsidRPr="00692206">
        <w:rPr>
          <w:rFonts w:asciiTheme="minorHAnsi" w:hAnsiTheme="minorHAnsi"/>
          <w:sz w:val="22"/>
          <w:szCs w:val="22"/>
        </w:rPr>
        <w:t xml:space="preserve"> a</w:t>
      </w:r>
      <w:r w:rsidR="00C0715A" w:rsidRPr="00692206">
        <w:rPr>
          <w:rFonts w:asciiTheme="minorHAnsi" w:hAnsiTheme="minorHAnsi"/>
          <w:sz w:val="22"/>
          <w:szCs w:val="22"/>
        </w:rPr>
        <w:t xml:space="preserve"> proteasome inhibitor and </w:t>
      </w:r>
      <w:r w:rsidR="00981448" w:rsidRPr="00692206">
        <w:rPr>
          <w:rFonts w:asciiTheme="minorHAnsi" w:hAnsiTheme="minorHAnsi"/>
          <w:sz w:val="22"/>
          <w:szCs w:val="22"/>
        </w:rPr>
        <w:t>may</w:t>
      </w:r>
      <w:r w:rsidR="00C0715A" w:rsidRPr="00692206">
        <w:rPr>
          <w:rFonts w:asciiTheme="minorHAnsi" w:hAnsiTheme="minorHAnsi"/>
          <w:sz w:val="22"/>
          <w:szCs w:val="22"/>
        </w:rPr>
        <w:t xml:space="preserve"> </w:t>
      </w:r>
      <w:r w:rsidR="006E56BA" w:rsidRPr="00692206">
        <w:rPr>
          <w:rFonts w:asciiTheme="minorHAnsi" w:hAnsiTheme="minorHAnsi"/>
          <w:sz w:val="22"/>
          <w:szCs w:val="22"/>
        </w:rPr>
        <w:t>suppress</w:t>
      </w:r>
      <w:r w:rsidR="00450913" w:rsidRPr="00692206">
        <w:rPr>
          <w:rFonts w:asciiTheme="minorHAnsi" w:hAnsiTheme="minorHAnsi"/>
          <w:sz w:val="22"/>
          <w:szCs w:val="22"/>
        </w:rPr>
        <w:t xml:space="preserve"> NF</w:t>
      </w:r>
      <w:r w:rsidR="00287797" w:rsidRPr="00692206">
        <w:rPr>
          <w:rFonts w:asciiTheme="minorHAnsi" w:hAnsiTheme="minorHAnsi"/>
          <w:sz w:val="22"/>
          <w:szCs w:val="22"/>
        </w:rPr>
        <w:t>-</w:t>
      </w:r>
      <w:r w:rsidR="00450913" w:rsidRPr="00692206">
        <w:rPr>
          <w:rFonts w:asciiTheme="minorHAnsi" w:hAnsiTheme="minorHAnsi"/>
          <w:sz w:val="22"/>
          <w:szCs w:val="22"/>
        </w:rPr>
        <w:t xml:space="preserve">κB </w:t>
      </w:r>
      <w:r w:rsidR="006E56BA" w:rsidRPr="00692206">
        <w:rPr>
          <w:rFonts w:asciiTheme="minorHAnsi" w:hAnsiTheme="minorHAnsi"/>
          <w:sz w:val="22"/>
          <w:szCs w:val="22"/>
        </w:rPr>
        <w:t>activity by</w:t>
      </w:r>
      <w:r w:rsidR="00B870FB" w:rsidRPr="00692206">
        <w:rPr>
          <w:rFonts w:asciiTheme="minorHAnsi" w:hAnsiTheme="minorHAnsi"/>
          <w:sz w:val="22"/>
          <w:szCs w:val="22"/>
        </w:rPr>
        <w:t xml:space="preserve"> preventing proteosomal degration of</w:t>
      </w:r>
      <w:r w:rsidR="006E56BA" w:rsidRPr="00692206">
        <w:rPr>
          <w:rFonts w:asciiTheme="minorHAnsi" w:hAnsiTheme="minorHAnsi"/>
          <w:sz w:val="22"/>
          <w:szCs w:val="22"/>
        </w:rPr>
        <w:t xml:space="preserve"> the inhibitor</w:t>
      </w:r>
      <w:r w:rsidR="00450913" w:rsidRPr="00692206">
        <w:rPr>
          <w:rFonts w:asciiTheme="minorHAnsi" w:hAnsiTheme="minorHAnsi"/>
          <w:sz w:val="22"/>
          <w:szCs w:val="22"/>
        </w:rPr>
        <w:t xml:space="preserve"> IκBα</w:t>
      </w:r>
      <w:r w:rsidR="00D213B4" w:rsidRPr="00692206">
        <w:rPr>
          <w:rFonts w:asciiTheme="minorHAnsi" w:hAnsiTheme="minorHAnsi"/>
          <w:sz w:val="22"/>
          <w:szCs w:val="22"/>
        </w:rPr>
        <w:t>, retaining NF</w:t>
      </w:r>
      <w:r w:rsidR="00287797" w:rsidRPr="00692206">
        <w:rPr>
          <w:rFonts w:asciiTheme="minorHAnsi" w:hAnsiTheme="minorHAnsi"/>
          <w:sz w:val="22"/>
          <w:szCs w:val="22"/>
        </w:rPr>
        <w:t>-</w:t>
      </w:r>
      <w:r w:rsidR="00D213B4" w:rsidRPr="00692206">
        <w:rPr>
          <w:rFonts w:asciiTheme="minorHAnsi" w:hAnsiTheme="minorHAnsi"/>
          <w:sz w:val="22"/>
          <w:szCs w:val="22"/>
        </w:rPr>
        <w:t>κB as inactive</w:t>
      </w:r>
      <w:r w:rsidR="006E56BA" w:rsidRPr="00692206">
        <w:rPr>
          <w:rFonts w:asciiTheme="minorHAnsi" w:hAnsiTheme="minorHAnsi"/>
          <w:sz w:val="22"/>
          <w:szCs w:val="22"/>
        </w:rPr>
        <w:t>,</w:t>
      </w:r>
      <w:r w:rsidR="00287797" w:rsidRPr="00692206">
        <w:rPr>
          <w:rFonts w:asciiTheme="minorHAnsi" w:hAnsiTheme="minorHAnsi"/>
          <w:sz w:val="22"/>
          <w:szCs w:val="22"/>
        </w:rPr>
        <w:t xml:space="preserve"> </w:t>
      </w:r>
      <w:r w:rsidR="00D213B4" w:rsidRPr="00692206">
        <w:rPr>
          <w:rFonts w:asciiTheme="minorHAnsi" w:hAnsiTheme="minorHAnsi"/>
          <w:sz w:val="22"/>
          <w:szCs w:val="22"/>
        </w:rPr>
        <w:t>unable to translocate to the nucleus</w:t>
      </w:r>
      <w:r w:rsidR="00D64C9D" w:rsidRPr="00692206">
        <w:rPr>
          <w:rFonts w:asciiTheme="minorHAnsi" w:hAnsiTheme="minorHAnsi"/>
          <w:sz w:val="22"/>
          <w:szCs w:val="22"/>
        </w:rPr>
        <w:t xml:space="preserve"> </w:t>
      </w:r>
      <w:r w:rsidR="006E56BA" w:rsidRPr="00692206">
        <w:rPr>
          <w:rFonts w:asciiTheme="minorHAnsi" w:hAnsiTheme="minorHAnsi"/>
          <w:sz w:val="22"/>
          <w:szCs w:val="22"/>
        </w:rPr>
        <w:t xml:space="preserve">to </w:t>
      </w:r>
      <w:r w:rsidR="00D64C9D" w:rsidRPr="00692206">
        <w:rPr>
          <w:rFonts w:asciiTheme="minorHAnsi" w:hAnsiTheme="minorHAnsi"/>
          <w:sz w:val="22"/>
          <w:szCs w:val="22"/>
        </w:rPr>
        <w:t>mediate transcription</w:t>
      </w:r>
      <w:r w:rsidR="00324F29">
        <w:rPr>
          <w:rFonts w:asciiTheme="minorHAnsi" w:hAnsiTheme="minorHAnsi"/>
          <w:sz w:val="22"/>
          <w:szCs w:val="22"/>
        </w:rPr>
        <w:t>.</w:t>
      </w:r>
      <w:r w:rsidR="006E56BA" w:rsidRPr="00692206">
        <w:rPr>
          <w:rFonts w:asciiTheme="minorHAnsi" w:hAnsiTheme="minorHAnsi"/>
          <w:sz w:val="22"/>
          <w:szCs w:val="22"/>
        </w:rPr>
        <w:t xml:space="preserve"> Preliminary clinical studies suggested that</w:t>
      </w:r>
      <w:r w:rsidR="00287797" w:rsidRPr="00692206">
        <w:rPr>
          <w:rFonts w:asciiTheme="minorHAnsi" w:hAnsiTheme="minorHAnsi"/>
          <w:sz w:val="22"/>
          <w:szCs w:val="22"/>
        </w:rPr>
        <w:t xml:space="preserve"> </w:t>
      </w:r>
      <w:r w:rsidR="006E56BA" w:rsidRPr="00692206">
        <w:rPr>
          <w:rFonts w:asciiTheme="minorHAnsi" w:hAnsiTheme="minorHAnsi"/>
          <w:sz w:val="22"/>
          <w:szCs w:val="22"/>
        </w:rPr>
        <w:t>bortezomib showed</w:t>
      </w:r>
      <w:r w:rsidR="00B870FB" w:rsidRPr="00692206">
        <w:rPr>
          <w:rFonts w:asciiTheme="minorHAnsi" w:hAnsiTheme="minorHAnsi"/>
          <w:sz w:val="22"/>
          <w:szCs w:val="22"/>
        </w:rPr>
        <w:t xml:space="preserve"> </w:t>
      </w:r>
      <w:r w:rsidR="000C3564" w:rsidRPr="00692206">
        <w:rPr>
          <w:rFonts w:asciiTheme="minorHAnsi" w:hAnsiTheme="minorHAnsi"/>
          <w:sz w:val="22"/>
          <w:szCs w:val="22"/>
        </w:rPr>
        <w:t xml:space="preserve">selective </w:t>
      </w:r>
      <w:r w:rsidR="00E36B5F">
        <w:rPr>
          <w:rFonts w:asciiTheme="minorHAnsi" w:hAnsiTheme="minorHAnsi"/>
          <w:sz w:val="22"/>
          <w:szCs w:val="22"/>
        </w:rPr>
        <w:t>efficacy</w:t>
      </w:r>
      <w:r w:rsidR="00E36B5F" w:rsidRPr="00692206">
        <w:rPr>
          <w:rFonts w:asciiTheme="minorHAnsi" w:hAnsiTheme="minorHAnsi"/>
          <w:sz w:val="22"/>
          <w:szCs w:val="22"/>
        </w:rPr>
        <w:t xml:space="preserve"> </w:t>
      </w:r>
      <w:r w:rsidR="000C3564" w:rsidRPr="00692206">
        <w:rPr>
          <w:rFonts w:asciiTheme="minorHAnsi" w:hAnsiTheme="minorHAnsi"/>
          <w:sz w:val="22"/>
          <w:szCs w:val="22"/>
        </w:rPr>
        <w:t xml:space="preserve">in </w:t>
      </w:r>
      <w:r w:rsidR="006E56BA" w:rsidRPr="00692206">
        <w:rPr>
          <w:rFonts w:asciiTheme="minorHAnsi" w:hAnsiTheme="minorHAnsi"/>
          <w:sz w:val="22"/>
          <w:szCs w:val="22"/>
        </w:rPr>
        <w:t>D</w:t>
      </w:r>
      <w:r w:rsidR="00324F29">
        <w:rPr>
          <w:rFonts w:asciiTheme="minorHAnsi" w:hAnsiTheme="minorHAnsi"/>
          <w:sz w:val="22"/>
          <w:szCs w:val="22"/>
        </w:rPr>
        <w:t>LBCL subtypes.</w:t>
      </w:r>
      <w:r w:rsidR="006E56BA" w:rsidRPr="00692206">
        <w:rPr>
          <w:rFonts w:asciiTheme="minorHAnsi" w:hAnsiTheme="minorHAnsi"/>
          <w:sz w:val="22"/>
          <w:szCs w:val="22"/>
        </w:rPr>
        <w:t xml:space="preserve"> When</w:t>
      </w:r>
      <w:r w:rsidR="00297AE7" w:rsidRPr="00692206">
        <w:rPr>
          <w:rFonts w:asciiTheme="minorHAnsi" w:hAnsiTheme="minorHAnsi"/>
          <w:sz w:val="22"/>
          <w:szCs w:val="22"/>
        </w:rPr>
        <w:t xml:space="preserve"> </w:t>
      </w:r>
      <w:r w:rsidR="00287797" w:rsidRPr="00692206">
        <w:rPr>
          <w:rFonts w:asciiTheme="minorHAnsi" w:hAnsiTheme="minorHAnsi"/>
          <w:sz w:val="22"/>
          <w:szCs w:val="22"/>
        </w:rPr>
        <w:t xml:space="preserve">combined with </w:t>
      </w:r>
      <w:r w:rsidR="006E56BA" w:rsidRPr="00692206">
        <w:rPr>
          <w:rFonts w:asciiTheme="minorHAnsi" w:hAnsiTheme="minorHAnsi"/>
          <w:sz w:val="22"/>
          <w:szCs w:val="22"/>
        </w:rPr>
        <w:t>infusional chemotherapy, bortezomib</w:t>
      </w:r>
      <w:r w:rsidR="00287797" w:rsidRPr="00692206">
        <w:rPr>
          <w:rFonts w:asciiTheme="minorHAnsi" w:hAnsiTheme="minorHAnsi"/>
          <w:sz w:val="22"/>
          <w:szCs w:val="22"/>
        </w:rPr>
        <w:t xml:space="preserve"> </w:t>
      </w:r>
      <w:r w:rsidR="00AE7757" w:rsidRPr="00692206">
        <w:rPr>
          <w:rFonts w:asciiTheme="minorHAnsi" w:hAnsiTheme="minorHAnsi"/>
          <w:sz w:val="22"/>
          <w:szCs w:val="22"/>
        </w:rPr>
        <w:t>appeared</w:t>
      </w:r>
      <w:r w:rsidR="0014662D" w:rsidRPr="00692206">
        <w:rPr>
          <w:rFonts w:asciiTheme="minorHAnsi" w:hAnsiTheme="minorHAnsi"/>
          <w:sz w:val="22"/>
          <w:szCs w:val="22"/>
        </w:rPr>
        <w:t xml:space="preserve"> to have preferential activity</w:t>
      </w:r>
      <w:r w:rsidR="00AE7757" w:rsidRPr="00692206">
        <w:rPr>
          <w:rFonts w:asciiTheme="minorHAnsi" w:hAnsiTheme="minorHAnsi"/>
          <w:sz w:val="22"/>
          <w:szCs w:val="22"/>
        </w:rPr>
        <w:t xml:space="preserve"> </w:t>
      </w:r>
      <w:r w:rsidR="00E24B3A" w:rsidRPr="00692206">
        <w:rPr>
          <w:rFonts w:asciiTheme="minorHAnsi" w:hAnsiTheme="minorHAnsi"/>
          <w:sz w:val="22"/>
          <w:szCs w:val="22"/>
        </w:rPr>
        <w:t xml:space="preserve">in </w:t>
      </w:r>
      <w:r w:rsidR="00AE7757" w:rsidRPr="00692206">
        <w:rPr>
          <w:rFonts w:asciiTheme="minorHAnsi" w:hAnsiTheme="minorHAnsi"/>
          <w:sz w:val="22"/>
          <w:szCs w:val="22"/>
        </w:rPr>
        <w:t xml:space="preserve">relapsed/refractory </w:t>
      </w:r>
      <w:r w:rsidR="00287797" w:rsidRPr="00692206">
        <w:rPr>
          <w:rFonts w:asciiTheme="minorHAnsi" w:hAnsiTheme="minorHAnsi"/>
          <w:sz w:val="22"/>
          <w:szCs w:val="22"/>
        </w:rPr>
        <w:t xml:space="preserve">non-GCB </w:t>
      </w:r>
      <w:r w:rsidR="00AE7757" w:rsidRPr="00692206">
        <w:rPr>
          <w:rFonts w:asciiTheme="minorHAnsi" w:hAnsiTheme="minorHAnsi"/>
          <w:sz w:val="22"/>
          <w:szCs w:val="22"/>
        </w:rPr>
        <w:t xml:space="preserve">DLBCL </w:t>
      </w:r>
      <w:r w:rsidR="006863B3" w:rsidRPr="00692206">
        <w:rPr>
          <w:rFonts w:asciiTheme="minorHAnsi" w:hAnsiTheme="minorHAnsi"/>
          <w:sz w:val="22"/>
          <w:szCs w:val="22"/>
        </w:rPr>
        <w:t>specifically</w:t>
      </w:r>
      <w:r w:rsidR="005250A3" w:rsidRPr="00692206">
        <w:rPr>
          <w:rFonts w:asciiTheme="minorHAnsi" w:hAnsiTheme="minorHAnsi"/>
          <w:sz w:val="22"/>
          <w:szCs w:val="22"/>
        </w:rPr>
        <w:t xml:space="preserve"> with</w:t>
      </w:r>
      <w:r w:rsidR="00297AE7" w:rsidRPr="00692206">
        <w:rPr>
          <w:rFonts w:asciiTheme="minorHAnsi" w:hAnsiTheme="minorHAnsi"/>
          <w:sz w:val="22"/>
          <w:szCs w:val="22"/>
        </w:rPr>
        <w:t xml:space="preserve"> </w:t>
      </w:r>
      <w:r w:rsidR="00F9574F">
        <w:rPr>
          <w:rFonts w:asciiTheme="minorHAnsi" w:hAnsiTheme="minorHAnsi"/>
          <w:sz w:val="22"/>
          <w:szCs w:val="22"/>
        </w:rPr>
        <w:t xml:space="preserve">a </w:t>
      </w:r>
      <w:r w:rsidR="00E078CE" w:rsidRPr="00692206">
        <w:rPr>
          <w:rFonts w:asciiTheme="minorHAnsi" w:eastAsia="Times New Roman" w:hAnsiTheme="minorHAnsi" w:cs="Times New Roman"/>
          <w:sz w:val="22"/>
          <w:szCs w:val="22"/>
        </w:rPr>
        <w:t xml:space="preserve">higher response rate and median </w:t>
      </w:r>
      <w:r w:rsidR="00EF5BA5" w:rsidRPr="00692206">
        <w:rPr>
          <w:rFonts w:asciiTheme="minorHAnsi" w:eastAsia="Times New Roman" w:hAnsiTheme="minorHAnsi" w:cs="Times New Roman"/>
          <w:sz w:val="22"/>
          <w:szCs w:val="22"/>
        </w:rPr>
        <w:t>OS</w:t>
      </w:r>
      <w:r w:rsidR="00DB7CA2" w:rsidRPr="009C0CA5">
        <w:rPr>
          <w:rFonts w:asciiTheme="minorHAnsi" w:eastAsia="Times New Roman" w:hAnsiTheme="minorHAnsi" w:cs="Times New Roman"/>
          <w:sz w:val="22"/>
          <w:szCs w:val="22"/>
          <w:vertAlign w:val="superscript"/>
        </w:rPr>
        <w:t>6</w:t>
      </w:r>
      <w:r w:rsidR="00E52CE1">
        <w:rPr>
          <w:rFonts w:asciiTheme="minorHAnsi" w:eastAsia="Times New Roman" w:hAnsiTheme="minorHAnsi" w:cs="Times New Roman"/>
          <w:sz w:val="22"/>
          <w:szCs w:val="22"/>
        </w:rPr>
        <w:t>.</w:t>
      </w:r>
    </w:p>
    <w:p w14:paraId="4F1D65B5" w14:textId="367D6D4F" w:rsidR="002020BB" w:rsidRPr="00692206" w:rsidRDefault="00C0715A" w:rsidP="00324F29">
      <w:pPr>
        <w:pStyle w:val="p1"/>
        <w:spacing w:before="120" w:after="120" w:line="276" w:lineRule="auto"/>
        <w:jc w:val="both"/>
        <w:rPr>
          <w:rFonts w:asciiTheme="minorHAnsi" w:hAnsiTheme="minorHAnsi"/>
          <w:sz w:val="22"/>
          <w:szCs w:val="22"/>
        </w:rPr>
      </w:pPr>
      <w:r w:rsidRPr="00692206">
        <w:rPr>
          <w:rFonts w:asciiTheme="minorHAnsi" w:hAnsiTheme="minorHAnsi"/>
          <w:sz w:val="22"/>
          <w:szCs w:val="22"/>
        </w:rPr>
        <w:t xml:space="preserve">The </w:t>
      </w:r>
      <w:r w:rsidR="0085564B" w:rsidRPr="00692206">
        <w:rPr>
          <w:rFonts w:asciiTheme="minorHAnsi" w:eastAsia="Calibri" w:hAnsiTheme="minorHAnsi" w:cs="Calibri"/>
          <w:position w:val="1"/>
          <w:sz w:val="22"/>
          <w:szCs w:val="22"/>
        </w:rPr>
        <w:t>Ra</w:t>
      </w:r>
      <w:r w:rsidR="0085564B" w:rsidRPr="00692206">
        <w:rPr>
          <w:rFonts w:asciiTheme="minorHAnsi" w:eastAsia="Calibri" w:hAnsiTheme="minorHAnsi" w:cs="Calibri"/>
          <w:spacing w:val="-1"/>
          <w:position w:val="1"/>
          <w:sz w:val="22"/>
          <w:szCs w:val="22"/>
        </w:rPr>
        <w:t>ndo</w:t>
      </w:r>
      <w:r w:rsidR="0085564B" w:rsidRPr="00692206">
        <w:rPr>
          <w:rFonts w:asciiTheme="minorHAnsi" w:eastAsia="Calibri" w:hAnsiTheme="minorHAnsi" w:cs="Calibri"/>
          <w:spacing w:val="1"/>
          <w:position w:val="1"/>
          <w:sz w:val="22"/>
          <w:szCs w:val="22"/>
        </w:rPr>
        <w:t>m</w:t>
      </w:r>
      <w:r w:rsidR="0085564B" w:rsidRPr="00692206">
        <w:rPr>
          <w:rFonts w:asciiTheme="minorHAnsi" w:eastAsia="Calibri" w:hAnsiTheme="minorHAnsi" w:cs="Calibri"/>
          <w:position w:val="1"/>
          <w:sz w:val="22"/>
          <w:szCs w:val="22"/>
        </w:rPr>
        <w:t>is</w:t>
      </w:r>
      <w:r w:rsidR="0085564B" w:rsidRPr="00692206">
        <w:rPr>
          <w:rFonts w:asciiTheme="minorHAnsi" w:eastAsia="Calibri" w:hAnsiTheme="minorHAnsi" w:cs="Calibri"/>
          <w:spacing w:val="1"/>
          <w:position w:val="1"/>
          <w:sz w:val="22"/>
          <w:szCs w:val="22"/>
        </w:rPr>
        <w:t>e</w:t>
      </w:r>
      <w:r w:rsidR="0085564B" w:rsidRPr="00692206">
        <w:rPr>
          <w:rFonts w:asciiTheme="minorHAnsi" w:eastAsia="Calibri" w:hAnsiTheme="minorHAnsi" w:cs="Calibri"/>
          <w:position w:val="1"/>
          <w:sz w:val="22"/>
          <w:szCs w:val="22"/>
        </w:rPr>
        <w:t>d E</w:t>
      </w:r>
      <w:r w:rsidR="0085564B" w:rsidRPr="00692206">
        <w:rPr>
          <w:rFonts w:asciiTheme="minorHAnsi" w:eastAsia="Calibri" w:hAnsiTheme="minorHAnsi" w:cs="Calibri"/>
          <w:spacing w:val="1"/>
          <w:position w:val="1"/>
          <w:sz w:val="22"/>
          <w:szCs w:val="22"/>
        </w:rPr>
        <w:t>v</w:t>
      </w:r>
      <w:r w:rsidR="0085564B" w:rsidRPr="00692206">
        <w:rPr>
          <w:rFonts w:asciiTheme="minorHAnsi" w:eastAsia="Calibri" w:hAnsiTheme="minorHAnsi" w:cs="Calibri"/>
          <w:position w:val="1"/>
          <w:sz w:val="22"/>
          <w:szCs w:val="22"/>
        </w:rPr>
        <w:t>al</w:t>
      </w:r>
      <w:r w:rsidR="0085564B" w:rsidRPr="00692206">
        <w:rPr>
          <w:rFonts w:asciiTheme="minorHAnsi" w:eastAsia="Calibri" w:hAnsiTheme="minorHAnsi" w:cs="Calibri"/>
          <w:spacing w:val="-1"/>
          <w:position w:val="1"/>
          <w:sz w:val="22"/>
          <w:szCs w:val="22"/>
        </w:rPr>
        <w:t>u</w:t>
      </w:r>
      <w:r w:rsidR="0085564B" w:rsidRPr="00692206">
        <w:rPr>
          <w:rFonts w:asciiTheme="minorHAnsi" w:eastAsia="Calibri" w:hAnsiTheme="minorHAnsi" w:cs="Calibri"/>
          <w:position w:val="1"/>
          <w:sz w:val="22"/>
          <w:szCs w:val="22"/>
        </w:rPr>
        <w:t>at</w:t>
      </w:r>
      <w:r w:rsidR="0085564B" w:rsidRPr="00692206">
        <w:rPr>
          <w:rFonts w:asciiTheme="minorHAnsi" w:eastAsia="Calibri" w:hAnsiTheme="minorHAnsi" w:cs="Calibri"/>
          <w:spacing w:val="-3"/>
          <w:position w:val="1"/>
          <w:sz w:val="22"/>
          <w:szCs w:val="22"/>
        </w:rPr>
        <w:t>i</w:t>
      </w:r>
      <w:r w:rsidR="0085564B" w:rsidRPr="00692206">
        <w:rPr>
          <w:rFonts w:asciiTheme="minorHAnsi" w:eastAsia="Calibri" w:hAnsiTheme="minorHAnsi" w:cs="Calibri"/>
          <w:spacing w:val="1"/>
          <w:position w:val="1"/>
          <w:sz w:val="22"/>
          <w:szCs w:val="22"/>
        </w:rPr>
        <w:t>o</w:t>
      </w:r>
      <w:r w:rsidR="0085564B" w:rsidRPr="00692206">
        <w:rPr>
          <w:rFonts w:asciiTheme="minorHAnsi" w:eastAsia="Calibri" w:hAnsiTheme="minorHAnsi" w:cs="Calibri"/>
          <w:position w:val="1"/>
          <w:sz w:val="22"/>
          <w:szCs w:val="22"/>
        </w:rPr>
        <w:t>n</w:t>
      </w:r>
      <w:r w:rsidR="0085564B" w:rsidRPr="00692206">
        <w:rPr>
          <w:rFonts w:asciiTheme="minorHAnsi" w:eastAsia="Calibri" w:hAnsiTheme="minorHAnsi" w:cs="Calibri"/>
          <w:spacing w:val="2"/>
          <w:position w:val="1"/>
          <w:sz w:val="22"/>
          <w:szCs w:val="22"/>
        </w:rPr>
        <w:t xml:space="preserve"> </w:t>
      </w:r>
      <w:r w:rsidR="0085564B" w:rsidRPr="00692206">
        <w:rPr>
          <w:rFonts w:asciiTheme="minorHAnsi" w:eastAsia="Calibri" w:hAnsiTheme="minorHAnsi" w:cs="Calibri"/>
          <w:spacing w:val="1"/>
          <w:position w:val="1"/>
          <w:sz w:val="22"/>
          <w:szCs w:val="22"/>
        </w:rPr>
        <w:t>o</w:t>
      </w:r>
      <w:r w:rsidR="0085564B" w:rsidRPr="00692206">
        <w:rPr>
          <w:rFonts w:asciiTheme="minorHAnsi" w:eastAsia="Calibri" w:hAnsiTheme="minorHAnsi" w:cs="Calibri"/>
          <w:position w:val="1"/>
          <w:sz w:val="22"/>
          <w:szCs w:val="22"/>
        </w:rPr>
        <w:t>f</w:t>
      </w:r>
      <w:r w:rsidR="0085564B" w:rsidRPr="00692206">
        <w:rPr>
          <w:rFonts w:asciiTheme="minorHAnsi" w:eastAsia="Calibri" w:hAnsiTheme="minorHAnsi" w:cs="Calibri"/>
          <w:spacing w:val="3"/>
          <w:position w:val="1"/>
          <w:sz w:val="22"/>
          <w:szCs w:val="22"/>
        </w:rPr>
        <w:t xml:space="preserve"> </w:t>
      </w:r>
      <w:r w:rsidR="0085564B" w:rsidRPr="00692206">
        <w:rPr>
          <w:rFonts w:asciiTheme="minorHAnsi" w:eastAsia="Calibri" w:hAnsiTheme="minorHAnsi" w:cs="Calibri"/>
          <w:spacing w:val="-2"/>
          <w:position w:val="1"/>
          <w:sz w:val="22"/>
          <w:szCs w:val="22"/>
        </w:rPr>
        <w:t>M</w:t>
      </w:r>
      <w:r w:rsidR="0085564B" w:rsidRPr="00692206">
        <w:rPr>
          <w:rFonts w:asciiTheme="minorHAnsi" w:eastAsia="Calibri" w:hAnsiTheme="minorHAnsi" w:cs="Calibri"/>
          <w:spacing w:val="1"/>
          <w:position w:val="1"/>
          <w:sz w:val="22"/>
          <w:szCs w:val="22"/>
        </w:rPr>
        <w:t>o</w:t>
      </w:r>
      <w:r w:rsidR="0085564B" w:rsidRPr="00692206">
        <w:rPr>
          <w:rFonts w:asciiTheme="minorHAnsi" w:eastAsia="Calibri" w:hAnsiTheme="minorHAnsi" w:cs="Calibri"/>
          <w:position w:val="1"/>
          <w:sz w:val="22"/>
          <w:szCs w:val="22"/>
        </w:rPr>
        <w:t>lec</w:t>
      </w:r>
      <w:r w:rsidR="0085564B" w:rsidRPr="00692206">
        <w:rPr>
          <w:rFonts w:asciiTheme="minorHAnsi" w:eastAsia="Calibri" w:hAnsiTheme="minorHAnsi" w:cs="Calibri"/>
          <w:spacing w:val="-1"/>
          <w:position w:val="1"/>
          <w:sz w:val="22"/>
          <w:szCs w:val="22"/>
        </w:rPr>
        <w:t>u</w:t>
      </w:r>
      <w:r w:rsidR="0085564B" w:rsidRPr="00692206">
        <w:rPr>
          <w:rFonts w:asciiTheme="minorHAnsi" w:eastAsia="Calibri" w:hAnsiTheme="minorHAnsi" w:cs="Calibri"/>
          <w:position w:val="1"/>
          <w:sz w:val="22"/>
          <w:szCs w:val="22"/>
        </w:rPr>
        <w:t>lar</w:t>
      </w:r>
      <w:r w:rsidR="0085564B" w:rsidRPr="00692206">
        <w:rPr>
          <w:rFonts w:asciiTheme="minorHAnsi" w:eastAsia="Calibri" w:hAnsiTheme="minorHAnsi" w:cs="Calibri"/>
          <w:spacing w:val="3"/>
          <w:position w:val="1"/>
          <w:sz w:val="22"/>
          <w:szCs w:val="22"/>
        </w:rPr>
        <w:t xml:space="preserve"> </w:t>
      </w:r>
      <w:r w:rsidR="0085564B" w:rsidRPr="00692206">
        <w:rPr>
          <w:rFonts w:asciiTheme="minorHAnsi" w:eastAsia="Calibri" w:hAnsiTheme="minorHAnsi" w:cs="Calibri"/>
          <w:spacing w:val="-1"/>
          <w:position w:val="1"/>
          <w:sz w:val="22"/>
          <w:szCs w:val="22"/>
        </w:rPr>
        <w:t>gu</w:t>
      </w:r>
      <w:r w:rsidR="0085564B" w:rsidRPr="00692206">
        <w:rPr>
          <w:rFonts w:asciiTheme="minorHAnsi" w:eastAsia="Calibri" w:hAnsiTheme="minorHAnsi" w:cs="Calibri"/>
          <w:position w:val="1"/>
          <w:sz w:val="22"/>
          <w:szCs w:val="22"/>
        </w:rPr>
        <w:t>i</w:t>
      </w:r>
      <w:r w:rsidR="0085564B" w:rsidRPr="00692206">
        <w:rPr>
          <w:rFonts w:asciiTheme="minorHAnsi" w:eastAsia="Calibri" w:hAnsiTheme="minorHAnsi" w:cs="Calibri"/>
          <w:spacing w:val="-1"/>
          <w:position w:val="1"/>
          <w:sz w:val="22"/>
          <w:szCs w:val="22"/>
        </w:rPr>
        <w:t>d</w:t>
      </w:r>
      <w:r w:rsidR="0085564B" w:rsidRPr="00692206">
        <w:rPr>
          <w:rFonts w:asciiTheme="minorHAnsi" w:eastAsia="Calibri" w:hAnsiTheme="minorHAnsi" w:cs="Calibri"/>
          <w:spacing w:val="1"/>
          <w:position w:val="1"/>
          <w:sz w:val="22"/>
          <w:szCs w:val="22"/>
        </w:rPr>
        <w:t>e</w:t>
      </w:r>
      <w:r w:rsidR="0085564B" w:rsidRPr="00692206">
        <w:rPr>
          <w:rFonts w:asciiTheme="minorHAnsi" w:eastAsia="Calibri" w:hAnsiTheme="minorHAnsi" w:cs="Calibri"/>
          <w:position w:val="1"/>
          <w:sz w:val="22"/>
          <w:szCs w:val="22"/>
        </w:rPr>
        <w:t>d</w:t>
      </w:r>
      <w:r w:rsidR="0085564B" w:rsidRPr="00692206">
        <w:rPr>
          <w:rFonts w:asciiTheme="minorHAnsi" w:eastAsia="Calibri" w:hAnsiTheme="minorHAnsi" w:cs="Calibri"/>
          <w:spacing w:val="2"/>
          <w:position w:val="1"/>
          <w:sz w:val="22"/>
          <w:szCs w:val="22"/>
        </w:rPr>
        <w:t xml:space="preserve"> </w:t>
      </w:r>
      <w:r w:rsidR="0085564B" w:rsidRPr="00692206">
        <w:rPr>
          <w:rFonts w:asciiTheme="minorHAnsi" w:eastAsia="Calibri" w:hAnsiTheme="minorHAnsi" w:cs="Calibri"/>
          <w:position w:val="1"/>
          <w:sz w:val="22"/>
          <w:szCs w:val="22"/>
        </w:rPr>
        <w:t>t</w:t>
      </w:r>
      <w:r w:rsidR="0085564B" w:rsidRPr="00692206">
        <w:rPr>
          <w:rFonts w:asciiTheme="minorHAnsi" w:eastAsia="Calibri" w:hAnsiTheme="minorHAnsi" w:cs="Calibri"/>
          <w:spacing w:val="-1"/>
          <w:position w:val="1"/>
          <w:sz w:val="22"/>
          <w:szCs w:val="22"/>
        </w:rPr>
        <w:t>h</w:t>
      </w:r>
      <w:r w:rsidR="0085564B" w:rsidRPr="00692206">
        <w:rPr>
          <w:rFonts w:asciiTheme="minorHAnsi" w:eastAsia="Calibri" w:hAnsiTheme="minorHAnsi" w:cs="Calibri"/>
          <w:spacing w:val="1"/>
          <w:position w:val="1"/>
          <w:sz w:val="22"/>
          <w:szCs w:val="22"/>
        </w:rPr>
        <w:t>e</w:t>
      </w:r>
      <w:r w:rsidR="0085564B" w:rsidRPr="00692206">
        <w:rPr>
          <w:rFonts w:asciiTheme="minorHAnsi" w:eastAsia="Calibri" w:hAnsiTheme="minorHAnsi" w:cs="Calibri"/>
          <w:position w:val="1"/>
          <w:sz w:val="22"/>
          <w:szCs w:val="22"/>
        </w:rPr>
        <w:t>ra</w:t>
      </w:r>
      <w:r w:rsidR="0085564B" w:rsidRPr="00692206">
        <w:rPr>
          <w:rFonts w:asciiTheme="minorHAnsi" w:eastAsia="Calibri" w:hAnsiTheme="minorHAnsi" w:cs="Calibri"/>
          <w:spacing w:val="-1"/>
          <w:position w:val="1"/>
          <w:sz w:val="22"/>
          <w:szCs w:val="22"/>
        </w:rPr>
        <w:t>p</w:t>
      </w:r>
      <w:r w:rsidR="0085564B" w:rsidRPr="00692206">
        <w:rPr>
          <w:rFonts w:asciiTheme="minorHAnsi" w:eastAsia="Calibri" w:hAnsiTheme="minorHAnsi" w:cs="Calibri"/>
          <w:position w:val="1"/>
          <w:sz w:val="22"/>
          <w:szCs w:val="22"/>
        </w:rPr>
        <w:t>y</w:t>
      </w:r>
      <w:r w:rsidR="0085564B" w:rsidRPr="00692206">
        <w:rPr>
          <w:rFonts w:asciiTheme="minorHAnsi" w:eastAsia="Calibri" w:hAnsiTheme="minorHAnsi" w:cs="Calibri"/>
          <w:spacing w:val="4"/>
          <w:position w:val="1"/>
          <w:sz w:val="22"/>
          <w:szCs w:val="22"/>
        </w:rPr>
        <w:t xml:space="preserve"> </w:t>
      </w:r>
      <w:r w:rsidR="0085564B" w:rsidRPr="00692206">
        <w:rPr>
          <w:rFonts w:asciiTheme="minorHAnsi" w:eastAsia="Calibri" w:hAnsiTheme="minorHAnsi" w:cs="Calibri"/>
          <w:position w:val="1"/>
          <w:sz w:val="22"/>
          <w:szCs w:val="22"/>
        </w:rPr>
        <w:t>f</w:t>
      </w:r>
      <w:r w:rsidR="0085564B" w:rsidRPr="00692206">
        <w:rPr>
          <w:rFonts w:asciiTheme="minorHAnsi" w:eastAsia="Calibri" w:hAnsiTheme="minorHAnsi" w:cs="Calibri"/>
          <w:spacing w:val="2"/>
          <w:position w:val="1"/>
          <w:sz w:val="22"/>
          <w:szCs w:val="22"/>
        </w:rPr>
        <w:t>o</w:t>
      </w:r>
      <w:r w:rsidR="0085564B" w:rsidRPr="00692206">
        <w:rPr>
          <w:rFonts w:asciiTheme="minorHAnsi" w:eastAsia="Calibri" w:hAnsiTheme="minorHAnsi" w:cs="Calibri"/>
          <w:position w:val="1"/>
          <w:sz w:val="22"/>
          <w:szCs w:val="22"/>
        </w:rPr>
        <w:t>r</w:t>
      </w:r>
      <w:r w:rsidR="00832EAF" w:rsidRPr="00692206">
        <w:rPr>
          <w:rFonts w:asciiTheme="minorHAnsi" w:eastAsia="Calibri" w:hAnsiTheme="minorHAnsi" w:cs="Calibri"/>
          <w:sz w:val="22"/>
          <w:szCs w:val="22"/>
        </w:rPr>
        <w:t xml:space="preserve"> </w:t>
      </w:r>
      <w:r w:rsidR="0085564B" w:rsidRPr="00692206">
        <w:rPr>
          <w:rFonts w:asciiTheme="minorHAnsi" w:eastAsia="Calibri" w:hAnsiTheme="minorHAnsi" w:cs="Calibri"/>
          <w:spacing w:val="1"/>
          <w:sz w:val="22"/>
          <w:szCs w:val="22"/>
        </w:rPr>
        <w:t>D</w:t>
      </w:r>
      <w:r w:rsidR="0085564B" w:rsidRPr="00692206">
        <w:rPr>
          <w:rFonts w:asciiTheme="minorHAnsi" w:eastAsia="Calibri" w:hAnsiTheme="minorHAnsi" w:cs="Calibri"/>
          <w:sz w:val="22"/>
          <w:szCs w:val="22"/>
        </w:rPr>
        <w:t>iff</w:t>
      </w:r>
      <w:r w:rsidR="0085564B" w:rsidRPr="00692206">
        <w:rPr>
          <w:rFonts w:asciiTheme="minorHAnsi" w:eastAsia="Calibri" w:hAnsiTheme="minorHAnsi" w:cs="Calibri"/>
          <w:spacing w:val="-1"/>
          <w:sz w:val="22"/>
          <w:szCs w:val="22"/>
        </w:rPr>
        <w:t>u</w:t>
      </w:r>
      <w:r w:rsidR="0085564B" w:rsidRPr="00692206">
        <w:rPr>
          <w:rFonts w:asciiTheme="minorHAnsi" w:eastAsia="Calibri" w:hAnsiTheme="minorHAnsi" w:cs="Calibri"/>
          <w:sz w:val="22"/>
          <w:szCs w:val="22"/>
        </w:rPr>
        <w:t>se</w:t>
      </w:r>
      <w:r w:rsidR="0085564B" w:rsidRPr="00692206">
        <w:rPr>
          <w:rFonts w:asciiTheme="minorHAnsi" w:eastAsia="Calibri" w:hAnsiTheme="minorHAnsi" w:cs="Calibri"/>
          <w:spacing w:val="-1"/>
          <w:sz w:val="22"/>
          <w:szCs w:val="22"/>
        </w:rPr>
        <w:t xml:space="preserve"> </w:t>
      </w:r>
      <w:r w:rsidR="0085564B" w:rsidRPr="00692206">
        <w:rPr>
          <w:rFonts w:asciiTheme="minorHAnsi" w:eastAsia="Calibri" w:hAnsiTheme="minorHAnsi" w:cs="Calibri"/>
          <w:spacing w:val="1"/>
          <w:sz w:val="22"/>
          <w:szCs w:val="22"/>
        </w:rPr>
        <w:t>L</w:t>
      </w:r>
      <w:r w:rsidR="0085564B" w:rsidRPr="00692206">
        <w:rPr>
          <w:rFonts w:asciiTheme="minorHAnsi" w:eastAsia="Calibri" w:hAnsiTheme="minorHAnsi" w:cs="Calibri"/>
          <w:sz w:val="22"/>
          <w:szCs w:val="22"/>
        </w:rPr>
        <w:t>ar</w:t>
      </w:r>
      <w:r w:rsidR="0085564B" w:rsidRPr="00692206">
        <w:rPr>
          <w:rFonts w:asciiTheme="minorHAnsi" w:eastAsia="Calibri" w:hAnsiTheme="minorHAnsi" w:cs="Calibri"/>
          <w:spacing w:val="-1"/>
          <w:sz w:val="22"/>
          <w:szCs w:val="22"/>
        </w:rPr>
        <w:t>g</w:t>
      </w:r>
      <w:r w:rsidR="0085564B" w:rsidRPr="00692206">
        <w:rPr>
          <w:rFonts w:asciiTheme="minorHAnsi" w:eastAsia="Calibri" w:hAnsiTheme="minorHAnsi" w:cs="Calibri"/>
          <w:sz w:val="22"/>
          <w:szCs w:val="22"/>
        </w:rPr>
        <w:t>e</w:t>
      </w:r>
      <w:r w:rsidR="0085564B" w:rsidRPr="00692206">
        <w:rPr>
          <w:rFonts w:asciiTheme="minorHAnsi" w:eastAsia="Calibri" w:hAnsiTheme="minorHAnsi" w:cs="Calibri"/>
          <w:spacing w:val="1"/>
          <w:sz w:val="22"/>
          <w:szCs w:val="22"/>
        </w:rPr>
        <w:t xml:space="preserve"> </w:t>
      </w:r>
      <w:r w:rsidR="0085564B" w:rsidRPr="00692206">
        <w:rPr>
          <w:rFonts w:asciiTheme="minorHAnsi" w:eastAsia="Calibri" w:hAnsiTheme="minorHAnsi" w:cs="Calibri"/>
          <w:sz w:val="22"/>
          <w:szCs w:val="22"/>
        </w:rPr>
        <w:t>B</w:t>
      </w:r>
      <w:r w:rsidR="0085564B" w:rsidRPr="00692206">
        <w:rPr>
          <w:rFonts w:asciiTheme="minorHAnsi" w:eastAsia="Calibri" w:hAnsiTheme="minorHAnsi" w:cs="Calibri"/>
          <w:spacing w:val="-3"/>
          <w:sz w:val="22"/>
          <w:szCs w:val="22"/>
        </w:rPr>
        <w:t>-</w:t>
      </w:r>
      <w:r w:rsidR="0085564B" w:rsidRPr="00692206">
        <w:rPr>
          <w:rFonts w:asciiTheme="minorHAnsi" w:eastAsia="Calibri" w:hAnsiTheme="minorHAnsi" w:cs="Calibri"/>
          <w:sz w:val="22"/>
          <w:szCs w:val="22"/>
        </w:rPr>
        <w:t>c</w:t>
      </w:r>
      <w:r w:rsidR="0085564B" w:rsidRPr="00692206">
        <w:rPr>
          <w:rFonts w:asciiTheme="minorHAnsi" w:eastAsia="Calibri" w:hAnsiTheme="minorHAnsi" w:cs="Calibri"/>
          <w:spacing w:val="1"/>
          <w:sz w:val="22"/>
          <w:szCs w:val="22"/>
        </w:rPr>
        <w:t>e</w:t>
      </w:r>
      <w:r w:rsidR="0085564B" w:rsidRPr="00692206">
        <w:rPr>
          <w:rFonts w:asciiTheme="minorHAnsi" w:eastAsia="Calibri" w:hAnsiTheme="minorHAnsi" w:cs="Calibri"/>
          <w:sz w:val="22"/>
          <w:szCs w:val="22"/>
        </w:rPr>
        <w:t>ll</w:t>
      </w:r>
      <w:r w:rsidR="0085564B" w:rsidRPr="00692206">
        <w:rPr>
          <w:rFonts w:asciiTheme="minorHAnsi" w:eastAsia="Calibri" w:hAnsiTheme="minorHAnsi" w:cs="Calibri"/>
          <w:spacing w:val="-2"/>
          <w:sz w:val="22"/>
          <w:szCs w:val="22"/>
        </w:rPr>
        <w:t xml:space="preserve"> </w:t>
      </w:r>
      <w:r w:rsidR="0085564B" w:rsidRPr="00692206">
        <w:rPr>
          <w:rFonts w:asciiTheme="minorHAnsi" w:eastAsia="Calibri" w:hAnsiTheme="minorHAnsi" w:cs="Calibri"/>
          <w:spacing w:val="1"/>
          <w:sz w:val="22"/>
          <w:szCs w:val="22"/>
        </w:rPr>
        <w:t>L</w:t>
      </w:r>
      <w:r w:rsidR="0085564B" w:rsidRPr="00692206">
        <w:rPr>
          <w:rFonts w:asciiTheme="minorHAnsi" w:eastAsia="Calibri" w:hAnsiTheme="minorHAnsi" w:cs="Calibri"/>
          <w:spacing w:val="-1"/>
          <w:sz w:val="22"/>
          <w:szCs w:val="22"/>
        </w:rPr>
        <w:t>y</w:t>
      </w:r>
      <w:r w:rsidR="0085564B" w:rsidRPr="00692206">
        <w:rPr>
          <w:rFonts w:asciiTheme="minorHAnsi" w:eastAsia="Calibri" w:hAnsiTheme="minorHAnsi" w:cs="Calibri"/>
          <w:spacing w:val="1"/>
          <w:sz w:val="22"/>
          <w:szCs w:val="22"/>
        </w:rPr>
        <w:t>m</w:t>
      </w:r>
      <w:r w:rsidR="0085564B" w:rsidRPr="00692206">
        <w:rPr>
          <w:rFonts w:asciiTheme="minorHAnsi" w:eastAsia="Calibri" w:hAnsiTheme="minorHAnsi" w:cs="Calibri"/>
          <w:spacing w:val="-1"/>
          <w:sz w:val="22"/>
          <w:szCs w:val="22"/>
        </w:rPr>
        <w:t>p</w:t>
      </w:r>
      <w:r w:rsidR="0085564B" w:rsidRPr="00692206">
        <w:rPr>
          <w:rFonts w:asciiTheme="minorHAnsi" w:eastAsia="Calibri" w:hAnsiTheme="minorHAnsi" w:cs="Calibri"/>
          <w:spacing w:val="-3"/>
          <w:sz w:val="22"/>
          <w:szCs w:val="22"/>
        </w:rPr>
        <w:t>h</w:t>
      </w:r>
      <w:r w:rsidR="0085564B" w:rsidRPr="00692206">
        <w:rPr>
          <w:rFonts w:asciiTheme="minorHAnsi" w:eastAsia="Calibri" w:hAnsiTheme="minorHAnsi" w:cs="Calibri"/>
          <w:spacing w:val="1"/>
          <w:sz w:val="22"/>
          <w:szCs w:val="22"/>
        </w:rPr>
        <w:t>o</w:t>
      </w:r>
      <w:r w:rsidR="0085564B" w:rsidRPr="00692206">
        <w:rPr>
          <w:rFonts w:asciiTheme="minorHAnsi" w:eastAsia="Calibri" w:hAnsiTheme="minorHAnsi" w:cs="Calibri"/>
          <w:spacing w:val="-1"/>
          <w:sz w:val="22"/>
          <w:szCs w:val="22"/>
        </w:rPr>
        <w:t>m</w:t>
      </w:r>
      <w:r w:rsidR="0085564B" w:rsidRPr="00692206">
        <w:rPr>
          <w:rFonts w:asciiTheme="minorHAnsi" w:eastAsia="Calibri" w:hAnsiTheme="minorHAnsi" w:cs="Calibri"/>
          <w:sz w:val="22"/>
          <w:szCs w:val="22"/>
        </w:rPr>
        <w:t>a w</w:t>
      </w:r>
      <w:r w:rsidR="0085564B" w:rsidRPr="00692206">
        <w:rPr>
          <w:rFonts w:asciiTheme="minorHAnsi" w:eastAsia="Calibri" w:hAnsiTheme="minorHAnsi" w:cs="Calibri"/>
          <w:spacing w:val="-3"/>
          <w:sz w:val="22"/>
          <w:szCs w:val="22"/>
        </w:rPr>
        <w:t>i</w:t>
      </w:r>
      <w:r w:rsidR="0085564B" w:rsidRPr="00692206">
        <w:rPr>
          <w:rFonts w:asciiTheme="minorHAnsi" w:eastAsia="Calibri" w:hAnsiTheme="minorHAnsi" w:cs="Calibri"/>
          <w:sz w:val="22"/>
          <w:szCs w:val="22"/>
        </w:rPr>
        <w:t>th B</w:t>
      </w:r>
      <w:r w:rsidR="0085564B" w:rsidRPr="00692206">
        <w:rPr>
          <w:rFonts w:asciiTheme="minorHAnsi" w:eastAsia="Calibri" w:hAnsiTheme="minorHAnsi" w:cs="Calibri"/>
          <w:spacing w:val="1"/>
          <w:sz w:val="22"/>
          <w:szCs w:val="22"/>
        </w:rPr>
        <w:t>o</w:t>
      </w:r>
      <w:r w:rsidR="0085564B" w:rsidRPr="00692206">
        <w:rPr>
          <w:rFonts w:asciiTheme="minorHAnsi" w:eastAsia="Calibri" w:hAnsiTheme="minorHAnsi" w:cs="Calibri"/>
          <w:spacing w:val="-3"/>
          <w:sz w:val="22"/>
          <w:szCs w:val="22"/>
        </w:rPr>
        <w:t>r</w:t>
      </w:r>
      <w:r w:rsidR="0085564B" w:rsidRPr="00692206">
        <w:rPr>
          <w:rFonts w:asciiTheme="minorHAnsi" w:eastAsia="Calibri" w:hAnsiTheme="minorHAnsi" w:cs="Calibri"/>
          <w:sz w:val="22"/>
          <w:szCs w:val="22"/>
        </w:rPr>
        <w:t>t</w:t>
      </w:r>
      <w:r w:rsidR="0085564B" w:rsidRPr="00692206">
        <w:rPr>
          <w:rFonts w:asciiTheme="minorHAnsi" w:eastAsia="Calibri" w:hAnsiTheme="minorHAnsi" w:cs="Calibri"/>
          <w:spacing w:val="1"/>
          <w:sz w:val="22"/>
          <w:szCs w:val="22"/>
        </w:rPr>
        <w:t>e</w:t>
      </w:r>
      <w:r w:rsidR="0085564B" w:rsidRPr="00692206">
        <w:rPr>
          <w:rFonts w:asciiTheme="minorHAnsi" w:eastAsia="Calibri" w:hAnsiTheme="minorHAnsi" w:cs="Calibri"/>
          <w:spacing w:val="-3"/>
          <w:sz w:val="22"/>
          <w:szCs w:val="22"/>
        </w:rPr>
        <w:t>z</w:t>
      </w:r>
      <w:r w:rsidR="0085564B" w:rsidRPr="00692206">
        <w:rPr>
          <w:rFonts w:asciiTheme="minorHAnsi" w:eastAsia="Calibri" w:hAnsiTheme="minorHAnsi" w:cs="Calibri"/>
          <w:spacing w:val="1"/>
          <w:sz w:val="22"/>
          <w:szCs w:val="22"/>
        </w:rPr>
        <w:t>om</w:t>
      </w:r>
      <w:r w:rsidR="0085564B" w:rsidRPr="00692206">
        <w:rPr>
          <w:rFonts w:asciiTheme="minorHAnsi" w:eastAsia="Calibri" w:hAnsiTheme="minorHAnsi" w:cs="Calibri"/>
          <w:sz w:val="22"/>
          <w:szCs w:val="22"/>
        </w:rPr>
        <w:t>ib</w:t>
      </w:r>
      <w:r w:rsidR="0085564B" w:rsidRPr="00692206">
        <w:rPr>
          <w:rFonts w:asciiTheme="minorHAnsi" w:hAnsiTheme="minorHAnsi"/>
          <w:sz w:val="22"/>
          <w:szCs w:val="22"/>
        </w:rPr>
        <w:t xml:space="preserve"> (</w:t>
      </w:r>
      <w:r w:rsidRPr="00692206">
        <w:rPr>
          <w:rFonts w:asciiTheme="minorHAnsi" w:hAnsiTheme="minorHAnsi"/>
          <w:sz w:val="22"/>
          <w:szCs w:val="22"/>
        </w:rPr>
        <w:t>REMoDL-B</w:t>
      </w:r>
      <w:r w:rsidR="00832EAF" w:rsidRPr="00692206">
        <w:rPr>
          <w:rFonts w:asciiTheme="minorHAnsi" w:hAnsiTheme="minorHAnsi"/>
          <w:sz w:val="22"/>
          <w:szCs w:val="22"/>
        </w:rPr>
        <w:t>)</w:t>
      </w:r>
      <w:r w:rsidRPr="00692206">
        <w:rPr>
          <w:rFonts w:asciiTheme="minorHAnsi" w:hAnsiTheme="minorHAnsi"/>
          <w:sz w:val="22"/>
          <w:szCs w:val="22"/>
        </w:rPr>
        <w:t xml:space="preserve"> study</w:t>
      </w:r>
      <w:r w:rsidR="00832EAF" w:rsidRPr="00692206">
        <w:rPr>
          <w:rFonts w:asciiTheme="minorHAnsi" w:hAnsiTheme="minorHAnsi"/>
          <w:sz w:val="22"/>
          <w:szCs w:val="22"/>
        </w:rPr>
        <w:t xml:space="preserve"> </w:t>
      </w:r>
      <w:r w:rsidR="00B60919" w:rsidRPr="00692206">
        <w:rPr>
          <w:rFonts w:asciiTheme="minorHAnsi" w:hAnsiTheme="minorHAnsi"/>
          <w:sz w:val="22"/>
          <w:szCs w:val="22"/>
        </w:rPr>
        <w:t>(</w:t>
      </w:r>
      <w:r w:rsidR="00373CE1" w:rsidRPr="00692206">
        <w:rPr>
          <w:rStyle w:val="s1"/>
          <w:rFonts w:asciiTheme="minorHAnsi" w:hAnsiTheme="minorHAnsi"/>
          <w:sz w:val="22"/>
          <w:szCs w:val="22"/>
        </w:rPr>
        <w:t xml:space="preserve">NCT01324596) </w:t>
      </w:r>
      <w:r w:rsidR="00724513" w:rsidRPr="00692206">
        <w:rPr>
          <w:rFonts w:asciiTheme="minorHAnsi" w:hAnsiTheme="minorHAnsi"/>
          <w:sz w:val="22"/>
          <w:szCs w:val="22"/>
        </w:rPr>
        <w:t>aimed</w:t>
      </w:r>
      <w:r w:rsidR="00451DC8" w:rsidRPr="00692206">
        <w:rPr>
          <w:rFonts w:asciiTheme="minorHAnsi" w:hAnsiTheme="minorHAnsi"/>
          <w:sz w:val="22"/>
          <w:szCs w:val="22"/>
        </w:rPr>
        <w:t xml:space="preserve"> to investigate</w:t>
      </w:r>
      <w:r w:rsidR="00067629" w:rsidRPr="00692206">
        <w:rPr>
          <w:rFonts w:asciiTheme="minorHAnsi" w:hAnsiTheme="minorHAnsi"/>
          <w:sz w:val="22"/>
          <w:szCs w:val="22"/>
        </w:rPr>
        <w:t xml:space="preserve"> the clinical efficacy of</w:t>
      </w:r>
      <w:r w:rsidR="00451DC8" w:rsidRPr="00692206">
        <w:rPr>
          <w:rFonts w:asciiTheme="minorHAnsi" w:hAnsiTheme="minorHAnsi"/>
          <w:sz w:val="22"/>
          <w:szCs w:val="22"/>
        </w:rPr>
        <w:t xml:space="preserve"> R-CHOP in addition to bortezomib in </w:t>
      </w:r>
      <w:r w:rsidR="00067629" w:rsidRPr="00692206">
        <w:rPr>
          <w:rFonts w:asciiTheme="minorHAnsi" w:hAnsiTheme="minorHAnsi"/>
          <w:sz w:val="22"/>
          <w:szCs w:val="22"/>
        </w:rPr>
        <w:t xml:space="preserve">patients with </w:t>
      </w:r>
      <w:r w:rsidR="00451DC8" w:rsidRPr="00692206">
        <w:rPr>
          <w:rFonts w:asciiTheme="minorHAnsi" w:hAnsiTheme="minorHAnsi"/>
          <w:sz w:val="22"/>
          <w:szCs w:val="22"/>
        </w:rPr>
        <w:t xml:space="preserve">DLBCL. </w:t>
      </w:r>
      <w:r w:rsidR="00373CE1" w:rsidRPr="00692206">
        <w:rPr>
          <w:rFonts w:asciiTheme="minorHAnsi" w:hAnsiTheme="minorHAnsi"/>
          <w:sz w:val="22"/>
          <w:szCs w:val="22"/>
        </w:rPr>
        <w:t xml:space="preserve"> </w:t>
      </w:r>
      <w:r w:rsidR="00724513" w:rsidRPr="00692206">
        <w:rPr>
          <w:rFonts w:asciiTheme="minorHAnsi" w:hAnsiTheme="minorHAnsi"/>
          <w:sz w:val="22"/>
          <w:szCs w:val="22"/>
        </w:rPr>
        <w:t xml:space="preserve">In order to determine </w:t>
      </w:r>
      <w:r w:rsidR="00451DC8" w:rsidRPr="00692206">
        <w:rPr>
          <w:rFonts w:asciiTheme="minorHAnsi" w:hAnsiTheme="minorHAnsi"/>
          <w:sz w:val="22"/>
          <w:szCs w:val="22"/>
        </w:rPr>
        <w:t>whether the COO subtype</w:t>
      </w:r>
      <w:r w:rsidR="002020BB">
        <w:rPr>
          <w:rFonts w:asciiTheme="minorHAnsi" w:hAnsiTheme="minorHAnsi"/>
          <w:sz w:val="22"/>
          <w:szCs w:val="22"/>
        </w:rPr>
        <w:t>s</w:t>
      </w:r>
      <w:r w:rsidR="00451DC8" w:rsidRPr="00692206">
        <w:rPr>
          <w:rFonts w:asciiTheme="minorHAnsi" w:hAnsiTheme="minorHAnsi"/>
          <w:sz w:val="22"/>
          <w:szCs w:val="22"/>
        </w:rPr>
        <w:t xml:space="preserve"> </w:t>
      </w:r>
      <w:r w:rsidR="002020BB">
        <w:rPr>
          <w:rFonts w:asciiTheme="minorHAnsi" w:hAnsiTheme="minorHAnsi"/>
          <w:sz w:val="22"/>
          <w:szCs w:val="22"/>
        </w:rPr>
        <w:t>respond</w:t>
      </w:r>
      <w:r w:rsidR="00724513" w:rsidRPr="00692206">
        <w:rPr>
          <w:rFonts w:asciiTheme="minorHAnsi" w:hAnsiTheme="minorHAnsi"/>
          <w:sz w:val="22"/>
          <w:szCs w:val="22"/>
        </w:rPr>
        <w:t xml:space="preserve"> differently</w:t>
      </w:r>
      <w:r w:rsidR="00451DC8" w:rsidRPr="00692206">
        <w:rPr>
          <w:rFonts w:asciiTheme="minorHAnsi" w:hAnsiTheme="minorHAnsi"/>
          <w:sz w:val="22"/>
          <w:szCs w:val="22"/>
        </w:rPr>
        <w:t xml:space="preserve"> </w:t>
      </w:r>
      <w:r w:rsidR="004D4405">
        <w:rPr>
          <w:rFonts w:asciiTheme="minorHAnsi" w:hAnsiTheme="minorHAnsi"/>
          <w:sz w:val="22"/>
          <w:szCs w:val="22"/>
        </w:rPr>
        <w:t xml:space="preserve">to </w:t>
      </w:r>
      <w:r w:rsidR="00451DC8" w:rsidRPr="00692206">
        <w:rPr>
          <w:rFonts w:asciiTheme="minorHAnsi" w:hAnsiTheme="minorHAnsi"/>
          <w:sz w:val="22"/>
          <w:szCs w:val="22"/>
        </w:rPr>
        <w:t>the combination of bortezomib with R-CHOP</w:t>
      </w:r>
      <w:r w:rsidR="00067629" w:rsidRPr="00692206">
        <w:rPr>
          <w:rFonts w:asciiTheme="minorHAnsi" w:hAnsiTheme="minorHAnsi"/>
          <w:sz w:val="22"/>
          <w:szCs w:val="22"/>
        </w:rPr>
        <w:t xml:space="preserve"> </w:t>
      </w:r>
      <w:r w:rsidR="00724513" w:rsidRPr="00692206">
        <w:rPr>
          <w:rFonts w:asciiTheme="minorHAnsi" w:hAnsiTheme="minorHAnsi"/>
          <w:sz w:val="22"/>
          <w:szCs w:val="22"/>
        </w:rPr>
        <w:t xml:space="preserve">we used </w:t>
      </w:r>
      <w:r w:rsidR="00373CE1" w:rsidRPr="00692206">
        <w:rPr>
          <w:rFonts w:asciiTheme="minorHAnsi" w:hAnsiTheme="minorHAnsi"/>
          <w:sz w:val="22"/>
          <w:szCs w:val="22"/>
        </w:rPr>
        <w:t xml:space="preserve">a </w:t>
      </w:r>
      <w:r w:rsidR="00067629" w:rsidRPr="00692206">
        <w:rPr>
          <w:rFonts w:asciiTheme="minorHAnsi" w:hAnsiTheme="minorHAnsi"/>
          <w:sz w:val="22"/>
          <w:szCs w:val="22"/>
        </w:rPr>
        <w:t>study design</w:t>
      </w:r>
      <w:r w:rsidR="004D4405">
        <w:rPr>
          <w:rFonts w:asciiTheme="minorHAnsi" w:hAnsiTheme="minorHAnsi"/>
          <w:sz w:val="22"/>
          <w:szCs w:val="22"/>
        </w:rPr>
        <w:t xml:space="preserve"> incorporating </w:t>
      </w:r>
      <w:r w:rsidR="00067629" w:rsidRPr="00692206">
        <w:rPr>
          <w:rFonts w:asciiTheme="minorHAnsi" w:hAnsiTheme="minorHAnsi"/>
          <w:sz w:val="22"/>
          <w:szCs w:val="22"/>
        </w:rPr>
        <w:t xml:space="preserve">prospective randomisation stratified by </w:t>
      </w:r>
      <w:r w:rsidR="00724513" w:rsidRPr="00692206">
        <w:rPr>
          <w:rFonts w:asciiTheme="minorHAnsi" w:hAnsiTheme="minorHAnsi"/>
          <w:sz w:val="22"/>
          <w:szCs w:val="22"/>
        </w:rPr>
        <w:t xml:space="preserve">whole transcriptome </w:t>
      </w:r>
      <w:r w:rsidR="00373CE1" w:rsidRPr="00692206">
        <w:rPr>
          <w:rFonts w:asciiTheme="minorHAnsi" w:hAnsiTheme="minorHAnsi"/>
          <w:sz w:val="22"/>
          <w:szCs w:val="22"/>
        </w:rPr>
        <w:t xml:space="preserve">gene expression </w:t>
      </w:r>
      <w:r w:rsidR="00067629" w:rsidRPr="00692206">
        <w:rPr>
          <w:rFonts w:asciiTheme="minorHAnsi" w:hAnsiTheme="minorHAnsi"/>
          <w:sz w:val="22"/>
          <w:szCs w:val="22"/>
        </w:rPr>
        <w:t>profil</w:t>
      </w:r>
      <w:r w:rsidR="00373CE1" w:rsidRPr="00692206">
        <w:rPr>
          <w:rFonts w:asciiTheme="minorHAnsi" w:hAnsiTheme="minorHAnsi"/>
          <w:sz w:val="22"/>
          <w:szCs w:val="22"/>
        </w:rPr>
        <w:t>e</w:t>
      </w:r>
      <w:r w:rsidR="002020BB">
        <w:rPr>
          <w:rFonts w:asciiTheme="minorHAnsi" w:hAnsiTheme="minorHAnsi"/>
          <w:sz w:val="22"/>
          <w:szCs w:val="22"/>
        </w:rPr>
        <w:t xml:space="preserve">.  </w:t>
      </w:r>
      <w:r w:rsidR="002020BB" w:rsidRPr="00692206">
        <w:rPr>
          <w:rFonts w:asciiTheme="minorHAnsi" w:hAnsiTheme="minorHAnsi"/>
          <w:sz w:val="22"/>
          <w:szCs w:val="22"/>
        </w:rPr>
        <w:t xml:space="preserve">We also incorporated molecular characterisation to examine recognised subgroups </w:t>
      </w:r>
      <w:r w:rsidR="002020BB">
        <w:rPr>
          <w:rFonts w:asciiTheme="minorHAnsi" w:hAnsiTheme="minorHAnsi"/>
          <w:sz w:val="22"/>
          <w:szCs w:val="22"/>
        </w:rPr>
        <w:t>distinct</w:t>
      </w:r>
      <w:r w:rsidR="002020BB" w:rsidRPr="00692206">
        <w:rPr>
          <w:rFonts w:asciiTheme="minorHAnsi" w:hAnsiTheme="minorHAnsi"/>
          <w:sz w:val="22"/>
          <w:szCs w:val="22"/>
        </w:rPr>
        <w:t xml:space="preserve"> from cell of origin</w:t>
      </w:r>
      <w:r w:rsidR="002020BB">
        <w:rPr>
          <w:rFonts w:asciiTheme="minorHAnsi" w:hAnsiTheme="minorHAnsi"/>
          <w:sz w:val="22"/>
          <w:szCs w:val="22"/>
        </w:rPr>
        <w:t>;</w:t>
      </w:r>
      <w:r w:rsidR="002020BB" w:rsidRPr="00692206">
        <w:rPr>
          <w:rFonts w:asciiTheme="minorHAnsi" w:hAnsiTheme="minorHAnsi"/>
          <w:sz w:val="22"/>
          <w:szCs w:val="22"/>
        </w:rPr>
        <w:t xml:space="preserve"> double-hit (DHL) (rearrangements of </w:t>
      </w:r>
      <w:r w:rsidR="002020BB" w:rsidRPr="00692206">
        <w:rPr>
          <w:rFonts w:asciiTheme="minorHAnsi" w:hAnsiTheme="minorHAnsi"/>
          <w:i/>
          <w:sz w:val="22"/>
          <w:szCs w:val="22"/>
        </w:rPr>
        <w:t>MYC</w:t>
      </w:r>
      <w:r w:rsidR="002020BB" w:rsidRPr="00692206">
        <w:rPr>
          <w:rFonts w:asciiTheme="minorHAnsi" w:hAnsiTheme="minorHAnsi"/>
          <w:sz w:val="22"/>
          <w:szCs w:val="22"/>
        </w:rPr>
        <w:t xml:space="preserve"> and </w:t>
      </w:r>
      <w:r w:rsidR="002020BB" w:rsidRPr="00692206">
        <w:rPr>
          <w:rFonts w:asciiTheme="minorHAnsi" w:hAnsiTheme="minorHAnsi"/>
          <w:i/>
          <w:sz w:val="22"/>
          <w:szCs w:val="22"/>
        </w:rPr>
        <w:t>BCL-2</w:t>
      </w:r>
      <w:r w:rsidR="002020BB" w:rsidRPr="00692206">
        <w:rPr>
          <w:rFonts w:asciiTheme="minorHAnsi" w:hAnsiTheme="minorHAnsi"/>
          <w:sz w:val="22"/>
          <w:szCs w:val="22"/>
        </w:rPr>
        <w:t xml:space="preserve"> and/or </w:t>
      </w:r>
      <w:r w:rsidR="002020BB" w:rsidRPr="00692206">
        <w:rPr>
          <w:rFonts w:asciiTheme="minorHAnsi" w:hAnsiTheme="minorHAnsi"/>
          <w:i/>
          <w:sz w:val="22"/>
          <w:szCs w:val="22"/>
        </w:rPr>
        <w:t>BCL-6</w:t>
      </w:r>
      <w:r w:rsidR="002020BB" w:rsidRPr="00692206">
        <w:rPr>
          <w:rFonts w:asciiTheme="minorHAnsi" w:hAnsiTheme="minorHAnsi"/>
          <w:sz w:val="22"/>
          <w:szCs w:val="22"/>
        </w:rPr>
        <w:t>) and double-expressor lymphomas (high MYC and BCL-2 expression) (DEL).</w:t>
      </w:r>
    </w:p>
    <w:p w14:paraId="4CF4707B" w14:textId="0CA27741" w:rsidR="008676CA" w:rsidRPr="002020BB" w:rsidRDefault="00CB769C" w:rsidP="00324F29">
      <w:pPr>
        <w:pStyle w:val="p1"/>
        <w:spacing w:before="120" w:after="120" w:line="276" w:lineRule="auto"/>
        <w:jc w:val="both"/>
        <w:rPr>
          <w:rFonts w:asciiTheme="minorHAnsi" w:hAnsiTheme="minorHAnsi"/>
          <w:sz w:val="22"/>
          <w:szCs w:val="22"/>
        </w:rPr>
      </w:pPr>
      <w:r w:rsidRPr="00692206">
        <w:rPr>
          <w:rFonts w:asciiTheme="minorHAnsi" w:hAnsiTheme="minorHAnsi"/>
          <w:sz w:val="22"/>
          <w:szCs w:val="22"/>
        </w:rPr>
        <w:t>A</w:t>
      </w:r>
      <w:r w:rsidR="00016DE0" w:rsidRPr="00692206">
        <w:rPr>
          <w:rFonts w:asciiTheme="minorHAnsi" w:hAnsiTheme="minorHAnsi"/>
          <w:sz w:val="22"/>
          <w:szCs w:val="22"/>
        </w:rPr>
        <w:t>s clinical studies move</w:t>
      </w:r>
      <w:r w:rsidR="00451DC8" w:rsidRPr="00692206">
        <w:rPr>
          <w:rFonts w:asciiTheme="minorHAnsi" w:hAnsiTheme="minorHAnsi"/>
          <w:sz w:val="22"/>
          <w:szCs w:val="22"/>
        </w:rPr>
        <w:t xml:space="preserve"> towards increased</w:t>
      </w:r>
      <w:r w:rsidR="00016DE0" w:rsidRPr="00692206">
        <w:rPr>
          <w:rFonts w:asciiTheme="minorHAnsi" w:hAnsiTheme="minorHAnsi"/>
          <w:sz w:val="22"/>
          <w:szCs w:val="22"/>
        </w:rPr>
        <w:t xml:space="preserve"> </w:t>
      </w:r>
      <w:r w:rsidR="00640F2A" w:rsidRPr="00692206">
        <w:rPr>
          <w:rFonts w:asciiTheme="minorHAnsi" w:hAnsiTheme="minorHAnsi"/>
          <w:sz w:val="22"/>
          <w:szCs w:val="22"/>
        </w:rPr>
        <w:t>application</w:t>
      </w:r>
      <w:r w:rsidR="00016DE0" w:rsidRPr="00692206">
        <w:rPr>
          <w:rFonts w:asciiTheme="minorHAnsi" w:hAnsiTheme="minorHAnsi"/>
          <w:sz w:val="22"/>
          <w:szCs w:val="22"/>
        </w:rPr>
        <w:t xml:space="preserve"> of</w:t>
      </w:r>
      <w:r w:rsidR="00451DC8" w:rsidRPr="00692206">
        <w:rPr>
          <w:rFonts w:asciiTheme="minorHAnsi" w:hAnsiTheme="minorHAnsi"/>
          <w:sz w:val="22"/>
          <w:szCs w:val="22"/>
        </w:rPr>
        <w:t xml:space="preserve"> target</w:t>
      </w:r>
      <w:r w:rsidR="00016DE0" w:rsidRPr="00692206">
        <w:rPr>
          <w:rFonts w:asciiTheme="minorHAnsi" w:hAnsiTheme="minorHAnsi"/>
          <w:sz w:val="22"/>
          <w:szCs w:val="22"/>
        </w:rPr>
        <w:t>ed agents against</w:t>
      </w:r>
      <w:r w:rsidR="00451DC8" w:rsidRPr="00692206">
        <w:rPr>
          <w:rFonts w:asciiTheme="minorHAnsi" w:hAnsiTheme="minorHAnsi"/>
          <w:sz w:val="22"/>
          <w:szCs w:val="22"/>
        </w:rPr>
        <w:t xml:space="preserve"> molecular </w:t>
      </w:r>
      <w:r w:rsidR="00016DE0" w:rsidRPr="00692206">
        <w:rPr>
          <w:rFonts w:asciiTheme="minorHAnsi" w:hAnsiTheme="minorHAnsi"/>
          <w:sz w:val="22"/>
          <w:szCs w:val="22"/>
        </w:rPr>
        <w:t xml:space="preserve">features, </w:t>
      </w:r>
      <w:r w:rsidR="00373CE1" w:rsidRPr="00692206">
        <w:rPr>
          <w:rFonts w:asciiTheme="minorHAnsi" w:hAnsiTheme="minorHAnsi"/>
          <w:sz w:val="22"/>
          <w:szCs w:val="22"/>
        </w:rPr>
        <w:t xml:space="preserve">the </w:t>
      </w:r>
      <w:r w:rsidR="00016DE0" w:rsidRPr="00692206">
        <w:rPr>
          <w:rFonts w:asciiTheme="minorHAnsi" w:hAnsiTheme="minorHAnsi"/>
          <w:sz w:val="22"/>
          <w:szCs w:val="22"/>
        </w:rPr>
        <w:t>feasibility of</w:t>
      </w:r>
      <w:r w:rsidR="00451DC8" w:rsidRPr="00692206">
        <w:rPr>
          <w:rFonts w:asciiTheme="minorHAnsi" w:hAnsiTheme="minorHAnsi"/>
          <w:sz w:val="22"/>
          <w:szCs w:val="22"/>
        </w:rPr>
        <w:t xml:space="preserve"> determin</w:t>
      </w:r>
      <w:r w:rsidR="00016DE0" w:rsidRPr="00692206">
        <w:rPr>
          <w:rFonts w:asciiTheme="minorHAnsi" w:hAnsiTheme="minorHAnsi"/>
          <w:sz w:val="22"/>
          <w:szCs w:val="22"/>
        </w:rPr>
        <w:t xml:space="preserve">ing </w:t>
      </w:r>
      <w:r w:rsidR="00373CE1" w:rsidRPr="00692206">
        <w:rPr>
          <w:rFonts w:asciiTheme="minorHAnsi" w:hAnsiTheme="minorHAnsi"/>
          <w:sz w:val="22"/>
          <w:szCs w:val="22"/>
        </w:rPr>
        <w:t xml:space="preserve">a </w:t>
      </w:r>
      <w:r w:rsidR="00451DC8" w:rsidRPr="00692206">
        <w:rPr>
          <w:rFonts w:asciiTheme="minorHAnsi" w:hAnsiTheme="minorHAnsi"/>
          <w:sz w:val="22"/>
          <w:szCs w:val="22"/>
        </w:rPr>
        <w:t xml:space="preserve">molecular phenotype </w:t>
      </w:r>
      <w:r w:rsidR="00016DE0" w:rsidRPr="00692206">
        <w:rPr>
          <w:rFonts w:asciiTheme="minorHAnsi" w:hAnsiTheme="minorHAnsi"/>
          <w:sz w:val="22"/>
          <w:szCs w:val="22"/>
        </w:rPr>
        <w:t>in</w:t>
      </w:r>
      <w:r w:rsidR="00451DC8" w:rsidRPr="00692206">
        <w:rPr>
          <w:rFonts w:asciiTheme="minorHAnsi" w:hAnsiTheme="minorHAnsi"/>
          <w:sz w:val="22"/>
          <w:szCs w:val="22"/>
        </w:rPr>
        <w:t xml:space="preserve"> real-time</w:t>
      </w:r>
      <w:r w:rsidR="00016DE0" w:rsidRPr="00692206">
        <w:rPr>
          <w:rFonts w:asciiTheme="minorHAnsi" w:hAnsiTheme="minorHAnsi"/>
          <w:sz w:val="22"/>
          <w:szCs w:val="22"/>
        </w:rPr>
        <w:t xml:space="preserve"> was an</w:t>
      </w:r>
      <w:r w:rsidR="008010F6" w:rsidRPr="00692206">
        <w:rPr>
          <w:rFonts w:asciiTheme="minorHAnsi" w:hAnsiTheme="minorHAnsi"/>
          <w:sz w:val="22"/>
          <w:szCs w:val="22"/>
        </w:rPr>
        <w:t xml:space="preserve"> important</w:t>
      </w:r>
      <w:r w:rsidR="00016DE0" w:rsidRPr="00692206">
        <w:rPr>
          <w:rFonts w:asciiTheme="minorHAnsi" w:hAnsiTheme="minorHAnsi"/>
          <w:sz w:val="22"/>
          <w:szCs w:val="22"/>
        </w:rPr>
        <w:t xml:space="preserve"> </w:t>
      </w:r>
      <w:r w:rsidR="0043053A" w:rsidRPr="00692206">
        <w:rPr>
          <w:rFonts w:asciiTheme="minorHAnsi" w:hAnsiTheme="minorHAnsi"/>
          <w:sz w:val="22"/>
          <w:szCs w:val="22"/>
        </w:rPr>
        <w:t>objective</w:t>
      </w:r>
      <w:r w:rsidR="00016DE0" w:rsidRPr="00692206">
        <w:rPr>
          <w:rFonts w:asciiTheme="minorHAnsi" w:hAnsiTheme="minorHAnsi"/>
          <w:sz w:val="22"/>
          <w:szCs w:val="22"/>
        </w:rPr>
        <w:t xml:space="preserve"> of the study</w:t>
      </w:r>
      <w:r w:rsidR="002020BB">
        <w:rPr>
          <w:rFonts w:asciiTheme="minorHAnsi" w:hAnsiTheme="minorHAnsi"/>
          <w:sz w:val="22"/>
          <w:szCs w:val="22"/>
        </w:rPr>
        <w:t>.</w:t>
      </w:r>
    </w:p>
    <w:p w14:paraId="0AD55C6B" w14:textId="77777777" w:rsidR="00751F16" w:rsidRDefault="00751F16">
      <w:pPr>
        <w:rPr>
          <w:b/>
          <w:bCs/>
        </w:rPr>
      </w:pPr>
      <w:r>
        <w:rPr>
          <w:b/>
          <w:bCs/>
        </w:rPr>
        <w:br w:type="page"/>
      </w:r>
    </w:p>
    <w:p w14:paraId="7DEE2C45" w14:textId="41879E6C" w:rsidR="002C7551" w:rsidRPr="00692206" w:rsidRDefault="002C7551" w:rsidP="0030644C">
      <w:pPr>
        <w:spacing w:before="120"/>
        <w:outlineLvl w:val="0"/>
        <w:rPr>
          <w:b/>
          <w:bCs/>
        </w:rPr>
      </w:pPr>
      <w:r w:rsidRPr="00692206">
        <w:rPr>
          <w:b/>
          <w:bCs/>
        </w:rPr>
        <w:lastRenderedPageBreak/>
        <w:t>Methods:</w:t>
      </w:r>
    </w:p>
    <w:p w14:paraId="49BA2371" w14:textId="2387071E" w:rsidR="00D50A37" w:rsidRDefault="00D50A37" w:rsidP="0030644C">
      <w:pPr>
        <w:spacing w:before="120"/>
        <w:outlineLvl w:val="0"/>
        <w:rPr>
          <w:b/>
          <w:bCs/>
        </w:rPr>
      </w:pPr>
      <w:r>
        <w:rPr>
          <w:b/>
          <w:bCs/>
        </w:rPr>
        <w:t xml:space="preserve">Study design </w:t>
      </w:r>
      <w:r w:rsidR="003B10B8">
        <w:rPr>
          <w:b/>
          <w:bCs/>
        </w:rPr>
        <w:t>and Participants</w:t>
      </w:r>
    </w:p>
    <w:p w14:paraId="70DDAC4F" w14:textId="185F19D9" w:rsidR="00B32483" w:rsidRDefault="00D50A37" w:rsidP="00EF256F">
      <w:pPr>
        <w:spacing w:before="120"/>
        <w:jc w:val="both"/>
      </w:pPr>
      <w:r>
        <w:rPr>
          <w:bCs/>
        </w:rPr>
        <w:t xml:space="preserve">The </w:t>
      </w:r>
      <w:r w:rsidRPr="00692206">
        <w:t>REMoDL-B</w:t>
      </w:r>
      <w:r>
        <w:t xml:space="preserve"> trial is a multicentre, open-label, randomised, phase 3, superiority trial comparing  R-CHOP with R-CHOP plus </w:t>
      </w:r>
      <w:r w:rsidRPr="00692206">
        <w:t xml:space="preserve">bortezomib </w:t>
      </w:r>
      <w:r>
        <w:t>(</w:t>
      </w:r>
      <w:r>
        <w:rPr>
          <w:rFonts w:eastAsia="Times New Roman" w:cstheme="minorHAnsi"/>
          <w:color w:val="1C1D1E"/>
          <w:lang w:val="en" w:eastAsia="en-GB"/>
        </w:rPr>
        <w:t>RB-CHOP</w:t>
      </w:r>
      <w:r>
        <w:t xml:space="preserve">) </w:t>
      </w:r>
      <w:r w:rsidRPr="00692206">
        <w:t xml:space="preserve">in patients </w:t>
      </w:r>
      <w:r>
        <w:t xml:space="preserve">newly diagnosed </w:t>
      </w:r>
      <w:r w:rsidRPr="00692206">
        <w:t>with DLBCL</w:t>
      </w:r>
      <w:r>
        <w:t>. As a</w:t>
      </w:r>
      <w:r w:rsidRPr="00692206">
        <w:t xml:space="preserve"> collaboration between the United Kingdom National Cancer Research Institute (NCRI) group and the </w:t>
      </w:r>
      <w:r>
        <w:t>Schweiz</w:t>
      </w:r>
      <w:r w:rsidRPr="00692206">
        <w:t xml:space="preserve"> Arbeitsgemeinschaft für Klinische Krebsforschung (SAKK)</w:t>
      </w:r>
      <w:r>
        <w:rPr>
          <w:rFonts w:eastAsia="Calibri" w:cs="Calibri"/>
          <w:position w:val="1"/>
        </w:rPr>
        <w:t xml:space="preserve">, </w:t>
      </w:r>
      <w:r>
        <w:rPr>
          <w:rFonts w:eastAsia="Calibri"/>
          <w:position w:val="1"/>
        </w:rPr>
        <w:t xml:space="preserve">patients were recruited from </w:t>
      </w:r>
      <w:r w:rsidRPr="00CD49A7">
        <w:t xml:space="preserve">107 </w:t>
      </w:r>
      <w:r>
        <w:t>cancer centres in the UK and Switzerland.</w:t>
      </w:r>
      <w:r w:rsidRPr="003D0020">
        <w:t xml:space="preserve"> </w:t>
      </w:r>
      <w:r w:rsidR="00B32483">
        <w:t>Th</w:t>
      </w:r>
      <w:r w:rsidR="00064BCF">
        <w:t xml:space="preserve">e trial is </w:t>
      </w:r>
      <w:r w:rsidRPr="003D0020">
        <w:t xml:space="preserve">registered </w:t>
      </w:r>
      <w:r w:rsidR="00064BCF">
        <w:t xml:space="preserve">with ClinicalTrials.gov, </w:t>
      </w:r>
      <w:r w:rsidRPr="00751F16">
        <w:rPr>
          <w:rFonts w:cstheme="minorHAnsi"/>
        </w:rPr>
        <w:t>NCT01324596</w:t>
      </w:r>
      <w:r w:rsidR="00EF200B">
        <w:rPr>
          <w:rFonts w:cstheme="minorHAnsi"/>
        </w:rPr>
        <w:t xml:space="preserve">. The full study protocol is available </w:t>
      </w:r>
      <w:r w:rsidR="001A78E6">
        <w:rPr>
          <w:rFonts w:cstheme="minorHAnsi"/>
        </w:rPr>
        <w:t>in the on-line appendix (pp</w:t>
      </w:r>
      <w:r w:rsidR="006E4C31">
        <w:rPr>
          <w:rFonts w:cstheme="minorHAnsi"/>
        </w:rPr>
        <w:t>15</w:t>
      </w:r>
      <w:r w:rsidR="001A78E6">
        <w:rPr>
          <w:rFonts w:cstheme="minorHAnsi"/>
        </w:rPr>
        <w:t>-</w:t>
      </w:r>
      <w:r w:rsidR="006E4C31">
        <w:rPr>
          <w:rFonts w:cstheme="minorHAnsi"/>
        </w:rPr>
        <w:t>90</w:t>
      </w:r>
      <w:r w:rsidR="00EF200B">
        <w:rPr>
          <w:rFonts w:cstheme="minorHAnsi"/>
        </w:rPr>
        <w:t>).</w:t>
      </w:r>
      <w:r w:rsidR="003B10B8">
        <w:rPr>
          <w:b/>
          <w:bCs/>
        </w:rPr>
        <w:t xml:space="preserve">   </w:t>
      </w:r>
      <w:r w:rsidR="00B32483" w:rsidRPr="00692206">
        <w:t xml:space="preserve">Patients </w:t>
      </w:r>
      <w:r w:rsidR="00B32483">
        <w:t xml:space="preserve">were eligible if they had </w:t>
      </w:r>
      <w:r w:rsidR="00B32483" w:rsidRPr="00692206">
        <w:rPr>
          <w:i/>
          <w:iCs/>
        </w:rPr>
        <w:t>de novo</w:t>
      </w:r>
      <w:r w:rsidR="00B32483" w:rsidRPr="00692206">
        <w:t xml:space="preserve"> DLBCL </w:t>
      </w:r>
      <w:r w:rsidR="00D623A8">
        <w:t xml:space="preserve">confirmed by an expert haematopathologist </w:t>
      </w:r>
      <w:r w:rsidR="00B32483" w:rsidRPr="00692206">
        <w:rPr>
          <w:spacing w:val="1"/>
        </w:rPr>
        <w:t>with sufficient diagnostic material for gene expression profiling</w:t>
      </w:r>
      <w:r w:rsidR="00B32483" w:rsidRPr="00692206">
        <w:t xml:space="preserve"> </w:t>
      </w:r>
      <w:r w:rsidR="00B32483" w:rsidRPr="00692206">
        <w:rPr>
          <w:spacing w:val="1"/>
        </w:rPr>
        <w:t xml:space="preserve">and central pathology review; age 18 years or older; Eastern Cooperative Oncology Group (ECOG) performance status of 2 or less; bulky </w:t>
      </w:r>
      <w:r w:rsidR="00B32483" w:rsidRPr="00692206">
        <w:rPr>
          <w:rFonts w:cs="Calibri"/>
          <w:spacing w:val="-1"/>
        </w:rPr>
        <w:t>s</w:t>
      </w:r>
      <w:r w:rsidR="00B32483" w:rsidRPr="00692206">
        <w:rPr>
          <w:rFonts w:cs="Calibri"/>
        </w:rPr>
        <w:t>ta</w:t>
      </w:r>
      <w:r w:rsidR="00B32483" w:rsidRPr="00692206">
        <w:rPr>
          <w:rFonts w:cs="Calibri"/>
          <w:spacing w:val="-1"/>
        </w:rPr>
        <w:t>g</w:t>
      </w:r>
      <w:r w:rsidR="00B32483" w:rsidRPr="00692206">
        <w:rPr>
          <w:rFonts w:cs="Calibri"/>
        </w:rPr>
        <w:t>e</w:t>
      </w:r>
      <w:r w:rsidR="00B32483" w:rsidRPr="00692206">
        <w:rPr>
          <w:rFonts w:cs="Calibri"/>
          <w:spacing w:val="1"/>
        </w:rPr>
        <w:t xml:space="preserve"> I or stage II to </w:t>
      </w:r>
      <w:r w:rsidR="00B32483" w:rsidRPr="00692206">
        <w:rPr>
          <w:rFonts w:cs="Calibri"/>
          <w:spacing w:val="-3"/>
        </w:rPr>
        <w:t>I</w:t>
      </w:r>
      <w:r w:rsidR="00B32483" w:rsidRPr="00692206">
        <w:rPr>
          <w:rFonts w:cs="Calibri"/>
        </w:rPr>
        <w:t xml:space="preserve">V </w:t>
      </w:r>
      <w:r w:rsidR="00B32483" w:rsidRPr="00692206">
        <w:rPr>
          <w:rFonts w:cs="Calibri"/>
          <w:spacing w:val="-3"/>
        </w:rPr>
        <w:t>r</w:t>
      </w:r>
      <w:r w:rsidR="00B32483" w:rsidRPr="00692206">
        <w:rPr>
          <w:rFonts w:cs="Calibri"/>
          <w:spacing w:val="1"/>
        </w:rPr>
        <w:t>e</w:t>
      </w:r>
      <w:r w:rsidR="00B32483" w:rsidRPr="00692206">
        <w:rPr>
          <w:rFonts w:cs="Calibri"/>
          <w:spacing w:val="-1"/>
        </w:rPr>
        <w:t>qu</w:t>
      </w:r>
      <w:r w:rsidR="00B32483" w:rsidRPr="00692206">
        <w:rPr>
          <w:rFonts w:cs="Calibri"/>
        </w:rPr>
        <w:t>iri</w:t>
      </w:r>
      <w:r w:rsidR="00B32483" w:rsidRPr="00692206">
        <w:rPr>
          <w:rFonts w:cs="Calibri"/>
          <w:spacing w:val="-1"/>
        </w:rPr>
        <w:t>n</w:t>
      </w:r>
      <w:r w:rsidR="00B32483" w:rsidRPr="00692206">
        <w:rPr>
          <w:rFonts w:cs="Calibri"/>
        </w:rPr>
        <w:t>g f</w:t>
      </w:r>
      <w:r w:rsidR="00B32483" w:rsidRPr="00692206">
        <w:rPr>
          <w:rFonts w:cs="Calibri"/>
          <w:spacing w:val="-1"/>
        </w:rPr>
        <w:t>u</w:t>
      </w:r>
      <w:r w:rsidR="00B32483" w:rsidRPr="00692206">
        <w:rPr>
          <w:rFonts w:cs="Calibri"/>
        </w:rPr>
        <w:t>ll c</w:t>
      </w:r>
      <w:r w:rsidR="00B32483" w:rsidRPr="00692206">
        <w:rPr>
          <w:rFonts w:cs="Calibri"/>
          <w:spacing w:val="1"/>
        </w:rPr>
        <w:t>o</w:t>
      </w:r>
      <w:r w:rsidR="00B32483" w:rsidRPr="00692206">
        <w:rPr>
          <w:rFonts w:cs="Calibri"/>
          <w:spacing w:val="-1"/>
        </w:rPr>
        <w:t>u</w:t>
      </w:r>
      <w:r w:rsidR="00B32483" w:rsidRPr="00692206">
        <w:rPr>
          <w:rFonts w:cs="Calibri"/>
        </w:rPr>
        <w:t>r</w:t>
      </w:r>
      <w:r w:rsidR="00B32483" w:rsidRPr="00692206">
        <w:rPr>
          <w:rFonts w:cs="Calibri"/>
          <w:spacing w:val="-2"/>
        </w:rPr>
        <w:t>s</w:t>
      </w:r>
      <w:r w:rsidR="00B32483" w:rsidRPr="00692206">
        <w:rPr>
          <w:rFonts w:cs="Calibri"/>
        </w:rPr>
        <w:t>e c</w:t>
      </w:r>
      <w:r w:rsidR="00B32483" w:rsidRPr="00692206">
        <w:rPr>
          <w:rFonts w:cs="Calibri"/>
          <w:spacing w:val="-1"/>
        </w:rPr>
        <w:t>h</w:t>
      </w:r>
      <w:r w:rsidR="00B32483" w:rsidRPr="00692206">
        <w:rPr>
          <w:rFonts w:cs="Calibri"/>
          <w:spacing w:val="-2"/>
        </w:rPr>
        <w:t>e</w:t>
      </w:r>
      <w:r w:rsidR="00B32483" w:rsidRPr="00692206">
        <w:rPr>
          <w:rFonts w:cs="Calibri"/>
          <w:spacing w:val="-1"/>
        </w:rPr>
        <w:t>m</w:t>
      </w:r>
      <w:r w:rsidR="00B32483" w:rsidRPr="00692206">
        <w:rPr>
          <w:rFonts w:cs="Calibri"/>
          <w:spacing w:val="1"/>
        </w:rPr>
        <w:t>o</w:t>
      </w:r>
      <w:r w:rsidR="00B32483" w:rsidRPr="00692206">
        <w:rPr>
          <w:rFonts w:cs="Calibri"/>
        </w:rPr>
        <w:t>t</w:t>
      </w:r>
      <w:r w:rsidR="00B32483" w:rsidRPr="00692206">
        <w:rPr>
          <w:rFonts w:cs="Calibri"/>
          <w:spacing w:val="-1"/>
        </w:rPr>
        <w:t>h</w:t>
      </w:r>
      <w:r w:rsidR="00B32483" w:rsidRPr="00692206">
        <w:rPr>
          <w:rFonts w:cs="Calibri"/>
          <w:spacing w:val="1"/>
        </w:rPr>
        <w:t>e</w:t>
      </w:r>
      <w:r w:rsidR="00B32483" w:rsidRPr="00692206">
        <w:rPr>
          <w:rFonts w:cs="Calibri"/>
        </w:rPr>
        <w:t>ra</w:t>
      </w:r>
      <w:r w:rsidR="00B32483" w:rsidRPr="00692206">
        <w:rPr>
          <w:rFonts w:cs="Calibri"/>
          <w:spacing w:val="-3"/>
        </w:rPr>
        <w:t>p</w:t>
      </w:r>
      <w:r w:rsidR="00B32483" w:rsidRPr="00692206">
        <w:rPr>
          <w:rFonts w:cs="Calibri"/>
        </w:rPr>
        <w:t>y; measurable disease, and car</w:t>
      </w:r>
      <w:r w:rsidR="00B32483" w:rsidRPr="00692206">
        <w:rPr>
          <w:rFonts w:cs="Calibri"/>
          <w:spacing w:val="-1"/>
        </w:rPr>
        <w:t>d</w:t>
      </w:r>
      <w:r w:rsidR="00B32483" w:rsidRPr="00692206">
        <w:rPr>
          <w:rFonts w:cs="Calibri"/>
        </w:rPr>
        <w:t>iac, lung, renal and liver</w:t>
      </w:r>
      <w:r w:rsidR="00B32483" w:rsidRPr="00692206">
        <w:rPr>
          <w:rFonts w:cs="Calibri"/>
          <w:spacing w:val="8"/>
        </w:rPr>
        <w:t xml:space="preserve"> </w:t>
      </w:r>
      <w:r w:rsidR="00B32483" w:rsidRPr="00692206">
        <w:rPr>
          <w:rFonts w:cs="Calibri"/>
        </w:rPr>
        <w:t>f</w:t>
      </w:r>
      <w:r w:rsidR="00B32483" w:rsidRPr="00692206">
        <w:rPr>
          <w:rFonts w:cs="Calibri"/>
          <w:spacing w:val="-1"/>
        </w:rPr>
        <w:t>un</w:t>
      </w:r>
      <w:r w:rsidR="00B32483" w:rsidRPr="00692206">
        <w:rPr>
          <w:rFonts w:cs="Calibri"/>
        </w:rPr>
        <w:t>cti</w:t>
      </w:r>
      <w:r w:rsidR="00B32483" w:rsidRPr="00692206">
        <w:rPr>
          <w:rFonts w:cs="Calibri"/>
          <w:spacing w:val="1"/>
        </w:rPr>
        <w:t>o</w:t>
      </w:r>
      <w:r w:rsidR="00B32483" w:rsidRPr="00692206">
        <w:rPr>
          <w:rFonts w:cs="Calibri"/>
        </w:rPr>
        <w:t>n</w:t>
      </w:r>
      <w:r w:rsidR="00B32483" w:rsidRPr="00692206">
        <w:rPr>
          <w:rFonts w:cs="Calibri"/>
          <w:spacing w:val="7"/>
        </w:rPr>
        <w:t xml:space="preserve"> </w:t>
      </w:r>
      <w:r w:rsidR="00B32483" w:rsidRPr="00692206">
        <w:rPr>
          <w:rFonts w:cs="Calibri"/>
        </w:rPr>
        <w:t>s</w:t>
      </w:r>
      <w:r w:rsidR="00B32483" w:rsidRPr="00692206">
        <w:rPr>
          <w:rFonts w:cs="Calibri"/>
          <w:spacing w:val="-1"/>
        </w:rPr>
        <w:t>u</w:t>
      </w:r>
      <w:r w:rsidR="00B32483" w:rsidRPr="00692206">
        <w:rPr>
          <w:rFonts w:cs="Calibri"/>
        </w:rPr>
        <w:t>fficie</w:t>
      </w:r>
      <w:r w:rsidR="00B32483" w:rsidRPr="00692206">
        <w:rPr>
          <w:rFonts w:cs="Calibri"/>
          <w:spacing w:val="-1"/>
        </w:rPr>
        <w:t>n</w:t>
      </w:r>
      <w:r w:rsidR="00B32483" w:rsidRPr="00692206">
        <w:rPr>
          <w:rFonts w:cs="Calibri"/>
        </w:rPr>
        <w:t>t</w:t>
      </w:r>
      <w:r w:rsidR="00B32483" w:rsidRPr="00692206">
        <w:rPr>
          <w:rFonts w:cs="Calibri"/>
          <w:spacing w:val="8"/>
        </w:rPr>
        <w:t xml:space="preserve"> </w:t>
      </w:r>
      <w:r w:rsidR="00B32483" w:rsidRPr="00692206">
        <w:rPr>
          <w:rFonts w:cs="Calibri"/>
        </w:rPr>
        <w:t>to</w:t>
      </w:r>
      <w:r w:rsidR="00B32483" w:rsidRPr="00692206">
        <w:rPr>
          <w:rFonts w:cs="Calibri"/>
          <w:spacing w:val="9"/>
        </w:rPr>
        <w:t xml:space="preserve"> </w:t>
      </w:r>
      <w:r w:rsidR="00B32483" w:rsidRPr="00692206">
        <w:rPr>
          <w:rFonts w:cs="Calibri"/>
        </w:rPr>
        <w:t>t</w:t>
      </w:r>
      <w:r w:rsidR="00B32483" w:rsidRPr="00692206">
        <w:rPr>
          <w:rFonts w:cs="Calibri"/>
          <w:spacing w:val="1"/>
        </w:rPr>
        <w:t>o</w:t>
      </w:r>
      <w:r w:rsidR="00B32483" w:rsidRPr="00692206">
        <w:rPr>
          <w:rFonts w:cs="Calibri"/>
          <w:spacing w:val="-3"/>
        </w:rPr>
        <w:t>l</w:t>
      </w:r>
      <w:r w:rsidR="00B32483" w:rsidRPr="00692206">
        <w:rPr>
          <w:rFonts w:cs="Calibri"/>
          <w:spacing w:val="1"/>
        </w:rPr>
        <w:t>e</w:t>
      </w:r>
      <w:r w:rsidR="00B32483" w:rsidRPr="00692206">
        <w:rPr>
          <w:rFonts w:cs="Calibri"/>
        </w:rPr>
        <w:t>ra</w:t>
      </w:r>
      <w:r w:rsidR="00B32483" w:rsidRPr="00692206">
        <w:rPr>
          <w:rFonts w:cs="Calibri"/>
          <w:spacing w:val="-2"/>
        </w:rPr>
        <w:t>t</w:t>
      </w:r>
      <w:r w:rsidR="00B32483" w:rsidRPr="00692206">
        <w:rPr>
          <w:rFonts w:cs="Calibri"/>
        </w:rPr>
        <w:t>e</w:t>
      </w:r>
      <w:r w:rsidR="00B32483" w:rsidRPr="00692206">
        <w:rPr>
          <w:rFonts w:cs="Calibri"/>
          <w:spacing w:val="8"/>
        </w:rPr>
        <w:t xml:space="preserve"> chemotherapy.  Patients with </w:t>
      </w:r>
      <w:r w:rsidR="00B32483" w:rsidRPr="00692206">
        <w:rPr>
          <w:spacing w:val="1"/>
        </w:rPr>
        <w:t>a</w:t>
      </w:r>
      <w:r w:rsidR="00B32483" w:rsidRPr="00692206">
        <w:t xml:space="preserve"> </w:t>
      </w:r>
      <w:r w:rsidR="00B32483" w:rsidRPr="00692206">
        <w:rPr>
          <w:spacing w:val="1"/>
        </w:rPr>
        <w:t>p</w:t>
      </w:r>
      <w:r w:rsidR="00B32483" w:rsidRPr="00692206">
        <w:t>r</w:t>
      </w:r>
      <w:r w:rsidR="00B32483" w:rsidRPr="00692206">
        <w:rPr>
          <w:spacing w:val="-2"/>
        </w:rPr>
        <w:t>e</w:t>
      </w:r>
      <w:r w:rsidR="00B32483" w:rsidRPr="00692206">
        <w:rPr>
          <w:spacing w:val="1"/>
        </w:rPr>
        <w:t>v</w:t>
      </w:r>
      <w:r w:rsidR="00B32483" w:rsidRPr="00692206">
        <w:t>i</w:t>
      </w:r>
      <w:r w:rsidR="00B32483" w:rsidRPr="00692206">
        <w:rPr>
          <w:spacing w:val="1"/>
        </w:rPr>
        <w:t>o</w:t>
      </w:r>
      <w:r w:rsidR="00B32483" w:rsidRPr="00692206">
        <w:rPr>
          <w:spacing w:val="-1"/>
        </w:rPr>
        <w:t>u</w:t>
      </w:r>
      <w:r w:rsidR="00B32483" w:rsidRPr="00692206">
        <w:t xml:space="preserve">s </w:t>
      </w:r>
      <w:r w:rsidR="00B32483" w:rsidRPr="00692206">
        <w:rPr>
          <w:spacing w:val="-1"/>
        </w:rPr>
        <w:t>h</w:t>
      </w:r>
      <w:r w:rsidR="00B32483" w:rsidRPr="00692206">
        <w:t>is</w:t>
      </w:r>
      <w:r w:rsidR="00B32483" w:rsidRPr="00692206">
        <w:rPr>
          <w:spacing w:val="-2"/>
        </w:rPr>
        <w:t>t</w:t>
      </w:r>
      <w:r w:rsidR="00B32483" w:rsidRPr="00692206">
        <w:rPr>
          <w:spacing w:val="1"/>
        </w:rPr>
        <w:t>o</w:t>
      </w:r>
      <w:r w:rsidR="00B32483" w:rsidRPr="00692206">
        <w:rPr>
          <w:spacing w:val="-3"/>
        </w:rPr>
        <w:t>r</w:t>
      </w:r>
      <w:r w:rsidR="00B32483" w:rsidRPr="00692206">
        <w:t xml:space="preserve">y </w:t>
      </w:r>
      <w:r w:rsidR="00B32483" w:rsidRPr="00692206">
        <w:rPr>
          <w:spacing w:val="1"/>
        </w:rPr>
        <w:t>o</w:t>
      </w:r>
      <w:r w:rsidR="00B32483" w:rsidRPr="00692206">
        <w:t xml:space="preserve">f </w:t>
      </w:r>
      <w:r w:rsidR="00B32483" w:rsidRPr="00692206">
        <w:rPr>
          <w:rFonts w:cs="Calibri"/>
        </w:rPr>
        <w:t>i</w:t>
      </w:r>
      <w:r w:rsidR="00B32483" w:rsidRPr="00692206">
        <w:rPr>
          <w:rFonts w:cs="Calibri"/>
          <w:spacing w:val="-1"/>
        </w:rPr>
        <w:t>nd</w:t>
      </w:r>
      <w:r w:rsidR="00B32483" w:rsidRPr="00692206">
        <w:rPr>
          <w:rFonts w:cs="Calibri"/>
          <w:spacing w:val="1"/>
        </w:rPr>
        <w:t>o</w:t>
      </w:r>
      <w:r w:rsidR="00B32483" w:rsidRPr="00692206">
        <w:rPr>
          <w:rFonts w:cs="Calibri"/>
        </w:rPr>
        <w:t>le</w:t>
      </w:r>
      <w:r w:rsidR="00B32483" w:rsidRPr="00692206">
        <w:rPr>
          <w:rFonts w:cs="Calibri"/>
          <w:spacing w:val="-3"/>
        </w:rPr>
        <w:t>n</w:t>
      </w:r>
      <w:r w:rsidR="00B32483" w:rsidRPr="00692206">
        <w:rPr>
          <w:rFonts w:cs="Calibri"/>
        </w:rPr>
        <w:t>t l</w:t>
      </w:r>
      <w:r w:rsidR="00B32483" w:rsidRPr="00692206">
        <w:rPr>
          <w:rFonts w:cs="Calibri"/>
          <w:spacing w:val="1"/>
        </w:rPr>
        <w:t>ym</w:t>
      </w:r>
      <w:r w:rsidR="00B32483" w:rsidRPr="00692206">
        <w:rPr>
          <w:rFonts w:cs="Calibri"/>
          <w:spacing w:val="-1"/>
        </w:rPr>
        <w:t>p</w:t>
      </w:r>
      <w:r w:rsidR="00B32483" w:rsidRPr="00692206">
        <w:rPr>
          <w:rFonts w:cs="Calibri"/>
          <w:spacing w:val="-3"/>
        </w:rPr>
        <w:t>h</w:t>
      </w:r>
      <w:r w:rsidR="00B32483" w:rsidRPr="00692206">
        <w:rPr>
          <w:rFonts w:cs="Calibri"/>
          <w:spacing w:val="1"/>
        </w:rPr>
        <w:t>om</w:t>
      </w:r>
      <w:r w:rsidR="00B32483" w:rsidRPr="00692206">
        <w:rPr>
          <w:rFonts w:cs="Calibri"/>
          <w:spacing w:val="-3"/>
        </w:rPr>
        <w:t>a</w:t>
      </w:r>
      <w:r w:rsidR="00B32483" w:rsidRPr="00692206">
        <w:rPr>
          <w:rFonts w:cs="Calibri"/>
        </w:rPr>
        <w:t xml:space="preserve">  were excluded, but</w:t>
      </w:r>
      <w:r w:rsidR="00B32483" w:rsidRPr="00692206">
        <w:t xml:space="preserve"> patients with previously undiagnosed concurrent low grade infiltration in bone marrow or lymph node were eligible.  Patients with </w:t>
      </w:r>
      <w:r w:rsidR="00B32483" w:rsidRPr="00692206">
        <w:rPr>
          <w:rFonts w:cs="Calibri"/>
        </w:rPr>
        <w:t>primary mediastinal lymphoma;</w:t>
      </w:r>
      <w:r w:rsidR="00B32483" w:rsidRPr="00692206">
        <w:t xml:space="preserve"> clinical central nervous system (CNS) involvement; positive serology for HIV, hepatitis B or hepatitis C virus; active malignancy in the preceding 5 years, or other conditions precluding administration of study treatment were ineligible.</w:t>
      </w:r>
      <w:r w:rsidR="00B32483">
        <w:t xml:space="preserve"> </w:t>
      </w:r>
      <w:r w:rsidR="00B32483" w:rsidRPr="003D0020">
        <w:t>Pregnant women were also excluded.</w:t>
      </w:r>
    </w:p>
    <w:p w14:paraId="38C6CE0D" w14:textId="033636D8" w:rsidR="0097254A" w:rsidRPr="00692206" w:rsidRDefault="0097254A" w:rsidP="00324F29">
      <w:pPr>
        <w:pStyle w:val="p1"/>
        <w:spacing w:before="120" w:after="120" w:line="276" w:lineRule="auto"/>
        <w:jc w:val="both"/>
        <w:rPr>
          <w:rFonts w:asciiTheme="minorHAnsi" w:eastAsia="Calibri" w:hAnsiTheme="minorHAnsi"/>
          <w:spacing w:val="44"/>
          <w:position w:val="1"/>
          <w:sz w:val="22"/>
          <w:szCs w:val="22"/>
        </w:rPr>
      </w:pPr>
      <w:r w:rsidRPr="00692206">
        <w:rPr>
          <w:rFonts w:asciiTheme="minorHAnsi" w:eastAsia="Calibri" w:hAnsiTheme="minorHAnsi"/>
          <w:position w:val="1"/>
          <w:sz w:val="22"/>
          <w:szCs w:val="22"/>
        </w:rPr>
        <w:t xml:space="preserve">At each site the institutional review board approved the protocol. </w:t>
      </w:r>
      <w:r w:rsidR="0052322F" w:rsidRPr="00692206">
        <w:rPr>
          <w:rFonts w:asciiTheme="minorHAnsi" w:eastAsia="Calibri" w:hAnsiTheme="minorHAnsi"/>
          <w:position w:val="1"/>
          <w:sz w:val="22"/>
          <w:szCs w:val="22"/>
        </w:rPr>
        <w:t xml:space="preserve">Independent trial oversight was maintained by a </w:t>
      </w:r>
      <w:r w:rsidR="0052322F" w:rsidRPr="00692206">
        <w:rPr>
          <w:rFonts w:asciiTheme="minorHAnsi" w:eastAsia="Calibri" w:hAnsiTheme="minorHAnsi"/>
          <w:sz w:val="22"/>
          <w:szCs w:val="22"/>
        </w:rPr>
        <w:t>trial</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pacing w:val="-1"/>
          <w:sz w:val="22"/>
          <w:szCs w:val="22"/>
        </w:rPr>
        <w:t>s</w:t>
      </w:r>
      <w:r w:rsidR="0052322F" w:rsidRPr="00692206">
        <w:rPr>
          <w:rFonts w:asciiTheme="minorHAnsi" w:eastAsia="Calibri" w:hAnsiTheme="minorHAnsi"/>
          <w:sz w:val="22"/>
          <w:szCs w:val="22"/>
        </w:rPr>
        <w:t>t</w:t>
      </w:r>
      <w:r w:rsidR="0052322F" w:rsidRPr="00692206">
        <w:rPr>
          <w:rFonts w:asciiTheme="minorHAnsi" w:eastAsia="Calibri" w:hAnsiTheme="minorHAnsi"/>
          <w:spacing w:val="1"/>
          <w:sz w:val="22"/>
          <w:szCs w:val="22"/>
        </w:rPr>
        <w:t>ee</w:t>
      </w:r>
      <w:r w:rsidR="0052322F" w:rsidRPr="00692206">
        <w:rPr>
          <w:rFonts w:asciiTheme="minorHAnsi" w:eastAsia="Calibri" w:hAnsiTheme="minorHAnsi"/>
          <w:sz w:val="22"/>
          <w:szCs w:val="22"/>
        </w:rPr>
        <w:t>ri</w:t>
      </w:r>
      <w:r w:rsidR="0052322F" w:rsidRPr="00692206">
        <w:rPr>
          <w:rFonts w:asciiTheme="minorHAnsi" w:eastAsia="Calibri" w:hAnsiTheme="minorHAnsi"/>
          <w:spacing w:val="-1"/>
          <w:sz w:val="22"/>
          <w:szCs w:val="22"/>
        </w:rPr>
        <w:t>n</w:t>
      </w:r>
      <w:r w:rsidR="0052322F" w:rsidRPr="00692206">
        <w:rPr>
          <w:rFonts w:asciiTheme="minorHAnsi" w:eastAsia="Calibri" w:hAnsiTheme="minorHAnsi"/>
          <w:sz w:val="22"/>
          <w:szCs w:val="22"/>
        </w:rPr>
        <w:t>g c</w:t>
      </w:r>
      <w:r w:rsidR="0052322F" w:rsidRPr="00692206">
        <w:rPr>
          <w:rFonts w:asciiTheme="minorHAnsi" w:eastAsia="Calibri" w:hAnsiTheme="minorHAnsi"/>
          <w:spacing w:val="-1"/>
          <w:sz w:val="22"/>
          <w:szCs w:val="22"/>
        </w:rPr>
        <w:t>o</w:t>
      </w:r>
      <w:r w:rsidR="0052322F" w:rsidRPr="00692206">
        <w:rPr>
          <w:rFonts w:asciiTheme="minorHAnsi" w:eastAsia="Calibri" w:hAnsiTheme="minorHAnsi"/>
          <w:spacing w:val="1"/>
          <w:sz w:val="22"/>
          <w:szCs w:val="22"/>
        </w:rPr>
        <w:t>mm</w:t>
      </w:r>
      <w:r w:rsidR="0052322F" w:rsidRPr="00692206">
        <w:rPr>
          <w:rFonts w:asciiTheme="minorHAnsi" w:eastAsia="Calibri" w:hAnsiTheme="minorHAnsi"/>
          <w:spacing w:val="-3"/>
          <w:sz w:val="22"/>
          <w:szCs w:val="22"/>
        </w:rPr>
        <w:t>i</w:t>
      </w:r>
      <w:r w:rsidR="0052322F" w:rsidRPr="00692206">
        <w:rPr>
          <w:rFonts w:asciiTheme="minorHAnsi" w:eastAsia="Calibri" w:hAnsiTheme="minorHAnsi"/>
          <w:sz w:val="22"/>
          <w:szCs w:val="22"/>
        </w:rPr>
        <w:t>tt</w:t>
      </w:r>
      <w:r w:rsidR="0052322F" w:rsidRPr="00692206">
        <w:rPr>
          <w:rFonts w:asciiTheme="minorHAnsi" w:eastAsia="Calibri" w:hAnsiTheme="minorHAnsi"/>
          <w:spacing w:val="-2"/>
          <w:sz w:val="22"/>
          <w:szCs w:val="22"/>
        </w:rPr>
        <w:t>e</w:t>
      </w:r>
      <w:r w:rsidR="0052322F" w:rsidRPr="00692206">
        <w:rPr>
          <w:rFonts w:asciiTheme="minorHAnsi" w:eastAsia="Calibri" w:hAnsiTheme="minorHAnsi"/>
          <w:sz w:val="22"/>
          <w:szCs w:val="22"/>
        </w:rPr>
        <w:t>e</w:t>
      </w:r>
      <w:r w:rsidR="0052322F" w:rsidRPr="00692206">
        <w:rPr>
          <w:rFonts w:asciiTheme="minorHAnsi" w:eastAsia="Calibri" w:hAnsiTheme="minorHAnsi"/>
          <w:spacing w:val="3"/>
          <w:sz w:val="22"/>
          <w:szCs w:val="22"/>
        </w:rPr>
        <w:t xml:space="preserve"> </w:t>
      </w:r>
      <w:r w:rsidR="0052322F" w:rsidRPr="00692206">
        <w:rPr>
          <w:rFonts w:asciiTheme="minorHAnsi" w:eastAsia="Calibri" w:hAnsiTheme="minorHAnsi"/>
          <w:sz w:val="22"/>
          <w:szCs w:val="22"/>
        </w:rPr>
        <w:t>(T</w:t>
      </w:r>
      <w:r w:rsidR="0052322F" w:rsidRPr="00692206">
        <w:rPr>
          <w:rFonts w:asciiTheme="minorHAnsi" w:eastAsia="Calibri" w:hAnsiTheme="minorHAnsi"/>
          <w:spacing w:val="-1"/>
          <w:sz w:val="22"/>
          <w:szCs w:val="22"/>
        </w:rPr>
        <w:t>S</w:t>
      </w:r>
      <w:r w:rsidR="0052322F" w:rsidRPr="00692206">
        <w:rPr>
          <w:rFonts w:asciiTheme="minorHAnsi" w:eastAsia="Calibri" w:hAnsiTheme="minorHAnsi"/>
          <w:sz w:val="22"/>
          <w:szCs w:val="22"/>
        </w:rPr>
        <w:t>C)</w:t>
      </w:r>
      <w:r w:rsidR="0052322F" w:rsidRPr="00692206">
        <w:rPr>
          <w:rFonts w:asciiTheme="minorHAnsi" w:eastAsia="Calibri" w:hAnsiTheme="minorHAnsi"/>
          <w:spacing w:val="3"/>
          <w:sz w:val="22"/>
          <w:szCs w:val="22"/>
        </w:rPr>
        <w:t xml:space="preserve"> </w:t>
      </w:r>
      <w:r w:rsidR="0052322F" w:rsidRPr="00692206">
        <w:rPr>
          <w:rFonts w:asciiTheme="minorHAnsi" w:eastAsia="Calibri" w:hAnsiTheme="minorHAnsi"/>
          <w:sz w:val="22"/>
          <w:szCs w:val="22"/>
        </w:rPr>
        <w:t>a</w:t>
      </w:r>
      <w:r w:rsidR="0052322F" w:rsidRPr="00692206">
        <w:rPr>
          <w:rFonts w:asciiTheme="minorHAnsi" w:eastAsia="Calibri" w:hAnsiTheme="minorHAnsi"/>
          <w:spacing w:val="-1"/>
          <w:sz w:val="22"/>
          <w:szCs w:val="22"/>
        </w:rPr>
        <w:t>n</w:t>
      </w:r>
      <w:r w:rsidR="0052322F" w:rsidRPr="00692206">
        <w:rPr>
          <w:rFonts w:asciiTheme="minorHAnsi" w:eastAsia="Calibri" w:hAnsiTheme="minorHAnsi"/>
          <w:sz w:val="22"/>
          <w:szCs w:val="22"/>
        </w:rPr>
        <w:t>d</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z w:val="22"/>
          <w:szCs w:val="22"/>
        </w:rPr>
        <w:t>t</w:t>
      </w:r>
      <w:r w:rsidR="0052322F" w:rsidRPr="00692206">
        <w:rPr>
          <w:rFonts w:asciiTheme="minorHAnsi" w:eastAsia="Calibri" w:hAnsiTheme="minorHAnsi"/>
          <w:spacing w:val="-1"/>
          <w:sz w:val="22"/>
          <w:szCs w:val="22"/>
        </w:rPr>
        <w:t>h</w:t>
      </w:r>
      <w:r w:rsidR="0052322F" w:rsidRPr="00692206">
        <w:rPr>
          <w:rFonts w:asciiTheme="minorHAnsi" w:eastAsia="Calibri" w:hAnsiTheme="minorHAnsi"/>
          <w:sz w:val="22"/>
          <w:szCs w:val="22"/>
        </w:rPr>
        <w:t>e</w:t>
      </w:r>
      <w:r w:rsidR="0052322F" w:rsidRPr="00692206">
        <w:rPr>
          <w:rFonts w:asciiTheme="minorHAnsi" w:eastAsia="Calibri" w:hAnsiTheme="minorHAnsi"/>
          <w:spacing w:val="1"/>
          <w:sz w:val="22"/>
          <w:szCs w:val="22"/>
        </w:rPr>
        <w:t xml:space="preserve"> d</w:t>
      </w:r>
      <w:r w:rsidR="0052322F" w:rsidRPr="00692206">
        <w:rPr>
          <w:rFonts w:asciiTheme="minorHAnsi" w:eastAsia="Calibri" w:hAnsiTheme="minorHAnsi"/>
          <w:sz w:val="22"/>
          <w:szCs w:val="22"/>
        </w:rPr>
        <w:t>ata</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pacing w:val="-2"/>
          <w:sz w:val="22"/>
          <w:szCs w:val="22"/>
        </w:rPr>
        <w:t>m</w:t>
      </w:r>
      <w:r w:rsidR="0052322F" w:rsidRPr="00692206">
        <w:rPr>
          <w:rFonts w:asciiTheme="minorHAnsi" w:eastAsia="Calibri" w:hAnsiTheme="minorHAnsi"/>
          <w:spacing w:val="1"/>
          <w:sz w:val="22"/>
          <w:szCs w:val="22"/>
        </w:rPr>
        <w:t>o</w:t>
      </w:r>
      <w:r w:rsidR="0052322F" w:rsidRPr="00692206">
        <w:rPr>
          <w:rFonts w:asciiTheme="minorHAnsi" w:eastAsia="Calibri" w:hAnsiTheme="minorHAnsi"/>
          <w:spacing w:val="-1"/>
          <w:sz w:val="22"/>
          <w:szCs w:val="22"/>
        </w:rPr>
        <w:t>n</w:t>
      </w:r>
      <w:r w:rsidR="0052322F" w:rsidRPr="00692206">
        <w:rPr>
          <w:rFonts w:asciiTheme="minorHAnsi" w:eastAsia="Calibri" w:hAnsiTheme="minorHAnsi"/>
          <w:sz w:val="22"/>
          <w:szCs w:val="22"/>
        </w:rPr>
        <w:t>i</w:t>
      </w:r>
      <w:r w:rsidR="0052322F" w:rsidRPr="00692206">
        <w:rPr>
          <w:rFonts w:asciiTheme="minorHAnsi" w:eastAsia="Calibri" w:hAnsiTheme="minorHAnsi"/>
          <w:spacing w:val="-2"/>
          <w:sz w:val="22"/>
          <w:szCs w:val="22"/>
        </w:rPr>
        <w:t>t</w:t>
      </w:r>
      <w:r w:rsidR="0052322F" w:rsidRPr="00692206">
        <w:rPr>
          <w:rFonts w:asciiTheme="minorHAnsi" w:eastAsia="Calibri" w:hAnsiTheme="minorHAnsi"/>
          <w:spacing w:val="1"/>
          <w:sz w:val="22"/>
          <w:szCs w:val="22"/>
        </w:rPr>
        <w:t>o</w:t>
      </w:r>
      <w:r w:rsidR="0052322F" w:rsidRPr="00692206">
        <w:rPr>
          <w:rFonts w:asciiTheme="minorHAnsi" w:eastAsia="Calibri" w:hAnsiTheme="minorHAnsi"/>
          <w:sz w:val="22"/>
          <w:szCs w:val="22"/>
        </w:rPr>
        <w:t>ri</w:t>
      </w:r>
      <w:r w:rsidR="0052322F" w:rsidRPr="00692206">
        <w:rPr>
          <w:rFonts w:asciiTheme="minorHAnsi" w:eastAsia="Calibri" w:hAnsiTheme="minorHAnsi"/>
          <w:spacing w:val="-1"/>
          <w:sz w:val="22"/>
          <w:szCs w:val="22"/>
        </w:rPr>
        <w:t>n</w:t>
      </w:r>
      <w:r w:rsidR="0052322F" w:rsidRPr="00692206">
        <w:rPr>
          <w:rFonts w:asciiTheme="minorHAnsi" w:eastAsia="Calibri" w:hAnsiTheme="minorHAnsi"/>
          <w:sz w:val="22"/>
          <w:szCs w:val="22"/>
        </w:rPr>
        <w:t>g</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z w:val="22"/>
          <w:szCs w:val="22"/>
        </w:rPr>
        <w:t>a</w:t>
      </w:r>
      <w:r w:rsidR="0052322F" w:rsidRPr="00692206">
        <w:rPr>
          <w:rFonts w:asciiTheme="minorHAnsi" w:eastAsia="Calibri" w:hAnsiTheme="minorHAnsi"/>
          <w:spacing w:val="-1"/>
          <w:sz w:val="22"/>
          <w:szCs w:val="22"/>
        </w:rPr>
        <w:t>n</w:t>
      </w:r>
      <w:r w:rsidR="0052322F" w:rsidRPr="00692206">
        <w:rPr>
          <w:rFonts w:asciiTheme="minorHAnsi" w:eastAsia="Calibri" w:hAnsiTheme="minorHAnsi"/>
          <w:sz w:val="22"/>
          <w:szCs w:val="22"/>
        </w:rPr>
        <w:t>d</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z w:val="22"/>
          <w:szCs w:val="22"/>
        </w:rPr>
        <w:t>et</w:t>
      </w:r>
      <w:r w:rsidR="0052322F" w:rsidRPr="00692206">
        <w:rPr>
          <w:rFonts w:asciiTheme="minorHAnsi" w:eastAsia="Calibri" w:hAnsiTheme="minorHAnsi"/>
          <w:spacing w:val="-1"/>
          <w:sz w:val="22"/>
          <w:szCs w:val="22"/>
        </w:rPr>
        <w:t>h</w:t>
      </w:r>
      <w:r w:rsidR="0052322F" w:rsidRPr="00692206">
        <w:rPr>
          <w:rFonts w:asciiTheme="minorHAnsi" w:eastAsia="Calibri" w:hAnsiTheme="minorHAnsi"/>
          <w:sz w:val="22"/>
          <w:szCs w:val="22"/>
        </w:rPr>
        <w:t>ics</w:t>
      </w:r>
      <w:r w:rsidR="0052322F" w:rsidRPr="00692206">
        <w:rPr>
          <w:rFonts w:asciiTheme="minorHAnsi" w:eastAsia="Calibri" w:hAnsiTheme="minorHAnsi"/>
          <w:spacing w:val="2"/>
          <w:sz w:val="22"/>
          <w:szCs w:val="22"/>
        </w:rPr>
        <w:t xml:space="preserve"> </w:t>
      </w:r>
      <w:r w:rsidR="0052322F" w:rsidRPr="00692206">
        <w:rPr>
          <w:rFonts w:asciiTheme="minorHAnsi" w:eastAsia="Calibri" w:hAnsiTheme="minorHAnsi"/>
          <w:sz w:val="22"/>
          <w:szCs w:val="22"/>
        </w:rPr>
        <w:t>c</w:t>
      </w:r>
      <w:r w:rsidR="0052322F" w:rsidRPr="00692206">
        <w:rPr>
          <w:rFonts w:asciiTheme="minorHAnsi" w:eastAsia="Calibri" w:hAnsiTheme="minorHAnsi"/>
          <w:spacing w:val="-1"/>
          <w:sz w:val="22"/>
          <w:szCs w:val="22"/>
        </w:rPr>
        <w:t>o</w:t>
      </w:r>
      <w:r w:rsidR="0052322F" w:rsidRPr="00692206">
        <w:rPr>
          <w:rFonts w:asciiTheme="minorHAnsi" w:eastAsia="Calibri" w:hAnsiTheme="minorHAnsi"/>
          <w:spacing w:val="1"/>
          <w:sz w:val="22"/>
          <w:szCs w:val="22"/>
        </w:rPr>
        <w:t>mm</w:t>
      </w:r>
      <w:r w:rsidR="0052322F" w:rsidRPr="00692206">
        <w:rPr>
          <w:rFonts w:asciiTheme="minorHAnsi" w:eastAsia="Calibri" w:hAnsiTheme="minorHAnsi"/>
          <w:spacing w:val="-3"/>
          <w:sz w:val="22"/>
          <w:szCs w:val="22"/>
        </w:rPr>
        <w:t>i</w:t>
      </w:r>
      <w:r w:rsidR="0052322F" w:rsidRPr="00692206">
        <w:rPr>
          <w:rFonts w:asciiTheme="minorHAnsi" w:eastAsia="Calibri" w:hAnsiTheme="minorHAnsi"/>
          <w:sz w:val="22"/>
          <w:szCs w:val="22"/>
        </w:rPr>
        <w:t>tt</w:t>
      </w:r>
      <w:r w:rsidR="0052322F" w:rsidRPr="00692206">
        <w:rPr>
          <w:rFonts w:asciiTheme="minorHAnsi" w:eastAsia="Calibri" w:hAnsiTheme="minorHAnsi"/>
          <w:spacing w:val="-2"/>
          <w:sz w:val="22"/>
          <w:szCs w:val="22"/>
        </w:rPr>
        <w:t>e</w:t>
      </w:r>
      <w:r w:rsidR="0052322F" w:rsidRPr="00692206">
        <w:rPr>
          <w:rFonts w:asciiTheme="minorHAnsi" w:eastAsia="Calibri" w:hAnsiTheme="minorHAnsi"/>
          <w:sz w:val="22"/>
          <w:szCs w:val="22"/>
        </w:rPr>
        <w:t>e</w:t>
      </w:r>
      <w:r w:rsidR="0052322F" w:rsidRPr="00692206">
        <w:rPr>
          <w:rFonts w:asciiTheme="minorHAnsi" w:eastAsia="Calibri" w:hAnsiTheme="minorHAnsi"/>
          <w:spacing w:val="3"/>
          <w:sz w:val="22"/>
          <w:szCs w:val="22"/>
        </w:rPr>
        <w:t xml:space="preserve"> </w:t>
      </w:r>
      <w:r w:rsidR="0052322F" w:rsidRPr="00692206">
        <w:rPr>
          <w:rFonts w:asciiTheme="minorHAnsi" w:eastAsia="Calibri" w:hAnsiTheme="minorHAnsi"/>
          <w:sz w:val="22"/>
          <w:szCs w:val="22"/>
        </w:rPr>
        <w:t>(</w:t>
      </w:r>
      <w:r w:rsidR="0052322F" w:rsidRPr="00692206">
        <w:rPr>
          <w:rFonts w:asciiTheme="minorHAnsi" w:eastAsia="Calibri" w:hAnsiTheme="minorHAnsi"/>
          <w:spacing w:val="-1"/>
          <w:sz w:val="22"/>
          <w:szCs w:val="22"/>
        </w:rPr>
        <w:t>D</w:t>
      </w:r>
      <w:r w:rsidR="0052322F" w:rsidRPr="00692206">
        <w:rPr>
          <w:rFonts w:asciiTheme="minorHAnsi" w:eastAsia="Calibri" w:hAnsiTheme="minorHAnsi"/>
          <w:spacing w:val="1"/>
          <w:sz w:val="22"/>
          <w:szCs w:val="22"/>
        </w:rPr>
        <w:t>M</w:t>
      </w:r>
      <w:r w:rsidR="0052322F" w:rsidRPr="00692206">
        <w:rPr>
          <w:rFonts w:asciiTheme="minorHAnsi" w:eastAsia="Calibri" w:hAnsiTheme="minorHAnsi"/>
          <w:sz w:val="22"/>
          <w:szCs w:val="22"/>
        </w:rPr>
        <w:t>E</w:t>
      </w:r>
      <w:r w:rsidR="0052322F" w:rsidRPr="00692206">
        <w:rPr>
          <w:rFonts w:asciiTheme="minorHAnsi" w:eastAsia="Calibri" w:hAnsiTheme="minorHAnsi"/>
          <w:spacing w:val="-2"/>
          <w:sz w:val="22"/>
          <w:szCs w:val="22"/>
        </w:rPr>
        <w:t>C</w:t>
      </w:r>
      <w:r w:rsidR="0052322F" w:rsidRPr="00692206">
        <w:rPr>
          <w:rFonts w:asciiTheme="minorHAnsi" w:eastAsia="Calibri" w:hAnsiTheme="minorHAnsi"/>
          <w:spacing w:val="1"/>
          <w:sz w:val="22"/>
          <w:szCs w:val="22"/>
        </w:rPr>
        <w:t xml:space="preserve">). </w:t>
      </w:r>
      <w:r w:rsidR="00B32483" w:rsidRPr="00692206">
        <w:rPr>
          <w:rFonts w:asciiTheme="minorHAnsi" w:eastAsia="Calibri" w:hAnsiTheme="minorHAnsi"/>
          <w:position w:val="1"/>
          <w:sz w:val="22"/>
          <w:szCs w:val="22"/>
        </w:rPr>
        <w:t>The study was carried out according to the principles of the Declaration of Helsinki</w:t>
      </w:r>
      <w:r w:rsidR="00B32483">
        <w:rPr>
          <w:rFonts w:asciiTheme="minorHAnsi" w:eastAsia="Calibri" w:hAnsiTheme="minorHAnsi"/>
          <w:position w:val="1"/>
          <w:sz w:val="22"/>
          <w:szCs w:val="22"/>
        </w:rPr>
        <w:t>,</w:t>
      </w:r>
      <w:r w:rsidR="00B32483" w:rsidRPr="00692206">
        <w:rPr>
          <w:rFonts w:asciiTheme="minorHAnsi" w:eastAsia="Calibri" w:hAnsiTheme="minorHAnsi"/>
          <w:position w:val="1"/>
          <w:sz w:val="22"/>
          <w:szCs w:val="22"/>
        </w:rPr>
        <w:t xml:space="preserve"> Principles of </w:t>
      </w:r>
      <w:r w:rsidR="00B32483">
        <w:rPr>
          <w:rFonts w:asciiTheme="minorHAnsi" w:eastAsia="Calibri" w:hAnsiTheme="minorHAnsi"/>
          <w:position w:val="1"/>
          <w:sz w:val="22"/>
          <w:szCs w:val="22"/>
        </w:rPr>
        <w:t xml:space="preserve">the </w:t>
      </w:r>
      <w:r w:rsidR="00B32483" w:rsidRPr="00DD1466">
        <w:rPr>
          <w:rFonts w:asciiTheme="minorHAnsi" w:eastAsia="Calibri" w:hAnsiTheme="minorHAnsi"/>
          <w:position w:val="1"/>
          <w:sz w:val="22"/>
          <w:szCs w:val="22"/>
        </w:rPr>
        <w:t xml:space="preserve">International Conference on Harmonisation of Technical Requirements for Registration of Pharmaceuticals for Human Use </w:t>
      </w:r>
      <w:r w:rsidR="00B32483">
        <w:rPr>
          <w:rFonts w:asciiTheme="minorHAnsi" w:eastAsia="Calibri" w:hAnsiTheme="minorHAnsi"/>
          <w:position w:val="1"/>
          <w:sz w:val="22"/>
          <w:szCs w:val="22"/>
        </w:rPr>
        <w:t xml:space="preserve">(ICH) </w:t>
      </w:r>
      <w:r w:rsidR="00B32483" w:rsidRPr="00692206">
        <w:rPr>
          <w:rFonts w:asciiTheme="minorHAnsi" w:eastAsia="Calibri" w:hAnsiTheme="minorHAnsi"/>
          <w:position w:val="1"/>
          <w:sz w:val="22"/>
          <w:szCs w:val="22"/>
        </w:rPr>
        <w:t>Good Clinical Practice</w:t>
      </w:r>
      <w:r w:rsidR="00B32483">
        <w:rPr>
          <w:rFonts w:asciiTheme="minorHAnsi" w:eastAsia="Calibri" w:hAnsiTheme="minorHAnsi"/>
          <w:position w:val="1"/>
          <w:sz w:val="22"/>
          <w:szCs w:val="22"/>
        </w:rPr>
        <w:t xml:space="preserve"> and in accordance with UK and Swiss regulatory requirements</w:t>
      </w:r>
      <w:r w:rsidR="00B32483" w:rsidRPr="00692206">
        <w:rPr>
          <w:rFonts w:asciiTheme="minorHAnsi" w:eastAsia="Calibri" w:hAnsiTheme="minorHAnsi"/>
          <w:position w:val="1"/>
          <w:sz w:val="22"/>
          <w:szCs w:val="22"/>
        </w:rPr>
        <w:t xml:space="preserve">. </w:t>
      </w:r>
      <w:r w:rsidR="00B32483" w:rsidRPr="009072F1">
        <w:rPr>
          <w:rFonts w:asciiTheme="minorHAnsi" w:eastAsia="Calibri" w:hAnsiTheme="minorHAnsi"/>
          <w:position w:val="1"/>
          <w:sz w:val="22"/>
          <w:szCs w:val="22"/>
        </w:rPr>
        <w:t>Written informed consent was obtained from all patients</w:t>
      </w:r>
      <w:r w:rsidR="00B32483">
        <w:rPr>
          <w:rFonts w:asciiTheme="minorHAnsi" w:eastAsia="Calibri" w:hAnsiTheme="minorHAnsi"/>
          <w:position w:val="1"/>
          <w:sz w:val="22"/>
          <w:szCs w:val="22"/>
        </w:rPr>
        <w:t>.</w:t>
      </w:r>
    </w:p>
    <w:p w14:paraId="6DB02C61" w14:textId="77777777" w:rsidR="00B32483" w:rsidRDefault="00B32483" w:rsidP="0030644C">
      <w:pPr>
        <w:pStyle w:val="Default"/>
        <w:spacing w:before="120" w:after="120" w:line="276" w:lineRule="auto"/>
        <w:jc w:val="both"/>
        <w:outlineLvl w:val="0"/>
        <w:rPr>
          <w:rFonts w:eastAsia="Calibri"/>
          <w:b/>
          <w:bCs/>
          <w:sz w:val="22"/>
          <w:szCs w:val="22"/>
        </w:rPr>
      </w:pPr>
      <w:r w:rsidRPr="009072F1">
        <w:rPr>
          <w:rFonts w:eastAsia="Calibri"/>
          <w:b/>
          <w:bCs/>
          <w:sz w:val="22"/>
          <w:szCs w:val="22"/>
        </w:rPr>
        <w:t>Randomisation and masking</w:t>
      </w:r>
    </w:p>
    <w:p w14:paraId="5B574CFD" w14:textId="248053FB" w:rsidR="00B32483" w:rsidRDefault="00B32483" w:rsidP="00324F29">
      <w:pPr>
        <w:pStyle w:val="Default"/>
        <w:spacing w:before="120" w:after="120" w:line="276" w:lineRule="auto"/>
        <w:jc w:val="both"/>
        <w:rPr>
          <w:sz w:val="22"/>
          <w:szCs w:val="22"/>
        </w:rPr>
      </w:pPr>
      <w:r w:rsidRPr="003E31B8">
        <w:rPr>
          <w:rFonts w:eastAsia="Calibri"/>
          <w:bCs/>
          <w:sz w:val="22"/>
          <w:szCs w:val="22"/>
        </w:rPr>
        <w:t>Pa</w:t>
      </w:r>
      <w:r w:rsidRPr="004415D2">
        <w:rPr>
          <w:rFonts w:eastAsia="Calibri"/>
          <w:bCs/>
          <w:sz w:val="22"/>
          <w:szCs w:val="22"/>
        </w:rPr>
        <w:t xml:space="preserve">rticipants were centrally randomly assigned (1:1) using </w:t>
      </w:r>
      <w:r>
        <w:rPr>
          <w:rFonts w:eastAsia="Calibri"/>
          <w:bCs/>
          <w:sz w:val="22"/>
          <w:szCs w:val="22"/>
        </w:rPr>
        <w:t>block randomisation</w:t>
      </w:r>
      <w:r w:rsidRPr="00CA6A52">
        <w:rPr>
          <w:rFonts w:eastAsia="Calibri"/>
          <w:bCs/>
          <w:sz w:val="22"/>
          <w:szCs w:val="22"/>
        </w:rPr>
        <w:t xml:space="preserve"> </w:t>
      </w:r>
      <w:r>
        <w:rPr>
          <w:rFonts w:eastAsia="Calibri"/>
          <w:bCs/>
          <w:sz w:val="22"/>
          <w:szCs w:val="22"/>
        </w:rPr>
        <w:t xml:space="preserve">with varying block size </w:t>
      </w:r>
      <w:r w:rsidRPr="0095290F">
        <w:rPr>
          <w:rFonts w:eastAsia="Calibri"/>
          <w:bCs/>
          <w:sz w:val="22"/>
          <w:szCs w:val="22"/>
        </w:rPr>
        <w:t>via</w:t>
      </w:r>
      <w:r w:rsidRPr="008304F3">
        <w:rPr>
          <w:rFonts w:eastAsia="Calibri"/>
          <w:bCs/>
          <w:sz w:val="22"/>
          <w:szCs w:val="22"/>
        </w:rPr>
        <w:t xml:space="preserve"> </w:t>
      </w:r>
      <w:r w:rsidRPr="005D28ED">
        <w:rPr>
          <w:rFonts w:eastAsia="Calibri"/>
          <w:bCs/>
          <w:sz w:val="22"/>
          <w:szCs w:val="22"/>
        </w:rPr>
        <w:t xml:space="preserve">the </w:t>
      </w:r>
      <w:r w:rsidRPr="000851C7">
        <w:rPr>
          <w:rFonts w:eastAsia="Calibri"/>
          <w:position w:val="1"/>
          <w:sz w:val="22"/>
          <w:szCs w:val="22"/>
        </w:rPr>
        <w:t>web-based TENALEA system</w:t>
      </w:r>
      <w:r w:rsidR="00DB7CA2" w:rsidRPr="009C0CA5">
        <w:rPr>
          <w:rFonts w:eastAsia="Calibri"/>
          <w:position w:val="1"/>
          <w:sz w:val="22"/>
          <w:szCs w:val="22"/>
          <w:vertAlign w:val="superscript"/>
        </w:rPr>
        <w:t>7</w:t>
      </w:r>
      <w:r w:rsidRPr="003E31B8">
        <w:rPr>
          <w:rFonts w:eastAsia="Calibri"/>
          <w:bCs/>
          <w:sz w:val="22"/>
          <w:szCs w:val="22"/>
        </w:rPr>
        <w:t>, to receive either R-CHOP or RB-CHOP</w:t>
      </w:r>
      <w:r w:rsidRPr="004415D2">
        <w:rPr>
          <w:rFonts w:eastAsia="Calibri"/>
          <w:bCs/>
          <w:sz w:val="22"/>
          <w:szCs w:val="22"/>
        </w:rPr>
        <w:t>. Randomis</w:t>
      </w:r>
      <w:r w:rsidRPr="00AD6520">
        <w:rPr>
          <w:rFonts w:eastAsia="Calibri"/>
          <w:bCs/>
          <w:sz w:val="22"/>
          <w:szCs w:val="22"/>
        </w:rPr>
        <w:t>ation stratification factors</w:t>
      </w:r>
      <w:r w:rsidRPr="00CA6A52">
        <w:rPr>
          <w:rFonts w:eastAsia="Calibri"/>
          <w:bCs/>
          <w:sz w:val="22"/>
          <w:szCs w:val="22"/>
        </w:rPr>
        <w:t xml:space="preserve"> included </w:t>
      </w:r>
      <w:r w:rsidRPr="000851C7">
        <w:rPr>
          <w:sz w:val="22"/>
          <w:szCs w:val="22"/>
        </w:rPr>
        <w:t>COO subtype and international prognostic index (IPI).</w:t>
      </w:r>
      <w:r w:rsidRPr="003E31B8">
        <w:rPr>
          <w:rFonts w:eastAsia="Calibri" w:hint="eastAsia"/>
          <w:bCs/>
          <w:sz w:val="22"/>
          <w:szCs w:val="22"/>
        </w:rPr>
        <w:t xml:space="preserve"> </w:t>
      </w:r>
      <w:r w:rsidRPr="000851C7">
        <w:rPr>
          <w:sz w:val="22"/>
          <w:szCs w:val="22"/>
        </w:rPr>
        <w:t xml:space="preserve">For the purposes of stratification IPI was grouped as: low </w:t>
      </w:r>
      <w:r>
        <w:rPr>
          <w:sz w:val="22"/>
          <w:szCs w:val="22"/>
        </w:rPr>
        <w:t>(0 to 1); intermediate (2 to 3)</w:t>
      </w:r>
      <w:r w:rsidRPr="000851C7">
        <w:rPr>
          <w:sz w:val="22"/>
          <w:szCs w:val="22"/>
        </w:rPr>
        <w:t xml:space="preserve"> and high (4 to 5) and those with an unclassified COO subtype were included. In the case of failed RNA extraction/insufficient yield, patients were not randomised but received conventional R-CHOP and followed, with assessments, according to </w:t>
      </w:r>
      <w:r w:rsidR="003E6145">
        <w:rPr>
          <w:sz w:val="22"/>
          <w:szCs w:val="22"/>
        </w:rPr>
        <w:t>the control arm</w:t>
      </w:r>
      <w:r w:rsidRPr="000851C7">
        <w:rPr>
          <w:sz w:val="22"/>
          <w:szCs w:val="22"/>
        </w:rPr>
        <w:t xml:space="preserve"> of the trial. </w:t>
      </w:r>
      <w:r w:rsidR="003E6145">
        <w:rPr>
          <w:rFonts w:eastAsia="Calibri"/>
          <w:bCs/>
          <w:sz w:val="22"/>
          <w:szCs w:val="22"/>
        </w:rPr>
        <w:t>B</w:t>
      </w:r>
      <w:r w:rsidRPr="003E31B8">
        <w:rPr>
          <w:rFonts w:eastAsia="Calibri"/>
          <w:bCs/>
          <w:sz w:val="22"/>
          <w:szCs w:val="22"/>
        </w:rPr>
        <w:t xml:space="preserve">oth participants </w:t>
      </w:r>
      <w:r w:rsidRPr="004415D2">
        <w:rPr>
          <w:rFonts w:eastAsia="Calibri"/>
          <w:bCs/>
          <w:sz w:val="22"/>
          <w:szCs w:val="22"/>
        </w:rPr>
        <w:t>and treating clinician</w:t>
      </w:r>
      <w:r w:rsidR="003E6145">
        <w:rPr>
          <w:rFonts w:eastAsia="Calibri"/>
          <w:bCs/>
          <w:sz w:val="22"/>
          <w:szCs w:val="22"/>
        </w:rPr>
        <w:t>s</w:t>
      </w:r>
      <w:r w:rsidRPr="004415D2">
        <w:rPr>
          <w:rFonts w:eastAsia="Calibri"/>
          <w:bCs/>
          <w:sz w:val="22"/>
          <w:szCs w:val="22"/>
        </w:rPr>
        <w:t xml:space="preserve"> were awa</w:t>
      </w:r>
      <w:r w:rsidR="003E6145">
        <w:rPr>
          <w:rFonts w:eastAsia="Calibri"/>
          <w:bCs/>
          <w:sz w:val="22"/>
          <w:szCs w:val="22"/>
        </w:rPr>
        <w:t>re of the treatment allocation</w:t>
      </w:r>
      <w:r w:rsidRPr="004415D2">
        <w:rPr>
          <w:rFonts w:eastAsia="Calibri"/>
          <w:bCs/>
          <w:sz w:val="22"/>
          <w:szCs w:val="22"/>
        </w:rPr>
        <w:t>,</w:t>
      </w:r>
      <w:r w:rsidRPr="003E31B8">
        <w:rPr>
          <w:rFonts w:eastAsia="Calibri"/>
          <w:bCs/>
          <w:sz w:val="22"/>
          <w:szCs w:val="22"/>
        </w:rPr>
        <w:t xml:space="preserve"> </w:t>
      </w:r>
      <w:r w:rsidRPr="000851C7">
        <w:rPr>
          <w:rFonts w:eastAsia="Calibri"/>
          <w:position w:val="1"/>
          <w:sz w:val="22"/>
          <w:szCs w:val="22"/>
        </w:rPr>
        <w:t>however</w:t>
      </w:r>
      <w:r w:rsidRPr="000851C7">
        <w:rPr>
          <w:sz w:val="22"/>
          <w:szCs w:val="22"/>
        </w:rPr>
        <w:t xml:space="preserve"> local Investigators were not informed of the results of molecular phenotyping.</w:t>
      </w:r>
    </w:p>
    <w:p w14:paraId="3A27BC59" w14:textId="3F31734E" w:rsidR="00B55ACA" w:rsidRPr="00692206" w:rsidRDefault="00B55ACA" w:rsidP="0030644C">
      <w:pPr>
        <w:pStyle w:val="Default"/>
        <w:spacing w:before="120" w:after="120" w:line="276" w:lineRule="auto"/>
        <w:jc w:val="both"/>
        <w:outlineLvl w:val="0"/>
        <w:rPr>
          <w:rFonts w:eastAsia="Calibri"/>
          <w:b/>
          <w:bCs/>
          <w:sz w:val="22"/>
          <w:szCs w:val="22"/>
        </w:rPr>
      </w:pPr>
      <w:r w:rsidRPr="00692206">
        <w:rPr>
          <w:rFonts w:eastAsia="Calibri"/>
          <w:b/>
          <w:bCs/>
          <w:sz w:val="22"/>
          <w:szCs w:val="22"/>
        </w:rPr>
        <w:t>Procedures</w:t>
      </w:r>
    </w:p>
    <w:p w14:paraId="7F903958" w14:textId="2AB1A059" w:rsidR="00E63A03" w:rsidRPr="00692206" w:rsidRDefault="00B55ACA" w:rsidP="00324F29">
      <w:pPr>
        <w:pStyle w:val="Default"/>
        <w:spacing w:before="120" w:line="276" w:lineRule="auto"/>
        <w:jc w:val="both"/>
        <w:rPr>
          <w:rFonts w:asciiTheme="minorHAnsi" w:eastAsia="Calibri" w:hAnsiTheme="minorHAnsi" w:cstheme="minorBidi"/>
          <w:color w:val="auto"/>
          <w:sz w:val="22"/>
          <w:szCs w:val="22"/>
        </w:rPr>
      </w:pPr>
      <w:r w:rsidRPr="00692206">
        <w:rPr>
          <w:rFonts w:asciiTheme="minorHAnsi" w:eastAsia="Calibri" w:hAnsiTheme="minorHAnsi" w:cstheme="minorBidi"/>
          <w:color w:val="auto"/>
          <w:sz w:val="22"/>
          <w:szCs w:val="22"/>
        </w:rPr>
        <w:t xml:space="preserve">Participants </w:t>
      </w:r>
      <w:r w:rsidR="0097394F" w:rsidRPr="00692206">
        <w:rPr>
          <w:rFonts w:asciiTheme="minorHAnsi" w:eastAsia="Calibri" w:hAnsiTheme="minorHAnsi" w:cstheme="minorBidi"/>
          <w:color w:val="auto"/>
          <w:sz w:val="22"/>
          <w:szCs w:val="22"/>
        </w:rPr>
        <w:t>underwent routine staging investigations</w:t>
      </w:r>
      <w:r w:rsidR="00E63CA0" w:rsidRPr="00692206">
        <w:rPr>
          <w:rFonts w:asciiTheme="minorHAnsi" w:eastAsia="Calibri" w:hAnsiTheme="minorHAnsi" w:cstheme="minorBidi"/>
          <w:color w:val="auto"/>
          <w:sz w:val="22"/>
          <w:szCs w:val="22"/>
        </w:rPr>
        <w:t xml:space="preserve"> including computed tomographic (CT) scans and bone marrow biopsy,</w:t>
      </w:r>
      <w:r w:rsidR="0097394F" w:rsidRPr="00692206">
        <w:rPr>
          <w:rFonts w:asciiTheme="minorHAnsi" w:eastAsia="Calibri" w:hAnsiTheme="minorHAnsi" w:cstheme="minorBidi"/>
          <w:color w:val="auto"/>
          <w:sz w:val="22"/>
          <w:szCs w:val="22"/>
        </w:rPr>
        <w:t xml:space="preserve"> with examination of</w:t>
      </w:r>
      <w:r w:rsidRPr="00692206">
        <w:rPr>
          <w:rFonts w:asciiTheme="minorHAnsi" w:eastAsia="Calibri" w:hAnsiTheme="minorHAnsi" w:cstheme="minorBidi"/>
          <w:color w:val="auto"/>
          <w:sz w:val="22"/>
          <w:szCs w:val="22"/>
        </w:rPr>
        <w:t xml:space="preserve"> </w:t>
      </w:r>
      <w:r w:rsidR="00584B6C" w:rsidRPr="00692206">
        <w:rPr>
          <w:rFonts w:asciiTheme="minorHAnsi" w:eastAsia="Calibri" w:hAnsiTheme="minorHAnsi" w:cstheme="minorBidi"/>
          <w:color w:val="auto"/>
          <w:sz w:val="22"/>
          <w:szCs w:val="22"/>
        </w:rPr>
        <w:t>cerebrospinal fluid</w:t>
      </w:r>
      <w:r w:rsidRPr="00692206">
        <w:rPr>
          <w:rFonts w:asciiTheme="minorHAnsi" w:eastAsia="Calibri" w:hAnsiTheme="minorHAnsi" w:cstheme="minorBidi"/>
          <w:color w:val="auto"/>
          <w:sz w:val="22"/>
          <w:szCs w:val="22"/>
        </w:rPr>
        <w:t xml:space="preserve"> </w:t>
      </w:r>
      <w:r w:rsidR="00584B6C" w:rsidRPr="00692206">
        <w:rPr>
          <w:rFonts w:asciiTheme="minorHAnsi" w:eastAsia="Calibri" w:hAnsiTheme="minorHAnsi" w:cstheme="minorBidi"/>
          <w:color w:val="auto"/>
          <w:sz w:val="22"/>
          <w:szCs w:val="22"/>
        </w:rPr>
        <w:t>(</w:t>
      </w:r>
      <w:r w:rsidRPr="00692206">
        <w:rPr>
          <w:rFonts w:asciiTheme="minorHAnsi" w:eastAsia="Calibri" w:hAnsiTheme="minorHAnsi" w:cstheme="minorBidi"/>
          <w:color w:val="auto"/>
          <w:sz w:val="22"/>
          <w:szCs w:val="22"/>
        </w:rPr>
        <w:t>CSF</w:t>
      </w:r>
      <w:r w:rsidR="00584B6C" w:rsidRPr="00692206">
        <w:rPr>
          <w:rFonts w:asciiTheme="minorHAnsi" w:eastAsia="Calibri" w:hAnsiTheme="minorHAnsi" w:cstheme="minorBidi"/>
          <w:color w:val="auto"/>
          <w:sz w:val="22"/>
          <w:szCs w:val="22"/>
        </w:rPr>
        <w:t>)</w:t>
      </w:r>
      <w:r w:rsidRPr="00692206">
        <w:rPr>
          <w:sz w:val="22"/>
          <w:szCs w:val="22"/>
        </w:rPr>
        <w:t xml:space="preserve"> examination </w:t>
      </w:r>
      <w:r w:rsidR="0097394F" w:rsidRPr="00692206">
        <w:rPr>
          <w:rFonts w:eastAsia="Calibri"/>
          <w:sz w:val="22"/>
          <w:szCs w:val="22"/>
        </w:rPr>
        <w:t>as clinically indicated</w:t>
      </w:r>
      <w:r w:rsidRPr="00692206">
        <w:rPr>
          <w:rFonts w:eastAsia="Calibri"/>
          <w:sz w:val="22"/>
          <w:szCs w:val="22"/>
        </w:rPr>
        <w:t>.</w:t>
      </w:r>
      <w:r w:rsidRPr="00692206">
        <w:rPr>
          <w:sz w:val="22"/>
          <w:szCs w:val="22"/>
        </w:rPr>
        <w:t xml:space="preserve"> Tumour material was sent to the central laboratory for gene expression profiling </w:t>
      </w:r>
      <w:r w:rsidR="00F33AFA" w:rsidRPr="00692206">
        <w:rPr>
          <w:sz w:val="22"/>
          <w:szCs w:val="22"/>
        </w:rPr>
        <w:t xml:space="preserve">(GEP) </w:t>
      </w:r>
      <w:r w:rsidRPr="00692206">
        <w:rPr>
          <w:sz w:val="22"/>
          <w:szCs w:val="22"/>
        </w:rPr>
        <w:t xml:space="preserve">and </w:t>
      </w:r>
      <w:r w:rsidRPr="00692206">
        <w:rPr>
          <w:rFonts w:asciiTheme="minorHAnsi" w:hAnsiTheme="minorHAnsi"/>
          <w:position w:val="1"/>
          <w:sz w:val="22"/>
          <w:szCs w:val="22"/>
        </w:rPr>
        <w:t>somatic mutation assessment.</w:t>
      </w:r>
    </w:p>
    <w:p w14:paraId="112DCF90" w14:textId="31AA8DB7" w:rsidR="004710FD" w:rsidRPr="00692206" w:rsidRDefault="00B55ACA" w:rsidP="00324F29">
      <w:pPr>
        <w:pStyle w:val="Default"/>
        <w:spacing w:before="120" w:line="276" w:lineRule="auto"/>
        <w:jc w:val="both"/>
        <w:rPr>
          <w:rFonts w:asciiTheme="minorHAnsi" w:eastAsia="Calibri" w:hAnsiTheme="minorHAnsi" w:cstheme="minorBidi"/>
          <w:color w:val="auto"/>
          <w:sz w:val="22"/>
          <w:szCs w:val="22"/>
        </w:rPr>
      </w:pPr>
      <w:r w:rsidRPr="00692206">
        <w:rPr>
          <w:rFonts w:asciiTheme="minorHAnsi" w:eastAsia="Calibri" w:hAnsiTheme="minorHAnsi" w:cstheme="minorBidi"/>
          <w:color w:val="auto"/>
          <w:sz w:val="22"/>
          <w:szCs w:val="22"/>
        </w:rPr>
        <w:t>The R-CHOP regimen (day 1: rituximab 375mg/m</w:t>
      </w:r>
      <w:r w:rsidRPr="00692206">
        <w:rPr>
          <w:rFonts w:asciiTheme="minorHAnsi" w:eastAsia="Calibri" w:hAnsiTheme="minorHAnsi" w:cstheme="minorBidi"/>
          <w:color w:val="auto"/>
          <w:sz w:val="22"/>
          <w:szCs w:val="22"/>
          <w:vertAlign w:val="superscript"/>
        </w:rPr>
        <w:t xml:space="preserve">2 </w:t>
      </w:r>
      <w:r w:rsidRPr="00692206">
        <w:rPr>
          <w:rFonts w:asciiTheme="minorHAnsi" w:eastAsia="Calibri" w:hAnsiTheme="minorHAnsi" w:cstheme="minorBidi"/>
          <w:color w:val="auto"/>
          <w:sz w:val="22"/>
          <w:szCs w:val="22"/>
        </w:rPr>
        <w:t>IV, cyclophosphamide 750mg/ m</w:t>
      </w:r>
      <w:r w:rsidRPr="00692206">
        <w:rPr>
          <w:rFonts w:asciiTheme="minorHAnsi" w:eastAsia="Calibri" w:hAnsiTheme="minorHAnsi" w:cstheme="minorBidi"/>
          <w:color w:val="auto"/>
          <w:sz w:val="22"/>
          <w:szCs w:val="22"/>
          <w:vertAlign w:val="superscript"/>
        </w:rPr>
        <w:t xml:space="preserve">2 </w:t>
      </w:r>
      <w:r w:rsidRPr="00692206">
        <w:rPr>
          <w:rFonts w:asciiTheme="minorHAnsi" w:eastAsia="Calibri" w:hAnsiTheme="minorHAnsi" w:cstheme="minorBidi"/>
          <w:color w:val="auto"/>
          <w:sz w:val="22"/>
          <w:szCs w:val="22"/>
        </w:rPr>
        <w:t>IV, doxorubicin 50mg/</w:t>
      </w:r>
      <w:r w:rsidRPr="00692206">
        <w:rPr>
          <w:sz w:val="22"/>
          <w:szCs w:val="22"/>
        </w:rPr>
        <w:t xml:space="preserve"> m</w:t>
      </w:r>
      <w:r w:rsidRPr="00692206">
        <w:rPr>
          <w:sz w:val="22"/>
          <w:szCs w:val="22"/>
          <w:vertAlign w:val="superscript"/>
        </w:rPr>
        <w:t>2</w:t>
      </w:r>
      <w:r w:rsidRPr="00692206">
        <w:rPr>
          <w:sz w:val="22"/>
          <w:szCs w:val="22"/>
        </w:rPr>
        <w:t xml:space="preserve"> IV, vincristine 1.4mg/m</w:t>
      </w:r>
      <w:r w:rsidRPr="00692206">
        <w:rPr>
          <w:sz w:val="22"/>
          <w:szCs w:val="22"/>
          <w:vertAlign w:val="superscript"/>
        </w:rPr>
        <w:t xml:space="preserve">2 </w:t>
      </w:r>
      <w:r w:rsidRPr="00692206">
        <w:rPr>
          <w:sz w:val="22"/>
          <w:szCs w:val="22"/>
        </w:rPr>
        <w:t xml:space="preserve">(max 2mg) IV, days 1-5 prednisolone 100mg od po) was </w:t>
      </w:r>
      <w:r w:rsidRPr="00692206">
        <w:rPr>
          <w:sz w:val="22"/>
          <w:szCs w:val="22"/>
        </w:rPr>
        <w:lastRenderedPageBreak/>
        <w:t xml:space="preserve">administered </w:t>
      </w:r>
      <w:r w:rsidR="00A941EB" w:rsidRPr="00692206">
        <w:rPr>
          <w:rFonts w:eastAsia="Calibri"/>
          <w:sz w:val="22"/>
          <w:szCs w:val="22"/>
        </w:rPr>
        <w:t xml:space="preserve">to all patients </w:t>
      </w:r>
      <w:r w:rsidRPr="00692206">
        <w:rPr>
          <w:sz w:val="22"/>
          <w:szCs w:val="22"/>
        </w:rPr>
        <w:t xml:space="preserve">on a 21 day schedule for cycle 1.  From cycle 2 onwards patients were randomised to receive 5 further cycles of R-CHOP in the control arm </w:t>
      </w:r>
      <w:r w:rsidR="004710FD">
        <w:rPr>
          <w:sz w:val="22"/>
          <w:szCs w:val="22"/>
        </w:rPr>
        <w:t xml:space="preserve">(Arm A) </w:t>
      </w:r>
      <w:r w:rsidR="0054471C">
        <w:rPr>
          <w:sz w:val="22"/>
          <w:szCs w:val="22"/>
        </w:rPr>
        <w:t>or</w:t>
      </w:r>
      <w:r w:rsidRPr="00692206">
        <w:rPr>
          <w:sz w:val="22"/>
          <w:szCs w:val="22"/>
        </w:rPr>
        <w:t xml:space="preserve"> 5 cycles of R-CHOP in addition to bortezomib (RB-CHOP)</w:t>
      </w:r>
      <w:r w:rsidR="004710FD">
        <w:rPr>
          <w:sz w:val="22"/>
          <w:szCs w:val="22"/>
        </w:rPr>
        <w:t xml:space="preserve"> (Arm B)</w:t>
      </w:r>
      <w:r w:rsidRPr="00692206">
        <w:rPr>
          <w:sz w:val="22"/>
          <w:szCs w:val="22"/>
        </w:rPr>
        <w:t xml:space="preserve"> on days 1 and 8 (</w:t>
      </w:r>
      <w:r w:rsidRPr="00692206">
        <w:rPr>
          <w:rFonts w:asciiTheme="minorHAnsi" w:hAnsiTheme="minorHAnsi"/>
          <w:position w:val="1"/>
          <w:sz w:val="22"/>
          <w:szCs w:val="22"/>
        </w:rPr>
        <w:t>1.3mg/m</w:t>
      </w:r>
      <w:r w:rsidRPr="00692206">
        <w:rPr>
          <w:rFonts w:asciiTheme="minorHAnsi" w:hAnsiTheme="minorHAnsi"/>
          <w:position w:val="1"/>
          <w:sz w:val="22"/>
          <w:szCs w:val="22"/>
          <w:vertAlign w:val="superscript"/>
        </w:rPr>
        <w:t>2</w:t>
      </w:r>
      <w:r w:rsidRPr="00692206">
        <w:rPr>
          <w:rFonts w:asciiTheme="minorHAnsi" w:hAnsiTheme="minorHAnsi"/>
          <w:position w:val="1"/>
          <w:sz w:val="22"/>
          <w:szCs w:val="22"/>
        </w:rPr>
        <w:t xml:space="preserve"> </w:t>
      </w:r>
      <w:r w:rsidR="00457B16" w:rsidRPr="00692206">
        <w:rPr>
          <w:rFonts w:eastAsia="Calibri"/>
          <w:position w:val="1"/>
          <w:sz w:val="22"/>
          <w:szCs w:val="22"/>
        </w:rPr>
        <w:t>intravenous (</w:t>
      </w:r>
      <w:r w:rsidRPr="00692206">
        <w:rPr>
          <w:rFonts w:asciiTheme="minorHAnsi" w:hAnsiTheme="minorHAnsi"/>
          <w:position w:val="1"/>
          <w:sz w:val="22"/>
          <w:szCs w:val="22"/>
        </w:rPr>
        <w:t>IV</w:t>
      </w:r>
      <w:r w:rsidR="00457B16" w:rsidRPr="00692206">
        <w:rPr>
          <w:rFonts w:eastAsia="Calibri"/>
          <w:position w:val="1"/>
          <w:sz w:val="22"/>
          <w:szCs w:val="22"/>
        </w:rPr>
        <w:t>)</w:t>
      </w:r>
      <w:r w:rsidRPr="00692206">
        <w:rPr>
          <w:rFonts w:asciiTheme="minorHAnsi" w:hAnsiTheme="minorHAnsi"/>
          <w:position w:val="1"/>
          <w:sz w:val="22"/>
          <w:szCs w:val="22"/>
        </w:rPr>
        <w:t xml:space="preserve"> or 1.6mg/m</w:t>
      </w:r>
      <w:r w:rsidRPr="00692206">
        <w:rPr>
          <w:rFonts w:asciiTheme="minorHAnsi" w:hAnsiTheme="minorHAnsi"/>
          <w:position w:val="1"/>
          <w:sz w:val="22"/>
          <w:szCs w:val="22"/>
          <w:vertAlign w:val="superscript"/>
        </w:rPr>
        <w:t>2</w:t>
      </w:r>
      <w:r w:rsidRPr="00692206">
        <w:rPr>
          <w:rFonts w:asciiTheme="minorHAnsi" w:hAnsiTheme="minorHAnsi"/>
          <w:position w:val="1"/>
          <w:sz w:val="22"/>
          <w:szCs w:val="22"/>
        </w:rPr>
        <w:t xml:space="preserve"> </w:t>
      </w:r>
      <w:r w:rsidR="00457B16" w:rsidRPr="00692206">
        <w:rPr>
          <w:rFonts w:eastAsia="Calibri"/>
          <w:position w:val="1"/>
          <w:sz w:val="22"/>
          <w:szCs w:val="22"/>
        </w:rPr>
        <w:t>subcutaneous (</w:t>
      </w:r>
      <w:r w:rsidRPr="00692206">
        <w:rPr>
          <w:rFonts w:asciiTheme="minorHAnsi" w:hAnsiTheme="minorHAnsi"/>
          <w:position w:val="1"/>
          <w:sz w:val="22"/>
          <w:szCs w:val="22"/>
        </w:rPr>
        <w:t>SC</w:t>
      </w:r>
      <w:r w:rsidR="00457B16" w:rsidRPr="00692206">
        <w:rPr>
          <w:position w:val="1"/>
          <w:sz w:val="22"/>
          <w:szCs w:val="22"/>
        </w:rPr>
        <w:t>)</w:t>
      </w:r>
      <w:r w:rsidRPr="00692206">
        <w:rPr>
          <w:rFonts w:eastAsia="Calibri"/>
          <w:position w:val="1"/>
          <w:sz w:val="22"/>
          <w:szCs w:val="22"/>
        </w:rPr>
        <w:t>)</w:t>
      </w:r>
      <w:r w:rsidRPr="00692206">
        <w:rPr>
          <w:rFonts w:asciiTheme="minorHAnsi" w:eastAsia="Calibri" w:hAnsiTheme="minorHAnsi" w:cstheme="minorBidi"/>
          <w:color w:val="auto"/>
          <w:sz w:val="22"/>
          <w:szCs w:val="22"/>
        </w:rPr>
        <w:t xml:space="preserve"> in the experimental arm.</w:t>
      </w:r>
      <w:r w:rsidR="00457B16" w:rsidRPr="00692206">
        <w:rPr>
          <w:rFonts w:asciiTheme="minorHAnsi" w:eastAsia="Calibri" w:hAnsiTheme="minorHAnsi" w:cstheme="minorBidi"/>
          <w:color w:val="auto"/>
          <w:sz w:val="22"/>
          <w:szCs w:val="22"/>
        </w:rPr>
        <w:t xml:space="preserve"> </w:t>
      </w:r>
      <w:r w:rsidR="00C23AC6">
        <w:rPr>
          <w:rFonts w:asciiTheme="minorHAnsi" w:eastAsia="Calibri" w:hAnsiTheme="minorHAnsi" w:cstheme="minorBidi"/>
          <w:color w:val="auto"/>
          <w:sz w:val="22"/>
          <w:szCs w:val="22"/>
        </w:rPr>
        <w:t xml:space="preserve"> </w:t>
      </w:r>
      <w:r w:rsidR="00331FDD">
        <w:rPr>
          <w:rFonts w:asciiTheme="minorHAnsi" w:eastAsia="Calibri" w:hAnsiTheme="minorHAnsi" w:cstheme="minorBidi"/>
          <w:color w:val="auto"/>
          <w:sz w:val="22"/>
          <w:szCs w:val="22"/>
        </w:rPr>
        <w:t>Further cycles were given when neutrophils and platelets had recovered to 1.0 x 10</w:t>
      </w:r>
      <w:r w:rsidR="00331FDD" w:rsidRPr="00EF256F">
        <w:rPr>
          <w:rFonts w:asciiTheme="minorHAnsi" w:eastAsia="Calibri" w:hAnsiTheme="minorHAnsi" w:cstheme="minorBidi"/>
          <w:color w:val="auto"/>
          <w:sz w:val="22"/>
          <w:szCs w:val="22"/>
          <w:vertAlign w:val="superscript"/>
        </w:rPr>
        <w:t>9</w:t>
      </w:r>
      <w:r w:rsidR="00331FDD">
        <w:rPr>
          <w:rFonts w:asciiTheme="minorHAnsi" w:eastAsia="Calibri" w:hAnsiTheme="minorHAnsi" w:cstheme="minorBidi"/>
          <w:color w:val="auto"/>
          <w:sz w:val="22"/>
          <w:szCs w:val="22"/>
        </w:rPr>
        <w:t>/l and 100 x 10</w:t>
      </w:r>
      <w:r w:rsidR="00331FDD" w:rsidRPr="00EF256F">
        <w:rPr>
          <w:rFonts w:asciiTheme="minorHAnsi" w:eastAsia="Calibri" w:hAnsiTheme="minorHAnsi" w:cstheme="minorBidi"/>
          <w:color w:val="auto"/>
          <w:sz w:val="22"/>
          <w:szCs w:val="22"/>
          <w:vertAlign w:val="superscript"/>
        </w:rPr>
        <w:t>9</w:t>
      </w:r>
      <w:r w:rsidR="00331FDD">
        <w:rPr>
          <w:rFonts w:asciiTheme="minorHAnsi" w:eastAsia="Calibri" w:hAnsiTheme="minorHAnsi" w:cstheme="minorBidi"/>
          <w:color w:val="auto"/>
          <w:sz w:val="22"/>
          <w:szCs w:val="22"/>
        </w:rPr>
        <w:t xml:space="preserve">/l respectively, and dose reductions of bortezomib in response to neurotoxicity were closely specified according to the severity (appendix </w:t>
      </w:r>
      <w:r w:rsidR="006E4C31">
        <w:rPr>
          <w:rFonts w:asciiTheme="minorHAnsi" w:eastAsia="Calibri" w:hAnsiTheme="minorHAnsi" w:cstheme="minorBidi"/>
          <w:color w:val="auto"/>
          <w:sz w:val="22"/>
          <w:szCs w:val="22"/>
        </w:rPr>
        <w:t>pp48</w:t>
      </w:r>
      <w:r w:rsidR="00331FDD">
        <w:rPr>
          <w:rFonts w:asciiTheme="minorHAnsi" w:eastAsia="Calibri" w:hAnsiTheme="minorHAnsi" w:cstheme="minorBidi"/>
          <w:color w:val="auto"/>
          <w:sz w:val="22"/>
          <w:szCs w:val="22"/>
        </w:rPr>
        <w:t>-</w:t>
      </w:r>
      <w:r w:rsidR="006E4C31">
        <w:rPr>
          <w:rFonts w:asciiTheme="minorHAnsi" w:eastAsia="Calibri" w:hAnsiTheme="minorHAnsi" w:cstheme="minorBidi"/>
          <w:color w:val="auto"/>
          <w:sz w:val="22"/>
          <w:szCs w:val="22"/>
        </w:rPr>
        <w:t>53</w:t>
      </w:r>
      <w:r w:rsidR="00331FDD">
        <w:rPr>
          <w:rFonts w:asciiTheme="minorHAnsi" w:eastAsia="Calibri" w:hAnsiTheme="minorHAnsi" w:cstheme="minorBidi"/>
          <w:color w:val="auto"/>
          <w:sz w:val="22"/>
          <w:szCs w:val="22"/>
        </w:rPr>
        <w:t xml:space="preserve">).  </w:t>
      </w:r>
      <w:r w:rsidR="00457B16" w:rsidRPr="00692206">
        <w:rPr>
          <w:color w:val="auto"/>
          <w:sz w:val="22"/>
          <w:szCs w:val="22"/>
        </w:rPr>
        <w:t>Administration of bortezomib was changed following data supporting reduced toxicity</w:t>
      </w:r>
      <w:r w:rsidR="00F904EF" w:rsidRPr="00692206">
        <w:rPr>
          <w:color w:val="auto"/>
          <w:sz w:val="22"/>
          <w:szCs w:val="22"/>
        </w:rPr>
        <w:t xml:space="preserve"> and similar efficacy</w:t>
      </w:r>
      <w:r w:rsidR="00E60882">
        <w:rPr>
          <w:color w:val="auto"/>
          <w:sz w:val="22"/>
          <w:szCs w:val="22"/>
        </w:rPr>
        <w:t xml:space="preserve"> and greater acceptability to patients</w:t>
      </w:r>
      <w:r w:rsidR="00457B16" w:rsidRPr="00692206">
        <w:rPr>
          <w:color w:val="auto"/>
          <w:sz w:val="22"/>
          <w:szCs w:val="22"/>
        </w:rPr>
        <w:t xml:space="preserve"> with SC administration</w:t>
      </w:r>
      <w:r w:rsidR="00A935C9" w:rsidRPr="009C0CA5">
        <w:rPr>
          <w:color w:val="auto"/>
          <w:sz w:val="22"/>
          <w:szCs w:val="22"/>
          <w:vertAlign w:val="superscript"/>
        </w:rPr>
        <w:t>8</w:t>
      </w:r>
      <w:r w:rsidR="00457B16" w:rsidRPr="00692206">
        <w:rPr>
          <w:color w:val="auto"/>
          <w:sz w:val="22"/>
          <w:szCs w:val="22"/>
        </w:rPr>
        <w:t xml:space="preserve">. </w:t>
      </w:r>
      <w:r w:rsidRPr="00692206">
        <w:rPr>
          <w:rFonts w:asciiTheme="minorHAnsi" w:hAnsiTheme="minorHAnsi"/>
          <w:color w:val="auto"/>
          <w:sz w:val="22"/>
          <w:szCs w:val="22"/>
        </w:rPr>
        <w:t>Allopurinol, granulocyte colony stimulating factor (GCSF) and anti-emetic therapy were given according to local policy. Intrathecal prophylaxis with methotrexate was recommended for patients at high</w:t>
      </w:r>
      <w:r w:rsidR="00E63CA0" w:rsidRPr="00692206">
        <w:rPr>
          <w:rFonts w:asciiTheme="minorHAnsi" w:eastAsia="Calibri" w:hAnsiTheme="minorHAnsi" w:cstheme="minorBidi"/>
          <w:color w:val="auto"/>
          <w:sz w:val="22"/>
          <w:szCs w:val="22"/>
        </w:rPr>
        <w:t xml:space="preserve"> </w:t>
      </w:r>
      <w:r w:rsidRPr="00692206">
        <w:rPr>
          <w:rFonts w:asciiTheme="minorHAnsi" w:hAnsiTheme="minorHAnsi"/>
          <w:color w:val="auto"/>
          <w:sz w:val="22"/>
          <w:szCs w:val="22"/>
        </w:rPr>
        <w:t xml:space="preserve">risk of CNS relapse for 3 – 6 cycles at investigators’ discretion. </w:t>
      </w:r>
      <w:r w:rsidRPr="00692206">
        <w:rPr>
          <w:sz w:val="22"/>
          <w:szCs w:val="22"/>
        </w:rPr>
        <w:t xml:space="preserve">Radiotherapy to </w:t>
      </w:r>
      <w:r w:rsidRPr="00692206">
        <w:rPr>
          <w:rFonts w:asciiTheme="minorHAnsi" w:hAnsiTheme="minorHAnsi"/>
          <w:sz w:val="22"/>
          <w:szCs w:val="22"/>
        </w:rPr>
        <w:t>i</w:t>
      </w:r>
      <w:r w:rsidRPr="00692206">
        <w:rPr>
          <w:rFonts w:asciiTheme="minorHAnsi" w:hAnsiTheme="minorHAnsi"/>
          <w:spacing w:val="-1"/>
          <w:sz w:val="22"/>
          <w:szCs w:val="22"/>
        </w:rPr>
        <w:t>n</w:t>
      </w:r>
      <w:r w:rsidRPr="00692206">
        <w:rPr>
          <w:rFonts w:asciiTheme="minorHAnsi" w:hAnsiTheme="minorHAnsi"/>
          <w:sz w:val="22"/>
          <w:szCs w:val="22"/>
        </w:rPr>
        <w:t xml:space="preserve">itial </w:t>
      </w:r>
      <w:r w:rsidRPr="00692206">
        <w:rPr>
          <w:rFonts w:asciiTheme="minorHAnsi" w:hAnsiTheme="minorHAnsi"/>
          <w:spacing w:val="-1"/>
          <w:sz w:val="22"/>
          <w:szCs w:val="22"/>
        </w:rPr>
        <w:t>bu</w:t>
      </w:r>
      <w:r w:rsidRPr="00692206">
        <w:rPr>
          <w:rFonts w:asciiTheme="minorHAnsi" w:hAnsiTheme="minorHAnsi"/>
          <w:sz w:val="22"/>
          <w:szCs w:val="22"/>
        </w:rPr>
        <w:t>lk</w:t>
      </w:r>
      <w:r w:rsidRPr="00692206">
        <w:rPr>
          <w:rFonts w:asciiTheme="minorHAnsi" w:hAnsiTheme="minorHAnsi"/>
          <w:spacing w:val="1"/>
          <w:sz w:val="22"/>
          <w:szCs w:val="22"/>
        </w:rPr>
        <w:t xml:space="preserve"> </w:t>
      </w:r>
      <w:r w:rsidRPr="00692206">
        <w:rPr>
          <w:rFonts w:asciiTheme="minorHAnsi" w:hAnsiTheme="minorHAnsi"/>
          <w:spacing w:val="-1"/>
          <w:sz w:val="22"/>
          <w:szCs w:val="22"/>
        </w:rPr>
        <w:t>d</w:t>
      </w:r>
      <w:r w:rsidRPr="00692206">
        <w:rPr>
          <w:rFonts w:asciiTheme="minorHAnsi" w:hAnsiTheme="minorHAnsi"/>
          <w:sz w:val="22"/>
          <w:szCs w:val="22"/>
        </w:rPr>
        <w:t>is</w:t>
      </w:r>
      <w:r w:rsidRPr="00692206">
        <w:rPr>
          <w:rFonts w:asciiTheme="minorHAnsi" w:hAnsiTheme="minorHAnsi"/>
          <w:spacing w:val="1"/>
          <w:sz w:val="22"/>
          <w:szCs w:val="22"/>
        </w:rPr>
        <w:t>e</w:t>
      </w:r>
      <w:r w:rsidRPr="00692206">
        <w:rPr>
          <w:rFonts w:asciiTheme="minorHAnsi" w:hAnsiTheme="minorHAnsi"/>
          <w:sz w:val="22"/>
          <w:szCs w:val="22"/>
        </w:rPr>
        <w:t>a</w:t>
      </w:r>
      <w:r w:rsidRPr="00692206">
        <w:rPr>
          <w:rFonts w:asciiTheme="minorHAnsi" w:hAnsiTheme="minorHAnsi"/>
          <w:spacing w:val="-2"/>
          <w:sz w:val="22"/>
          <w:szCs w:val="22"/>
        </w:rPr>
        <w:t>s</w:t>
      </w:r>
      <w:r w:rsidRPr="00692206">
        <w:rPr>
          <w:rFonts w:asciiTheme="minorHAnsi" w:hAnsiTheme="minorHAnsi"/>
          <w:spacing w:val="1"/>
          <w:sz w:val="22"/>
          <w:szCs w:val="22"/>
        </w:rPr>
        <w:t>e</w:t>
      </w:r>
      <w:r w:rsidRPr="00692206">
        <w:rPr>
          <w:rFonts w:asciiTheme="minorHAnsi" w:hAnsiTheme="minorHAnsi"/>
          <w:sz w:val="22"/>
          <w:szCs w:val="22"/>
        </w:rPr>
        <w:t>,</w:t>
      </w:r>
      <w:r w:rsidRPr="00692206">
        <w:rPr>
          <w:rFonts w:asciiTheme="minorHAnsi" w:hAnsiTheme="minorHAnsi"/>
          <w:spacing w:val="1"/>
          <w:sz w:val="22"/>
          <w:szCs w:val="22"/>
        </w:rPr>
        <w:t xml:space="preserve"> </w:t>
      </w:r>
      <w:r w:rsidRPr="00692206">
        <w:rPr>
          <w:rFonts w:asciiTheme="minorHAnsi" w:hAnsiTheme="minorHAnsi"/>
          <w:spacing w:val="-2"/>
          <w:sz w:val="22"/>
          <w:szCs w:val="22"/>
        </w:rPr>
        <w:t>e</w:t>
      </w:r>
      <w:r w:rsidRPr="00692206">
        <w:rPr>
          <w:rFonts w:asciiTheme="minorHAnsi" w:hAnsiTheme="minorHAnsi"/>
          <w:sz w:val="22"/>
          <w:szCs w:val="22"/>
        </w:rPr>
        <w:t>xtra-</w:t>
      </w:r>
      <w:r w:rsidRPr="00692206">
        <w:rPr>
          <w:rFonts w:asciiTheme="minorHAnsi" w:hAnsiTheme="minorHAnsi"/>
          <w:spacing w:val="-3"/>
          <w:sz w:val="22"/>
          <w:szCs w:val="22"/>
        </w:rPr>
        <w:t>n</w:t>
      </w:r>
      <w:r w:rsidRPr="00692206">
        <w:rPr>
          <w:rFonts w:asciiTheme="minorHAnsi" w:hAnsiTheme="minorHAnsi"/>
          <w:spacing w:val="1"/>
          <w:sz w:val="22"/>
          <w:szCs w:val="22"/>
        </w:rPr>
        <w:t>o</w:t>
      </w:r>
      <w:r w:rsidRPr="00692206">
        <w:rPr>
          <w:rFonts w:asciiTheme="minorHAnsi" w:hAnsiTheme="minorHAnsi"/>
          <w:spacing w:val="-1"/>
          <w:sz w:val="22"/>
          <w:szCs w:val="22"/>
        </w:rPr>
        <w:t>d</w:t>
      </w:r>
      <w:r w:rsidRPr="00692206">
        <w:rPr>
          <w:rFonts w:asciiTheme="minorHAnsi" w:hAnsiTheme="minorHAnsi"/>
          <w:sz w:val="22"/>
          <w:szCs w:val="22"/>
        </w:rPr>
        <w:t>al si</w:t>
      </w:r>
      <w:r w:rsidRPr="00692206">
        <w:rPr>
          <w:rFonts w:asciiTheme="minorHAnsi" w:hAnsiTheme="minorHAnsi"/>
          <w:spacing w:val="-2"/>
          <w:sz w:val="22"/>
          <w:szCs w:val="22"/>
        </w:rPr>
        <w:t>t</w:t>
      </w:r>
      <w:r w:rsidRPr="00692206">
        <w:rPr>
          <w:rFonts w:asciiTheme="minorHAnsi" w:hAnsiTheme="minorHAnsi"/>
          <w:spacing w:val="1"/>
          <w:sz w:val="22"/>
          <w:szCs w:val="22"/>
        </w:rPr>
        <w:t>e</w:t>
      </w:r>
      <w:r w:rsidRPr="00692206">
        <w:rPr>
          <w:rFonts w:asciiTheme="minorHAnsi" w:hAnsiTheme="minorHAnsi"/>
          <w:sz w:val="22"/>
          <w:szCs w:val="22"/>
        </w:rPr>
        <w:t>s</w:t>
      </w:r>
      <w:r w:rsidRPr="00692206">
        <w:rPr>
          <w:rFonts w:asciiTheme="minorHAnsi" w:hAnsiTheme="minorHAnsi"/>
          <w:spacing w:val="-2"/>
          <w:sz w:val="22"/>
          <w:szCs w:val="22"/>
        </w:rPr>
        <w:t xml:space="preserve"> </w:t>
      </w:r>
      <w:r w:rsidRPr="00692206">
        <w:rPr>
          <w:rFonts w:asciiTheme="minorHAnsi" w:hAnsiTheme="minorHAnsi"/>
          <w:spacing w:val="1"/>
          <w:sz w:val="22"/>
          <w:szCs w:val="22"/>
        </w:rPr>
        <w:t>o</w:t>
      </w:r>
      <w:r w:rsidRPr="00692206">
        <w:rPr>
          <w:rFonts w:asciiTheme="minorHAnsi" w:hAnsiTheme="minorHAnsi"/>
          <w:sz w:val="22"/>
          <w:szCs w:val="22"/>
        </w:rPr>
        <w:t>r r</w:t>
      </w:r>
      <w:r w:rsidRPr="00692206">
        <w:rPr>
          <w:rFonts w:asciiTheme="minorHAnsi" w:hAnsiTheme="minorHAnsi"/>
          <w:spacing w:val="-2"/>
          <w:sz w:val="22"/>
          <w:szCs w:val="22"/>
        </w:rPr>
        <w:t>e</w:t>
      </w:r>
      <w:r w:rsidRPr="00692206">
        <w:rPr>
          <w:rFonts w:asciiTheme="minorHAnsi" w:hAnsiTheme="minorHAnsi"/>
          <w:sz w:val="22"/>
          <w:szCs w:val="22"/>
        </w:rPr>
        <w:t>si</w:t>
      </w:r>
      <w:r w:rsidRPr="00692206">
        <w:rPr>
          <w:rFonts w:asciiTheme="minorHAnsi" w:hAnsiTheme="minorHAnsi"/>
          <w:spacing w:val="-1"/>
          <w:sz w:val="22"/>
          <w:szCs w:val="22"/>
        </w:rPr>
        <w:t>du</w:t>
      </w:r>
      <w:r w:rsidRPr="00692206">
        <w:rPr>
          <w:rFonts w:asciiTheme="minorHAnsi" w:hAnsiTheme="minorHAnsi"/>
          <w:sz w:val="22"/>
          <w:szCs w:val="22"/>
        </w:rPr>
        <w:t xml:space="preserve">al </w:t>
      </w:r>
      <w:r w:rsidR="00815A3E" w:rsidRPr="00692206">
        <w:rPr>
          <w:rFonts w:asciiTheme="minorHAnsi" w:eastAsia="Calibri" w:hAnsiTheme="minorHAnsi"/>
          <w:spacing w:val="-1"/>
          <w:sz w:val="22"/>
          <w:szCs w:val="22"/>
        </w:rPr>
        <w:t>masses</w:t>
      </w:r>
      <w:r w:rsidR="00815A3E" w:rsidRPr="00692206">
        <w:rPr>
          <w:rFonts w:asciiTheme="minorHAnsi" w:eastAsia="Calibri" w:hAnsiTheme="minorHAnsi"/>
          <w:spacing w:val="1"/>
          <w:sz w:val="22"/>
          <w:szCs w:val="22"/>
        </w:rPr>
        <w:t xml:space="preserve"> </w:t>
      </w:r>
      <w:r w:rsidRPr="00692206">
        <w:rPr>
          <w:rFonts w:asciiTheme="minorHAnsi" w:hAnsiTheme="minorHAnsi"/>
          <w:color w:val="auto"/>
          <w:sz w:val="22"/>
          <w:szCs w:val="22"/>
        </w:rPr>
        <w:t xml:space="preserve">was </w:t>
      </w:r>
      <w:r w:rsidR="00815A3E" w:rsidRPr="00692206">
        <w:rPr>
          <w:rFonts w:asciiTheme="minorHAnsi" w:eastAsia="Calibri" w:hAnsiTheme="minorHAnsi" w:cstheme="minorBidi"/>
          <w:color w:val="auto"/>
          <w:sz w:val="22"/>
          <w:szCs w:val="22"/>
        </w:rPr>
        <w:t>according to routine practice in the participating centres</w:t>
      </w:r>
      <w:r w:rsidRPr="00692206">
        <w:rPr>
          <w:rFonts w:asciiTheme="minorHAnsi" w:eastAsia="Calibri" w:hAnsiTheme="minorHAnsi" w:cstheme="minorBidi"/>
          <w:color w:val="auto"/>
          <w:sz w:val="22"/>
          <w:szCs w:val="22"/>
        </w:rPr>
        <w:t>.</w:t>
      </w:r>
      <w:r w:rsidR="00E63CA0" w:rsidRPr="00692206">
        <w:rPr>
          <w:rFonts w:asciiTheme="minorHAnsi" w:eastAsia="Calibri" w:hAnsiTheme="minorHAnsi" w:cstheme="minorBidi"/>
          <w:color w:val="auto"/>
          <w:sz w:val="22"/>
          <w:szCs w:val="22"/>
        </w:rPr>
        <w:t xml:space="preserve">  Cross sectional imaging was repeated one month after administration of the final dose of chemotherapy to assess disease response using the International Working Group Response Criteria for Non-Hodgkin Lymphoma</w:t>
      </w:r>
      <w:r w:rsidR="0054471C">
        <w:rPr>
          <w:rFonts w:asciiTheme="minorHAnsi" w:eastAsia="Calibri" w:hAnsiTheme="minorHAnsi" w:cstheme="minorBidi"/>
          <w:color w:val="auto"/>
          <w:sz w:val="22"/>
          <w:szCs w:val="22"/>
        </w:rPr>
        <w:t>,</w:t>
      </w:r>
      <w:r w:rsidR="00B32483">
        <w:rPr>
          <w:rFonts w:asciiTheme="minorHAnsi" w:eastAsia="Calibri" w:hAnsiTheme="minorHAnsi" w:cstheme="minorBidi"/>
          <w:color w:val="auto"/>
          <w:sz w:val="22"/>
          <w:szCs w:val="22"/>
        </w:rPr>
        <w:t xml:space="preserve"> and repeated at 12 months</w:t>
      </w:r>
      <w:r w:rsidR="00770B1B" w:rsidRPr="009C0CA5">
        <w:rPr>
          <w:rFonts w:asciiTheme="minorHAnsi" w:eastAsia="Calibri" w:hAnsiTheme="minorHAnsi" w:cstheme="minorBidi"/>
          <w:color w:val="auto"/>
          <w:sz w:val="22"/>
          <w:szCs w:val="22"/>
          <w:vertAlign w:val="superscript"/>
        </w:rPr>
        <w:t>9</w:t>
      </w:r>
      <w:r w:rsidR="00E63CA0" w:rsidRPr="00692206">
        <w:rPr>
          <w:rFonts w:asciiTheme="minorHAnsi" w:eastAsia="Calibri" w:hAnsiTheme="minorHAnsi" w:cstheme="minorBidi"/>
          <w:color w:val="auto"/>
          <w:sz w:val="22"/>
          <w:szCs w:val="22"/>
        </w:rPr>
        <w:t>.</w:t>
      </w:r>
    </w:p>
    <w:p w14:paraId="2FE3F24F" w14:textId="5A5D0039" w:rsidR="00A37571" w:rsidRPr="00692206" w:rsidRDefault="00B55ACA" w:rsidP="00324F29">
      <w:pPr>
        <w:spacing w:before="120" w:after="0"/>
        <w:ind w:right="-20"/>
        <w:jc w:val="both"/>
      </w:pPr>
      <w:r w:rsidRPr="00692206">
        <w:rPr>
          <w:rFonts w:cs="Calibri"/>
        </w:rPr>
        <w:t xml:space="preserve">Participants were assessed </w:t>
      </w:r>
      <w:r w:rsidR="00A941EB" w:rsidRPr="00692206">
        <w:rPr>
          <w:rFonts w:eastAsia="Calibri"/>
        </w:rPr>
        <w:t xml:space="preserve">clinically </w:t>
      </w:r>
      <w:r w:rsidR="00E20FDA" w:rsidRPr="00692206">
        <w:rPr>
          <w:rFonts w:eastAsia="Calibri"/>
        </w:rPr>
        <w:t>at</w:t>
      </w:r>
      <w:r w:rsidR="000757C5">
        <w:rPr>
          <w:rFonts w:eastAsia="Calibri"/>
        </w:rPr>
        <w:t xml:space="preserve"> each </w:t>
      </w:r>
      <w:r w:rsidRPr="00692206">
        <w:rPr>
          <w:rFonts w:ascii="Calibri" w:hAnsi="Calibri" w:cs="Calibri"/>
          <w:color w:val="000000"/>
        </w:rPr>
        <w:t>treatment</w:t>
      </w:r>
      <w:r w:rsidR="00F66622" w:rsidRPr="00692206">
        <w:rPr>
          <w:rFonts w:eastAsia="Calibri"/>
        </w:rPr>
        <w:t xml:space="preserve"> cycle</w:t>
      </w:r>
      <w:r w:rsidR="000757C5">
        <w:rPr>
          <w:rFonts w:ascii="Calibri" w:hAnsi="Calibri" w:cs="Calibri"/>
          <w:color w:val="000000"/>
        </w:rPr>
        <w:t xml:space="preserve"> and </w:t>
      </w:r>
      <w:r w:rsidRPr="00692206">
        <w:rPr>
          <w:rFonts w:ascii="Calibri" w:hAnsi="Calibri" w:cs="Calibri"/>
          <w:color w:val="000000"/>
        </w:rPr>
        <w:t>fo</w:t>
      </w:r>
      <w:r w:rsidR="00F904EF" w:rsidRPr="00692206">
        <w:rPr>
          <w:rFonts w:ascii="Calibri" w:hAnsi="Calibri" w:cs="Calibri"/>
          <w:color w:val="000000"/>
        </w:rPr>
        <w:t xml:space="preserve">llowing treatment </w:t>
      </w:r>
      <w:r w:rsidR="004710FD">
        <w:rPr>
          <w:rFonts w:ascii="Calibri" w:hAnsi="Calibri" w:cs="Calibri"/>
          <w:color w:val="000000"/>
        </w:rPr>
        <w:t>completion</w:t>
      </w:r>
      <w:r w:rsidR="003406F9">
        <w:rPr>
          <w:rFonts w:ascii="Calibri" w:hAnsi="Calibri" w:cs="Calibri"/>
          <w:color w:val="000000"/>
        </w:rPr>
        <w:t xml:space="preserve">, </w:t>
      </w:r>
      <w:r w:rsidRPr="00692206">
        <w:rPr>
          <w:rFonts w:ascii="Calibri" w:hAnsi="Calibri" w:cs="Calibri"/>
          <w:color w:val="000000"/>
        </w:rPr>
        <w:t xml:space="preserve">every 3 months for a year and thereafter 6 monthly until 5 </w:t>
      </w:r>
      <w:r w:rsidRPr="00692206">
        <w:rPr>
          <w:rFonts w:eastAsia="Calibri"/>
        </w:rPr>
        <w:t>years</w:t>
      </w:r>
      <w:r w:rsidR="00A941EB" w:rsidRPr="00692206">
        <w:rPr>
          <w:rFonts w:eastAsia="Calibri"/>
        </w:rPr>
        <w:t>’</w:t>
      </w:r>
      <w:r w:rsidR="004710FD">
        <w:rPr>
          <w:rFonts w:ascii="Calibri" w:hAnsi="Calibri" w:cs="Calibri"/>
          <w:color w:val="000000"/>
        </w:rPr>
        <w:t xml:space="preserve"> total follow up. At each </w:t>
      </w:r>
      <w:r w:rsidR="003406F9">
        <w:rPr>
          <w:rFonts w:ascii="Calibri" w:hAnsi="Calibri" w:cs="Calibri"/>
          <w:color w:val="000000"/>
        </w:rPr>
        <w:t>a</w:t>
      </w:r>
      <w:r w:rsidRPr="00692206">
        <w:rPr>
          <w:rFonts w:ascii="Calibri" w:hAnsi="Calibri" w:cs="Calibri"/>
          <w:color w:val="000000"/>
        </w:rPr>
        <w:t>ssessment, medical history</w:t>
      </w:r>
      <w:r w:rsidR="004D70B9">
        <w:rPr>
          <w:rFonts w:ascii="Calibri" w:hAnsi="Calibri" w:cs="Calibri"/>
          <w:color w:val="000000"/>
        </w:rPr>
        <w:t xml:space="preserve"> including adverse events</w:t>
      </w:r>
      <w:r w:rsidRPr="00692206">
        <w:rPr>
          <w:rFonts w:ascii="Calibri" w:hAnsi="Calibri" w:cs="Calibri"/>
          <w:color w:val="000000"/>
        </w:rPr>
        <w:t>, physical examination, ECOG performanc</w:t>
      </w:r>
      <w:r w:rsidR="004710FD">
        <w:rPr>
          <w:rFonts w:ascii="Calibri" w:hAnsi="Calibri" w:cs="Calibri"/>
          <w:color w:val="000000"/>
        </w:rPr>
        <w:t>e status and routine laboratory</w:t>
      </w:r>
      <w:r w:rsidR="00253286">
        <w:rPr>
          <w:rFonts w:ascii="Calibri" w:hAnsi="Calibri" w:cs="Calibri"/>
          <w:color w:val="000000"/>
        </w:rPr>
        <w:t xml:space="preserve"> </w:t>
      </w:r>
      <w:r w:rsidRPr="00692206">
        <w:rPr>
          <w:rFonts w:ascii="Calibri" w:hAnsi="Calibri" w:cs="Calibri"/>
          <w:color w:val="000000"/>
        </w:rPr>
        <w:t>tests were performed. Progressions were recorded following clin</w:t>
      </w:r>
      <w:r w:rsidR="004710FD">
        <w:rPr>
          <w:rFonts w:ascii="Calibri" w:hAnsi="Calibri" w:cs="Calibri"/>
          <w:color w:val="000000"/>
        </w:rPr>
        <w:t>ical assessment and imaging</w:t>
      </w:r>
      <w:r w:rsidR="00CB1985">
        <w:rPr>
          <w:rFonts w:ascii="Calibri" w:hAnsi="Calibri" w:cs="Calibri"/>
          <w:color w:val="000000"/>
        </w:rPr>
        <w:t>, determined by local investigators, according to the standard criteria</w:t>
      </w:r>
      <w:r w:rsidR="00CB1985" w:rsidRPr="00CB1985">
        <w:rPr>
          <w:rFonts w:ascii="Calibri" w:hAnsi="Calibri" w:cs="Calibri"/>
          <w:color w:val="000000"/>
          <w:vertAlign w:val="superscript"/>
        </w:rPr>
        <w:t>9</w:t>
      </w:r>
      <w:r w:rsidR="004710FD">
        <w:rPr>
          <w:rFonts w:ascii="Calibri" w:hAnsi="Calibri" w:cs="Calibri"/>
          <w:color w:val="000000"/>
        </w:rPr>
        <w:t>; at</w:t>
      </w:r>
      <w:r w:rsidR="00253286">
        <w:rPr>
          <w:rFonts w:ascii="Calibri" w:hAnsi="Calibri" w:cs="Calibri"/>
          <w:color w:val="000000"/>
        </w:rPr>
        <w:t xml:space="preserve"> </w:t>
      </w:r>
      <w:r w:rsidRPr="00692206">
        <w:rPr>
          <w:rFonts w:ascii="Calibri" w:hAnsi="Calibri" w:cs="Calibri"/>
          <w:color w:val="000000"/>
        </w:rPr>
        <w:t>progression trial treatment was discontinued and patients were followed for survival.</w:t>
      </w:r>
    </w:p>
    <w:p w14:paraId="10902689" w14:textId="37AFB555" w:rsidR="00C265E8" w:rsidRPr="00692206" w:rsidRDefault="00C265E8" w:rsidP="00324F29">
      <w:pPr>
        <w:spacing w:before="120"/>
        <w:jc w:val="both"/>
      </w:pPr>
      <w:r w:rsidRPr="00692206">
        <w:t>Histological</w:t>
      </w:r>
      <w:r w:rsidR="000C325A" w:rsidRPr="00692206">
        <w:t xml:space="preserve"> haematoxylin and eosin</w:t>
      </w:r>
      <w:r w:rsidRPr="00692206">
        <w:t xml:space="preserve"> </w:t>
      </w:r>
      <w:r w:rsidR="000C325A" w:rsidRPr="00692206">
        <w:t>(</w:t>
      </w:r>
      <w:r w:rsidRPr="00692206">
        <w:t>H</w:t>
      </w:r>
      <w:r w:rsidR="00F64C23" w:rsidRPr="00692206">
        <w:t>&amp;</w:t>
      </w:r>
      <w:r w:rsidRPr="00692206">
        <w:t>E</w:t>
      </w:r>
      <w:r w:rsidR="000C325A" w:rsidRPr="00692206">
        <w:t>)</w:t>
      </w:r>
      <w:r w:rsidRPr="00692206">
        <w:t xml:space="preserve"> sections from </w:t>
      </w:r>
      <w:r w:rsidR="00620046">
        <w:t xml:space="preserve">formalin-fixed paraffin embedded (FFPE) </w:t>
      </w:r>
      <w:r w:rsidRPr="00692206">
        <w:t>sample</w:t>
      </w:r>
      <w:r w:rsidR="00620046">
        <w:t>s</w:t>
      </w:r>
      <w:r w:rsidRPr="00692206">
        <w:t xml:space="preserve"> were reviewed </w:t>
      </w:r>
      <w:r w:rsidR="00F64C23" w:rsidRPr="00692206">
        <w:t xml:space="preserve"> in the </w:t>
      </w:r>
      <w:r w:rsidRPr="00692206">
        <w:t>central</w:t>
      </w:r>
      <w:r w:rsidR="00F64C23" w:rsidRPr="00692206">
        <w:t xml:space="preserve"> </w:t>
      </w:r>
      <w:r w:rsidRPr="00692206">
        <w:t>l</w:t>
      </w:r>
      <w:r w:rsidR="00F64C23" w:rsidRPr="00692206">
        <w:t>aborator</w:t>
      </w:r>
      <w:r w:rsidRPr="00692206">
        <w:t xml:space="preserve">y as a quality check. Macrodissection of tumour was </w:t>
      </w:r>
      <w:r w:rsidR="00C23AC6">
        <w:t>performed</w:t>
      </w:r>
      <w:r w:rsidRPr="00692206">
        <w:t xml:space="preserve"> by scraping the area of interest from unstained sections </w:t>
      </w:r>
      <w:r w:rsidR="00C23AC6">
        <w:t>on</w:t>
      </w:r>
      <w:r w:rsidRPr="00692206">
        <w:t xml:space="preserve"> plain microscope slides. RNA was extracted using the Ambion RecoverAll™ Total Nucleic Acid Isolation Kit for FFPE</w:t>
      </w:r>
      <w:r w:rsidR="00594674">
        <w:t xml:space="preserve"> </w:t>
      </w:r>
      <w:r w:rsidR="00305FF3">
        <w:t>(ThermoFisher, Waltham, USA)</w:t>
      </w:r>
      <w:r w:rsidRPr="00692206">
        <w:t>, using the manufacturers prot</w:t>
      </w:r>
      <w:r w:rsidR="00C23AC6">
        <w:t>ocol, with the exception that 2</w:t>
      </w:r>
      <w:r w:rsidR="00265EA8" w:rsidRPr="00692206">
        <w:t xml:space="preserve"> </w:t>
      </w:r>
      <w:r w:rsidRPr="00692206">
        <w:t xml:space="preserve">washes in xylene and alcohol were used to remove wax, </w:t>
      </w:r>
      <w:r w:rsidR="00C23AC6">
        <w:t>with</w:t>
      </w:r>
      <w:r w:rsidRPr="00692206">
        <w:t xml:space="preserve"> extended digestion in Proteinase K overnight.</w:t>
      </w:r>
    </w:p>
    <w:p w14:paraId="091ACF81" w14:textId="34FF3CFA" w:rsidR="00CF7806" w:rsidRPr="00692206" w:rsidRDefault="00C265E8" w:rsidP="00324F29">
      <w:pPr>
        <w:spacing w:before="120"/>
        <w:jc w:val="both"/>
      </w:pPr>
      <w:r w:rsidRPr="00692206">
        <w:t>Gene expression profiling was performed using Illumina whole genome cDNA-mediated annealing, selection, extension and ligation (WG-DASL</w:t>
      </w:r>
      <w:r w:rsidR="00305FF3">
        <w:t>;</w:t>
      </w:r>
      <w:r w:rsidR="00594674">
        <w:t xml:space="preserve"> Illumina, </w:t>
      </w:r>
      <w:r w:rsidR="002D3C3B">
        <w:t>San Diego, USA</w:t>
      </w:r>
      <w:r w:rsidRPr="00692206">
        <w:t>) assay.</w:t>
      </w:r>
      <w:r w:rsidR="00DA25EC" w:rsidRPr="00692206">
        <w:t xml:space="preserve">  </w:t>
      </w:r>
      <w:r w:rsidRPr="00692206">
        <w:t xml:space="preserve">Patient samples were classified as either ABC, GCB, Unclassified or </w:t>
      </w:r>
      <w:r w:rsidR="00370521" w:rsidRPr="00692206">
        <w:t xml:space="preserve">Fail </w:t>
      </w:r>
      <w:r w:rsidRPr="00692206">
        <w:t xml:space="preserve">using the DASL automated classifier (DAC) previously described, using a </w:t>
      </w:r>
      <w:r w:rsidR="00ED5F3F" w:rsidRPr="00692206">
        <w:t xml:space="preserve">quality </w:t>
      </w:r>
      <w:r w:rsidR="006F3510" w:rsidRPr="00692206">
        <w:t>control</w:t>
      </w:r>
      <w:r w:rsidRPr="00692206">
        <w:t xml:space="preserve"> of &gt;1 to define technical failure</w:t>
      </w:r>
      <w:r w:rsidR="00F87704" w:rsidRPr="009C0CA5">
        <w:rPr>
          <w:vertAlign w:val="superscript"/>
        </w:rPr>
        <w:t>10</w:t>
      </w:r>
      <w:r w:rsidRPr="00692206">
        <w:t xml:space="preserve">. </w:t>
      </w:r>
      <w:r w:rsidR="00004C1C">
        <w:t>Th</w:t>
      </w:r>
      <w:r w:rsidRPr="00692206">
        <w:t xml:space="preserve">e confidence of each sample being </w:t>
      </w:r>
      <w:r w:rsidR="00E877FE" w:rsidRPr="00692206">
        <w:t xml:space="preserve">one </w:t>
      </w:r>
      <w:r w:rsidRPr="00692206">
        <w:t>of 3 classes was recorded and the final class defined as that wit</w:t>
      </w:r>
      <w:r w:rsidR="00880A65" w:rsidRPr="00692206">
        <w:t>h the highest confidence score.</w:t>
      </w:r>
    </w:p>
    <w:p w14:paraId="591B57D5" w14:textId="28A14DF6" w:rsidR="00ED1DF1" w:rsidRDefault="00C265E8" w:rsidP="00324F29">
      <w:pPr>
        <w:spacing w:before="120"/>
        <w:jc w:val="both"/>
      </w:pPr>
      <w:r w:rsidRPr="00692206">
        <w:t xml:space="preserve">Where possible, </w:t>
      </w:r>
      <w:r w:rsidR="008E0F7C" w:rsidRPr="00692206">
        <w:t xml:space="preserve">biopsy </w:t>
      </w:r>
      <w:r w:rsidRPr="00692206">
        <w:t xml:space="preserve">material was </w:t>
      </w:r>
      <w:r w:rsidR="008E0F7C" w:rsidRPr="00692206">
        <w:t>used for</w:t>
      </w:r>
      <w:r w:rsidRPr="00692206">
        <w:t xml:space="preserve"> </w:t>
      </w:r>
      <w:r w:rsidR="008E0F7C" w:rsidRPr="00692206">
        <w:t xml:space="preserve">construction of tissue micorarrays (TMA) for </w:t>
      </w:r>
      <w:r w:rsidRPr="00692206">
        <w:t>immunohistochemi</w:t>
      </w:r>
      <w:r w:rsidR="008E0F7C" w:rsidRPr="00692206">
        <w:t>stry,</w:t>
      </w:r>
      <w:r w:rsidRPr="00692206">
        <w:t xml:space="preserve"> F</w:t>
      </w:r>
      <w:r w:rsidR="008E0F7C" w:rsidRPr="00692206">
        <w:t xml:space="preserve">luorescent </w:t>
      </w:r>
      <w:r w:rsidRPr="00692206">
        <w:t>I</w:t>
      </w:r>
      <w:r w:rsidR="008E0F7C" w:rsidRPr="00692206">
        <w:t>n-</w:t>
      </w:r>
      <w:r w:rsidRPr="00692206">
        <w:t>S</w:t>
      </w:r>
      <w:r w:rsidR="008E0F7C" w:rsidRPr="00692206">
        <w:t xml:space="preserve">itu </w:t>
      </w:r>
      <w:r w:rsidRPr="00692206">
        <w:t>H</w:t>
      </w:r>
      <w:r w:rsidR="008E0F7C" w:rsidRPr="00692206">
        <w:t>ybridisation (</w:t>
      </w:r>
      <w:r w:rsidRPr="00692206">
        <w:t>FISH</w:t>
      </w:r>
      <w:r w:rsidR="008E0F7C" w:rsidRPr="00692206">
        <w:t>)</w:t>
      </w:r>
      <w:r w:rsidRPr="00692206">
        <w:t xml:space="preserve">, </w:t>
      </w:r>
      <w:r w:rsidR="008E0F7C" w:rsidRPr="00692206">
        <w:t>and</w:t>
      </w:r>
      <w:r w:rsidRPr="00692206">
        <w:t xml:space="preserve"> DNA extraction. </w:t>
      </w:r>
      <w:r w:rsidR="008E0F7C" w:rsidRPr="00692206">
        <w:t xml:space="preserve"> </w:t>
      </w:r>
      <w:r w:rsidRPr="00692206">
        <w:t xml:space="preserve">Specifically, immunohistochemistry for </w:t>
      </w:r>
      <w:r w:rsidR="005D064A" w:rsidRPr="00692206">
        <w:t>MYC</w:t>
      </w:r>
      <w:r w:rsidRPr="00692206">
        <w:t xml:space="preserve"> and </w:t>
      </w:r>
      <w:r w:rsidR="005D064A" w:rsidRPr="00692206">
        <w:t>BCL-2</w:t>
      </w:r>
      <w:r w:rsidRPr="00692206">
        <w:t xml:space="preserve"> (dual) expression was performed on </w:t>
      </w:r>
      <w:r w:rsidR="008E0F7C" w:rsidRPr="00692206">
        <w:t>TMA</w:t>
      </w:r>
      <w:r w:rsidRPr="00692206">
        <w:t xml:space="preserve"> (n=358) using Abcam</w:t>
      </w:r>
      <w:r w:rsidR="00F01398">
        <w:t xml:space="preserve"> (</w:t>
      </w:r>
      <w:r w:rsidR="002611AB">
        <w:t>Cambridge, UK;</w:t>
      </w:r>
      <w:r w:rsidRPr="00692206">
        <w:t xml:space="preserve"> </w:t>
      </w:r>
      <w:r w:rsidR="00331EB8">
        <w:t>clone Y69</w:t>
      </w:r>
      <w:r w:rsidRPr="00692206">
        <w:t>) and Dako anti-</w:t>
      </w:r>
      <w:r w:rsidR="005D064A" w:rsidRPr="00692206">
        <w:t>BCL-2</w:t>
      </w:r>
      <w:r w:rsidRPr="00692206">
        <w:t xml:space="preserve"> (</w:t>
      </w:r>
      <w:r w:rsidR="00854D39">
        <w:t>Agilent, Santa Clara, USA</w:t>
      </w:r>
      <w:r w:rsidR="000A64BD">
        <w:t>;</w:t>
      </w:r>
      <w:r w:rsidR="000A64BD" w:rsidRPr="000A64BD">
        <w:t xml:space="preserve"> </w:t>
      </w:r>
      <w:r w:rsidR="000A64BD" w:rsidRPr="00692206">
        <w:t>clone 124</w:t>
      </w:r>
      <w:r w:rsidR="00854D39">
        <w:t>)</w:t>
      </w:r>
      <w:r w:rsidRPr="00692206">
        <w:t xml:space="preserve"> monoclonal antibodies</w:t>
      </w:r>
      <w:r w:rsidR="008E0F7C" w:rsidRPr="00692206">
        <w:t>,</w:t>
      </w:r>
      <w:r w:rsidRPr="00692206">
        <w:t xml:space="preserve"> scored by two independent assessors accord</w:t>
      </w:r>
      <w:r w:rsidR="005D064A" w:rsidRPr="00692206">
        <w:t>ing to recognised criteria</w:t>
      </w:r>
      <w:r w:rsidRPr="00692206">
        <w:t xml:space="preserve"> using cutoffs of </w:t>
      </w:r>
      <w:r w:rsidR="005E1B55">
        <w:rPr>
          <w:rStyle w:val="ilfuvd"/>
          <w:rFonts w:ascii="Arial" w:hAnsi="Arial" w:cs="Arial"/>
          <w:color w:val="222222"/>
        </w:rPr>
        <w:t>≥</w:t>
      </w:r>
      <w:r w:rsidRPr="00692206">
        <w:t xml:space="preserve">40% and </w:t>
      </w:r>
      <w:r w:rsidR="005E1B55">
        <w:rPr>
          <w:rStyle w:val="ilfuvd"/>
          <w:rFonts w:ascii="Arial" w:hAnsi="Arial" w:cs="Arial"/>
          <w:color w:val="222222"/>
        </w:rPr>
        <w:t>≥</w:t>
      </w:r>
      <w:r w:rsidRPr="00692206">
        <w:t>50% respectively.</w:t>
      </w:r>
      <w:r w:rsidR="00ED1DF1">
        <w:t xml:space="preserve"> </w:t>
      </w:r>
      <w:r w:rsidRPr="00692206">
        <w:t xml:space="preserve"> In the event of a disagreement of score, a third </w:t>
      </w:r>
      <w:r w:rsidR="008E0F7C" w:rsidRPr="00692206">
        <w:t>observer would</w:t>
      </w:r>
      <w:r w:rsidRPr="00692206">
        <w:t xml:space="preserve"> arbitrate. In </w:t>
      </w:r>
      <w:r w:rsidR="008E0F7C" w:rsidRPr="00692206">
        <w:t>c</w:t>
      </w:r>
      <w:r w:rsidRPr="00692206">
        <w:t xml:space="preserve">ases </w:t>
      </w:r>
      <w:r w:rsidR="008E0F7C" w:rsidRPr="00692206">
        <w:t>where</w:t>
      </w:r>
      <w:r w:rsidRPr="00692206">
        <w:t xml:space="preserve"> it was not possible to define whether a sample was positive or negative, these were defined as borderline.</w:t>
      </w:r>
      <w:r w:rsidR="00B155FB" w:rsidRPr="00692206">
        <w:t xml:space="preserve"> </w:t>
      </w:r>
      <w:r w:rsidR="00E02871" w:rsidRPr="00692206">
        <w:t xml:space="preserve"> </w:t>
      </w:r>
      <w:r w:rsidR="00B155FB" w:rsidRPr="00692206">
        <w:t>Using</w:t>
      </w:r>
      <w:r w:rsidR="005D064A" w:rsidRPr="00692206">
        <w:t xml:space="preserve"> these criteria,</w:t>
      </w:r>
      <w:r w:rsidR="00B155FB" w:rsidRPr="00692206">
        <w:t xml:space="preserve"> cases with high or average MYC and high or average BCL-2 expression</w:t>
      </w:r>
      <w:r w:rsidR="00E02871" w:rsidRPr="00692206">
        <w:t xml:space="preserve"> were used to define cut-off</w:t>
      </w:r>
      <w:r w:rsidR="005D064A" w:rsidRPr="00692206">
        <w:t xml:space="preserve"> </w:t>
      </w:r>
      <w:r w:rsidR="00B155FB" w:rsidRPr="00692206">
        <w:t xml:space="preserve">values for </w:t>
      </w:r>
      <w:r w:rsidR="00E02871" w:rsidRPr="00692206">
        <w:t>correlated mRNA levels</w:t>
      </w:r>
      <w:r w:rsidR="007D4CD1" w:rsidRPr="00692206">
        <w:t>. These were</w:t>
      </w:r>
      <w:r w:rsidR="00B155FB" w:rsidRPr="00692206">
        <w:t xml:space="preserve"> used to identify </w:t>
      </w:r>
      <w:r w:rsidR="00B155FB" w:rsidRPr="00692206">
        <w:rPr>
          <w:i/>
        </w:rPr>
        <w:t xml:space="preserve">MYC </w:t>
      </w:r>
      <w:r w:rsidR="00B155FB" w:rsidRPr="00692206">
        <w:t xml:space="preserve">and </w:t>
      </w:r>
      <w:r w:rsidR="00B155FB" w:rsidRPr="00692206">
        <w:rPr>
          <w:i/>
        </w:rPr>
        <w:t>BCL-2</w:t>
      </w:r>
      <w:r w:rsidR="00B155FB" w:rsidRPr="00692206">
        <w:t xml:space="preserve"> gene expression</w:t>
      </w:r>
      <w:r w:rsidR="00341674" w:rsidRPr="00692206">
        <w:t xml:space="preserve"> categor</w:t>
      </w:r>
      <w:r w:rsidR="00E02871" w:rsidRPr="00692206">
        <w:t>ies</w:t>
      </w:r>
      <w:r w:rsidR="00341674" w:rsidRPr="00692206">
        <w:t>: high or average.</w:t>
      </w:r>
    </w:p>
    <w:p w14:paraId="0F525DBF" w14:textId="5BC8046A" w:rsidR="00ED1DF1" w:rsidRDefault="00ED1DF1" w:rsidP="00324F29">
      <w:pPr>
        <w:spacing w:before="120"/>
        <w:jc w:val="both"/>
        <w:rPr>
          <w:rFonts w:cstheme="majorHAnsi"/>
          <w:lang w:val="en-US"/>
        </w:rPr>
      </w:pPr>
      <w:r w:rsidRPr="001D325B">
        <w:rPr>
          <w:rFonts w:cstheme="majorHAnsi"/>
          <w:lang w:val="en-US"/>
        </w:rPr>
        <w:lastRenderedPageBreak/>
        <w:t>DNA was extracted from tumour cells enriched by microdissection on FFPE tis</w:t>
      </w:r>
      <w:r w:rsidR="00C23AC6">
        <w:rPr>
          <w:rFonts w:cstheme="majorHAnsi"/>
          <w:lang w:val="en-US"/>
        </w:rPr>
        <w:t>sue sections and its quality assessed by PCR of variously-</w:t>
      </w:r>
      <w:r w:rsidRPr="001D325B">
        <w:rPr>
          <w:rFonts w:cstheme="majorHAnsi"/>
          <w:lang w:val="en-US"/>
        </w:rPr>
        <w:t>sized geno</w:t>
      </w:r>
      <w:r>
        <w:rPr>
          <w:rFonts w:cstheme="majorHAnsi"/>
          <w:lang w:val="en-US"/>
        </w:rPr>
        <w:t>mic fragments</w:t>
      </w:r>
      <w:r w:rsidR="00C23AC6">
        <w:rPr>
          <w:rFonts w:cstheme="majorHAnsi"/>
          <w:lang w:val="en-US"/>
        </w:rPr>
        <w:t xml:space="preserve">.  </w:t>
      </w:r>
      <w:r w:rsidRPr="001D325B">
        <w:rPr>
          <w:rFonts w:cstheme="majorHAnsi"/>
          <w:lang w:val="en-US"/>
        </w:rPr>
        <w:t>A panel of 70 genes that are recurrently mutated in aggressive B-cell lymphomas were investigated for mutation by targeted sequencing using HaloPlexHS target enrichment and Illumina HiSeq sequencing as described previously</w:t>
      </w:r>
      <w:r w:rsidR="00106E96" w:rsidRPr="009C0CA5">
        <w:rPr>
          <w:rFonts w:cstheme="majorHAnsi"/>
          <w:vertAlign w:val="superscript"/>
          <w:lang w:val="en-US"/>
        </w:rPr>
        <w:t>11</w:t>
      </w:r>
      <w:r w:rsidRPr="001D325B">
        <w:rPr>
          <w:rFonts w:cstheme="majorHAnsi"/>
          <w:lang w:val="en-US"/>
        </w:rPr>
        <w:t xml:space="preserve">.  This was carried out in a total of </w:t>
      </w:r>
      <w:r w:rsidRPr="0042688C">
        <w:rPr>
          <w:rFonts w:cstheme="majorHAnsi"/>
          <w:lang w:val="en-US"/>
        </w:rPr>
        <w:t>395 cases</w:t>
      </w:r>
      <w:r w:rsidRPr="001D325B">
        <w:rPr>
          <w:rFonts w:cstheme="majorHAnsi"/>
          <w:lang w:val="en-US"/>
        </w:rPr>
        <w:t xml:space="preserve"> where DNA was available with adequate quantity and quality.  Duplicate experiments were performed in </w:t>
      </w:r>
      <w:r w:rsidRPr="0042688C">
        <w:rPr>
          <w:rFonts w:cstheme="majorHAnsi"/>
          <w:lang w:val="en-US"/>
        </w:rPr>
        <w:t>61</w:t>
      </w:r>
      <w:r w:rsidRPr="001D325B">
        <w:rPr>
          <w:rFonts w:cstheme="majorHAnsi"/>
          <w:lang w:val="en-US"/>
        </w:rPr>
        <w:t xml:space="preserve"> cases</w:t>
      </w:r>
      <w:r w:rsidR="00C23AC6">
        <w:rPr>
          <w:rFonts w:cstheme="majorHAnsi"/>
          <w:lang w:val="en-US"/>
        </w:rPr>
        <w:t>,</w:t>
      </w:r>
      <w:r w:rsidRPr="001D325B">
        <w:rPr>
          <w:rFonts w:cstheme="majorHAnsi"/>
          <w:lang w:val="en-US"/>
        </w:rPr>
        <w:t xml:space="preserve"> including all those with quality control PCR showing amplification </w:t>
      </w:r>
      <w:r w:rsidR="00C23AC6">
        <w:rPr>
          <w:rFonts w:cstheme="majorHAnsi"/>
          <w:lang w:val="en-US"/>
        </w:rPr>
        <w:t>of ≤</w:t>
      </w:r>
      <w:r w:rsidRPr="001D325B">
        <w:rPr>
          <w:rFonts w:cstheme="majorHAnsi"/>
          <w:lang w:val="en-US"/>
        </w:rPr>
        <w:t>300bp genomic fragment</w:t>
      </w:r>
      <w:r w:rsidR="0083019E">
        <w:rPr>
          <w:rFonts w:cstheme="majorHAnsi"/>
          <w:lang w:val="en-US"/>
        </w:rPr>
        <w:t>s</w:t>
      </w:r>
      <w:r w:rsidRPr="001D325B">
        <w:rPr>
          <w:rFonts w:cstheme="majorHAnsi"/>
          <w:lang w:val="en-US"/>
        </w:rPr>
        <w:t xml:space="preserve">, </w:t>
      </w:r>
      <w:r w:rsidR="00A85D5E">
        <w:rPr>
          <w:rFonts w:cstheme="majorHAnsi"/>
          <w:lang w:val="en-US"/>
        </w:rPr>
        <w:t>and only those mutations which were reproducible in both samples were reported.  Samples</w:t>
      </w:r>
      <w:r w:rsidRPr="001D325B">
        <w:rPr>
          <w:rFonts w:cstheme="majorHAnsi"/>
          <w:lang w:val="en-US"/>
        </w:rPr>
        <w:t xml:space="preserve"> with better quality were investigated in a single replicate.  Variant calling, SN</w:t>
      </w:r>
      <w:r w:rsidRPr="0042688C">
        <w:rPr>
          <w:rFonts w:cstheme="majorHAnsi"/>
          <w:lang w:val="en-US"/>
        </w:rPr>
        <w:t xml:space="preserve">Ps and background </w:t>
      </w:r>
      <w:r w:rsidR="0083019E">
        <w:rPr>
          <w:rFonts w:cstheme="majorHAnsi"/>
          <w:lang w:val="en-US"/>
        </w:rPr>
        <w:t>noise filtering were</w:t>
      </w:r>
      <w:r w:rsidRPr="0042688C">
        <w:rPr>
          <w:rFonts w:cstheme="majorHAnsi"/>
          <w:lang w:val="en-US"/>
        </w:rPr>
        <w:t xml:space="preserve"> as previously described</w:t>
      </w:r>
      <w:r w:rsidR="00DC7B7F" w:rsidRPr="009C0CA5">
        <w:rPr>
          <w:rFonts w:cstheme="majorHAnsi"/>
          <w:vertAlign w:val="superscript"/>
          <w:lang w:val="en-US"/>
        </w:rPr>
        <w:t>11</w:t>
      </w:r>
      <w:r w:rsidRPr="0042688C">
        <w:rPr>
          <w:rFonts w:cstheme="majorHAnsi"/>
          <w:lang w:val="en-US"/>
        </w:rPr>
        <w:t>.  In a further 22 cases, mutation</w:t>
      </w:r>
      <w:r w:rsidR="0083019E">
        <w:rPr>
          <w:rFonts w:cstheme="majorHAnsi"/>
          <w:lang w:val="en-US"/>
        </w:rPr>
        <w:t>s</w:t>
      </w:r>
      <w:r w:rsidRPr="0042688C">
        <w:rPr>
          <w:rFonts w:cstheme="majorHAnsi"/>
          <w:lang w:val="en-US"/>
        </w:rPr>
        <w:t xml:space="preserve"> in 20 genes</w:t>
      </w:r>
      <w:r w:rsidR="0083019E">
        <w:rPr>
          <w:rFonts w:cstheme="majorHAnsi"/>
          <w:lang w:val="en-US"/>
        </w:rPr>
        <w:t xml:space="preserve"> (included in the above 70 gene</w:t>
      </w:r>
      <w:r w:rsidRPr="0042688C">
        <w:rPr>
          <w:rFonts w:cstheme="majorHAnsi"/>
          <w:lang w:val="en-US"/>
        </w:rPr>
        <w:t xml:space="preserve"> panel)</w:t>
      </w:r>
      <w:r w:rsidR="0083019E">
        <w:rPr>
          <w:rFonts w:cstheme="majorHAnsi"/>
          <w:lang w:val="en-US"/>
        </w:rPr>
        <w:t xml:space="preserve"> were analyzed in duplicate</w:t>
      </w:r>
      <w:r w:rsidRPr="001D325B">
        <w:rPr>
          <w:rFonts w:cstheme="majorHAnsi"/>
          <w:lang w:val="en-US"/>
        </w:rPr>
        <w:t xml:space="preserve"> </w:t>
      </w:r>
      <w:r>
        <w:rPr>
          <w:rFonts w:cstheme="majorHAnsi"/>
          <w:lang w:val="en-US"/>
        </w:rPr>
        <w:t xml:space="preserve">using </w:t>
      </w:r>
      <w:r w:rsidRPr="001D325B">
        <w:rPr>
          <w:rFonts w:cstheme="majorHAnsi"/>
          <w:lang w:val="en-US"/>
        </w:rPr>
        <w:t>Fluidigm multiplex PCR and Illumina MiSeq sequencing as described previously</w:t>
      </w:r>
      <w:r w:rsidR="00DC7B7F" w:rsidRPr="009C0CA5">
        <w:rPr>
          <w:rFonts w:cstheme="majorHAnsi"/>
          <w:vertAlign w:val="superscript"/>
          <w:lang w:val="en-US"/>
        </w:rPr>
        <w:t>11</w:t>
      </w:r>
      <w:r w:rsidR="0083019E">
        <w:rPr>
          <w:rFonts w:cstheme="majorHAnsi"/>
          <w:lang w:val="en-US"/>
        </w:rPr>
        <w:t>.</w:t>
      </w:r>
    </w:p>
    <w:p w14:paraId="6B45F5A5" w14:textId="542DD274" w:rsidR="00ED1DF1" w:rsidRPr="00ED1DF1" w:rsidRDefault="00ED1DF1" w:rsidP="00324F29">
      <w:pPr>
        <w:spacing w:before="120"/>
        <w:jc w:val="both"/>
      </w:pPr>
      <w:r>
        <w:rPr>
          <w:rFonts w:cstheme="majorHAnsi"/>
          <w:lang w:val="en-US"/>
        </w:rPr>
        <w:t xml:space="preserve">Variants detected by the above targeted sequencing methods were further assessed by </w:t>
      </w:r>
      <w:r w:rsidRPr="001D325B">
        <w:rPr>
          <w:rFonts w:cstheme="majorHAnsi"/>
          <w:lang w:val="en-US"/>
        </w:rPr>
        <w:t>functional prediction tools</w:t>
      </w:r>
      <w:r>
        <w:rPr>
          <w:rFonts w:cstheme="majorHAnsi"/>
          <w:lang w:val="en-US"/>
        </w:rPr>
        <w:t xml:space="preserve"> and those </w:t>
      </w:r>
      <w:r w:rsidRPr="001D325B">
        <w:rPr>
          <w:rFonts w:cstheme="majorHAnsi"/>
          <w:lang w:val="en-US"/>
        </w:rPr>
        <w:t>predicted to b</w:t>
      </w:r>
      <w:r>
        <w:rPr>
          <w:rFonts w:cstheme="majorHAnsi"/>
          <w:lang w:val="en-US"/>
        </w:rPr>
        <w:t xml:space="preserve">e benign by </w:t>
      </w:r>
      <w:r>
        <w:rPr>
          <w:rFonts w:cstheme="majorHAnsi"/>
          <w:lang w:val="en-US"/>
        </w:rPr>
        <w:sym w:font="Symbol" w:char="F0B3"/>
      </w:r>
      <w:r w:rsidRPr="001D325B">
        <w:rPr>
          <w:rFonts w:cstheme="majorHAnsi"/>
          <w:lang w:val="en-US"/>
        </w:rPr>
        <w:t xml:space="preserve">7 </w:t>
      </w:r>
      <w:r>
        <w:rPr>
          <w:rFonts w:cstheme="majorHAnsi"/>
          <w:lang w:val="en-US"/>
        </w:rPr>
        <w:t>out</w:t>
      </w:r>
      <w:r w:rsidRPr="001D325B">
        <w:rPr>
          <w:rFonts w:cstheme="majorHAnsi"/>
          <w:lang w:val="en-US"/>
        </w:rPr>
        <w:t xml:space="preserve"> of 9 </w:t>
      </w:r>
      <w:r>
        <w:rPr>
          <w:rFonts w:cstheme="majorHAnsi"/>
          <w:lang w:val="en-US"/>
        </w:rPr>
        <w:t xml:space="preserve">programs, not in </w:t>
      </w:r>
      <w:r w:rsidR="0083019E">
        <w:rPr>
          <w:rFonts w:cstheme="majorHAnsi"/>
          <w:lang w:val="en-US"/>
        </w:rPr>
        <w:t>the</w:t>
      </w:r>
      <w:r>
        <w:rPr>
          <w:rFonts w:cstheme="majorHAnsi"/>
          <w:lang w:val="en-US"/>
        </w:rPr>
        <w:t xml:space="preserve"> </w:t>
      </w:r>
      <w:r w:rsidRPr="001D325B">
        <w:rPr>
          <w:rFonts w:cstheme="majorHAnsi"/>
          <w:lang w:val="en-US"/>
        </w:rPr>
        <w:t>COSMIC database</w:t>
      </w:r>
      <w:r>
        <w:rPr>
          <w:rFonts w:cstheme="majorHAnsi"/>
          <w:lang w:val="en-US"/>
        </w:rPr>
        <w:t>, were excluded</w:t>
      </w:r>
      <w:r w:rsidRPr="001D325B">
        <w:rPr>
          <w:rFonts w:cstheme="majorHAnsi"/>
          <w:lang w:val="en-US"/>
        </w:rPr>
        <w:t xml:space="preserve">. </w:t>
      </w:r>
      <w:r>
        <w:rPr>
          <w:rFonts w:cstheme="majorHAnsi"/>
          <w:lang w:val="en-US"/>
        </w:rPr>
        <w:t xml:space="preserve"> </w:t>
      </w:r>
      <w:r w:rsidRPr="001D325B">
        <w:rPr>
          <w:rFonts w:cstheme="majorHAnsi"/>
          <w:lang w:val="en-US"/>
        </w:rPr>
        <w:t xml:space="preserve">The resulting variants were further </w:t>
      </w:r>
      <w:r w:rsidR="0083019E">
        <w:rPr>
          <w:rFonts w:cstheme="majorHAnsi"/>
          <w:lang w:val="en-US"/>
        </w:rPr>
        <w:t>scrutinized by reviewing the BAM</w:t>
      </w:r>
      <w:r w:rsidRPr="001D325B">
        <w:rPr>
          <w:rFonts w:cstheme="majorHAnsi"/>
          <w:lang w:val="en-US"/>
        </w:rPr>
        <w:t xml:space="preserve"> file to eliminate any potential PCR/sequence artefacts.</w:t>
      </w:r>
      <w:r w:rsidR="00597D69">
        <w:rPr>
          <w:rFonts w:cstheme="majorHAnsi"/>
          <w:lang w:val="en-US"/>
        </w:rPr>
        <w:t xml:space="preserve"> As part of a post hoc analysis, </w:t>
      </w:r>
      <w:r w:rsidR="00597D69">
        <w:rPr>
          <w:rStyle w:val="CommentReference"/>
          <w:sz w:val="22"/>
          <w:szCs w:val="22"/>
        </w:rPr>
        <w:t>samples were tested for the possible presence of primary mediastinal lymphoma using a Bayesian predictor described by the Lymphoma Molecular Profiling Project</w:t>
      </w:r>
      <w:r w:rsidR="00406579" w:rsidRPr="009C0CA5">
        <w:rPr>
          <w:rStyle w:val="CommentReference"/>
          <w:sz w:val="22"/>
          <w:szCs w:val="22"/>
          <w:vertAlign w:val="superscript"/>
        </w:rPr>
        <w:t>12</w:t>
      </w:r>
      <w:r w:rsidR="00597D69">
        <w:rPr>
          <w:rStyle w:val="CommentReference"/>
          <w:sz w:val="22"/>
          <w:szCs w:val="22"/>
        </w:rPr>
        <w:t>.</w:t>
      </w:r>
    </w:p>
    <w:p w14:paraId="4C4FB955" w14:textId="77777777" w:rsidR="0083019E" w:rsidRDefault="0083019E" w:rsidP="0030644C">
      <w:pPr>
        <w:spacing w:before="120" w:after="120"/>
        <w:ind w:right="-20"/>
        <w:jc w:val="both"/>
        <w:outlineLvl w:val="0"/>
        <w:rPr>
          <w:rFonts w:eastAsia="Calibri"/>
          <w:b/>
          <w:bCs/>
          <w:position w:val="1"/>
        </w:rPr>
      </w:pPr>
      <w:r>
        <w:rPr>
          <w:rFonts w:eastAsia="Calibri"/>
          <w:b/>
          <w:bCs/>
          <w:position w:val="1"/>
        </w:rPr>
        <w:t>Outcomes</w:t>
      </w:r>
    </w:p>
    <w:p w14:paraId="70871022" w14:textId="33CFA0EC" w:rsidR="0083019E" w:rsidRPr="0083019E" w:rsidRDefault="0083019E" w:rsidP="00324F29">
      <w:pPr>
        <w:spacing w:before="120" w:after="120"/>
        <w:ind w:right="-20"/>
        <w:jc w:val="both"/>
        <w:rPr>
          <w:rFonts w:eastAsia="Calibri"/>
          <w:b/>
          <w:bCs/>
          <w:position w:val="1"/>
        </w:rPr>
      </w:pPr>
      <w:r w:rsidRPr="00692206">
        <w:rPr>
          <w:rFonts w:eastAsia="Calibri"/>
        </w:rPr>
        <w:t>The primary outcome was PFS, defined as time from registration to the date of progression or death from any cause</w:t>
      </w:r>
      <w:r w:rsidRPr="00692206">
        <w:rPr>
          <w:rStyle w:val="CommentReference"/>
          <w:sz w:val="22"/>
          <w:szCs w:val="22"/>
        </w:rPr>
        <w:t xml:space="preserve">. </w:t>
      </w:r>
      <w:r>
        <w:rPr>
          <w:rStyle w:val="CommentReference"/>
          <w:sz w:val="22"/>
          <w:szCs w:val="22"/>
        </w:rPr>
        <w:t xml:space="preserve">Disease progression was determined using </w:t>
      </w:r>
      <w:r w:rsidRPr="00692206">
        <w:rPr>
          <w:rFonts w:eastAsia="Calibri"/>
        </w:rPr>
        <w:t>the International Working Group Response Criteria for Non-Hodgkin Lymphoma</w:t>
      </w:r>
      <w:r w:rsidRPr="00692206">
        <w:rPr>
          <w:rFonts w:eastAsia="Calibri"/>
        </w:rPr>
        <w:fldChar w:fldCharType="begin"/>
      </w:r>
      <w:r w:rsidR="005978EC">
        <w:rPr>
          <w:rFonts w:eastAsia="Calibri"/>
        </w:rPr>
        <w:instrText xml:space="preserve"> ADDIN EN.CITE &lt;EndNote&gt;&lt;Cite&gt;&lt;Author&gt;Cheson&lt;/Author&gt;&lt;Year&gt;1999&lt;/Year&gt;&lt;RecNum&gt;11&lt;/RecNum&gt;&lt;DisplayText&gt;&lt;style face="superscript"&gt;14&lt;/style&gt;&lt;/DisplayText&gt;&lt;record&gt;&lt;rec-number&gt;11&lt;/rec-number&gt;&lt;foreign-keys&gt;&lt;key app="EN" db-id="x5tsapa0jsa2f9ezwf6pvxtjvzssazwe5d5e" timestamp="1531833840"&gt;11&lt;/key&gt;&lt;/foreign-keys&gt;&lt;ref-type name="Journal Article"&gt;17&lt;/ref-type&gt;&lt;contributors&gt;&lt;authors&gt;&lt;author&gt;Cheson, Bruce D&lt;/author&gt;&lt;author&gt;Horning, Sandra J&lt;/author&gt;&lt;author&gt;Coiffier, Bertr&lt;/author&gt;&lt;author&gt;Shipp, Margaret A&lt;/author&gt;&lt;author&gt;Fisher, Richard I&lt;/author&gt;&lt;author&gt;Connors, Joseph M&lt;/author&gt;&lt;author&gt;Lister, T Andrew&lt;/author&gt;&lt;author&gt;Vose, Julie&lt;/author&gt;&lt;author&gt;Grillo-López, Antonio&lt;/author&gt;&lt;author&gt;Hagenbeek, Anton&lt;/author&gt;&lt;/authors&gt;&lt;/contributors&gt;&lt;titles&gt;&lt;title&gt;Report of an international workshop to standardize response criteria for non-Hodgkin&amp;apos;s lymphomas&lt;/title&gt;&lt;secondary-title&gt;Journal of clinical oncology&lt;/secondary-title&gt;&lt;/titles&gt;&lt;periodical&gt;&lt;full-title&gt;Journal of Clinical Oncology&lt;/full-title&gt;&lt;/periodical&gt;&lt;pages&gt;1244-1244&lt;/pages&gt;&lt;volume&gt;17&lt;/volume&gt;&lt;number&gt;4&lt;/number&gt;&lt;dates&gt;&lt;year&gt;1999&lt;/year&gt;&lt;/dates&gt;&lt;isbn&gt;0732-183X&lt;/isbn&gt;&lt;urls&gt;&lt;/urls&gt;&lt;/record&gt;&lt;/Cite&gt;&lt;/EndNote&gt;</w:instrText>
      </w:r>
      <w:r w:rsidRPr="00692206">
        <w:rPr>
          <w:rFonts w:eastAsia="Calibri"/>
        </w:rPr>
        <w:fldChar w:fldCharType="separate"/>
      </w:r>
      <w:r w:rsidRPr="001B5880">
        <w:rPr>
          <w:rFonts w:eastAsia="Calibri"/>
          <w:noProof/>
          <w:vertAlign w:val="superscript"/>
        </w:rPr>
        <w:t>14</w:t>
      </w:r>
      <w:r w:rsidRPr="00692206">
        <w:rPr>
          <w:rFonts w:eastAsia="Calibri"/>
        </w:rPr>
        <w:fldChar w:fldCharType="end"/>
      </w:r>
      <w:r>
        <w:rPr>
          <w:rFonts w:eastAsia="Calibri"/>
        </w:rPr>
        <w:t>.</w:t>
      </w:r>
      <w:r w:rsidRPr="00692206">
        <w:rPr>
          <w:rFonts w:eastAsia="Calibri"/>
        </w:rPr>
        <w:t xml:space="preserve"> </w:t>
      </w:r>
      <w:r>
        <w:rPr>
          <w:rFonts w:eastAsia="Calibri"/>
        </w:rPr>
        <w:t>Participants free from progression or death were</w:t>
      </w:r>
      <w:r w:rsidRPr="00692206">
        <w:rPr>
          <w:rFonts w:eastAsia="Calibri"/>
        </w:rPr>
        <w:t xml:space="preserve"> censored at the date of their last visit.</w:t>
      </w:r>
      <w:r>
        <w:rPr>
          <w:rFonts w:eastAsia="Calibri"/>
          <w:b/>
          <w:bCs/>
          <w:position w:val="1"/>
        </w:rPr>
        <w:t xml:space="preserve"> </w:t>
      </w:r>
      <w:r>
        <w:rPr>
          <w:rFonts w:eastAsia="Calibri"/>
          <w:bCs/>
          <w:position w:val="1"/>
        </w:rPr>
        <w:t>S</w:t>
      </w:r>
      <w:r w:rsidRPr="00F3294F">
        <w:rPr>
          <w:rFonts w:eastAsia="Calibri"/>
          <w:bCs/>
          <w:position w:val="1"/>
        </w:rPr>
        <w:t xml:space="preserve">econdary </w:t>
      </w:r>
      <w:r>
        <w:rPr>
          <w:rFonts w:eastAsia="Calibri"/>
          <w:bCs/>
          <w:position w:val="1"/>
        </w:rPr>
        <w:t xml:space="preserve">outcomes </w:t>
      </w:r>
      <w:r w:rsidR="00950240">
        <w:rPr>
          <w:rFonts w:eastAsia="Calibri"/>
          <w:bCs/>
          <w:position w:val="1"/>
        </w:rPr>
        <w:t xml:space="preserve">were </w:t>
      </w:r>
      <w:r>
        <w:rPr>
          <w:rFonts w:eastAsia="Calibri"/>
          <w:bCs/>
          <w:position w:val="1"/>
        </w:rPr>
        <w:t>the time-to-event variable</w:t>
      </w:r>
      <w:r w:rsidR="00950240">
        <w:rPr>
          <w:rFonts w:eastAsia="Calibri"/>
          <w:bCs/>
          <w:position w:val="1"/>
        </w:rPr>
        <w:t>s</w:t>
      </w:r>
      <w:r>
        <w:rPr>
          <w:rFonts w:eastAsia="Calibri"/>
          <w:bCs/>
          <w:position w:val="1"/>
        </w:rPr>
        <w:t xml:space="preserve"> of overall survival (OS), </w:t>
      </w:r>
      <w:r w:rsidR="00950240">
        <w:t>e</w:t>
      </w:r>
      <w:r w:rsidR="00950240" w:rsidRPr="00F74895">
        <w:t>vent</w:t>
      </w:r>
      <w:r w:rsidR="00950240">
        <w:t>-</w:t>
      </w:r>
      <w:r w:rsidR="00950240" w:rsidRPr="00F74895">
        <w:t>free survival</w:t>
      </w:r>
      <w:r w:rsidR="00950240">
        <w:t>; d</w:t>
      </w:r>
      <w:r w:rsidR="00950240" w:rsidRPr="00F74895">
        <w:t>isease</w:t>
      </w:r>
      <w:r w:rsidR="00950240">
        <w:t>-</w:t>
      </w:r>
      <w:r w:rsidR="00950240" w:rsidRPr="00F74895">
        <w:t>free survival</w:t>
      </w:r>
      <w:r w:rsidR="00950240">
        <w:t xml:space="preserve"> and t</w:t>
      </w:r>
      <w:r w:rsidR="00950240" w:rsidRPr="00F74895">
        <w:t>ime to progression</w:t>
      </w:r>
      <w:r w:rsidR="00950240">
        <w:t>; r</w:t>
      </w:r>
      <w:r w:rsidR="00950240" w:rsidRPr="00F74895">
        <w:t>esponse duration</w:t>
      </w:r>
      <w:r w:rsidR="00950240">
        <w:t>;</w:t>
      </w:r>
      <w:r w:rsidR="00950240" w:rsidRPr="00F74895">
        <w:t xml:space="preserve"> </w:t>
      </w:r>
      <w:r w:rsidR="00950240">
        <w:t>c</w:t>
      </w:r>
      <w:r w:rsidR="00950240" w:rsidRPr="00F74895">
        <w:t>omplete and overall response rates</w:t>
      </w:r>
      <w:r w:rsidR="00950240">
        <w:t>; evaluation of toxicity; q</w:t>
      </w:r>
      <w:r w:rsidR="00950240" w:rsidRPr="00F74895">
        <w:t>uality of life and assessment of peripheral neuropathy</w:t>
      </w:r>
      <w:r>
        <w:rPr>
          <w:rFonts w:eastAsia="Calibri"/>
          <w:bCs/>
          <w:position w:val="1"/>
        </w:rPr>
        <w:t xml:space="preserve">. </w:t>
      </w:r>
    </w:p>
    <w:p w14:paraId="04209B02" w14:textId="77777777" w:rsidR="0083019E" w:rsidRPr="00BA02DB" w:rsidRDefault="0083019E" w:rsidP="0030644C">
      <w:pPr>
        <w:spacing w:before="120"/>
        <w:jc w:val="both"/>
        <w:outlineLvl w:val="0"/>
        <w:rPr>
          <w:rFonts w:eastAsia="Calibri"/>
          <w:b/>
        </w:rPr>
      </w:pPr>
      <w:r w:rsidRPr="00BA02DB">
        <w:rPr>
          <w:rFonts w:eastAsia="Calibri"/>
          <w:b/>
        </w:rPr>
        <w:t>Statistical analysis</w:t>
      </w:r>
    </w:p>
    <w:p w14:paraId="2A6A7ED4" w14:textId="0BD14169" w:rsidR="0083019E" w:rsidRPr="00D51336" w:rsidRDefault="0083019E" w:rsidP="00324F29">
      <w:pPr>
        <w:spacing w:before="120"/>
        <w:jc w:val="both"/>
        <w:rPr>
          <w:color w:val="000000" w:themeColor="text1"/>
          <w:position w:val="1"/>
        </w:rPr>
      </w:pPr>
      <w:r w:rsidRPr="00692206">
        <w:rPr>
          <w:rFonts w:eastAsia="Calibri"/>
          <w:position w:val="1"/>
        </w:rPr>
        <w:t xml:space="preserve">An adaptive design was used based on a two-stage approach, with two interim analyses to explore respectively the safety and efficacy in the GCB group treated with RB-CHOP after defined numbers of events. </w:t>
      </w:r>
      <w:r w:rsidRPr="00692206">
        <w:rPr>
          <w:rFonts w:ascii="Calibri" w:eastAsia="Calibri" w:hAnsi="Calibri" w:cs="Calibri"/>
          <w:color w:val="000000"/>
          <w:position w:val="1"/>
        </w:rPr>
        <w:t xml:space="preserve"> </w:t>
      </w:r>
      <w:r w:rsidR="006F419E" w:rsidRPr="00D51336">
        <w:rPr>
          <w:rFonts w:cs="Times New Roman"/>
          <w:color w:val="000000" w:themeColor="text1"/>
        </w:rPr>
        <w:t>The first interim analysis was to take place once 55 patients in the GCB group receiving RB-CHOP patients were randomised. If the one year PFS was assessed to be below 70% in the subgroup, the trial would stop recruiting in the GCB group. The second interim analysis was to take place when 73 patients in the GCB group receiving RB-CHOP patients were randomised and followed for one year. If the one year PFS was assessed to be below 85% in the subgroup, the trial would stop recruiting in the GCB group.</w:t>
      </w:r>
    </w:p>
    <w:p w14:paraId="225611C2" w14:textId="7F988578" w:rsidR="0083019E" w:rsidRPr="0083019E" w:rsidRDefault="0083019E" w:rsidP="00324F29">
      <w:pPr>
        <w:spacing w:before="120"/>
        <w:jc w:val="both"/>
        <w:rPr>
          <w:color w:val="000000"/>
          <w:position w:val="1"/>
        </w:rPr>
      </w:pPr>
      <w:r w:rsidRPr="00692206">
        <w:rPr>
          <w:color w:val="000000"/>
          <w:position w:val="1"/>
        </w:rPr>
        <w:t>The trial was powered to detect an improvement in 30 month progression-free survival (PFS) of 10% in the combined ABC+GCB groups, from 75% in the R-CHOP arm to 85% in the RB-CHOP arm</w:t>
      </w:r>
      <w:r>
        <w:rPr>
          <w:color w:val="000000"/>
          <w:position w:val="1"/>
        </w:rPr>
        <w:t xml:space="preserve"> (corresponding to a hazard ratio </w:t>
      </w:r>
      <w:r w:rsidRPr="00485F6A">
        <w:rPr>
          <w:color w:val="000000"/>
          <w:position w:val="1"/>
        </w:rPr>
        <w:t>of 0.56) ,</w:t>
      </w:r>
      <w:r w:rsidRPr="00692206">
        <w:rPr>
          <w:color w:val="000000"/>
          <w:position w:val="1"/>
        </w:rPr>
        <w:t xml:space="preserve"> </w:t>
      </w:r>
      <w:r>
        <w:rPr>
          <w:color w:val="000000"/>
          <w:position w:val="1"/>
        </w:rPr>
        <w:t xml:space="preserve">based on a log-rank test, </w:t>
      </w:r>
      <w:r w:rsidRPr="00692206">
        <w:rPr>
          <w:color w:val="000000"/>
          <w:position w:val="1"/>
        </w:rPr>
        <w:t xml:space="preserve">with a significance level of 5% (two-sided) and 90% power, requiring a total of 129 events. </w:t>
      </w:r>
      <w:r>
        <w:rPr>
          <w:color w:val="000000"/>
          <w:position w:val="1"/>
        </w:rPr>
        <w:t xml:space="preserve"> </w:t>
      </w:r>
      <w:r w:rsidRPr="00692206">
        <w:rPr>
          <w:rFonts w:eastAsia="Calibri"/>
        </w:rPr>
        <w:t>The Intention-to-treat (ITT) population was formed of all patients for whom GEP was attempted (ABC, GCB, Unclassifed or GEP failed). The safety population was formed of all patients in the ITT popula</w:t>
      </w:r>
      <w:r>
        <w:rPr>
          <w:rFonts w:eastAsia="Calibri"/>
        </w:rPr>
        <w:t xml:space="preserve">tion who received at least one </w:t>
      </w:r>
      <w:r w:rsidRPr="00692206">
        <w:rPr>
          <w:rFonts w:eastAsia="Calibri"/>
        </w:rPr>
        <w:t>dose of any study drug.</w:t>
      </w:r>
    </w:p>
    <w:p w14:paraId="5AF3F499" w14:textId="07B7756B" w:rsidR="0083019E" w:rsidRDefault="0083019E" w:rsidP="00324F29">
      <w:pPr>
        <w:spacing w:before="120"/>
        <w:jc w:val="both"/>
        <w:rPr>
          <w:rFonts w:eastAsia="Calibri"/>
        </w:rPr>
      </w:pPr>
      <w:r w:rsidRPr="00692206">
        <w:rPr>
          <w:rFonts w:eastAsia="Calibri"/>
        </w:rPr>
        <w:lastRenderedPageBreak/>
        <w:t xml:space="preserve">The primary outcome </w:t>
      </w:r>
      <w:r>
        <w:rPr>
          <w:rFonts w:eastAsia="Calibri"/>
        </w:rPr>
        <w:t xml:space="preserve">of PFS (time-to-event) </w:t>
      </w:r>
      <w:r w:rsidRPr="00692206">
        <w:rPr>
          <w:rFonts w:eastAsia="Calibri"/>
        </w:rPr>
        <w:t xml:space="preserve">was assessed using a Cox proportional hazards model, adjusted for COO subtype and IPI score, carried out in the ABC+GCB ITT population. </w:t>
      </w:r>
    </w:p>
    <w:p w14:paraId="5BFB8977" w14:textId="34598787" w:rsidR="0083019E" w:rsidRPr="00692206" w:rsidRDefault="0083019E" w:rsidP="00324F29">
      <w:pPr>
        <w:spacing w:before="120"/>
        <w:jc w:val="both"/>
        <w:rPr>
          <w:rFonts w:eastAsia="Calibri"/>
          <w:i/>
          <w:position w:val="1"/>
        </w:rPr>
      </w:pPr>
      <w:r w:rsidRPr="00692206">
        <w:rPr>
          <w:rFonts w:eastAsia="Calibri"/>
        </w:rPr>
        <w:t xml:space="preserve">Secondary outcome analyses included repeating the primary outcome analysis in the ABC ITT population, the GCB ITT population and the Unclassified ITT population; adjusting for IPI score only. </w:t>
      </w:r>
      <w:r w:rsidRPr="00DB6A68">
        <w:rPr>
          <w:rFonts w:eastAsia="Calibri"/>
        </w:rPr>
        <w:t xml:space="preserve">Kaplan-Meier </w:t>
      </w:r>
      <w:r>
        <w:rPr>
          <w:rFonts w:eastAsia="Calibri"/>
        </w:rPr>
        <w:t>curves were produced for time-to-event data</w:t>
      </w:r>
      <w:r w:rsidR="00597D69">
        <w:rPr>
          <w:rFonts w:eastAsia="Calibri"/>
        </w:rPr>
        <w:t xml:space="preserve"> and follow-up maturity was described using reverse Kaplan-Meier method</w:t>
      </w:r>
      <w:r>
        <w:rPr>
          <w:rFonts w:eastAsia="Calibri"/>
        </w:rPr>
        <w:t>.</w:t>
      </w:r>
      <w:r w:rsidR="00597D69">
        <w:rPr>
          <w:rFonts w:eastAsia="Calibri"/>
        </w:rPr>
        <w:t xml:space="preserve"> </w:t>
      </w:r>
      <w:r>
        <w:rPr>
          <w:rFonts w:eastAsia="Calibri"/>
        </w:rPr>
        <w:t xml:space="preserve"> </w:t>
      </w:r>
      <w:r w:rsidRPr="00692206">
        <w:rPr>
          <w:rFonts w:eastAsia="Calibri"/>
        </w:rPr>
        <w:t>Summary statistics were used to describe baseline characteristics for R-CHOP, RB-CHOP and GEP Fail patients in the ITT population, and for COO subtypes for the ITT population; with formal comparisons between COO subtypes carried out using Pearson Chi-squared tests. Toxicity information was summarised by treatment arm</w:t>
      </w:r>
      <w:r>
        <w:rPr>
          <w:rFonts w:eastAsia="Calibri"/>
        </w:rPr>
        <w:t xml:space="preserve">, and post-hoc analyses included </w:t>
      </w:r>
      <w:r w:rsidRPr="00692206">
        <w:rPr>
          <w:rFonts w:eastAsia="Calibri"/>
        </w:rPr>
        <w:t>compar</w:t>
      </w:r>
      <w:r>
        <w:rPr>
          <w:rFonts w:eastAsia="Calibri"/>
        </w:rPr>
        <w:t>ing</w:t>
      </w:r>
      <w:r w:rsidRPr="00692206">
        <w:rPr>
          <w:rFonts w:eastAsia="Calibri"/>
        </w:rPr>
        <w:t xml:space="preserve"> </w:t>
      </w:r>
      <w:r>
        <w:rPr>
          <w:rFonts w:eastAsia="Calibri"/>
        </w:rPr>
        <w:t>t</w:t>
      </w:r>
      <w:r w:rsidRPr="0028774C">
        <w:rPr>
          <w:rFonts w:eastAsia="Calibri"/>
        </w:rPr>
        <w:t xml:space="preserve">oxicity information </w:t>
      </w:r>
      <w:r>
        <w:rPr>
          <w:rFonts w:eastAsia="Calibri"/>
        </w:rPr>
        <w:t xml:space="preserve">by treatment </w:t>
      </w:r>
      <w:r w:rsidRPr="00692206">
        <w:rPr>
          <w:rFonts w:eastAsia="Calibri"/>
        </w:rPr>
        <w:t>using Pearson Chi-squared tests for the Safety Population.</w:t>
      </w:r>
      <w:r>
        <w:rPr>
          <w:rFonts w:eastAsia="Calibri"/>
        </w:rPr>
        <w:t xml:space="preserve"> These also included repeating the primary outcome analysis, adjusting for time from diagnosis to the start of treatment to ascertain whether diagnosis to treatment interval impacted PFS outcome. </w:t>
      </w:r>
      <w:r w:rsidR="00597D69">
        <w:rPr>
          <w:rFonts w:eastAsia="Calibri"/>
        </w:rPr>
        <w:t>Additional p</w:t>
      </w:r>
      <w:r w:rsidR="00597D69" w:rsidRPr="001E1B85">
        <w:rPr>
          <w:rFonts w:eastAsia="Calibri"/>
        </w:rPr>
        <w:t xml:space="preserve">ost-hoc analyses </w:t>
      </w:r>
      <w:r w:rsidR="00597D69">
        <w:rPr>
          <w:rFonts w:eastAsia="Calibri"/>
        </w:rPr>
        <w:t xml:space="preserve">also included </w:t>
      </w:r>
      <w:r w:rsidR="00597D69" w:rsidRPr="001E1B85">
        <w:rPr>
          <w:rFonts w:eastAsia="Calibri"/>
        </w:rPr>
        <w:t>assessing PFS and OS by treatment arm in the combined ABC + GCB populations for IPI Low, Intermediate and High groups respectively</w:t>
      </w:r>
      <w:r w:rsidR="00597D69">
        <w:rPr>
          <w:rFonts w:eastAsia="Calibri"/>
        </w:rPr>
        <w:t>, and repeating the primary outcome analysis</w:t>
      </w:r>
      <w:r w:rsidR="00597D69" w:rsidRPr="001E1B85">
        <w:rPr>
          <w:rFonts w:eastAsia="Calibri"/>
        </w:rPr>
        <w:t xml:space="preserve"> </w:t>
      </w:r>
      <w:r w:rsidR="00597D69">
        <w:rPr>
          <w:rFonts w:eastAsia="Calibri"/>
        </w:rPr>
        <w:t xml:space="preserve">but </w:t>
      </w:r>
      <w:r w:rsidR="00597D69" w:rsidRPr="001E1B85">
        <w:rPr>
          <w:rFonts w:eastAsia="Calibri"/>
        </w:rPr>
        <w:t>excluding patients who had a dose reduction in any treatment drug</w:t>
      </w:r>
      <w:r w:rsidR="00597D69">
        <w:rPr>
          <w:rFonts w:eastAsia="Calibri"/>
        </w:rPr>
        <w:t>.</w:t>
      </w:r>
      <w:r w:rsidR="00597D69" w:rsidRPr="001E1B85">
        <w:rPr>
          <w:rFonts w:eastAsia="Calibri"/>
        </w:rPr>
        <w:t xml:space="preserve"> </w:t>
      </w:r>
      <w:r>
        <w:rPr>
          <w:rFonts w:eastAsia="Calibri"/>
        </w:rPr>
        <w:t xml:space="preserve">There was no adjustment for multiple comparisons and Stata </w:t>
      </w:r>
      <w:r w:rsidRPr="00DB6A68">
        <w:rPr>
          <w:rFonts w:eastAsia="Calibri"/>
        </w:rPr>
        <w:t xml:space="preserve">statistical software (version </w:t>
      </w:r>
      <w:r>
        <w:rPr>
          <w:rFonts w:eastAsia="Calibri"/>
        </w:rPr>
        <w:t>15.1</w:t>
      </w:r>
      <w:r w:rsidRPr="00DB6A68">
        <w:rPr>
          <w:rFonts w:eastAsia="Calibri"/>
        </w:rPr>
        <w:t>) was used for all analyses</w:t>
      </w:r>
      <w:r>
        <w:rPr>
          <w:rFonts w:eastAsia="Calibri"/>
        </w:rPr>
        <w:t>.</w:t>
      </w:r>
    </w:p>
    <w:p w14:paraId="521449E7" w14:textId="7B988DD1" w:rsidR="00034EA4" w:rsidRPr="00692206" w:rsidRDefault="0073624B" w:rsidP="0030644C">
      <w:pPr>
        <w:pStyle w:val="Default"/>
        <w:spacing w:before="120" w:line="276" w:lineRule="auto"/>
        <w:jc w:val="both"/>
        <w:outlineLvl w:val="0"/>
        <w:rPr>
          <w:b/>
          <w:sz w:val="22"/>
          <w:szCs w:val="22"/>
        </w:rPr>
      </w:pPr>
      <w:r w:rsidRPr="00692206">
        <w:rPr>
          <w:b/>
          <w:sz w:val="22"/>
          <w:szCs w:val="22"/>
        </w:rPr>
        <w:t>Role of the funding source</w:t>
      </w:r>
    </w:p>
    <w:p w14:paraId="35ECCEA7" w14:textId="75C71768" w:rsidR="001E7062" w:rsidRDefault="00FA4A31" w:rsidP="00324F29">
      <w:pPr>
        <w:spacing w:before="120"/>
        <w:jc w:val="both"/>
      </w:pPr>
      <w:r w:rsidRPr="00692206">
        <w:t>The trial was funded by</w:t>
      </w:r>
      <w:r w:rsidR="00C72C65" w:rsidRPr="00692206">
        <w:t xml:space="preserve"> an educational grant</w:t>
      </w:r>
      <w:r w:rsidRPr="00692206">
        <w:t xml:space="preserve"> </w:t>
      </w:r>
      <w:r w:rsidR="006B4EE1" w:rsidRPr="00692206">
        <w:t xml:space="preserve">from </w:t>
      </w:r>
      <w:r w:rsidRPr="00692206">
        <w:t>Jans</w:t>
      </w:r>
      <w:r w:rsidR="00720C48" w:rsidRPr="00692206">
        <w:t>s</w:t>
      </w:r>
      <w:r w:rsidRPr="00692206">
        <w:t>en-C</w:t>
      </w:r>
      <w:r w:rsidR="00720C48" w:rsidRPr="00692206">
        <w:t>il</w:t>
      </w:r>
      <w:r w:rsidRPr="00692206">
        <w:t xml:space="preserve">ag and endorsed by CRUK </w:t>
      </w:r>
      <w:r w:rsidR="00DB4CD1" w:rsidRPr="00692206">
        <w:t xml:space="preserve">following independent peer review </w:t>
      </w:r>
      <w:r w:rsidRPr="00692206">
        <w:t>(C328/A12128).</w:t>
      </w:r>
      <w:r w:rsidR="00634709" w:rsidRPr="00692206">
        <w:t xml:space="preserve"> Bortezomib was supplied free of charge by</w:t>
      </w:r>
      <w:r w:rsidRPr="00692206">
        <w:t xml:space="preserve"> </w:t>
      </w:r>
      <w:r w:rsidR="00634709" w:rsidRPr="00692206">
        <w:t>Janssen-Cilag.</w:t>
      </w:r>
      <w:r w:rsidRPr="00692206">
        <w:t xml:space="preserve"> </w:t>
      </w:r>
      <w:r w:rsidR="009B15F2">
        <w:t xml:space="preserve">Translational work was supported by a Bloodwise specialist programme grant to the Precision Medicine </w:t>
      </w:r>
      <w:r w:rsidR="005E53FF">
        <w:t>for</w:t>
      </w:r>
      <w:r w:rsidR="009B15F2">
        <w:t xml:space="preserve"> Aggressive Lymphoma consortium (15002).  </w:t>
      </w:r>
      <w:r w:rsidR="00343B08" w:rsidRPr="00692206">
        <w:t>The funder</w:t>
      </w:r>
      <w:r w:rsidR="009B15F2">
        <w:t>s</w:t>
      </w:r>
      <w:r w:rsidR="00343B08" w:rsidRPr="00692206">
        <w:t xml:space="preserve"> had no role in study design, data collection, data analysis, data interpretation, or writing of the report. The corresponding author had full access to all the data in the study and had final responsibility for the decision to submit for publication.</w:t>
      </w:r>
    </w:p>
    <w:p w14:paraId="45EBF69D" w14:textId="77777777" w:rsidR="00D51336" w:rsidRPr="00692206" w:rsidRDefault="00D51336" w:rsidP="00324F29">
      <w:pPr>
        <w:spacing w:before="120"/>
        <w:jc w:val="both"/>
      </w:pPr>
    </w:p>
    <w:p w14:paraId="2D06EDC4" w14:textId="0179DD6D" w:rsidR="004960D6" w:rsidRPr="00692206" w:rsidRDefault="0073624B" w:rsidP="0030644C">
      <w:pPr>
        <w:pStyle w:val="Default"/>
        <w:spacing w:before="120" w:line="276" w:lineRule="auto"/>
        <w:jc w:val="both"/>
        <w:outlineLvl w:val="0"/>
        <w:rPr>
          <w:sz w:val="22"/>
          <w:szCs w:val="22"/>
        </w:rPr>
      </w:pPr>
      <w:r w:rsidRPr="00692206">
        <w:rPr>
          <w:rFonts w:eastAsia="Calibri"/>
          <w:b/>
          <w:sz w:val="22"/>
          <w:szCs w:val="22"/>
        </w:rPr>
        <w:t>Results</w:t>
      </w:r>
    </w:p>
    <w:p w14:paraId="0D1D542D" w14:textId="50AB691E" w:rsidR="006F419E" w:rsidRPr="00D51336" w:rsidRDefault="006F419E" w:rsidP="00D51336">
      <w:pPr>
        <w:spacing w:before="120"/>
        <w:jc w:val="both"/>
        <w:rPr>
          <w:rFonts w:cs="Times New Roman"/>
          <w:color w:val="000000" w:themeColor="text1"/>
        </w:rPr>
      </w:pPr>
      <w:r w:rsidRPr="00D51336">
        <w:rPr>
          <w:rFonts w:cs="Times New Roman"/>
          <w:color w:val="000000" w:themeColor="text1"/>
        </w:rPr>
        <w:t xml:space="preserve">Between </w:t>
      </w:r>
      <w:r w:rsidR="008F7080">
        <w:rPr>
          <w:rFonts w:cs="Times New Roman"/>
          <w:color w:val="000000" w:themeColor="text1"/>
        </w:rPr>
        <w:t xml:space="preserve">2nd </w:t>
      </w:r>
      <w:r w:rsidRPr="00D51336">
        <w:rPr>
          <w:rFonts w:cs="Times New Roman"/>
          <w:color w:val="000000" w:themeColor="text1"/>
        </w:rPr>
        <w:t xml:space="preserve">June 2011 and </w:t>
      </w:r>
      <w:r w:rsidR="008F7080">
        <w:rPr>
          <w:rFonts w:cs="Times New Roman"/>
          <w:color w:val="000000" w:themeColor="text1"/>
        </w:rPr>
        <w:t xml:space="preserve">10th </w:t>
      </w:r>
      <w:r w:rsidRPr="00D51336">
        <w:rPr>
          <w:rFonts w:cs="Times New Roman"/>
          <w:color w:val="000000" w:themeColor="text1"/>
        </w:rPr>
        <w:t xml:space="preserve">June 2015, 1128 participants were registered to the study.  Fifty-two </w:t>
      </w:r>
      <w:r w:rsidR="008F7080">
        <w:rPr>
          <w:rFonts w:cs="Times New Roman"/>
          <w:color w:val="000000" w:themeColor="text1"/>
        </w:rPr>
        <w:t xml:space="preserve">(4.6%) of 1128 </w:t>
      </w:r>
      <w:r w:rsidRPr="00D51336">
        <w:rPr>
          <w:rFonts w:cs="Times New Roman"/>
          <w:color w:val="000000" w:themeColor="text1"/>
        </w:rPr>
        <w:t>did not meet the eligibility criteria</w:t>
      </w:r>
      <w:r w:rsidR="008F7080">
        <w:rPr>
          <w:rFonts w:cs="Times New Roman"/>
          <w:color w:val="000000" w:themeColor="text1"/>
        </w:rPr>
        <w:t>, of whom 29 were deemed ineligible following tumour biopsy, 5 had insufficient tumour data, 5 were withdrawn by clinician choice, 2 by patient choice, 1 patient died before reaching the point of randomisation and 10 withdrew for other reasons not specified.  This</w:t>
      </w:r>
      <w:r w:rsidRPr="00D51336">
        <w:rPr>
          <w:rFonts w:cs="Times New Roman"/>
          <w:color w:val="000000" w:themeColor="text1"/>
        </w:rPr>
        <w:t xml:space="preserve"> result</w:t>
      </w:r>
      <w:r w:rsidR="008F7080">
        <w:rPr>
          <w:rFonts w:cs="Times New Roman"/>
          <w:color w:val="000000" w:themeColor="text1"/>
        </w:rPr>
        <w:t>ed</w:t>
      </w:r>
      <w:r w:rsidRPr="00D51336">
        <w:rPr>
          <w:rFonts w:cs="Times New Roman"/>
          <w:color w:val="000000" w:themeColor="text1"/>
        </w:rPr>
        <w:t xml:space="preserve"> in 1076 </w:t>
      </w:r>
      <w:r w:rsidR="008F7080">
        <w:rPr>
          <w:rFonts w:cs="Times New Roman"/>
          <w:color w:val="000000" w:themeColor="text1"/>
        </w:rPr>
        <w:t xml:space="preserve">(95.4% of 1128) </w:t>
      </w:r>
      <w:r w:rsidRPr="00D51336">
        <w:rPr>
          <w:rFonts w:cs="Times New Roman"/>
          <w:color w:val="000000" w:themeColor="text1"/>
        </w:rPr>
        <w:t xml:space="preserve">patients reaching the point of attempted GEP randomisation (ITT population).  One-hundred and fifty-eight patients </w:t>
      </w:r>
      <w:r w:rsidR="00F36587">
        <w:rPr>
          <w:rFonts w:cs="Times New Roman"/>
          <w:color w:val="000000" w:themeColor="text1"/>
        </w:rPr>
        <w:t xml:space="preserve">(14.7% of 1076) </w:t>
      </w:r>
      <w:r w:rsidRPr="00D51336">
        <w:rPr>
          <w:rFonts w:cs="Times New Roman"/>
          <w:color w:val="000000" w:themeColor="text1"/>
        </w:rPr>
        <w:t>had inadequate material for GEP and subsequent randomisation (</w:t>
      </w:r>
      <w:r w:rsidR="00F36587">
        <w:rPr>
          <w:rFonts w:cs="Times New Roman"/>
          <w:color w:val="000000" w:themeColor="text1"/>
        </w:rPr>
        <w:t>'</w:t>
      </w:r>
      <w:r w:rsidRPr="00D51336">
        <w:rPr>
          <w:rFonts w:cs="Times New Roman"/>
          <w:color w:val="000000" w:themeColor="text1"/>
        </w:rPr>
        <w:t>Fail</w:t>
      </w:r>
      <w:r w:rsidR="00F36587">
        <w:rPr>
          <w:rFonts w:cs="Times New Roman"/>
          <w:color w:val="000000" w:themeColor="text1"/>
        </w:rPr>
        <w:t>'</w:t>
      </w:r>
      <w:r w:rsidRPr="00D51336">
        <w:rPr>
          <w:rFonts w:cs="Times New Roman"/>
          <w:color w:val="000000" w:themeColor="text1"/>
        </w:rPr>
        <w:t xml:space="preserve">, received R-CHOP), whilst 918 </w:t>
      </w:r>
      <w:r w:rsidR="00F36587">
        <w:rPr>
          <w:rFonts w:cs="Times New Roman"/>
          <w:color w:val="000000" w:themeColor="text1"/>
        </w:rPr>
        <w:t>(85.3% of 1076)</w:t>
      </w:r>
      <w:r w:rsidR="00F36587" w:rsidRPr="00D51336">
        <w:rPr>
          <w:rFonts w:cs="Times New Roman"/>
          <w:color w:val="000000" w:themeColor="text1"/>
        </w:rPr>
        <w:t xml:space="preserve"> </w:t>
      </w:r>
      <w:r w:rsidRPr="00D51336">
        <w:rPr>
          <w:rFonts w:cs="Times New Roman"/>
          <w:color w:val="000000" w:themeColor="text1"/>
        </w:rPr>
        <w:t>were stratified by COO subtype and IPI for random assignment to receive R-CHOP or RB-CHOP (Figure 1).</w:t>
      </w:r>
      <w:r w:rsidR="00BC0684">
        <w:rPr>
          <w:rFonts w:cs="Times New Roman"/>
          <w:color w:val="000000" w:themeColor="text1"/>
        </w:rPr>
        <w:t xml:space="preserve"> </w:t>
      </w:r>
      <w:r w:rsidR="00BC0684" w:rsidRPr="00BC0684">
        <w:rPr>
          <w:rFonts w:cs="Times New Roman"/>
          <w:color w:val="000000" w:themeColor="text1"/>
        </w:rPr>
        <w:t>Following the planned interim analyses and safety assessments by the DMEC in the GCB group, the trial continued to recruit to all groups.</w:t>
      </w:r>
      <w:r w:rsidRPr="00D51336">
        <w:rPr>
          <w:rFonts w:cs="Times New Roman"/>
          <w:color w:val="000000" w:themeColor="text1"/>
        </w:rPr>
        <w:t xml:space="preserve"> In all, 35 (3.3%) of 1076 patients did not receive any study drug and 35 (3.3%</w:t>
      </w:r>
      <w:r w:rsidR="00F36587">
        <w:rPr>
          <w:rFonts w:cs="Times New Roman"/>
          <w:color w:val="000000" w:themeColor="text1"/>
        </w:rPr>
        <w:t xml:space="preserve"> of 1076</w:t>
      </w:r>
      <w:r w:rsidRPr="00D51336">
        <w:rPr>
          <w:rFonts w:cs="Times New Roman"/>
          <w:color w:val="000000" w:themeColor="text1"/>
        </w:rPr>
        <w:t>) were lost to follow up during the study period.</w:t>
      </w:r>
    </w:p>
    <w:p w14:paraId="40E2BA3E" w14:textId="355E1507" w:rsidR="00880A65" w:rsidRPr="00D51336" w:rsidRDefault="006F419E" w:rsidP="006F419E">
      <w:pPr>
        <w:spacing w:before="120"/>
        <w:jc w:val="both"/>
        <w:rPr>
          <w:color w:val="000000" w:themeColor="text1"/>
        </w:rPr>
      </w:pPr>
      <w:r w:rsidRPr="00D51336">
        <w:rPr>
          <w:rFonts w:cs="Times New Roman"/>
          <w:color w:val="000000" w:themeColor="text1"/>
        </w:rPr>
        <w:t xml:space="preserve">Baseline characteristics were similar between the control arm, experimental arm and non-randomised participants (Table 1).  Median turnaround time from the tumour material reaching the diagnostic lab to a COO result being available was </w:t>
      </w:r>
      <w:r w:rsidR="00604E90">
        <w:rPr>
          <w:rFonts w:cs="Times New Roman"/>
          <w:color w:val="000000" w:themeColor="text1"/>
        </w:rPr>
        <w:t>8</w:t>
      </w:r>
      <w:r w:rsidR="00604E90" w:rsidRPr="00D51336">
        <w:rPr>
          <w:rFonts w:cs="Times New Roman"/>
          <w:color w:val="000000" w:themeColor="text1"/>
        </w:rPr>
        <w:t xml:space="preserve"> </w:t>
      </w:r>
      <w:r w:rsidRPr="00D51336">
        <w:rPr>
          <w:rFonts w:cs="Times New Roman"/>
          <w:color w:val="000000" w:themeColor="text1"/>
        </w:rPr>
        <w:t>days</w:t>
      </w:r>
      <w:r w:rsidR="00154C8E" w:rsidRPr="00D51336">
        <w:rPr>
          <w:rFonts w:cs="Times New Roman"/>
          <w:color w:val="000000" w:themeColor="text1"/>
        </w:rPr>
        <w:t xml:space="preserve"> (</w:t>
      </w:r>
      <w:r w:rsidR="00604E90">
        <w:rPr>
          <w:rFonts w:cs="Times New Roman"/>
          <w:color w:val="000000" w:themeColor="text1"/>
        </w:rPr>
        <w:t xml:space="preserve">interquartile </w:t>
      </w:r>
      <w:r w:rsidR="00154C8E" w:rsidRPr="00D51336">
        <w:rPr>
          <w:rFonts w:cs="Times New Roman"/>
          <w:color w:val="000000" w:themeColor="text1"/>
        </w:rPr>
        <w:t xml:space="preserve">range </w:t>
      </w:r>
      <w:r w:rsidR="00604E90">
        <w:rPr>
          <w:rFonts w:cs="Times New Roman"/>
          <w:color w:val="000000" w:themeColor="text1"/>
        </w:rPr>
        <w:t>6</w:t>
      </w:r>
      <w:r w:rsidR="00154C8E" w:rsidRPr="00D51336">
        <w:rPr>
          <w:rFonts w:cs="Times New Roman"/>
          <w:color w:val="000000" w:themeColor="text1"/>
        </w:rPr>
        <w:t>-1</w:t>
      </w:r>
      <w:r w:rsidR="00604E90">
        <w:rPr>
          <w:rFonts w:cs="Times New Roman"/>
          <w:color w:val="000000" w:themeColor="text1"/>
        </w:rPr>
        <w:t>2</w:t>
      </w:r>
      <w:r w:rsidR="00154C8E" w:rsidRPr="00D51336">
        <w:rPr>
          <w:rFonts w:cs="Times New Roman"/>
          <w:color w:val="000000" w:themeColor="text1"/>
        </w:rPr>
        <w:t>)</w:t>
      </w:r>
      <w:r w:rsidRPr="00D51336">
        <w:rPr>
          <w:rFonts w:cs="Times New Roman"/>
          <w:color w:val="000000" w:themeColor="text1"/>
        </w:rPr>
        <w:t xml:space="preserve">. The overall failure rate was 14.6%, </w:t>
      </w:r>
      <w:r w:rsidRPr="00D51336">
        <w:rPr>
          <w:rFonts w:cs="Times New Roman"/>
          <w:color w:val="000000" w:themeColor="text1"/>
        </w:rPr>
        <w:lastRenderedPageBreak/>
        <w:t>mainly due to insufficient tissue remaining in the block.  In those cases where sufficient material was extracted, only 1% failed for technical reasons</w:t>
      </w:r>
    </w:p>
    <w:p w14:paraId="2BFF0C9F" w14:textId="770B7247" w:rsidR="003973ED" w:rsidRPr="00692206" w:rsidRDefault="0075143B" w:rsidP="00324F29">
      <w:pPr>
        <w:spacing w:before="120"/>
        <w:jc w:val="both"/>
      </w:pPr>
      <w:r w:rsidRPr="00692206">
        <w:t>The</w:t>
      </w:r>
      <w:r w:rsidR="008D2E0C" w:rsidRPr="00692206">
        <w:t>re were</w:t>
      </w:r>
      <w:r w:rsidRPr="00692206">
        <w:t xml:space="preserve"> </w:t>
      </w:r>
      <w:r w:rsidR="004B6DEA" w:rsidRPr="00692206">
        <w:t>clinical</w:t>
      </w:r>
      <w:r w:rsidR="00B90D38" w:rsidRPr="00692206">
        <w:t xml:space="preserve"> </w:t>
      </w:r>
      <w:r w:rsidRPr="00692206">
        <w:t xml:space="preserve">differences between the </w:t>
      </w:r>
      <w:r w:rsidR="002F04D3" w:rsidRPr="00692206">
        <w:t xml:space="preserve">molecular </w:t>
      </w:r>
      <w:r w:rsidRPr="00692206">
        <w:t xml:space="preserve">sub-groups (Table 2).  </w:t>
      </w:r>
      <w:r w:rsidR="00B90D38" w:rsidRPr="00692206">
        <w:t>M</w:t>
      </w:r>
      <w:r w:rsidRPr="00692206">
        <w:t xml:space="preserve">edian age was higher in the ABC type </w:t>
      </w:r>
      <w:r w:rsidR="002F04D3" w:rsidRPr="00692206">
        <w:t>(67 versus 63</w:t>
      </w:r>
      <w:r w:rsidR="00F738CC" w:rsidRPr="00692206">
        <w:t>, p=0.005</w:t>
      </w:r>
      <w:r w:rsidR="002F04D3" w:rsidRPr="00692206">
        <w:t xml:space="preserve">) </w:t>
      </w:r>
      <w:r w:rsidRPr="00692206">
        <w:t>and there was more often bulky disease in the GCB type</w:t>
      </w:r>
      <w:r w:rsidR="002F04D3" w:rsidRPr="00692206">
        <w:t xml:space="preserve"> </w:t>
      </w:r>
      <w:r w:rsidR="00F337DF">
        <w:t>158 of 475 (</w:t>
      </w:r>
      <w:r w:rsidR="00F337DF" w:rsidRPr="00692206">
        <w:t>33.8%</w:t>
      </w:r>
      <w:r w:rsidR="00F337DF">
        <w:t>)</w:t>
      </w:r>
      <w:r w:rsidR="00FA7470" w:rsidRPr="00692206">
        <w:t xml:space="preserve"> </w:t>
      </w:r>
      <w:r w:rsidR="00FA7470">
        <w:t>GCB;</w:t>
      </w:r>
      <w:r w:rsidR="00FA7470" w:rsidRPr="00692206">
        <w:t xml:space="preserve"> </w:t>
      </w:r>
      <w:r w:rsidR="00F337DF">
        <w:t xml:space="preserve">50 of 244 (20.7%) </w:t>
      </w:r>
      <w:r w:rsidR="00FA7470" w:rsidRPr="00692206">
        <w:t>ABC</w:t>
      </w:r>
      <w:r w:rsidR="00FA7470">
        <w:t>;</w:t>
      </w:r>
      <w:r w:rsidR="00FA7470" w:rsidRPr="00692206">
        <w:t xml:space="preserve"> </w:t>
      </w:r>
      <w:r w:rsidR="00FA7470">
        <w:t xml:space="preserve">and </w:t>
      </w:r>
      <w:r w:rsidR="00F337DF">
        <w:t xml:space="preserve">55 of 119 (27.8%) </w:t>
      </w:r>
      <w:r w:rsidR="00FA7470">
        <w:t xml:space="preserve">Unclassified: </w:t>
      </w:r>
      <w:r w:rsidR="00FA7470" w:rsidRPr="00692206">
        <w:t>p&lt;0.0</w:t>
      </w:r>
      <w:r w:rsidR="00F337DF">
        <w:t>0</w:t>
      </w:r>
      <w:r w:rsidR="00FA7470" w:rsidRPr="00692206">
        <w:t>01)</w:t>
      </w:r>
      <w:r w:rsidRPr="00692206">
        <w:t xml:space="preserve">. </w:t>
      </w:r>
      <w:r w:rsidR="00AC2F36" w:rsidRPr="00692206">
        <w:t xml:space="preserve"> Patients with bone marrow involvement were over-represented in the unclassified type</w:t>
      </w:r>
      <w:r w:rsidR="00F337DF">
        <w:t xml:space="preserve">: 66 of 475 (14.2%) GCB, 33 of 244 (13.8%) </w:t>
      </w:r>
      <w:r w:rsidR="004230CD" w:rsidRPr="00692206">
        <w:t xml:space="preserve">ABC and </w:t>
      </w:r>
      <w:r w:rsidR="00F337DF">
        <w:t xml:space="preserve">42 of 199 (22%) </w:t>
      </w:r>
      <w:r w:rsidR="00B308E8" w:rsidRPr="00692206">
        <w:t>U</w:t>
      </w:r>
      <w:r w:rsidR="004230CD" w:rsidRPr="00692206">
        <w:t>nclassified,</w:t>
      </w:r>
      <w:r w:rsidR="00234BCD" w:rsidRPr="00692206">
        <w:t xml:space="preserve"> p=0.017)</w:t>
      </w:r>
      <w:r w:rsidR="00AC2F36" w:rsidRPr="00692206">
        <w:t xml:space="preserve">.  </w:t>
      </w:r>
      <w:r w:rsidR="00BA6FDE" w:rsidRPr="00692206">
        <w:t>There was however no significant difference in the distribution of IPI risk groups</w:t>
      </w:r>
      <w:r w:rsidR="00C61DBA" w:rsidRPr="00692206">
        <w:t xml:space="preserve">, </w:t>
      </w:r>
      <w:r w:rsidR="008920BE">
        <w:t xml:space="preserve">elevated </w:t>
      </w:r>
      <w:r w:rsidR="00C61DBA" w:rsidRPr="00692206">
        <w:t>serum LDH,</w:t>
      </w:r>
      <w:r w:rsidR="00BA6FDE" w:rsidRPr="00692206">
        <w:t xml:space="preserve"> conventional stage</w:t>
      </w:r>
      <w:r w:rsidR="002A15E8">
        <w:t xml:space="preserve">, </w:t>
      </w:r>
      <w:r w:rsidR="00FD1B24">
        <w:t xml:space="preserve">overall prevalence of </w:t>
      </w:r>
      <w:r w:rsidR="002A15E8">
        <w:t>extranodal disease</w:t>
      </w:r>
      <w:r w:rsidR="00FD1B24">
        <w:t xml:space="preserve"> or</w:t>
      </w:r>
      <w:r w:rsidR="00C61DBA" w:rsidRPr="00692206">
        <w:t xml:space="preserve"> ECOG performance status </w:t>
      </w:r>
      <w:r w:rsidR="00BA6FDE" w:rsidRPr="00692206">
        <w:t xml:space="preserve">between the different molecular </w:t>
      </w:r>
      <w:r w:rsidR="00ED5F3F" w:rsidRPr="00692206">
        <w:t>sub</w:t>
      </w:r>
      <w:r w:rsidR="0069302F">
        <w:t>type</w:t>
      </w:r>
      <w:r w:rsidR="00ED5F3F" w:rsidRPr="00692206">
        <w:t>s</w:t>
      </w:r>
      <w:r w:rsidR="00EF200B">
        <w:t xml:space="preserve"> (appendix table 1</w:t>
      </w:r>
      <w:r w:rsidR="007D6CD5">
        <w:t>, p</w:t>
      </w:r>
      <w:r w:rsidR="006E4C31">
        <w:t>6</w:t>
      </w:r>
      <w:r w:rsidR="00EF200B">
        <w:t>)</w:t>
      </w:r>
      <w:r w:rsidR="00BA6FDE" w:rsidRPr="00692206">
        <w:t>.</w:t>
      </w:r>
      <w:r w:rsidR="00C61DBA" w:rsidRPr="00692206" w:rsidDel="00C61DBA">
        <w:rPr>
          <w:rStyle w:val="CommentReference"/>
          <w:sz w:val="22"/>
          <w:szCs w:val="22"/>
        </w:rPr>
        <w:t xml:space="preserve"> </w:t>
      </w:r>
      <w:r w:rsidR="00EF200B">
        <w:rPr>
          <w:rStyle w:val="CommentReference"/>
          <w:sz w:val="22"/>
          <w:szCs w:val="22"/>
        </w:rPr>
        <w:t xml:space="preserve"> Testing </w:t>
      </w:r>
      <w:r w:rsidR="007D6CD5">
        <w:rPr>
          <w:rStyle w:val="CommentReference"/>
          <w:sz w:val="22"/>
          <w:szCs w:val="22"/>
        </w:rPr>
        <w:t xml:space="preserve">as described </w:t>
      </w:r>
      <w:r w:rsidR="00EF200B">
        <w:rPr>
          <w:rStyle w:val="CommentReference"/>
          <w:sz w:val="22"/>
          <w:szCs w:val="22"/>
        </w:rPr>
        <w:t>for the possible presence of primary mediastinal lymphoma</w:t>
      </w:r>
      <w:r w:rsidR="007D6CD5">
        <w:rPr>
          <w:rStyle w:val="CommentReference"/>
          <w:sz w:val="22"/>
          <w:szCs w:val="22"/>
        </w:rPr>
        <w:t xml:space="preserve">, a </w:t>
      </w:r>
      <w:r w:rsidR="005978EC">
        <w:rPr>
          <w:rStyle w:val="CommentReference"/>
          <w:sz w:val="22"/>
          <w:szCs w:val="22"/>
        </w:rPr>
        <w:t>total of 19 cases fulfilled the criteria, of which 13 had mediastinal disease.  Of these, 14 had been allocated to the GCB group and 5 unclassified.</w:t>
      </w:r>
    </w:p>
    <w:p w14:paraId="1941FC21" w14:textId="2AC151F1" w:rsidR="00353E1D" w:rsidRPr="00692206" w:rsidRDefault="002F04D3" w:rsidP="00324F29">
      <w:pPr>
        <w:spacing w:before="120"/>
        <w:jc w:val="both"/>
        <w:rPr>
          <w:i/>
        </w:rPr>
      </w:pPr>
      <w:r w:rsidRPr="00692206">
        <w:t xml:space="preserve">The panel of genomic mutations confirmed the </w:t>
      </w:r>
      <w:r w:rsidR="00B90D38" w:rsidRPr="00692206">
        <w:t xml:space="preserve">known </w:t>
      </w:r>
      <w:r w:rsidRPr="00692206">
        <w:t xml:space="preserve">association of different </w:t>
      </w:r>
      <w:r w:rsidR="00817996">
        <w:t>somatic changes with C</w:t>
      </w:r>
      <w:r w:rsidR="0069302F">
        <w:t>OO subtype</w:t>
      </w:r>
      <w:r w:rsidRPr="00692206">
        <w:t>s</w:t>
      </w:r>
      <w:r w:rsidR="005F351D" w:rsidRPr="00692206">
        <w:t xml:space="preserve">, with a bias towards </w:t>
      </w:r>
      <w:r w:rsidR="001372AA" w:rsidRPr="00692206">
        <w:t xml:space="preserve">alterations in </w:t>
      </w:r>
      <w:r w:rsidR="005F351D" w:rsidRPr="00692206">
        <w:t>epigenetic modi</w:t>
      </w:r>
      <w:r w:rsidR="001372AA" w:rsidRPr="00692206">
        <w:t>fier</w:t>
      </w:r>
      <w:r w:rsidR="005F351D" w:rsidRPr="00692206">
        <w:t xml:space="preserve"> genes in the GCB group and genes of the B-cell receptor signalling pathway in the ABC group</w:t>
      </w:r>
      <w:r w:rsidRPr="00692206">
        <w:t xml:space="preserve">.  Thus, mutations in </w:t>
      </w:r>
      <w:r w:rsidRPr="00692206">
        <w:rPr>
          <w:i/>
        </w:rPr>
        <w:t>EZH2</w:t>
      </w:r>
      <w:r w:rsidRPr="00692206">
        <w:t xml:space="preserve"> were seen in </w:t>
      </w:r>
      <w:r w:rsidR="00D44862" w:rsidRPr="00692206">
        <w:t>23% of GCB but only 3.4</w:t>
      </w:r>
      <w:r w:rsidR="009562EA" w:rsidRPr="00692206">
        <w:t>% of ABC biopsi</w:t>
      </w:r>
      <w:r w:rsidRPr="00692206">
        <w:t xml:space="preserve">es, and conversely mutations in </w:t>
      </w:r>
      <w:r w:rsidRPr="00692206">
        <w:rPr>
          <w:i/>
        </w:rPr>
        <w:t>MYD88</w:t>
      </w:r>
      <w:r w:rsidRPr="00692206">
        <w:t xml:space="preserve"> were found</w:t>
      </w:r>
      <w:r w:rsidR="00D44862" w:rsidRPr="00692206">
        <w:t xml:space="preserve"> in 7% of GCB and 44.4</w:t>
      </w:r>
      <w:r w:rsidRPr="00692206">
        <w:t>% of ABC samples tested</w:t>
      </w:r>
      <w:r w:rsidR="005F351D" w:rsidRPr="00692206">
        <w:t xml:space="preserve"> (</w:t>
      </w:r>
      <w:r w:rsidR="00DE5825">
        <w:t xml:space="preserve">Appendix </w:t>
      </w:r>
      <w:r w:rsidR="005F351D" w:rsidRPr="00692206">
        <w:t xml:space="preserve">Figure </w:t>
      </w:r>
      <w:r w:rsidR="00D45B98">
        <w:t>1, p1</w:t>
      </w:r>
      <w:r w:rsidR="00E868DA" w:rsidRPr="00692206">
        <w:t xml:space="preserve"> and </w:t>
      </w:r>
      <w:r w:rsidR="007D6CD5">
        <w:t>Appendix table 2, pp</w:t>
      </w:r>
      <w:r w:rsidR="006E4C31">
        <w:t>6</w:t>
      </w:r>
      <w:r w:rsidR="007D6CD5">
        <w:t>-</w:t>
      </w:r>
      <w:r w:rsidR="006E4C31">
        <w:t>7</w:t>
      </w:r>
      <w:r w:rsidR="005F351D" w:rsidRPr="00692206">
        <w:t>)</w:t>
      </w:r>
      <w:r w:rsidRPr="00692206">
        <w:t>.</w:t>
      </w:r>
      <w:r w:rsidR="004B6DEA" w:rsidRPr="00692206">
        <w:t xml:space="preserve"> </w:t>
      </w:r>
      <w:r w:rsidR="00CF1DAE" w:rsidRPr="00692206">
        <w:t>NF-</w:t>
      </w:r>
      <w:r w:rsidR="00CF1DAE" w:rsidRPr="00692206">
        <w:rPr>
          <w:rFonts w:cstheme="minorHAnsi"/>
        </w:rPr>
        <w:t>κ</w:t>
      </w:r>
      <w:r w:rsidR="00CF1DAE" w:rsidRPr="00692206">
        <w:t>B</w:t>
      </w:r>
      <w:r w:rsidR="00C84BAA" w:rsidRPr="00692206">
        <w:t xml:space="preserve"> target genes</w:t>
      </w:r>
      <w:r w:rsidR="00CF1DAE" w:rsidRPr="00692206">
        <w:t xml:space="preserve"> were preferentially expressed in the ABC group compared with the GCB group </w:t>
      </w:r>
      <w:r w:rsidR="00CF1DAE" w:rsidRPr="00B15F5A">
        <w:t>(</w:t>
      </w:r>
      <w:r w:rsidR="007D6CD5">
        <w:t xml:space="preserve">Appendix </w:t>
      </w:r>
      <w:r w:rsidR="00B15F5A">
        <w:t xml:space="preserve">figure </w:t>
      </w:r>
      <w:r w:rsidR="00D45B98">
        <w:t>2</w:t>
      </w:r>
      <w:r w:rsidR="007D6CD5">
        <w:t>, p</w:t>
      </w:r>
      <w:r w:rsidR="00D45B98">
        <w:t>2</w:t>
      </w:r>
      <w:r w:rsidR="00CF1DAE" w:rsidRPr="00B15F5A">
        <w:t>).</w:t>
      </w:r>
    </w:p>
    <w:p w14:paraId="7BCC5ACF" w14:textId="424EBB5C" w:rsidR="007D6CD5" w:rsidRPr="00C102C0" w:rsidRDefault="007D6CD5" w:rsidP="007D6CD5">
      <w:pPr>
        <w:spacing w:before="120"/>
        <w:jc w:val="both"/>
        <w:rPr>
          <w:rFonts w:eastAsia="Calibri"/>
        </w:rPr>
      </w:pPr>
      <w:r w:rsidRPr="00692206">
        <w:rPr>
          <w:rFonts w:eastAsia="Calibri"/>
        </w:rPr>
        <w:t>The addition of bortezomib to R-CHOP was well tolerated</w:t>
      </w:r>
      <w:r w:rsidR="000C2C2E">
        <w:rPr>
          <w:rFonts w:eastAsia="Calibri"/>
        </w:rPr>
        <w:t xml:space="preserve"> (Table 3)</w:t>
      </w:r>
      <w:r w:rsidRPr="00692206">
        <w:rPr>
          <w:rFonts w:eastAsia="Calibri"/>
        </w:rPr>
        <w:t xml:space="preserve">.  </w:t>
      </w:r>
      <w:r>
        <w:rPr>
          <w:rFonts w:eastAsia="Calibri" w:hint="eastAsia"/>
        </w:rPr>
        <w:t>The most common g</w:t>
      </w:r>
      <w:r w:rsidRPr="0068715C">
        <w:rPr>
          <w:rFonts w:eastAsia="Calibri" w:hint="eastAsia"/>
        </w:rPr>
        <w:t>rade ≥</w:t>
      </w:r>
      <w:r>
        <w:rPr>
          <w:rFonts w:eastAsia="Calibri" w:hint="eastAsia"/>
        </w:rPr>
        <w:t>3 adverse event</w:t>
      </w:r>
      <w:r w:rsidRPr="0068715C">
        <w:rPr>
          <w:rFonts w:eastAsia="Calibri" w:hint="eastAsia"/>
        </w:rPr>
        <w:t xml:space="preserve"> experienced w</w:t>
      </w:r>
      <w:r>
        <w:rPr>
          <w:rFonts w:eastAsia="Calibri" w:hint="eastAsia"/>
        </w:rPr>
        <w:t>as haematological toxicity, in</w:t>
      </w:r>
      <w:r w:rsidRPr="0068715C">
        <w:rPr>
          <w:rFonts w:eastAsia="Calibri" w:hint="eastAsia"/>
        </w:rPr>
        <w:t xml:space="preserve"> 178 (39.8%) and 187 (42.1%) of pts receivin</w:t>
      </w:r>
      <w:r>
        <w:rPr>
          <w:rFonts w:eastAsia="Calibri" w:hint="eastAsia"/>
        </w:rPr>
        <w:t>g R-CHOP and RB-CHOP</w:t>
      </w:r>
      <w:r w:rsidRPr="0068715C">
        <w:rPr>
          <w:rFonts w:eastAsia="Calibri" w:hint="eastAsia"/>
        </w:rPr>
        <w:t xml:space="preserve">, respectively. </w:t>
      </w:r>
      <w:r>
        <w:rPr>
          <w:rFonts w:eastAsia="Calibri"/>
        </w:rPr>
        <w:t>However, t</w:t>
      </w:r>
      <w:r w:rsidRPr="00692206">
        <w:rPr>
          <w:rFonts w:eastAsia="Calibri"/>
        </w:rPr>
        <w:t>here was no significant increase in rates of grade ≥3 neutropenia, febrile neutropenia, thrombocytopenia or anaemia (p&gt;0.05). Neuropathy of any grade was more frequent in RB-CHOP treated patients (</w:t>
      </w:r>
      <w:r w:rsidRPr="00692206">
        <w:rPr>
          <w:rFonts w:ascii="Calibri" w:hAnsi="Calibri" w:cs="Calibri"/>
        </w:rPr>
        <w:t>p&lt;0.0</w:t>
      </w:r>
      <w:r>
        <w:rPr>
          <w:rFonts w:ascii="Calibri" w:hAnsi="Calibri" w:cs="Calibri"/>
        </w:rPr>
        <w:t>0</w:t>
      </w:r>
      <w:r w:rsidRPr="00692206">
        <w:rPr>
          <w:rFonts w:ascii="Calibri" w:hAnsi="Calibri" w:cs="Calibri"/>
        </w:rPr>
        <w:t>01) (</w:t>
      </w:r>
      <w:r>
        <w:rPr>
          <w:rFonts w:ascii="Calibri" w:hAnsi="Calibri" w:cs="Calibri"/>
        </w:rPr>
        <w:t>A</w:t>
      </w:r>
      <w:r w:rsidR="008425BE">
        <w:rPr>
          <w:rFonts w:ascii="Calibri" w:hAnsi="Calibri" w:cs="Calibri"/>
        </w:rPr>
        <w:t xml:space="preserve">ppendix Table </w:t>
      </w:r>
      <w:r w:rsidR="00F63C0A">
        <w:rPr>
          <w:rFonts w:ascii="Calibri" w:hAnsi="Calibri" w:cs="Calibri"/>
        </w:rPr>
        <w:t>3</w:t>
      </w:r>
      <w:r w:rsidR="008425BE">
        <w:rPr>
          <w:rFonts w:ascii="Calibri" w:hAnsi="Calibri" w:cs="Calibri"/>
        </w:rPr>
        <w:t>, pp</w:t>
      </w:r>
      <w:r w:rsidR="006E4C31">
        <w:rPr>
          <w:rFonts w:ascii="Calibri" w:hAnsi="Calibri" w:cs="Calibri"/>
        </w:rPr>
        <w:t>8</w:t>
      </w:r>
      <w:r w:rsidR="008425BE">
        <w:rPr>
          <w:rFonts w:ascii="Calibri" w:hAnsi="Calibri" w:cs="Calibri"/>
        </w:rPr>
        <w:t>-1</w:t>
      </w:r>
      <w:r w:rsidR="006E4C31">
        <w:rPr>
          <w:rFonts w:ascii="Calibri" w:hAnsi="Calibri" w:cs="Calibri"/>
        </w:rPr>
        <w:t>1</w:t>
      </w:r>
      <w:r w:rsidRPr="00692206">
        <w:rPr>
          <w:rFonts w:ascii="Calibri" w:hAnsi="Calibri" w:cs="Calibri"/>
        </w:rPr>
        <w:t xml:space="preserve">) </w:t>
      </w:r>
      <w:r>
        <w:rPr>
          <w:rFonts w:eastAsia="Calibri"/>
        </w:rPr>
        <w:t>but</w:t>
      </w:r>
      <w:r w:rsidRPr="00692206">
        <w:rPr>
          <w:rFonts w:eastAsia="Calibri"/>
        </w:rPr>
        <w:t xml:space="preserve"> the</w:t>
      </w:r>
      <w:r w:rsidR="0085344D">
        <w:rPr>
          <w:rFonts w:eastAsia="Calibri"/>
        </w:rPr>
        <w:t>re was no</w:t>
      </w:r>
      <w:r w:rsidRPr="00692206">
        <w:rPr>
          <w:rFonts w:eastAsia="Calibri"/>
        </w:rPr>
        <w:t xml:space="preserve"> </w:t>
      </w:r>
      <w:r w:rsidR="0085344D">
        <w:rPr>
          <w:rFonts w:eastAsia="Calibri"/>
        </w:rPr>
        <w:t xml:space="preserve">significant </w:t>
      </w:r>
      <w:r w:rsidRPr="00692206">
        <w:rPr>
          <w:rFonts w:eastAsia="Calibri"/>
        </w:rPr>
        <w:t xml:space="preserve">difference in </w:t>
      </w:r>
      <w:r w:rsidR="0085344D">
        <w:rPr>
          <w:rFonts w:eastAsia="Calibri"/>
        </w:rPr>
        <w:t xml:space="preserve">the </w:t>
      </w:r>
      <w:r w:rsidRPr="00692206">
        <w:rPr>
          <w:rFonts w:eastAsia="Calibri"/>
        </w:rPr>
        <w:t xml:space="preserve">event rate for neuropathy of grade  ≥3. </w:t>
      </w:r>
      <w:r w:rsidRPr="00B95AD9">
        <w:rPr>
          <w:rFonts w:eastAsia="Calibri"/>
        </w:rPr>
        <w:t xml:space="preserve"> </w:t>
      </w:r>
      <w:r>
        <w:rPr>
          <w:rFonts w:eastAsia="Calibri"/>
        </w:rPr>
        <w:t>Serious adverse events were experienced in 190 (42.5%) of 447 R-CHOP pts vs 223 (50.2%) of 444 RB-CHOP pts. Nine Suspected Unexpected Serious Adverse Reactions (SUSARs) were reported: four in the R-CHOP arm (haemophagocytic</w:t>
      </w:r>
      <w:r w:rsidRPr="00B95AD9">
        <w:rPr>
          <w:rFonts w:eastAsia="Calibri"/>
        </w:rPr>
        <w:t xml:space="preserve"> </w:t>
      </w:r>
      <w:r>
        <w:rPr>
          <w:rFonts w:eastAsia="Calibri"/>
        </w:rPr>
        <w:t>syndrome, l</w:t>
      </w:r>
      <w:r w:rsidRPr="00B95AD9">
        <w:rPr>
          <w:rFonts w:eastAsia="Calibri"/>
        </w:rPr>
        <w:t xml:space="preserve">eukaemia secondary </w:t>
      </w:r>
      <w:r>
        <w:rPr>
          <w:rFonts w:eastAsia="Calibri"/>
        </w:rPr>
        <w:t>to</w:t>
      </w:r>
      <w:r w:rsidRPr="00B95AD9">
        <w:rPr>
          <w:rFonts w:eastAsia="Calibri"/>
        </w:rPr>
        <w:t xml:space="preserve"> chemotherapy</w:t>
      </w:r>
      <w:r>
        <w:rPr>
          <w:rFonts w:eastAsia="Calibri"/>
        </w:rPr>
        <w:t>, n</w:t>
      </w:r>
      <w:r w:rsidRPr="00B95AD9">
        <w:rPr>
          <w:rFonts w:eastAsia="Calibri"/>
        </w:rPr>
        <w:t>eutropenic sepsis</w:t>
      </w:r>
      <w:r>
        <w:rPr>
          <w:rFonts w:eastAsia="Calibri"/>
        </w:rPr>
        <w:t>, and f</w:t>
      </w:r>
      <w:r w:rsidRPr="00B95AD9">
        <w:rPr>
          <w:rFonts w:eastAsia="Calibri"/>
        </w:rPr>
        <w:t>racture</w:t>
      </w:r>
      <w:r>
        <w:rPr>
          <w:rFonts w:eastAsia="Calibri"/>
        </w:rPr>
        <w:t>); and five in the RB-CHOP arm (j</w:t>
      </w:r>
      <w:r w:rsidRPr="00B95AD9">
        <w:rPr>
          <w:rFonts w:eastAsia="Calibri"/>
        </w:rPr>
        <w:t>ejunal stricture with small bowel obstruction</w:t>
      </w:r>
      <w:r>
        <w:rPr>
          <w:rFonts w:eastAsia="Calibri"/>
        </w:rPr>
        <w:t>, b</w:t>
      </w:r>
      <w:r w:rsidRPr="00B95AD9">
        <w:rPr>
          <w:rFonts w:eastAsia="Calibri"/>
        </w:rPr>
        <w:t>owel perforation</w:t>
      </w:r>
      <w:r>
        <w:rPr>
          <w:rFonts w:eastAsia="Calibri"/>
        </w:rPr>
        <w:t>, r</w:t>
      </w:r>
      <w:r w:rsidRPr="00B95AD9">
        <w:rPr>
          <w:rFonts w:eastAsia="Calibri"/>
        </w:rPr>
        <w:t>enal failure</w:t>
      </w:r>
      <w:r>
        <w:rPr>
          <w:rFonts w:eastAsia="Calibri"/>
        </w:rPr>
        <w:t>, s</w:t>
      </w:r>
      <w:r w:rsidRPr="00B95AD9">
        <w:rPr>
          <w:rFonts w:eastAsia="Calibri"/>
        </w:rPr>
        <w:t>epsis</w:t>
      </w:r>
      <w:r>
        <w:rPr>
          <w:rFonts w:eastAsia="Calibri"/>
        </w:rPr>
        <w:t xml:space="preserve"> and t</w:t>
      </w:r>
      <w:r w:rsidRPr="00B95AD9">
        <w:rPr>
          <w:rFonts w:eastAsia="Calibri"/>
        </w:rPr>
        <w:t>umour lysis syndrome</w:t>
      </w:r>
      <w:r>
        <w:rPr>
          <w:rFonts w:eastAsia="Calibri"/>
        </w:rPr>
        <w:t xml:space="preserve">). </w:t>
      </w:r>
      <w:r w:rsidRPr="00692206">
        <w:rPr>
          <w:rFonts w:eastAsia="Calibri"/>
        </w:rPr>
        <w:t>There were</w:t>
      </w:r>
      <w:r>
        <w:rPr>
          <w:rFonts w:eastAsia="Calibri"/>
        </w:rPr>
        <w:t xml:space="preserve"> </w:t>
      </w:r>
      <w:r w:rsidRPr="00692206">
        <w:rPr>
          <w:rFonts w:eastAsia="Calibri"/>
        </w:rPr>
        <w:t xml:space="preserve">fewer dose reductions </w:t>
      </w:r>
      <w:r>
        <w:rPr>
          <w:rFonts w:eastAsia="Calibri"/>
        </w:rPr>
        <w:t xml:space="preserve">overall </w:t>
      </w:r>
      <w:r w:rsidRPr="00692206">
        <w:rPr>
          <w:rFonts w:eastAsia="Calibri"/>
        </w:rPr>
        <w:t>in the R-CHOP arm than the RB-CHOP arm</w:t>
      </w:r>
      <w:r>
        <w:rPr>
          <w:rFonts w:eastAsia="Calibri"/>
        </w:rPr>
        <w:t>: 158 (</w:t>
      </w:r>
      <w:r w:rsidRPr="00C20B43">
        <w:t>34</w:t>
      </w:r>
      <w:r>
        <w:t>.5%) of 459 vs 196 (42.9</w:t>
      </w:r>
      <w:r w:rsidRPr="00692206">
        <w:rPr>
          <w:rFonts w:eastAsia="Calibri"/>
        </w:rPr>
        <w:t>%</w:t>
      </w:r>
      <w:r>
        <w:rPr>
          <w:rFonts w:eastAsia="Calibri"/>
        </w:rPr>
        <w:t xml:space="preserve">) of 459, respectively. There were also </w:t>
      </w:r>
      <w:r w:rsidR="0033168E">
        <w:rPr>
          <w:rFonts w:eastAsia="Calibri"/>
        </w:rPr>
        <w:t>fewer</w:t>
      </w:r>
      <w:r>
        <w:rPr>
          <w:rFonts w:eastAsia="Calibri"/>
        </w:rPr>
        <w:t xml:space="preserve"> discontinuation from trial treatments observed in the R-CHOP arm compared to the RB-CHOP arm: 43 (9.4%) of 459 vs 60 (13.1%) of 459, respectively</w:t>
      </w:r>
      <w:r w:rsidR="008425BE">
        <w:rPr>
          <w:rFonts w:eastAsia="Calibri"/>
        </w:rPr>
        <w:t xml:space="preserve"> (Appendix Table </w:t>
      </w:r>
      <w:r w:rsidR="00F63C0A">
        <w:rPr>
          <w:rFonts w:eastAsia="Calibri"/>
        </w:rPr>
        <w:t>4</w:t>
      </w:r>
      <w:r w:rsidR="008425BE">
        <w:rPr>
          <w:rFonts w:eastAsia="Calibri"/>
        </w:rPr>
        <w:t>, p1</w:t>
      </w:r>
      <w:r w:rsidR="006E4C31">
        <w:rPr>
          <w:rFonts w:eastAsia="Calibri"/>
        </w:rPr>
        <w:t>1</w:t>
      </w:r>
      <w:r>
        <w:rPr>
          <w:rFonts w:eastAsia="Calibri"/>
        </w:rPr>
        <w:t xml:space="preserve">).  However, </w:t>
      </w:r>
      <w:r w:rsidRPr="00692206">
        <w:rPr>
          <w:rFonts w:eastAsia="Calibri"/>
        </w:rPr>
        <w:t>median relative dose intensity (RDI) for patients in the control and experimental arm w</w:t>
      </w:r>
      <w:r>
        <w:rPr>
          <w:rFonts w:eastAsia="Calibri"/>
        </w:rPr>
        <w:t>as</w:t>
      </w:r>
      <w:r w:rsidRPr="00692206">
        <w:rPr>
          <w:rFonts w:eastAsia="Calibri"/>
        </w:rPr>
        <w:t xml:space="preserve"> similar for the agents of R-CHOP</w:t>
      </w:r>
      <w:r>
        <w:rPr>
          <w:rFonts w:eastAsia="Calibri"/>
        </w:rPr>
        <w:t xml:space="preserve"> and a high proportion of patients successfully completed 6 cycles of treatment: 418 (91.3%) of 459 and 398 </w:t>
      </w:r>
      <w:r w:rsidRPr="00C102C0">
        <w:rPr>
          <w:rFonts w:eastAsia="Calibri"/>
        </w:rPr>
        <w:t>(87.1%) of 459, respectively(</w:t>
      </w:r>
      <w:r>
        <w:rPr>
          <w:rFonts w:eastAsia="Calibri"/>
        </w:rPr>
        <w:t>Appendix</w:t>
      </w:r>
      <w:r w:rsidRPr="00C102C0">
        <w:rPr>
          <w:rFonts w:eastAsia="Calibri"/>
        </w:rPr>
        <w:t xml:space="preserve"> Table </w:t>
      </w:r>
      <w:r w:rsidR="00F63C0A">
        <w:rPr>
          <w:rFonts w:eastAsia="Calibri"/>
        </w:rPr>
        <w:t>5</w:t>
      </w:r>
      <w:r w:rsidR="008425BE">
        <w:rPr>
          <w:rFonts w:eastAsia="Calibri"/>
        </w:rPr>
        <w:t>, p1</w:t>
      </w:r>
      <w:r w:rsidR="006E4C31">
        <w:rPr>
          <w:rFonts w:eastAsia="Calibri"/>
        </w:rPr>
        <w:t>2</w:t>
      </w:r>
      <w:r w:rsidRPr="00C102C0">
        <w:rPr>
          <w:rFonts w:eastAsia="Calibri"/>
        </w:rPr>
        <w:t>).</w:t>
      </w:r>
      <w:r>
        <w:rPr>
          <w:rFonts w:eastAsia="Calibri"/>
        </w:rPr>
        <w:t xml:space="preserve"> The number of deaths experienced in the R-CHOP arm and the RB-CHOP arm in the safety population were: 73 (16.3%) of 447 vs  68 (15.3%) of 444, respectively, with the majority of deaths due to progressive lymphoma (R-CHOP: 50 [68.5%] of 73; RB-CHOP: 54 [79.4%] of 68), and 9 treatment related deaths reported (R-CHOP: 5 [6.8%] of 73; RB-CHOP: 4 [5.9%] of 68)  (Appendix Table </w:t>
      </w:r>
      <w:r w:rsidR="00F63C0A">
        <w:rPr>
          <w:rFonts w:eastAsia="Calibri"/>
        </w:rPr>
        <w:t>6</w:t>
      </w:r>
      <w:r>
        <w:rPr>
          <w:rFonts w:eastAsia="Calibri"/>
        </w:rPr>
        <w:t xml:space="preserve">, </w:t>
      </w:r>
      <w:r w:rsidR="008425BE">
        <w:rPr>
          <w:rFonts w:eastAsia="Calibri"/>
        </w:rPr>
        <w:t>p1</w:t>
      </w:r>
      <w:r w:rsidR="006E4C31">
        <w:rPr>
          <w:rFonts w:eastAsia="Calibri"/>
        </w:rPr>
        <w:t>3</w:t>
      </w:r>
      <w:r>
        <w:rPr>
          <w:rFonts w:eastAsia="Calibri"/>
        </w:rPr>
        <w:t>).</w:t>
      </w:r>
    </w:p>
    <w:p w14:paraId="56A0770F" w14:textId="4EB8A20A" w:rsidR="001C1582" w:rsidRDefault="00BC0119" w:rsidP="00D51336">
      <w:pPr>
        <w:pStyle w:val="p1"/>
        <w:spacing w:before="120" w:after="200" w:line="276" w:lineRule="auto"/>
        <w:jc w:val="both"/>
        <w:rPr>
          <w:rFonts w:asciiTheme="minorHAnsi" w:hAnsiTheme="minorHAnsi"/>
          <w:sz w:val="22"/>
          <w:szCs w:val="22"/>
        </w:rPr>
      </w:pPr>
      <w:r w:rsidRPr="00D51336">
        <w:rPr>
          <w:rFonts w:asciiTheme="minorHAnsi" w:hAnsiTheme="minorHAnsi"/>
          <w:sz w:val="22"/>
          <w:szCs w:val="22"/>
        </w:rPr>
        <w:t xml:space="preserve">The </w:t>
      </w:r>
      <w:r w:rsidR="0030115B" w:rsidRPr="00D51336">
        <w:rPr>
          <w:rFonts w:asciiTheme="minorHAnsi" w:hAnsiTheme="minorHAnsi"/>
          <w:sz w:val="22"/>
          <w:szCs w:val="22"/>
        </w:rPr>
        <w:t xml:space="preserve">primary outcome efficacy analysis was performed </w:t>
      </w:r>
      <w:r w:rsidRPr="00D51336">
        <w:rPr>
          <w:rFonts w:asciiTheme="minorHAnsi" w:hAnsiTheme="minorHAnsi"/>
          <w:sz w:val="22"/>
          <w:szCs w:val="22"/>
        </w:rPr>
        <w:t xml:space="preserve">when median follow-up of the combined </w:t>
      </w:r>
      <w:r w:rsidR="00BC14A2" w:rsidRPr="00D51336">
        <w:rPr>
          <w:rFonts w:asciiTheme="minorHAnsi" w:hAnsiTheme="minorHAnsi"/>
          <w:sz w:val="22"/>
          <w:szCs w:val="22"/>
        </w:rPr>
        <w:t xml:space="preserve">ABC+GCB ITT </w:t>
      </w:r>
      <w:r w:rsidR="0030115B" w:rsidRPr="00D51336">
        <w:rPr>
          <w:rFonts w:asciiTheme="minorHAnsi" w:hAnsiTheme="minorHAnsi"/>
          <w:sz w:val="22"/>
          <w:szCs w:val="22"/>
        </w:rPr>
        <w:t xml:space="preserve">population </w:t>
      </w:r>
      <w:r w:rsidR="007355FF" w:rsidRPr="00D51336">
        <w:rPr>
          <w:rFonts w:asciiTheme="minorHAnsi" w:hAnsiTheme="minorHAnsi"/>
          <w:sz w:val="22"/>
          <w:szCs w:val="22"/>
        </w:rPr>
        <w:t xml:space="preserve">reached </w:t>
      </w:r>
      <w:r w:rsidR="00BC14A2" w:rsidRPr="00D51336">
        <w:rPr>
          <w:rFonts w:asciiTheme="minorHAnsi" w:hAnsiTheme="minorHAnsi"/>
          <w:sz w:val="22"/>
          <w:szCs w:val="22"/>
        </w:rPr>
        <w:t>30</w:t>
      </w:r>
      <w:r w:rsidR="007355FF" w:rsidRPr="00D51336">
        <w:rPr>
          <w:rFonts w:asciiTheme="minorHAnsi" w:hAnsiTheme="minorHAnsi"/>
          <w:sz w:val="22"/>
          <w:szCs w:val="22"/>
        </w:rPr>
        <w:t xml:space="preserve"> months</w:t>
      </w:r>
      <w:r w:rsidR="000E658C" w:rsidRPr="00D51336">
        <w:rPr>
          <w:rFonts w:asciiTheme="minorHAnsi" w:hAnsiTheme="minorHAnsi"/>
          <w:sz w:val="22"/>
          <w:szCs w:val="22"/>
        </w:rPr>
        <w:t>,</w:t>
      </w:r>
      <w:r w:rsidR="00BC14A2" w:rsidRPr="00D51336">
        <w:rPr>
          <w:rFonts w:asciiTheme="minorHAnsi" w:hAnsiTheme="minorHAnsi"/>
          <w:sz w:val="22"/>
          <w:szCs w:val="22"/>
        </w:rPr>
        <w:t xml:space="preserve"> </w:t>
      </w:r>
      <w:r w:rsidR="000E658C" w:rsidRPr="00D51336">
        <w:rPr>
          <w:rFonts w:asciiTheme="minorHAnsi" w:hAnsiTheme="minorHAnsi"/>
          <w:sz w:val="22"/>
          <w:szCs w:val="22"/>
        </w:rPr>
        <w:t xml:space="preserve">as stipulated in the protocol </w:t>
      </w:r>
      <w:r w:rsidR="00BC14A2" w:rsidRPr="00D51336">
        <w:rPr>
          <w:rFonts w:asciiTheme="minorHAnsi" w:hAnsiTheme="minorHAnsi"/>
          <w:sz w:val="22"/>
          <w:szCs w:val="22"/>
        </w:rPr>
        <w:t xml:space="preserve">(median [95% CI]: 29.7 [29.0 </w:t>
      </w:r>
      <w:r w:rsidR="00BC14A2" w:rsidRPr="00D51336">
        <w:rPr>
          <w:rFonts w:asciiTheme="minorHAnsi" w:hAnsiTheme="minorHAnsi"/>
          <w:sz w:val="22"/>
          <w:szCs w:val="22"/>
        </w:rPr>
        <w:lastRenderedPageBreak/>
        <w:t>to 32.0]; median follow-up of survivors [95% CI]: 29.4 [28.6 to 31.1]</w:t>
      </w:r>
      <w:r w:rsidR="006E01ED" w:rsidRPr="00D51336">
        <w:rPr>
          <w:rFonts w:asciiTheme="minorHAnsi" w:hAnsiTheme="minorHAnsi"/>
          <w:sz w:val="22"/>
          <w:szCs w:val="22"/>
        </w:rPr>
        <w:t xml:space="preserve">). </w:t>
      </w:r>
      <w:r w:rsidR="001C1582" w:rsidRPr="00D51336">
        <w:rPr>
          <w:rFonts w:asciiTheme="minorHAnsi" w:hAnsiTheme="minorHAnsi"/>
          <w:sz w:val="22"/>
          <w:szCs w:val="22"/>
        </w:rPr>
        <w:t xml:space="preserve">The number of PFS events </w:t>
      </w:r>
      <w:r w:rsidR="001C1582">
        <w:rPr>
          <w:rFonts w:asciiTheme="minorHAnsi" w:hAnsiTheme="minorHAnsi"/>
          <w:sz w:val="22"/>
          <w:szCs w:val="22"/>
        </w:rPr>
        <w:t xml:space="preserve">(progression/deaths) </w:t>
      </w:r>
      <w:r w:rsidR="001C1582" w:rsidRPr="00D51336">
        <w:rPr>
          <w:rFonts w:asciiTheme="minorHAnsi" w:hAnsiTheme="minorHAnsi"/>
          <w:sz w:val="22"/>
          <w:szCs w:val="22"/>
        </w:rPr>
        <w:t xml:space="preserve">observed in this group was </w:t>
      </w:r>
      <w:r w:rsidR="001C1582">
        <w:rPr>
          <w:rFonts w:asciiTheme="minorHAnsi" w:hAnsiTheme="minorHAnsi"/>
          <w:sz w:val="22"/>
          <w:szCs w:val="22"/>
        </w:rPr>
        <w:t>198 (107 in R-CHOP and 91 in RB-CHOP), and t</w:t>
      </w:r>
      <w:r w:rsidR="001C1582" w:rsidRPr="00D51336">
        <w:rPr>
          <w:rFonts w:asciiTheme="minorHAnsi" w:hAnsiTheme="minorHAnsi"/>
          <w:sz w:val="22"/>
          <w:szCs w:val="22"/>
        </w:rPr>
        <w:t xml:space="preserve">he number of </w:t>
      </w:r>
      <w:r w:rsidR="001C1582">
        <w:rPr>
          <w:rFonts w:asciiTheme="minorHAnsi" w:hAnsiTheme="minorHAnsi"/>
          <w:sz w:val="22"/>
          <w:szCs w:val="22"/>
        </w:rPr>
        <w:t>OS events (deaths)</w:t>
      </w:r>
      <w:r w:rsidR="001C1582" w:rsidRPr="00D51336">
        <w:rPr>
          <w:rFonts w:asciiTheme="minorHAnsi" w:hAnsiTheme="minorHAnsi"/>
          <w:sz w:val="22"/>
          <w:szCs w:val="22"/>
        </w:rPr>
        <w:t xml:space="preserve"> observed was 116</w:t>
      </w:r>
      <w:r w:rsidR="001C1582">
        <w:rPr>
          <w:rFonts w:asciiTheme="minorHAnsi" w:hAnsiTheme="minorHAnsi"/>
          <w:sz w:val="22"/>
          <w:szCs w:val="22"/>
        </w:rPr>
        <w:t xml:space="preserve"> (62 in R-CHOP and 54 in RB-CHOP)</w:t>
      </w:r>
      <w:r w:rsidR="001C1582" w:rsidRPr="00D51336">
        <w:rPr>
          <w:rFonts w:asciiTheme="minorHAnsi" w:hAnsiTheme="minorHAnsi"/>
          <w:sz w:val="22"/>
          <w:szCs w:val="22"/>
        </w:rPr>
        <w:t>. There was no difference in PFS in the combined ABC + GCB populations between the R-CHOP and RB-CHOP groups; adjusted HR = 0.8</w:t>
      </w:r>
      <w:r w:rsidR="001C1582">
        <w:rPr>
          <w:rFonts w:asciiTheme="minorHAnsi" w:hAnsiTheme="minorHAnsi"/>
          <w:sz w:val="22"/>
          <w:szCs w:val="22"/>
        </w:rPr>
        <w:t>4</w:t>
      </w:r>
      <w:r w:rsidR="001C1582" w:rsidRPr="00D51336">
        <w:rPr>
          <w:rFonts w:asciiTheme="minorHAnsi" w:hAnsiTheme="minorHAnsi"/>
          <w:sz w:val="22"/>
          <w:szCs w:val="22"/>
        </w:rPr>
        <w:t xml:space="preserve">, 95% CI </w:t>
      </w:r>
      <w:r w:rsidR="001C1582" w:rsidRPr="00D51336">
        <w:rPr>
          <w:rFonts w:asciiTheme="minorHAnsi" w:hAnsiTheme="minorHAnsi"/>
          <w:bCs/>
          <w:color w:val="000000" w:themeColor="text1"/>
          <w:sz w:val="22"/>
          <w:szCs w:val="22"/>
        </w:rPr>
        <w:t>0.</w:t>
      </w:r>
      <w:r w:rsidR="001C1582">
        <w:rPr>
          <w:rFonts w:asciiTheme="minorHAnsi" w:hAnsiTheme="minorHAnsi"/>
          <w:bCs/>
          <w:color w:val="000000" w:themeColor="text1"/>
          <w:sz w:val="22"/>
          <w:szCs w:val="22"/>
        </w:rPr>
        <w:t>64</w:t>
      </w:r>
      <w:r w:rsidR="001C1582" w:rsidRPr="00D51336">
        <w:rPr>
          <w:rFonts w:asciiTheme="minorHAnsi" w:hAnsiTheme="minorHAnsi"/>
          <w:bCs/>
          <w:color w:val="000000" w:themeColor="text1"/>
          <w:sz w:val="22"/>
          <w:szCs w:val="22"/>
        </w:rPr>
        <w:t xml:space="preserve"> - 1.1</w:t>
      </w:r>
      <w:r w:rsidR="001C1582">
        <w:rPr>
          <w:rFonts w:asciiTheme="minorHAnsi" w:hAnsiTheme="minorHAnsi"/>
          <w:bCs/>
          <w:color w:val="000000" w:themeColor="text1"/>
          <w:sz w:val="22"/>
          <w:szCs w:val="22"/>
        </w:rPr>
        <w:t>1</w:t>
      </w:r>
      <w:r w:rsidR="001C1582" w:rsidRPr="00D51336">
        <w:rPr>
          <w:rFonts w:asciiTheme="minorHAnsi" w:hAnsiTheme="minorHAnsi"/>
          <w:sz w:val="22"/>
          <w:szCs w:val="22"/>
        </w:rPr>
        <w:t>; P=0.</w:t>
      </w:r>
      <w:r w:rsidR="001C1582">
        <w:rPr>
          <w:rFonts w:asciiTheme="minorHAnsi" w:hAnsiTheme="minorHAnsi"/>
          <w:sz w:val="22"/>
          <w:szCs w:val="22"/>
        </w:rPr>
        <w:t>23</w:t>
      </w:r>
    </w:p>
    <w:p w14:paraId="59D1C4A7" w14:textId="6109E181" w:rsidR="000E658C" w:rsidRPr="009C0CA5" w:rsidRDefault="000E658C" w:rsidP="00C102C0">
      <w:pPr>
        <w:pStyle w:val="p1"/>
        <w:spacing w:before="120" w:after="200" w:line="276" w:lineRule="auto"/>
        <w:jc w:val="both"/>
        <w:rPr>
          <w:rFonts w:cs="Times New Roman"/>
          <w:color w:val="000000" w:themeColor="text1"/>
        </w:rPr>
      </w:pPr>
      <w:r w:rsidRPr="00C102C0">
        <w:rPr>
          <w:rFonts w:asciiTheme="minorHAnsi" w:hAnsiTheme="minorHAnsi"/>
          <w:sz w:val="22"/>
          <w:szCs w:val="22"/>
        </w:rPr>
        <w:t>Although no adjustment</w:t>
      </w:r>
      <w:r>
        <w:rPr>
          <w:rFonts w:asciiTheme="minorHAnsi" w:hAnsiTheme="minorHAnsi"/>
          <w:sz w:val="22"/>
          <w:szCs w:val="22"/>
        </w:rPr>
        <w:t xml:space="preserve"> for multiple testing was made, e</w:t>
      </w:r>
      <w:r w:rsidRPr="003A5BB5">
        <w:rPr>
          <w:rFonts w:asciiTheme="minorHAnsi" w:hAnsiTheme="minorHAnsi"/>
          <w:sz w:val="22"/>
          <w:szCs w:val="22"/>
        </w:rPr>
        <w:t>fficacy analyses were repeated after additional follow-up</w:t>
      </w:r>
      <w:r w:rsidR="00617AD7">
        <w:rPr>
          <w:rFonts w:asciiTheme="minorHAnsi" w:hAnsiTheme="minorHAnsi"/>
          <w:sz w:val="22"/>
          <w:szCs w:val="22"/>
        </w:rPr>
        <w:t xml:space="preserve"> was received</w:t>
      </w:r>
      <w:r w:rsidRPr="003A5BB5">
        <w:rPr>
          <w:rFonts w:asciiTheme="minorHAnsi" w:hAnsiTheme="minorHAnsi"/>
          <w:sz w:val="22"/>
          <w:szCs w:val="22"/>
        </w:rPr>
        <w:t>: median follow-up of survivors in the ABC+GCB ITT population [95% CI]: 42.3 months [40.9 to 45.6].</w:t>
      </w:r>
      <w:r w:rsidRPr="003A5BB5" w:rsidDel="006E01ED">
        <w:rPr>
          <w:rFonts w:asciiTheme="minorHAnsi" w:hAnsiTheme="minorHAnsi"/>
          <w:sz w:val="22"/>
          <w:szCs w:val="22"/>
        </w:rPr>
        <w:t xml:space="preserve"> </w:t>
      </w:r>
      <w:r w:rsidRPr="003A5BB5">
        <w:rPr>
          <w:rFonts w:asciiTheme="minorHAnsi" w:hAnsiTheme="minorHAnsi"/>
          <w:sz w:val="22"/>
          <w:szCs w:val="22"/>
        </w:rPr>
        <w:t xml:space="preserve"> </w:t>
      </w:r>
      <w:r w:rsidR="00617AD7" w:rsidRPr="00D51336">
        <w:rPr>
          <w:rFonts w:asciiTheme="minorHAnsi" w:hAnsiTheme="minorHAnsi"/>
          <w:sz w:val="22"/>
          <w:szCs w:val="22"/>
        </w:rPr>
        <w:t xml:space="preserve">The number of PFS events </w:t>
      </w:r>
      <w:r w:rsidR="00617AD7">
        <w:rPr>
          <w:rFonts w:asciiTheme="minorHAnsi" w:hAnsiTheme="minorHAnsi"/>
          <w:sz w:val="22"/>
          <w:szCs w:val="22"/>
        </w:rPr>
        <w:t xml:space="preserve">(progression/deaths) </w:t>
      </w:r>
      <w:r w:rsidR="00617AD7" w:rsidRPr="00D51336">
        <w:rPr>
          <w:rFonts w:asciiTheme="minorHAnsi" w:hAnsiTheme="minorHAnsi"/>
          <w:sz w:val="22"/>
          <w:szCs w:val="22"/>
        </w:rPr>
        <w:t xml:space="preserve">observed in this group was </w:t>
      </w:r>
      <w:r w:rsidR="00617AD7">
        <w:rPr>
          <w:rFonts w:asciiTheme="minorHAnsi" w:hAnsiTheme="minorHAnsi"/>
          <w:sz w:val="22"/>
          <w:szCs w:val="22"/>
        </w:rPr>
        <w:t xml:space="preserve">211 </w:t>
      </w:r>
      <w:r w:rsidR="00617AD7" w:rsidRPr="00D51336">
        <w:rPr>
          <w:rFonts w:asciiTheme="minorHAnsi" w:hAnsiTheme="minorHAnsi"/>
          <w:sz w:val="22"/>
          <w:szCs w:val="22"/>
        </w:rPr>
        <w:t>events</w:t>
      </w:r>
      <w:r w:rsidR="00617AD7">
        <w:rPr>
          <w:rFonts w:asciiTheme="minorHAnsi" w:hAnsiTheme="minorHAnsi"/>
          <w:sz w:val="22"/>
          <w:szCs w:val="22"/>
        </w:rPr>
        <w:t xml:space="preserve"> (115 in R-CHOP and 96 in RB-CHOP), and t</w:t>
      </w:r>
      <w:r w:rsidR="00617AD7" w:rsidRPr="00D51336">
        <w:rPr>
          <w:rFonts w:asciiTheme="minorHAnsi" w:hAnsiTheme="minorHAnsi"/>
          <w:sz w:val="22"/>
          <w:szCs w:val="22"/>
        </w:rPr>
        <w:t xml:space="preserve">he number of </w:t>
      </w:r>
      <w:r w:rsidR="00617AD7">
        <w:rPr>
          <w:rFonts w:asciiTheme="minorHAnsi" w:hAnsiTheme="minorHAnsi"/>
          <w:sz w:val="22"/>
          <w:szCs w:val="22"/>
        </w:rPr>
        <w:t>OS events (deaths)</w:t>
      </w:r>
      <w:r w:rsidR="00617AD7" w:rsidRPr="00D51336">
        <w:rPr>
          <w:rFonts w:asciiTheme="minorHAnsi" w:hAnsiTheme="minorHAnsi"/>
          <w:sz w:val="22"/>
          <w:szCs w:val="22"/>
        </w:rPr>
        <w:t xml:space="preserve"> observed was </w:t>
      </w:r>
      <w:r w:rsidR="00617AD7">
        <w:rPr>
          <w:rFonts w:asciiTheme="minorHAnsi" w:hAnsiTheme="minorHAnsi"/>
          <w:sz w:val="22"/>
          <w:szCs w:val="22"/>
        </w:rPr>
        <w:t>133 (72 in R-CHOP and 61 in RB-CHOP)</w:t>
      </w:r>
      <w:r w:rsidR="00617AD7" w:rsidRPr="003A5BB5">
        <w:rPr>
          <w:rFonts w:asciiTheme="minorHAnsi" w:hAnsiTheme="minorHAnsi"/>
          <w:sz w:val="22"/>
          <w:szCs w:val="22"/>
        </w:rPr>
        <w:t>.</w:t>
      </w:r>
      <w:r w:rsidR="00617AD7" w:rsidRPr="003A5BB5" w:rsidDel="006E01ED">
        <w:rPr>
          <w:rFonts w:asciiTheme="minorHAnsi" w:hAnsiTheme="minorHAnsi"/>
          <w:sz w:val="22"/>
          <w:szCs w:val="22"/>
        </w:rPr>
        <w:t xml:space="preserve"> </w:t>
      </w:r>
      <w:r w:rsidR="00617AD7" w:rsidRPr="003A5BB5">
        <w:rPr>
          <w:rFonts w:asciiTheme="minorHAnsi" w:hAnsiTheme="minorHAnsi"/>
          <w:sz w:val="22"/>
          <w:szCs w:val="22"/>
        </w:rPr>
        <w:t xml:space="preserve"> </w:t>
      </w:r>
      <w:r w:rsidR="00617AD7">
        <w:rPr>
          <w:rFonts w:asciiTheme="minorHAnsi" w:hAnsiTheme="minorHAnsi"/>
          <w:sz w:val="22"/>
          <w:szCs w:val="22"/>
        </w:rPr>
        <w:t xml:space="preserve"> </w:t>
      </w:r>
      <w:r w:rsidRPr="003A5BB5">
        <w:rPr>
          <w:rFonts w:asciiTheme="minorHAnsi" w:hAnsiTheme="minorHAnsi"/>
          <w:sz w:val="22"/>
          <w:szCs w:val="22"/>
        </w:rPr>
        <w:t xml:space="preserve">There was no </w:t>
      </w:r>
      <w:r>
        <w:rPr>
          <w:rFonts w:asciiTheme="minorHAnsi" w:hAnsiTheme="minorHAnsi"/>
          <w:sz w:val="22"/>
          <w:szCs w:val="22"/>
        </w:rPr>
        <w:t xml:space="preserve">evidence of </w:t>
      </w:r>
      <w:r w:rsidRPr="003A5BB5">
        <w:rPr>
          <w:rFonts w:asciiTheme="minorHAnsi" w:hAnsiTheme="minorHAnsi"/>
          <w:sz w:val="22"/>
          <w:szCs w:val="22"/>
        </w:rPr>
        <w:t xml:space="preserve">difference in PFS in the combined ABC + GCB populations between the R-CHOP and RB-CHOP groups; adjusted HR = 0.82, 95% CI </w:t>
      </w:r>
      <w:r w:rsidRPr="003A5BB5">
        <w:rPr>
          <w:rFonts w:asciiTheme="minorHAnsi" w:hAnsiTheme="minorHAnsi"/>
          <w:bCs/>
          <w:color w:val="000000" w:themeColor="text1"/>
          <w:sz w:val="22"/>
          <w:szCs w:val="22"/>
        </w:rPr>
        <w:t>0.63 - 1.08</w:t>
      </w:r>
      <w:r w:rsidRPr="003A5BB5">
        <w:rPr>
          <w:rFonts w:asciiTheme="minorHAnsi" w:hAnsiTheme="minorHAnsi"/>
          <w:sz w:val="22"/>
          <w:szCs w:val="22"/>
        </w:rPr>
        <w:t xml:space="preserve">; P=0.16 (Figure </w:t>
      </w:r>
      <w:r w:rsidR="00A35FCB">
        <w:rPr>
          <w:rFonts w:asciiTheme="minorHAnsi" w:hAnsiTheme="minorHAnsi"/>
          <w:sz w:val="22"/>
          <w:szCs w:val="22"/>
        </w:rPr>
        <w:t>2</w:t>
      </w:r>
      <w:r w:rsidRPr="003A5BB5">
        <w:rPr>
          <w:rFonts w:asciiTheme="minorHAnsi" w:hAnsiTheme="minorHAnsi"/>
          <w:sz w:val="22"/>
          <w:szCs w:val="22"/>
        </w:rPr>
        <w:t xml:space="preserve">A) .  Estimated 30 month </w:t>
      </w:r>
      <w:r w:rsidR="00617AD7">
        <w:rPr>
          <w:rFonts w:asciiTheme="minorHAnsi" w:hAnsiTheme="minorHAnsi"/>
          <w:sz w:val="22"/>
          <w:szCs w:val="22"/>
        </w:rPr>
        <w:t>PFS</w:t>
      </w:r>
      <w:r>
        <w:rPr>
          <w:rFonts w:asciiTheme="minorHAnsi" w:hAnsiTheme="minorHAnsi"/>
          <w:sz w:val="22"/>
          <w:szCs w:val="22"/>
        </w:rPr>
        <w:t xml:space="preserve"> rates</w:t>
      </w:r>
      <w:r w:rsidRPr="003A5BB5">
        <w:rPr>
          <w:rFonts w:asciiTheme="minorHAnsi" w:hAnsiTheme="minorHAnsi"/>
          <w:sz w:val="22"/>
          <w:szCs w:val="22"/>
        </w:rPr>
        <w:t xml:space="preserve"> (PFS30) were 70.6% </w:t>
      </w:r>
      <w:r>
        <w:rPr>
          <w:rFonts w:asciiTheme="minorHAnsi" w:hAnsiTheme="minorHAnsi"/>
          <w:sz w:val="22"/>
          <w:szCs w:val="22"/>
        </w:rPr>
        <w:t>(95% CI: 65.5% to 75.0%)</w:t>
      </w:r>
      <w:r w:rsidRPr="003A5BB5">
        <w:rPr>
          <w:rFonts w:asciiTheme="minorHAnsi" w:hAnsiTheme="minorHAnsi"/>
          <w:sz w:val="22"/>
          <w:szCs w:val="22"/>
        </w:rPr>
        <w:t xml:space="preserve">and 75.2% </w:t>
      </w:r>
      <w:r>
        <w:rPr>
          <w:rFonts w:asciiTheme="minorHAnsi" w:hAnsiTheme="minorHAnsi"/>
          <w:sz w:val="22"/>
          <w:szCs w:val="22"/>
        </w:rPr>
        <w:t xml:space="preserve">(95% CI: 70.3% to 79.4%) </w:t>
      </w:r>
      <w:r w:rsidRPr="003A5BB5">
        <w:rPr>
          <w:rFonts w:asciiTheme="minorHAnsi" w:hAnsiTheme="minorHAnsi"/>
          <w:sz w:val="22"/>
          <w:szCs w:val="22"/>
        </w:rPr>
        <w:t>for R-CHOP and RB-CHOP respectively.  Analysis of subtypes by COO showed that bortezomib did not significantly affect PFS in either ABC</w:t>
      </w:r>
      <w:r w:rsidRPr="003A5BB5">
        <w:rPr>
          <w:rFonts w:asciiTheme="minorHAnsi" w:eastAsia="Times New Roman" w:hAnsiTheme="minorHAnsi" w:cs="Times New Roman"/>
          <w:sz w:val="22"/>
          <w:szCs w:val="22"/>
        </w:rPr>
        <w:t xml:space="preserve"> (adjusted HR = 0.78, 95% CI 0.51-1.21; </w:t>
      </w:r>
      <w:r w:rsidRPr="003A5BB5">
        <w:rPr>
          <w:rFonts w:asciiTheme="minorHAnsi" w:eastAsia="Times New Roman" w:hAnsiTheme="minorHAnsi" w:cs="Times New Roman"/>
          <w:i/>
          <w:iCs/>
          <w:sz w:val="22"/>
          <w:szCs w:val="22"/>
        </w:rPr>
        <w:t>P</w:t>
      </w:r>
      <w:r w:rsidRPr="003A5BB5">
        <w:rPr>
          <w:rFonts w:asciiTheme="minorHAnsi" w:eastAsia="Times New Roman" w:hAnsiTheme="minorHAnsi" w:cs="Times New Roman"/>
          <w:sz w:val="22"/>
          <w:szCs w:val="22"/>
        </w:rPr>
        <w:t xml:space="preserve"> = 0.27) (Figure </w:t>
      </w:r>
      <w:r w:rsidR="00A35FCB">
        <w:rPr>
          <w:rFonts w:asciiTheme="minorHAnsi" w:eastAsia="Times New Roman" w:hAnsiTheme="minorHAnsi" w:cs="Times New Roman"/>
          <w:sz w:val="22"/>
          <w:szCs w:val="22"/>
        </w:rPr>
        <w:t>2</w:t>
      </w:r>
      <w:r w:rsidRPr="003A5BB5">
        <w:rPr>
          <w:rFonts w:asciiTheme="minorHAnsi" w:eastAsia="Times New Roman" w:hAnsiTheme="minorHAnsi" w:cs="Times New Roman"/>
          <w:sz w:val="22"/>
          <w:szCs w:val="22"/>
        </w:rPr>
        <w:t xml:space="preserve">B),  </w:t>
      </w:r>
      <w:r w:rsidRPr="003A5BB5">
        <w:rPr>
          <w:rFonts w:asciiTheme="minorHAnsi" w:hAnsiTheme="minorHAnsi"/>
          <w:sz w:val="22"/>
          <w:szCs w:val="22"/>
        </w:rPr>
        <w:t xml:space="preserve">GCB (adjusted HR 0.85, 95% CI </w:t>
      </w:r>
      <w:r w:rsidRPr="003A5BB5">
        <w:rPr>
          <w:rFonts w:asciiTheme="minorHAnsi" w:hAnsiTheme="minorHAnsi"/>
          <w:bCs/>
          <w:sz w:val="22"/>
          <w:szCs w:val="22"/>
        </w:rPr>
        <w:t xml:space="preserve">0.60-1.20; P=0.35) (Figure </w:t>
      </w:r>
      <w:r w:rsidR="00A35FCB">
        <w:rPr>
          <w:rFonts w:asciiTheme="minorHAnsi" w:hAnsiTheme="minorHAnsi"/>
          <w:bCs/>
          <w:sz w:val="22"/>
          <w:szCs w:val="22"/>
        </w:rPr>
        <w:t>2</w:t>
      </w:r>
      <w:r w:rsidRPr="003A5BB5">
        <w:rPr>
          <w:rFonts w:asciiTheme="minorHAnsi" w:hAnsiTheme="minorHAnsi"/>
          <w:bCs/>
          <w:sz w:val="22"/>
          <w:szCs w:val="22"/>
        </w:rPr>
        <w:t xml:space="preserve">C), or </w:t>
      </w:r>
      <w:r w:rsidRPr="003A5BB5">
        <w:rPr>
          <w:rFonts w:asciiTheme="minorHAnsi" w:hAnsiTheme="minorHAnsi"/>
          <w:sz w:val="22"/>
          <w:szCs w:val="22"/>
        </w:rPr>
        <w:t xml:space="preserve">Unclassifiable cases (adjusted HR 1.29, 95% CI </w:t>
      </w:r>
      <w:r w:rsidRPr="003A5BB5">
        <w:rPr>
          <w:rFonts w:asciiTheme="minorHAnsi" w:hAnsiTheme="minorHAnsi"/>
          <w:bCs/>
          <w:sz w:val="22"/>
          <w:szCs w:val="22"/>
        </w:rPr>
        <w:t xml:space="preserve">0.77-2.16; P=0.34) (Figure </w:t>
      </w:r>
      <w:r w:rsidR="00A35FCB">
        <w:rPr>
          <w:rFonts w:asciiTheme="minorHAnsi" w:hAnsiTheme="minorHAnsi"/>
          <w:bCs/>
          <w:sz w:val="22"/>
          <w:szCs w:val="22"/>
        </w:rPr>
        <w:t>2</w:t>
      </w:r>
      <w:r w:rsidRPr="003A5BB5">
        <w:rPr>
          <w:rFonts w:asciiTheme="minorHAnsi" w:hAnsiTheme="minorHAnsi"/>
          <w:bCs/>
          <w:sz w:val="22"/>
          <w:szCs w:val="22"/>
        </w:rPr>
        <w:t xml:space="preserve">D).   There was no difference in OS by arm in the ITT ABC and GCB population (n=719); adjusted HR 0.82, 95% CI 0.59-1.16; P=0.27).  Estimated OS at 30 months was 81.6% </w:t>
      </w:r>
      <w:r>
        <w:rPr>
          <w:rFonts w:asciiTheme="minorHAnsi" w:hAnsiTheme="minorHAnsi"/>
          <w:bCs/>
          <w:sz w:val="22"/>
          <w:szCs w:val="22"/>
        </w:rPr>
        <w:t xml:space="preserve">(95% CI: 77.1% to 85.3%) </w:t>
      </w:r>
      <w:r w:rsidRPr="003A5BB5">
        <w:rPr>
          <w:rFonts w:asciiTheme="minorHAnsi" w:hAnsiTheme="minorHAnsi"/>
          <w:bCs/>
          <w:sz w:val="22"/>
          <w:szCs w:val="22"/>
        </w:rPr>
        <w:t>vs 83.1%</w:t>
      </w:r>
      <w:r>
        <w:rPr>
          <w:rFonts w:asciiTheme="minorHAnsi" w:hAnsiTheme="minorHAnsi"/>
          <w:bCs/>
          <w:sz w:val="22"/>
          <w:szCs w:val="22"/>
        </w:rPr>
        <w:t xml:space="preserve"> (95% CI: 78.7% to 86.7%)</w:t>
      </w:r>
      <w:r w:rsidRPr="003A5BB5">
        <w:rPr>
          <w:rFonts w:asciiTheme="minorHAnsi" w:hAnsiTheme="minorHAnsi"/>
          <w:bCs/>
          <w:sz w:val="22"/>
          <w:szCs w:val="22"/>
        </w:rPr>
        <w:t xml:space="preserve"> (</w:t>
      </w:r>
      <w:r w:rsidR="001F1480">
        <w:rPr>
          <w:rFonts w:asciiTheme="minorHAnsi" w:hAnsiTheme="minorHAnsi"/>
          <w:bCs/>
          <w:sz w:val="22"/>
          <w:szCs w:val="22"/>
        </w:rPr>
        <w:t>Appendix</w:t>
      </w:r>
      <w:r w:rsidR="001F1480" w:rsidRPr="003A5BB5">
        <w:rPr>
          <w:rFonts w:asciiTheme="minorHAnsi" w:hAnsiTheme="minorHAnsi"/>
          <w:bCs/>
          <w:sz w:val="22"/>
          <w:szCs w:val="22"/>
        </w:rPr>
        <w:t xml:space="preserve"> Figure </w:t>
      </w:r>
      <w:r w:rsidR="00D45B98">
        <w:rPr>
          <w:rFonts w:asciiTheme="minorHAnsi" w:hAnsiTheme="minorHAnsi"/>
          <w:bCs/>
          <w:sz w:val="22"/>
          <w:szCs w:val="22"/>
        </w:rPr>
        <w:t>3</w:t>
      </w:r>
      <w:r w:rsidR="001F1480">
        <w:rPr>
          <w:rFonts w:asciiTheme="minorHAnsi" w:hAnsiTheme="minorHAnsi"/>
          <w:bCs/>
          <w:sz w:val="22"/>
          <w:szCs w:val="22"/>
        </w:rPr>
        <w:t>, p</w:t>
      </w:r>
      <w:r w:rsidR="00D45B98">
        <w:rPr>
          <w:rFonts w:asciiTheme="minorHAnsi" w:hAnsiTheme="minorHAnsi"/>
          <w:bCs/>
          <w:sz w:val="22"/>
          <w:szCs w:val="22"/>
        </w:rPr>
        <w:t>3</w:t>
      </w:r>
      <w:r w:rsidRPr="003A5BB5">
        <w:rPr>
          <w:rFonts w:asciiTheme="minorHAnsi" w:hAnsiTheme="minorHAnsi"/>
          <w:bCs/>
          <w:sz w:val="22"/>
          <w:szCs w:val="22"/>
        </w:rPr>
        <w:t>)</w:t>
      </w:r>
      <w:r>
        <w:rPr>
          <w:rFonts w:asciiTheme="minorHAnsi" w:hAnsiTheme="minorHAnsi"/>
          <w:bCs/>
          <w:sz w:val="22"/>
          <w:szCs w:val="22"/>
        </w:rPr>
        <w:t xml:space="preserve">. </w:t>
      </w:r>
      <w:r w:rsidR="00617AD7" w:rsidRPr="00F11C70">
        <w:rPr>
          <w:rFonts w:asciiTheme="minorHAnsi" w:hAnsiTheme="minorHAnsi" w:cs="Times New Roman"/>
          <w:color w:val="000000" w:themeColor="text1"/>
          <w:sz w:val="22"/>
          <w:szCs w:val="22"/>
        </w:rPr>
        <w:t>Post-hoc analyses</w:t>
      </w:r>
      <w:r w:rsidR="00617AD7" w:rsidRPr="00F11C70">
        <w:rPr>
          <w:rFonts w:asciiTheme="minorHAnsi" w:hAnsiTheme="minorHAnsi"/>
          <w:color w:val="000000" w:themeColor="text1"/>
          <w:sz w:val="22"/>
          <w:szCs w:val="22"/>
        </w:rPr>
        <w:t xml:space="preserve"> were undertaken</w:t>
      </w:r>
      <w:r w:rsidR="00617AD7" w:rsidRPr="00F11C70">
        <w:rPr>
          <w:rFonts w:asciiTheme="minorHAnsi" w:hAnsiTheme="minorHAnsi" w:cs="Times New Roman"/>
          <w:color w:val="000000" w:themeColor="text1"/>
          <w:sz w:val="22"/>
          <w:szCs w:val="22"/>
        </w:rPr>
        <w:t xml:space="preserve">, assessing the PFS and OS </w:t>
      </w:r>
      <w:r w:rsidR="00617AD7" w:rsidRPr="00F11C70">
        <w:rPr>
          <w:rFonts w:asciiTheme="minorHAnsi" w:hAnsiTheme="minorHAnsi"/>
          <w:color w:val="000000" w:themeColor="text1"/>
          <w:sz w:val="22"/>
          <w:szCs w:val="22"/>
        </w:rPr>
        <w:t xml:space="preserve">by treatment arm </w:t>
      </w:r>
      <w:r w:rsidR="00617AD7" w:rsidRPr="00F11C70">
        <w:rPr>
          <w:rFonts w:asciiTheme="minorHAnsi" w:hAnsiTheme="minorHAnsi" w:cs="Times New Roman"/>
          <w:color w:val="000000" w:themeColor="text1"/>
          <w:sz w:val="22"/>
          <w:szCs w:val="22"/>
        </w:rPr>
        <w:t xml:space="preserve">in the combined ABC + GCB populations for IPI Low, Intermediate and High groups </w:t>
      </w:r>
      <w:r w:rsidR="00617AD7" w:rsidRPr="00F11C70">
        <w:rPr>
          <w:rFonts w:asciiTheme="minorHAnsi" w:hAnsiTheme="minorHAnsi"/>
          <w:color w:val="000000" w:themeColor="text1"/>
          <w:sz w:val="22"/>
          <w:szCs w:val="22"/>
        </w:rPr>
        <w:t>respectiv</w:t>
      </w:r>
      <w:r w:rsidR="00617AD7" w:rsidRPr="00F11C70">
        <w:rPr>
          <w:rFonts w:asciiTheme="minorHAnsi" w:hAnsiTheme="minorHAnsi" w:cs="Times New Roman"/>
          <w:color w:val="000000" w:themeColor="text1"/>
          <w:sz w:val="22"/>
          <w:szCs w:val="22"/>
        </w:rPr>
        <w:t xml:space="preserve">ely </w:t>
      </w:r>
      <w:r w:rsidR="00617AD7" w:rsidRPr="00F11C70">
        <w:rPr>
          <w:rFonts w:asciiTheme="minorHAnsi" w:hAnsiTheme="minorHAnsi"/>
          <w:color w:val="000000" w:themeColor="text1"/>
          <w:sz w:val="22"/>
          <w:szCs w:val="22"/>
        </w:rPr>
        <w:t>(</w:t>
      </w:r>
      <w:r w:rsidR="001F1480">
        <w:rPr>
          <w:rFonts w:asciiTheme="minorHAnsi" w:hAnsiTheme="minorHAnsi" w:cs="Times New Roman"/>
          <w:color w:val="000000" w:themeColor="text1"/>
          <w:sz w:val="22"/>
          <w:szCs w:val="22"/>
        </w:rPr>
        <w:t>Appendix</w:t>
      </w:r>
      <w:r w:rsidR="001F1480" w:rsidRPr="00F11C70">
        <w:rPr>
          <w:rFonts w:asciiTheme="minorHAnsi" w:hAnsiTheme="minorHAnsi" w:cs="Times New Roman"/>
          <w:color w:val="000000" w:themeColor="text1"/>
          <w:sz w:val="22"/>
          <w:szCs w:val="22"/>
        </w:rPr>
        <w:t xml:space="preserve"> Figure </w:t>
      </w:r>
      <w:r w:rsidR="00295EAD">
        <w:rPr>
          <w:rFonts w:asciiTheme="minorHAnsi" w:hAnsiTheme="minorHAnsi" w:cs="Times New Roman"/>
          <w:color w:val="000000" w:themeColor="text1"/>
          <w:sz w:val="22"/>
          <w:szCs w:val="22"/>
        </w:rPr>
        <w:t>4</w:t>
      </w:r>
      <w:r w:rsidR="001F1480">
        <w:rPr>
          <w:rFonts w:asciiTheme="minorHAnsi" w:hAnsiTheme="minorHAnsi" w:cs="Times New Roman"/>
          <w:color w:val="000000" w:themeColor="text1"/>
          <w:sz w:val="22"/>
          <w:szCs w:val="22"/>
        </w:rPr>
        <w:t>, p</w:t>
      </w:r>
      <w:r w:rsidR="00D45B98">
        <w:rPr>
          <w:rFonts w:asciiTheme="minorHAnsi" w:hAnsiTheme="minorHAnsi" w:cs="Times New Roman"/>
          <w:color w:val="000000" w:themeColor="text1"/>
          <w:sz w:val="22"/>
          <w:szCs w:val="22"/>
        </w:rPr>
        <w:t>4</w:t>
      </w:r>
      <w:r w:rsidR="00617AD7" w:rsidRPr="00F11C70">
        <w:rPr>
          <w:rFonts w:asciiTheme="minorHAnsi" w:hAnsiTheme="minorHAnsi"/>
          <w:color w:val="000000" w:themeColor="text1"/>
          <w:sz w:val="22"/>
          <w:szCs w:val="22"/>
        </w:rPr>
        <w:t>).  These</w:t>
      </w:r>
      <w:r w:rsidR="00617AD7" w:rsidRPr="00F11C70">
        <w:rPr>
          <w:rFonts w:asciiTheme="minorHAnsi" w:hAnsiTheme="minorHAnsi" w:cs="Times New Roman"/>
          <w:color w:val="000000" w:themeColor="text1"/>
          <w:sz w:val="22"/>
          <w:szCs w:val="22"/>
        </w:rPr>
        <w:t xml:space="preserve"> showed a statistically significant improvement in PFS for RB-CHOP patients with Low IPI score (adjusted HR= 0.43, 95%CI 0.21 to 0.91; P=0.026), but no other statistically significant differences in PFS between R-CHOP and RB-CHOP.   There were no statistically significant differences between R-CHOP and RB-CHOP groups for OS in any of the IPI subgroups.</w:t>
      </w:r>
      <w:r w:rsidR="00617AD7">
        <w:rPr>
          <w:rFonts w:cs="Times New Roman"/>
          <w:color w:val="000000" w:themeColor="text1"/>
        </w:rPr>
        <w:t xml:space="preserve">  </w:t>
      </w:r>
      <w:r>
        <w:rPr>
          <w:rFonts w:asciiTheme="minorHAnsi" w:hAnsiTheme="minorHAnsi"/>
          <w:bCs/>
          <w:sz w:val="22"/>
          <w:szCs w:val="22"/>
        </w:rPr>
        <w:t xml:space="preserve">The median time from diagnosis to first treatment was similar between arms (R-CHOP 17 days [Q1, Q3: 10, 29]; RB-CHOP 20 days [Q1, Q3: 10, 32]. </w:t>
      </w:r>
      <w:r w:rsidR="00C23AC6">
        <w:rPr>
          <w:rFonts w:asciiTheme="minorHAnsi" w:hAnsiTheme="minorHAnsi"/>
          <w:bCs/>
          <w:sz w:val="22"/>
          <w:szCs w:val="22"/>
        </w:rPr>
        <w:t>P</w:t>
      </w:r>
      <w:r w:rsidRPr="003A5BB5">
        <w:rPr>
          <w:rFonts w:asciiTheme="minorHAnsi" w:hAnsiTheme="minorHAnsi"/>
          <w:bCs/>
          <w:sz w:val="22"/>
          <w:szCs w:val="22"/>
        </w:rPr>
        <w:t xml:space="preserve">ost-hoc analyses, adjusting for the time from diagnosis to first treatment interval also showed </w:t>
      </w:r>
      <w:r w:rsidRPr="003A5BB5">
        <w:rPr>
          <w:rFonts w:asciiTheme="minorHAnsi" w:hAnsiTheme="minorHAnsi"/>
          <w:sz w:val="22"/>
          <w:szCs w:val="22"/>
        </w:rPr>
        <w:t xml:space="preserve">no difference in PFS in the combined ABC + GCB populations between the R-CHOP and RB-CHOP groups; adjusted HR = 0.83, 95% CI </w:t>
      </w:r>
      <w:r w:rsidRPr="003A5BB5">
        <w:rPr>
          <w:rFonts w:asciiTheme="minorHAnsi" w:hAnsiTheme="minorHAnsi"/>
          <w:bCs/>
          <w:color w:val="000000" w:themeColor="text1"/>
          <w:sz w:val="22"/>
          <w:szCs w:val="22"/>
        </w:rPr>
        <w:t>0.56 - 1.24</w:t>
      </w:r>
      <w:r w:rsidRPr="003A5BB5">
        <w:rPr>
          <w:rFonts w:asciiTheme="minorHAnsi" w:hAnsiTheme="minorHAnsi"/>
          <w:sz w:val="22"/>
          <w:szCs w:val="22"/>
        </w:rPr>
        <w:t>; P=0.36</w:t>
      </w:r>
      <w:r w:rsidRPr="00275287">
        <w:rPr>
          <w:rFonts w:asciiTheme="minorHAnsi" w:hAnsiTheme="minorHAnsi"/>
          <w:sz w:val="22"/>
          <w:szCs w:val="22"/>
        </w:rPr>
        <w:t xml:space="preserve">. </w:t>
      </w:r>
      <w:r w:rsidR="00275287" w:rsidRPr="00275287">
        <w:rPr>
          <w:rFonts w:asciiTheme="minorHAnsi" w:hAnsiTheme="minorHAnsi"/>
          <w:sz w:val="22"/>
          <w:szCs w:val="22"/>
        </w:rPr>
        <w:t xml:space="preserve">  </w:t>
      </w:r>
      <w:r w:rsidR="00275287" w:rsidRPr="00F11C70">
        <w:rPr>
          <w:rFonts w:asciiTheme="minorHAnsi" w:hAnsiTheme="minorHAnsi"/>
          <w:color w:val="000000" w:themeColor="text1"/>
          <w:sz w:val="22"/>
          <w:szCs w:val="22"/>
        </w:rPr>
        <w:t>Similarly</w:t>
      </w:r>
      <w:r w:rsidR="00275287" w:rsidRPr="00F11C70">
        <w:rPr>
          <w:rFonts w:asciiTheme="minorHAnsi" w:hAnsiTheme="minorHAnsi" w:cs="Times New Roman"/>
          <w:color w:val="000000" w:themeColor="text1"/>
          <w:sz w:val="22"/>
          <w:szCs w:val="22"/>
        </w:rPr>
        <w:t>, post-hoc analyses excluding patients who had a dose reduction in any treatment drug showed no difference in PFS in the combined ABC + GCB populations between the R-CHOP and RB-CHOP groups; adjusted HR = 0.80, 95% CI 0.54 - 1.19; P=0.27</w:t>
      </w:r>
      <w:r w:rsidR="00C102C0" w:rsidRPr="00F11C70">
        <w:rPr>
          <w:rFonts w:asciiTheme="minorHAnsi" w:hAnsiTheme="minorHAnsi" w:cs="Times New Roman"/>
          <w:color w:val="000000" w:themeColor="text1"/>
          <w:sz w:val="22"/>
          <w:szCs w:val="22"/>
        </w:rPr>
        <w:t xml:space="preserve">.  </w:t>
      </w:r>
    </w:p>
    <w:p w14:paraId="03D26DD7" w14:textId="3FF225EA" w:rsidR="004C7BD0" w:rsidRPr="00692206" w:rsidRDefault="004B2CD0" w:rsidP="00324F29">
      <w:pPr>
        <w:spacing w:before="120"/>
        <w:jc w:val="both"/>
        <w:rPr>
          <w:bCs/>
        </w:rPr>
      </w:pPr>
      <w:r w:rsidRPr="003A5BB5">
        <w:rPr>
          <w:bCs/>
        </w:rPr>
        <w:t xml:space="preserve">We </w:t>
      </w:r>
      <w:r w:rsidR="00F95C99" w:rsidRPr="003A5BB5">
        <w:rPr>
          <w:bCs/>
        </w:rPr>
        <w:t xml:space="preserve">analysed </w:t>
      </w:r>
      <w:r w:rsidRPr="003A5BB5">
        <w:rPr>
          <w:bCs/>
        </w:rPr>
        <w:t>recognised prognostic subgroups within the</w:t>
      </w:r>
      <w:r w:rsidR="0065458F" w:rsidRPr="003A5BB5">
        <w:rPr>
          <w:bCs/>
        </w:rPr>
        <w:t xml:space="preserve"> trial population</w:t>
      </w:r>
      <w:r w:rsidR="00422D25" w:rsidRPr="00692206">
        <w:rPr>
          <w:bCs/>
        </w:rPr>
        <w:t xml:space="preserve"> (</w:t>
      </w:r>
      <w:r w:rsidR="001F1480">
        <w:rPr>
          <w:bCs/>
        </w:rPr>
        <w:t>Appendix</w:t>
      </w:r>
      <w:r w:rsidR="001F1480" w:rsidRPr="00692206">
        <w:rPr>
          <w:bCs/>
        </w:rPr>
        <w:t xml:space="preserve"> Table </w:t>
      </w:r>
      <w:r w:rsidR="00F63C0A">
        <w:rPr>
          <w:bCs/>
        </w:rPr>
        <w:t>7</w:t>
      </w:r>
      <w:r w:rsidR="00523E72">
        <w:rPr>
          <w:bCs/>
        </w:rPr>
        <w:t>, p1</w:t>
      </w:r>
      <w:r w:rsidR="006E4C31">
        <w:rPr>
          <w:bCs/>
        </w:rPr>
        <w:t>3</w:t>
      </w:r>
      <w:r w:rsidR="00535FA2" w:rsidRPr="00692206">
        <w:rPr>
          <w:bCs/>
        </w:rPr>
        <w:t>)</w:t>
      </w:r>
      <w:r w:rsidRPr="00692206">
        <w:rPr>
          <w:bCs/>
        </w:rPr>
        <w:t xml:space="preserve">. </w:t>
      </w:r>
      <w:r w:rsidR="00F95C99" w:rsidRPr="00692206">
        <w:rPr>
          <w:bCs/>
        </w:rPr>
        <w:t>Karyotypic d</w:t>
      </w:r>
      <w:r w:rsidRPr="00692206">
        <w:rPr>
          <w:bCs/>
        </w:rPr>
        <w:t>ouble-hit lymphomas</w:t>
      </w:r>
      <w:r w:rsidR="00A83AF4" w:rsidRPr="00692206">
        <w:rPr>
          <w:bCs/>
        </w:rPr>
        <w:t xml:space="preserve"> (DHL)</w:t>
      </w:r>
      <w:r w:rsidRPr="00692206">
        <w:rPr>
          <w:bCs/>
        </w:rPr>
        <w:t xml:space="preserve"> were </w:t>
      </w:r>
      <w:r w:rsidR="00DC6E6F" w:rsidRPr="00692206">
        <w:rPr>
          <w:bCs/>
        </w:rPr>
        <w:t>rare</w:t>
      </w:r>
      <w:r w:rsidR="00A506F6" w:rsidRPr="00692206">
        <w:rPr>
          <w:bCs/>
        </w:rPr>
        <w:t xml:space="preserve"> in the ABC population and were significantly associated with the GCB subtype (</w:t>
      </w:r>
      <w:r w:rsidR="00DC6E6F" w:rsidRPr="00692206">
        <w:rPr>
          <w:bCs/>
        </w:rPr>
        <w:t xml:space="preserve">0.4% vs 6.7%, </w:t>
      </w:r>
      <w:r w:rsidR="00DC6E6F" w:rsidRPr="00692206">
        <w:t>p&lt;0.0001</w:t>
      </w:r>
      <w:r w:rsidR="00A506F6" w:rsidRPr="00692206">
        <w:rPr>
          <w:bCs/>
        </w:rPr>
        <w:t>).</w:t>
      </w:r>
      <w:r w:rsidR="006865D8" w:rsidRPr="00692206">
        <w:rPr>
          <w:bCs/>
        </w:rPr>
        <w:t xml:space="preserve"> </w:t>
      </w:r>
      <w:r w:rsidR="00F95C99" w:rsidRPr="00692206">
        <w:rPr>
          <w:bCs/>
        </w:rPr>
        <w:t xml:space="preserve"> Conversely, the </w:t>
      </w:r>
      <w:r w:rsidR="006865D8" w:rsidRPr="00692206">
        <w:rPr>
          <w:bCs/>
        </w:rPr>
        <w:t xml:space="preserve">ABC subtype was associated with </w:t>
      </w:r>
      <w:r w:rsidR="00933B9E" w:rsidRPr="00692206">
        <w:rPr>
          <w:bCs/>
        </w:rPr>
        <w:t xml:space="preserve">high </w:t>
      </w:r>
      <w:r w:rsidR="00F95C99" w:rsidRPr="00692206">
        <w:rPr>
          <w:bCs/>
        </w:rPr>
        <w:t xml:space="preserve">concomitant </w:t>
      </w:r>
      <w:r w:rsidR="006865D8" w:rsidRPr="00692206">
        <w:rPr>
          <w:bCs/>
        </w:rPr>
        <w:t xml:space="preserve">expression of MYC and BCL-2 </w:t>
      </w:r>
      <w:r w:rsidR="00933B9E" w:rsidRPr="00692206">
        <w:rPr>
          <w:bCs/>
        </w:rPr>
        <w:t>protein</w:t>
      </w:r>
      <w:r w:rsidR="003417C5" w:rsidRPr="00692206">
        <w:rPr>
          <w:bCs/>
        </w:rPr>
        <w:t>s</w:t>
      </w:r>
      <w:r w:rsidR="002E2BEF" w:rsidRPr="002E2BEF">
        <w:rPr>
          <w:bCs/>
        </w:rPr>
        <w:t xml:space="preserve"> </w:t>
      </w:r>
      <w:r w:rsidR="002E2BEF" w:rsidRPr="00692206">
        <w:rPr>
          <w:bCs/>
        </w:rPr>
        <w:t>compared with the GCB subtype</w:t>
      </w:r>
      <w:r w:rsidR="002E2BEF">
        <w:rPr>
          <w:bCs/>
        </w:rPr>
        <w:t xml:space="preserve"> (excluding DHL)</w:t>
      </w:r>
      <w:r w:rsidR="00933B9E" w:rsidRPr="00692206">
        <w:rPr>
          <w:bCs/>
        </w:rPr>
        <w:t xml:space="preserve"> </w:t>
      </w:r>
      <w:r w:rsidR="00933B9E" w:rsidRPr="00692206">
        <w:t xml:space="preserve">(54.9% vs 26%, p&lt;0.0001) </w:t>
      </w:r>
      <w:r w:rsidR="00933B9E" w:rsidRPr="00692206">
        <w:rPr>
          <w:bCs/>
        </w:rPr>
        <w:t xml:space="preserve">and </w:t>
      </w:r>
      <w:r w:rsidR="00F95C99" w:rsidRPr="00692206">
        <w:rPr>
          <w:bCs/>
        </w:rPr>
        <w:t xml:space="preserve">mRNA </w:t>
      </w:r>
      <w:r w:rsidR="00933B9E" w:rsidRPr="00692206">
        <w:rPr>
          <w:bCs/>
        </w:rPr>
        <w:t xml:space="preserve">(44.7% vs 18.3%, p&lt;0.0001) </w:t>
      </w:r>
      <w:r w:rsidR="003417C5" w:rsidRPr="00692206">
        <w:t>(</w:t>
      </w:r>
      <w:r w:rsidR="001F1480">
        <w:t xml:space="preserve">Appendix </w:t>
      </w:r>
      <w:r w:rsidR="001F1480" w:rsidRPr="00692206">
        <w:t xml:space="preserve">Table </w:t>
      </w:r>
      <w:r w:rsidR="00F63C0A">
        <w:t>7</w:t>
      </w:r>
      <w:r w:rsidR="00523E72">
        <w:t>, p1</w:t>
      </w:r>
      <w:r w:rsidR="006E4C31">
        <w:t>3</w:t>
      </w:r>
      <w:r w:rsidR="009A7169" w:rsidRPr="00692206">
        <w:t>)</w:t>
      </w:r>
      <w:r w:rsidR="006865D8" w:rsidRPr="00692206">
        <w:rPr>
          <w:bCs/>
        </w:rPr>
        <w:t>.</w:t>
      </w:r>
      <w:r w:rsidR="00EE00D6" w:rsidRPr="00692206">
        <w:rPr>
          <w:bCs/>
        </w:rPr>
        <w:t xml:space="preserve"> </w:t>
      </w:r>
    </w:p>
    <w:p w14:paraId="5AD355B8" w14:textId="121400AC" w:rsidR="00C701F2" w:rsidRPr="00692206" w:rsidRDefault="009F0178" w:rsidP="00324F29">
      <w:pPr>
        <w:spacing w:before="120"/>
        <w:jc w:val="both"/>
        <w:rPr>
          <w:bCs/>
        </w:rPr>
      </w:pPr>
      <w:r>
        <w:rPr>
          <w:bCs/>
        </w:rPr>
        <w:t xml:space="preserve">Among the patients receiving R-CHOP, </w:t>
      </w:r>
      <w:r>
        <w:rPr>
          <w:bCs/>
          <w:i/>
        </w:rPr>
        <w:t>MYC</w:t>
      </w:r>
      <w:r>
        <w:rPr>
          <w:bCs/>
        </w:rPr>
        <w:t xml:space="preserve">-rearrangement, DHL and dual high </w:t>
      </w:r>
      <w:r>
        <w:rPr>
          <w:bCs/>
          <w:i/>
        </w:rPr>
        <w:t>MYC</w:t>
      </w:r>
      <w:r>
        <w:rPr>
          <w:bCs/>
        </w:rPr>
        <w:t xml:space="preserve"> and </w:t>
      </w:r>
      <w:r>
        <w:rPr>
          <w:bCs/>
          <w:i/>
        </w:rPr>
        <w:t>BCL-2</w:t>
      </w:r>
      <w:r>
        <w:rPr>
          <w:bCs/>
        </w:rPr>
        <w:t xml:space="preserve"> mRNA expression were significantly associated with inferior PFS after controlling for IPI. Cases with either DHL </w:t>
      </w:r>
      <w:r w:rsidR="00C710EE">
        <w:rPr>
          <w:bCs/>
        </w:rPr>
        <w:t xml:space="preserve">(N=35) </w:t>
      </w:r>
      <w:r>
        <w:rPr>
          <w:bCs/>
        </w:rPr>
        <w:t xml:space="preserve">or dual high expression of </w:t>
      </w:r>
      <w:r>
        <w:rPr>
          <w:bCs/>
          <w:i/>
        </w:rPr>
        <w:t>MYC</w:t>
      </w:r>
      <w:r>
        <w:rPr>
          <w:bCs/>
        </w:rPr>
        <w:t xml:space="preserve"> and </w:t>
      </w:r>
      <w:r>
        <w:rPr>
          <w:bCs/>
          <w:i/>
        </w:rPr>
        <w:t>BCL-2</w:t>
      </w:r>
      <w:r>
        <w:rPr>
          <w:bCs/>
        </w:rPr>
        <w:t xml:space="preserve"> mRNA </w:t>
      </w:r>
      <w:r w:rsidR="00C710EE">
        <w:rPr>
          <w:bCs/>
        </w:rPr>
        <w:t xml:space="preserve">(n=207) </w:t>
      </w:r>
      <w:r>
        <w:rPr>
          <w:bCs/>
        </w:rPr>
        <w:t>had significantly worse PFS at 30 months (</w:t>
      </w:r>
      <w:r w:rsidR="00D80EF5">
        <w:rPr>
          <w:bCs/>
        </w:rPr>
        <w:t>48.6</w:t>
      </w:r>
      <w:r>
        <w:rPr>
          <w:bCs/>
        </w:rPr>
        <w:t xml:space="preserve">% vs </w:t>
      </w:r>
      <w:r w:rsidR="00D80EF5">
        <w:rPr>
          <w:bCs/>
        </w:rPr>
        <w:t>76.0</w:t>
      </w:r>
      <w:r>
        <w:rPr>
          <w:bCs/>
        </w:rPr>
        <w:t>%</w:t>
      </w:r>
      <w:r w:rsidR="00D80EF5">
        <w:rPr>
          <w:bCs/>
        </w:rPr>
        <w:t>,</w:t>
      </w:r>
      <w:r>
        <w:rPr>
          <w:bCs/>
        </w:rPr>
        <w:t xml:space="preserve"> </w:t>
      </w:r>
      <w:r w:rsidR="00D80EF5">
        <w:rPr>
          <w:bCs/>
        </w:rPr>
        <w:t xml:space="preserve">adjusted HR [95% CI]: 2.32 [1.43 to 3.78], </w:t>
      </w:r>
      <w:r>
        <w:rPr>
          <w:bCs/>
        </w:rPr>
        <w:t>p=0.</w:t>
      </w:r>
      <w:r w:rsidR="00D80EF5">
        <w:rPr>
          <w:bCs/>
        </w:rPr>
        <w:t>00070;</w:t>
      </w:r>
      <w:r>
        <w:rPr>
          <w:bCs/>
        </w:rPr>
        <w:t xml:space="preserve"> and </w:t>
      </w:r>
      <w:r w:rsidR="00D80EF5">
        <w:rPr>
          <w:bCs/>
        </w:rPr>
        <w:t>65.1</w:t>
      </w:r>
      <w:r>
        <w:rPr>
          <w:bCs/>
        </w:rPr>
        <w:t xml:space="preserve">% vs </w:t>
      </w:r>
      <w:r w:rsidR="00D80EF5">
        <w:rPr>
          <w:bCs/>
        </w:rPr>
        <w:t>76.0</w:t>
      </w:r>
      <w:r>
        <w:rPr>
          <w:bCs/>
        </w:rPr>
        <w:t xml:space="preserve">%, </w:t>
      </w:r>
      <w:r w:rsidR="00D80EF5">
        <w:rPr>
          <w:bCs/>
        </w:rPr>
        <w:t xml:space="preserve">adjusted HR [95% CI]: 1.56 [1.20 to 2.04], </w:t>
      </w:r>
      <w:r>
        <w:rPr>
          <w:bCs/>
        </w:rPr>
        <w:t>p=</w:t>
      </w:r>
      <w:r w:rsidR="006C2D2A">
        <w:rPr>
          <w:bCs/>
        </w:rPr>
        <w:t>0.00096, respectively</w:t>
      </w:r>
      <w:r w:rsidR="001B741A">
        <w:rPr>
          <w:bCs/>
        </w:rPr>
        <w:t>)</w:t>
      </w:r>
      <w:r w:rsidR="00C23AC6">
        <w:rPr>
          <w:bCs/>
        </w:rPr>
        <w:t xml:space="preserve">(Figure </w:t>
      </w:r>
      <w:r w:rsidR="00A35FCB">
        <w:rPr>
          <w:bCs/>
        </w:rPr>
        <w:t>3</w:t>
      </w:r>
      <w:r w:rsidR="00C23AC6">
        <w:rPr>
          <w:bCs/>
        </w:rPr>
        <w:t>)</w:t>
      </w:r>
      <w:r>
        <w:rPr>
          <w:bCs/>
        </w:rPr>
        <w:t xml:space="preserve">. High MYC and BCL-2 by </w:t>
      </w:r>
      <w:r>
        <w:rPr>
          <w:bCs/>
        </w:rPr>
        <w:lastRenderedPageBreak/>
        <w:t xml:space="preserve">immunohistochemistry did not show significant effects upon outcomes, although the number of cases was limited, resulting in </w:t>
      </w:r>
      <w:r w:rsidR="00F5299D">
        <w:rPr>
          <w:bCs/>
        </w:rPr>
        <w:t>wide confidence limits</w:t>
      </w:r>
      <w:r>
        <w:rPr>
          <w:bCs/>
        </w:rPr>
        <w:t>.</w:t>
      </w:r>
    </w:p>
    <w:p w14:paraId="01F1B173" w14:textId="6C6B5514" w:rsidR="00617AD7" w:rsidRDefault="00617AD7" w:rsidP="00324F29">
      <w:pPr>
        <w:spacing w:before="120"/>
        <w:jc w:val="both"/>
        <w:rPr>
          <w:lang w:val="en-US"/>
        </w:rPr>
      </w:pPr>
      <w:r w:rsidRPr="00EF3AEB">
        <w:rPr>
          <w:lang w:val="en-US"/>
        </w:rPr>
        <w:t>In these high-risk subgroups, for DHL the HR in patients who received RB-CHOP compared with R-CHOP was 0.53, 95% CI 0.2 - 1.37; P=0.19;  for concomitant high MYC and BCL-2 mRNA expression HR = 0.70, 95% CI 0.45 - 1.09; P=0.11</w:t>
      </w:r>
      <w:r>
        <w:rPr>
          <w:lang w:val="en-US"/>
        </w:rPr>
        <w:t>,</w:t>
      </w:r>
      <w:r w:rsidRPr="00EF3AEB">
        <w:rPr>
          <w:lang w:val="en-US"/>
        </w:rPr>
        <w:t xml:space="preserve"> and for double expression MYC and BCL-2 by immunohistochemistry HR = 0.6 95% CI 0.29-1.51 P=0.16 (Figure 4).</w:t>
      </w:r>
    </w:p>
    <w:p w14:paraId="177F2898" w14:textId="47A55148" w:rsidR="009F0178" w:rsidRPr="009F0178" w:rsidRDefault="00B00041" w:rsidP="00324F29">
      <w:pPr>
        <w:spacing w:before="120"/>
        <w:jc w:val="both"/>
      </w:pPr>
      <w:r w:rsidRPr="00692206">
        <w:t>We examined the effect of the addition of bortezomib</w:t>
      </w:r>
      <w:r w:rsidR="004412AC" w:rsidRPr="00692206">
        <w:t xml:space="preserve"> on survival</w:t>
      </w:r>
      <w:r w:rsidRPr="00692206">
        <w:t xml:space="preserve"> in patients bearing</w:t>
      </w:r>
      <w:r w:rsidR="000E7D7D" w:rsidRPr="00692206">
        <w:t xml:space="preserve"> mutations</w:t>
      </w:r>
      <w:r w:rsidR="004412AC" w:rsidRPr="00692206">
        <w:t xml:space="preserve"> known to be</w:t>
      </w:r>
      <w:r w:rsidR="000E7D7D" w:rsidRPr="00692206">
        <w:t xml:space="preserve"> associated with activation of NF-</w:t>
      </w:r>
      <w:r w:rsidR="000E7D7D" w:rsidRPr="00692206">
        <w:rPr>
          <w:rFonts w:cstheme="minorHAnsi"/>
        </w:rPr>
        <w:t>κ</w:t>
      </w:r>
      <w:r w:rsidR="000E7D7D" w:rsidRPr="00692206">
        <w:t>B</w:t>
      </w:r>
      <w:r w:rsidR="00CB0151" w:rsidRPr="00692206">
        <w:t>, the putative target of bortezomib</w:t>
      </w:r>
      <w:r w:rsidRPr="00692206">
        <w:t xml:space="preserve"> </w:t>
      </w:r>
      <w:r w:rsidR="000E7D7D" w:rsidRPr="00692206">
        <w:t>(</w:t>
      </w:r>
      <w:r w:rsidR="000E7D7D" w:rsidRPr="00692206">
        <w:rPr>
          <w:i/>
        </w:rPr>
        <w:t>MYD88, CD79A, CD79B, TNFAIP3, TNFRSF11A</w:t>
      </w:r>
      <w:r w:rsidRPr="00692206">
        <w:t xml:space="preserve">) </w:t>
      </w:r>
      <w:r w:rsidR="000E7D7D" w:rsidRPr="00692206">
        <w:t>and found no significant dif</w:t>
      </w:r>
      <w:r w:rsidR="004412AC" w:rsidRPr="00692206">
        <w:t xml:space="preserve">ferences </w:t>
      </w:r>
      <w:r w:rsidR="000352B5" w:rsidRPr="00692206">
        <w:t>for single gene alterations</w:t>
      </w:r>
      <w:r w:rsidR="00BD4245" w:rsidRPr="00692206">
        <w:t xml:space="preserve"> </w:t>
      </w:r>
      <w:r w:rsidR="004412AC" w:rsidRPr="00692206">
        <w:t>(</w:t>
      </w:r>
      <w:r w:rsidR="001F1480">
        <w:t>Appendix</w:t>
      </w:r>
      <w:r w:rsidR="001F1480" w:rsidRPr="00692206">
        <w:t xml:space="preserve"> Figure </w:t>
      </w:r>
      <w:r w:rsidR="00295EAD">
        <w:t>5</w:t>
      </w:r>
      <w:r w:rsidR="001F1480">
        <w:t xml:space="preserve">, </w:t>
      </w:r>
      <w:r w:rsidR="00D45B98">
        <w:t>p5</w:t>
      </w:r>
      <w:r w:rsidR="000E7D7D" w:rsidRPr="00692206">
        <w:t>)</w:t>
      </w:r>
      <w:r w:rsidR="000136B3">
        <w:t>.</w:t>
      </w:r>
    </w:p>
    <w:p w14:paraId="337AD7ED" w14:textId="4309DAEF" w:rsidR="003871CE" w:rsidRPr="00692206" w:rsidRDefault="00BB4BDD" w:rsidP="0030644C">
      <w:pPr>
        <w:spacing w:before="120"/>
        <w:outlineLvl w:val="0"/>
      </w:pPr>
      <w:r w:rsidRPr="00692206">
        <w:rPr>
          <w:b/>
        </w:rPr>
        <w:t>Discussion</w:t>
      </w:r>
    </w:p>
    <w:p w14:paraId="2F0B1518" w14:textId="66B15FBC" w:rsidR="004B6DEA" w:rsidRPr="00692206" w:rsidRDefault="00337C84" w:rsidP="00324F29">
      <w:pPr>
        <w:pStyle w:val="p1"/>
        <w:spacing w:before="120" w:after="200" w:line="276" w:lineRule="auto"/>
        <w:jc w:val="both"/>
        <w:rPr>
          <w:sz w:val="22"/>
          <w:szCs w:val="22"/>
        </w:rPr>
      </w:pPr>
      <w:r w:rsidRPr="00692206">
        <w:rPr>
          <w:rFonts w:asciiTheme="minorHAnsi" w:hAnsiTheme="minorHAnsi"/>
          <w:sz w:val="22"/>
          <w:szCs w:val="22"/>
        </w:rPr>
        <w:t xml:space="preserve">This trial </w:t>
      </w:r>
      <w:r w:rsidR="00D63CDA">
        <w:rPr>
          <w:rFonts w:asciiTheme="minorHAnsi" w:hAnsiTheme="minorHAnsi"/>
          <w:sz w:val="22"/>
          <w:szCs w:val="22"/>
        </w:rPr>
        <w:t xml:space="preserve">has demonstrated the feasibility of </w:t>
      </w:r>
      <w:r w:rsidRPr="00692206">
        <w:rPr>
          <w:rFonts w:asciiTheme="minorHAnsi" w:hAnsiTheme="minorHAnsi"/>
          <w:sz w:val="22"/>
          <w:szCs w:val="22"/>
        </w:rPr>
        <w:t xml:space="preserve">molecular phenotyping in a </w:t>
      </w:r>
      <w:r w:rsidR="0095596A">
        <w:rPr>
          <w:rFonts w:asciiTheme="minorHAnsi" w:hAnsiTheme="minorHAnsi"/>
          <w:sz w:val="22"/>
          <w:szCs w:val="22"/>
        </w:rPr>
        <w:t xml:space="preserve">large </w:t>
      </w:r>
      <w:r w:rsidRPr="00692206">
        <w:rPr>
          <w:rFonts w:asciiTheme="minorHAnsi" w:hAnsiTheme="minorHAnsi"/>
          <w:sz w:val="22"/>
          <w:szCs w:val="22"/>
        </w:rPr>
        <w:t>multi-centre study of a rapidly-progressive tumour</w:t>
      </w:r>
      <w:r w:rsidR="00D63CDA">
        <w:rPr>
          <w:rFonts w:asciiTheme="minorHAnsi" w:hAnsiTheme="minorHAnsi"/>
          <w:sz w:val="22"/>
          <w:szCs w:val="22"/>
        </w:rPr>
        <w:t xml:space="preserve"> and shown that the addition of bortezomib does not influence treatment outcomes in </w:t>
      </w:r>
      <w:r w:rsidR="00BD2752">
        <w:rPr>
          <w:rFonts w:asciiTheme="minorHAnsi" w:hAnsiTheme="minorHAnsi"/>
          <w:sz w:val="22"/>
          <w:szCs w:val="22"/>
        </w:rPr>
        <w:t xml:space="preserve">most cases of </w:t>
      </w:r>
      <w:r w:rsidR="00D63CDA">
        <w:rPr>
          <w:rFonts w:asciiTheme="minorHAnsi" w:hAnsiTheme="minorHAnsi"/>
          <w:sz w:val="22"/>
          <w:szCs w:val="22"/>
        </w:rPr>
        <w:t>DLBCL</w:t>
      </w:r>
      <w:r w:rsidRPr="00692206">
        <w:rPr>
          <w:rFonts w:asciiTheme="minorHAnsi" w:hAnsiTheme="minorHAnsi"/>
          <w:sz w:val="22"/>
          <w:szCs w:val="22"/>
        </w:rPr>
        <w:t xml:space="preserve">.  </w:t>
      </w:r>
      <w:r w:rsidR="004D3964" w:rsidRPr="00692206">
        <w:rPr>
          <w:rFonts w:asciiTheme="minorHAnsi" w:hAnsiTheme="minorHAnsi"/>
          <w:sz w:val="22"/>
          <w:szCs w:val="22"/>
        </w:rPr>
        <w:t>P</w:t>
      </w:r>
      <w:r w:rsidRPr="00692206">
        <w:rPr>
          <w:rFonts w:asciiTheme="minorHAnsi" w:hAnsiTheme="minorHAnsi"/>
          <w:sz w:val="22"/>
          <w:szCs w:val="22"/>
        </w:rPr>
        <w:t xml:space="preserve">atients entering clinical trials are often not representative of the wider population, and for prospective testing of a complex biomarker we </w:t>
      </w:r>
      <w:r w:rsidR="004E3429" w:rsidRPr="00692206">
        <w:rPr>
          <w:rFonts w:asciiTheme="minorHAnsi" w:hAnsiTheme="minorHAnsi"/>
          <w:sz w:val="22"/>
          <w:szCs w:val="22"/>
        </w:rPr>
        <w:t xml:space="preserve">wished to avoid worsening the problem of generalisability by </w:t>
      </w:r>
      <w:r w:rsidR="002E4394" w:rsidRPr="00692206">
        <w:rPr>
          <w:rFonts w:asciiTheme="minorHAnsi" w:hAnsiTheme="minorHAnsi"/>
          <w:sz w:val="22"/>
          <w:szCs w:val="22"/>
        </w:rPr>
        <w:t xml:space="preserve">restricted enrolment and </w:t>
      </w:r>
      <w:r w:rsidR="004E3429" w:rsidRPr="00692206">
        <w:rPr>
          <w:rFonts w:asciiTheme="minorHAnsi" w:hAnsiTheme="minorHAnsi"/>
          <w:sz w:val="22"/>
          <w:szCs w:val="22"/>
        </w:rPr>
        <w:t xml:space="preserve">delays to the initiation of therapy.  This was </w:t>
      </w:r>
      <w:r w:rsidR="004B6DEA" w:rsidRPr="00692206">
        <w:rPr>
          <w:rFonts w:asciiTheme="minorHAnsi" w:hAnsiTheme="minorHAnsi"/>
          <w:sz w:val="22"/>
          <w:szCs w:val="22"/>
        </w:rPr>
        <w:t>done</w:t>
      </w:r>
      <w:r w:rsidR="004E3429" w:rsidRPr="00692206">
        <w:rPr>
          <w:rFonts w:asciiTheme="minorHAnsi" w:hAnsiTheme="minorHAnsi"/>
          <w:sz w:val="22"/>
          <w:szCs w:val="22"/>
        </w:rPr>
        <w:t xml:space="preserve"> by </w:t>
      </w:r>
      <w:r w:rsidR="007A31AA" w:rsidRPr="00692206">
        <w:rPr>
          <w:rFonts w:asciiTheme="minorHAnsi" w:hAnsiTheme="minorHAnsi"/>
          <w:sz w:val="22"/>
          <w:szCs w:val="22"/>
        </w:rPr>
        <w:t xml:space="preserve">studying routine FFPE biopsy material and </w:t>
      </w:r>
      <w:r w:rsidR="004E3429" w:rsidRPr="00692206">
        <w:rPr>
          <w:rFonts w:asciiTheme="minorHAnsi" w:hAnsiTheme="minorHAnsi"/>
          <w:sz w:val="22"/>
          <w:szCs w:val="22"/>
        </w:rPr>
        <w:t>deferring randomisation to cycle 2 of</w:t>
      </w:r>
      <w:r w:rsidR="004B6DEA" w:rsidRPr="00692206">
        <w:rPr>
          <w:rFonts w:asciiTheme="minorHAnsi" w:hAnsiTheme="minorHAnsi"/>
          <w:sz w:val="22"/>
          <w:szCs w:val="22"/>
        </w:rPr>
        <w:t xml:space="preserve"> R-CHOP</w:t>
      </w:r>
      <w:r w:rsidR="004E3429" w:rsidRPr="00692206">
        <w:rPr>
          <w:rFonts w:asciiTheme="minorHAnsi" w:hAnsiTheme="minorHAnsi"/>
          <w:sz w:val="22"/>
          <w:szCs w:val="22"/>
        </w:rPr>
        <w:t xml:space="preserve">, allowing treatment to start as soon as staging investigations were completed, with molecular analysis taking place in parallel.  </w:t>
      </w:r>
      <w:r w:rsidR="00B933FE" w:rsidRPr="00692206">
        <w:rPr>
          <w:rFonts w:asciiTheme="minorHAnsi" w:hAnsiTheme="minorHAnsi"/>
          <w:sz w:val="22"/>
          <w:szCs w:val="22"/>
        </w:rPr>
        <w:t>There is a further</w:t>
      </w:r>
      <w:r w:rsidR="004E3429" w:rsidRPr="00692206">
        <w:rPr>
          <w:rFonts w:asciiTheme="minorHAnsi" w:hAnsiTheme="minorHAnsi"/>
          <w:sz w:val="22"/>
          <w:szCs w:val="22"/>
        </w:rPr>
        <w:t xml:space="preserve"> advantage to deferred introduction of an experimental agent</w:t>
      </w:r>
      <w:r w:rsidR="000136B3">
        <w:rPr>
          <w:rFonts w:asciiTheme="minorHAnsi" w:hAnsiTheme="minorHAnsi"/>
          <w:sz w:val="22"/>
          <w:szCs w:val="22"/>
        </w:rPr>
        <w:t>;</w:t>
      </w:r>
      <w:r w:rsidR="004E3429" w:rsidRPr="00692206">
        <w:rPr>
          <w:rFonts w:asciiTheme="minorHAnsi" w:hAnsiTheme="minorHAnsi"/>
          <w:sz w:val="22"/>
          <w:szCs w:val="22"/>
        </w:rPr>
        <w:t xml:space="preserve"> </w:t>
      </w:r>
      <w:r w:rsidR="00596EF8">
        <w:rPr>
          <w:rFonts w:asciiTheme="minorHAnsi" w:hAnsiTheme="minorHAnsi"/>
          <w:sz w:val="22"/>
          <w:szCs w:val="22"/>
        </w:rPr>
        <w:t>62% of treatment related deaths have been reported following the first cycle in DLBCL</w:t>
      </w:r>
      <w:r w:rsidR="000136B3">
        <w:rPr>
          <w:rFonts w:asciiTheme="minorHAnsi" w:hAnsiTheme="minorHAnsi"/>
          <w:sz w:val="22"/>
          <w:szCs w:val="22"/>
        </w:rPr>
        <w:t xml:space="preserve"> out of all cycles delivered</w:t>
      </w:r>
      <w:r w:rsidR="00AE1D72" w:rsidRPr="009C0CA5">
        <w:rPr>
          <w:rFonts w:asciiTheme="minorHAnsi" w:hAnsiTheme="minorHAnsi"/>
          <w:sz w:val="22"/>
          <w:szCs w:val="22"/>
          <w:vertAlign w:val="superscript"/>
        </w:rPr>
        <w:t>13</w:t>
      </w:r>
      <w:r w:rsidR="004C714D">
        <w:rPr>
          <w:rFonts w:asciiTheme="minorHAnsi" w:hAnsiTheme="minorHAnsi"/>
          <w:sz w:val="22"/>
          <w:szCs w:val="22"/>
        </w:rPr>
        <w:t>, t</w:t>
      </w:r>
      <w:r w:rsidR="00596EF8">
        <w:rPr>
          <w:rFonts w:asciiTheme="minorHAnsi" w:hAnsiTheme="minorHAnsi"/>
          <w:sz w:val="22"/>
          <w:szCs w:val="22"/>
        </w:rPr>
        <w:t>his</w:t>
      </w:r>
      <w:r w:rsidR="00E04F59">
        <w:rPr>
          <w:rFonts w:asciiTheme="minorHAnsi" w:hAnsiTheme="minorHAnsi"/>
          <w:sz w:val="22"/>
          <w:szCs w:val="22"/>
        </w:rPr>
        <w:t xml:space="preserve"> </w:t>
      </w:r>
      <w:r w:rsidR="00C23AC6">
        <w:rPr>
          <w:rFonts w:asciiTheme="minorHAnsi" w:hAnsiTheme="minorHAnsi"/>
          <w:sz w:val="22"/>
          <w:szCs w:val="22"/>
        </w:rPr>
        <w:t>might</w:t>
      </w:r>
      <w:r w:rsidR="004E3429" w:rsidRPr="00692206">
        <w:rPr>
          <w:rFonts w:asciiTheme="minorHAnsi" w:hAnsiTheme="minorHAnsi"/>
          <w:sz w:val="22"/>
          <w:szCs w:val="22"/>
        </w:rPr>
        <w:t xml:space="preserve"> be worsened by an additional drug.</w:t>
      </w:r>
    </w:p>
    <w:p w14:paraId="461E8B16" w14:textId="5EEE3A66" w:rsidR="003871CE" w:rsidRPr="00AC297E" w:rsidRDefault="0071410A" w:rsidP="00AC297E">
      <w:pPr>
        <w:spacing w:before="120"/>
        <w:jc w:val="both"/>
      </w:pPr>
      <w:r w:rsidRPr="00692206">
        <w:t>All previous studies of GEP in lymphoma have been performed retrospectively</w:t>
      </w:r>
      <w:r w:rsidR="008932BB" w:rsidRPr="00692206">
        <w:t xml:space="preserve">, but assignment of patients to novel therapies based upon their molecular phenotype will require real-time outputs, which we have </w:t>
      </w:r>
      <w:r w:rsidR="00993F38" w:rsidRPr="00692206">
        <w:t>shown to be feasible</w:t>
      </w:r>
      <w:r w:rsidR="008932BB" w:rsidRPr="00692206">
        <w:t xml:space="preserve"> in this trial.   </w:t>
      </w:r>
      <w:r w:rsidR="003871CE" w:rsidRPr="00692206">
        <w:t xml:space="preserve">Using </w:t>
      </w:r>
      <w:r w:rsidR="004C4268" w:rsidRPr="00692206">
        <w:t xml:space="preserve">a central laboratory and </w:t>
      </w:r>
      <w:r w:rsidR="003871CE" w:rsidRPr="00692206">
        <w:t xml:space="preserve">the DAC classifier </w:t>
      </w:r>
      <w:r w:rsidRPr="00692206">
        <w:t xml:space="preserve">we could </w:t>
      </w:r>
      <w:r w:rsidR="003871CE" w:rsidRPr="00692206">
        <w:t xml:space="preserve">prospectively assign COO </w:t>
      </w:r>
      <w:r w:rsidRPr="00692206">
        <w:t>categories</w:t>
      </w:r>
      <w:r w:rsidR="004C4268" w:rsidRPr="00692206">
        <w:t xml:space="preserve"> in a clinically relevant timeframe</w:t>
      </w:r>
      <w:r w:rsidR="004B6DEA" w:rsidRPr="00692206">
        <w:t>. This all</w:t>
      </w:r>
      <w:r w:rsidR="004C4268" w:rsidRPr="00692206">
        <w:t>ow</w:t>
      </w:r>
      <w:r w:rsidR="004B6DEA" w:rsidRPr="00692206">
        <w:t>ed</w:t>
      </w:r>
      <w:r w:rsidR="004C4268" w:rsidRPr="00692206">
        <w:t xml:space="preserve"> a stratified randomisation</w:t>
      </w:r>
      <w:r w:rsidR="004B6DEA" w:rsidRPr="00692206">
        <w:t>,</w:t>
      </w:r>
      <w:r w:rsidR="00993F38" w:rsidRPr="00692206">
        <w:t xml:space="preserve"> with the potential for adaptive design based on interim analyses of molecular sub</w:t>
      </w:r>
      <w:r w:rsidR="0069302F">
        <w:t>type</w:t>
      </w:r>
      <w:r w:rsidR="00993F38" w:rsidRPr="00692206">
        <w:t>s</w:t>
      </w:r>
      <w:r w:rsidR="004C4268" w:rsidRPr="00692206">
        <w:t xml:space="preserve">.  </w:t>
      </w:r>
      <w:r w:rsidR="00993F38" w:rsidRPr="00692206">
        <w:t xml:space="preserve">The accuracy of the classifier is supported by finding the expected </w:t>
      </w:r>
      <w:r w:rsidR="003871CE" w:rsidRPr="00692206">
        <w:t xml:space="preserve">frequencies of </w:t>
      </w:r>
      <w:r w:rsidR="00993F38" w:rsidRPr="00692206">
        <w:t xml:space="preserve">different </w:t>
      </w:r>
      <w:r w:rsidR="003871CE" w:rsidRPr="00692206">
        <w:t xml:space="preserve">mutations that are known to be enriched in ABC </w:t>
      </w:r>
      <w:r w:rsidR="00993F38" w:rsidRPr="00692206">
        <w:t>or</w:t>
      </w:r>
      <w:r w:rsidR="003871CE" w:rsidRPr="00692206">
        <w:t xml:space="preserve"> GCB </w:t>
      </w:r>
      <w:r w:rsidR="00993F38" w:rsidRPr="00692206">
        <w:t>respectively</w:t>
      </w:r>
      <w:r w:rsidR="003871CE" w:rsidRPr="00692206">
        <w:t xml:space="preserve"> (</w:t>
      </w:r>
      <w:r w:rsidR="008C665F" w:rsidRPr="00692206">
        <w:t xml:space="preserve">Figure </w:t>
      </w:r>
      <w:r w:rsidR="008C665F">
        <w:t>2</w:t>
      </w:r>
      <w:r w:rsidR="008C665F" w:rsidRPr="00692206">
        <w:t xml:space="preserve"> and </w:t>
      </w:r>
      <w:r w:rsidR="008C665F">
        <w:t>Appendix</w:t>
      </w:r>
      <w:r w:rsidR="008C665F" w:rsidRPr="00692206">
        <w:t xml:space="preserve"> Table </w:t>
      </w:r>
      <w:r w:rsidR="008C665F">
        <w:t>2, pp</w:t>
      </w:r>
      <w:r w:rsidR="006E4C31">
        <w:t>6</w:t>
      </w:r>
      <w:r w:rsidR="008C665F">
        <w:t>-</w:t>
      </w:r>
      <w:r w:rsidR="006E4C31">
        <w:t>7</w:t>
      </w:r>
      <w:r w:rsidR="003871CE" w:rsidRPr="00692206">
        <w:t>)</w:t>
      </w:r>
      <w:r w:rsidR="00F101F6" w:rsidRPr="009C0CA5">
        <w:rPr>
          <w:vertAlign w:val="superscript"/>
        </w:rPr>
        <w:t>14</w:t>
      </w:r>
      <w:r w:rsidR="003871CE" w:rsidRPr="00692206">
        <w:t xml:space="preserve">. </w:t>
      </w:r>
      <w:r w:rsidR="002D1364">
        <w:t xml:space="preserve"> </w:t>
      </w:r>
      <w:r w:rsidR="003871CE" w:rsidRPr="002D1364">
        <w:t>We identified NF-</w:t>
      </w:r>
      <w:r w:rsidR="003871CE" w:rsidRPr="002D1364">
        <w:rPr>
          <w:rFonts w:cstheme="minorHAnsi"/>
        </w:rPr>
        <w:t>κ</w:t>
      </w:r>
      <w:r w:rsidR="003871CE" w:rsidRPr="002D1364">
        <w:t>B target genes to be more highly expressed in the ABC</w:t>
      </w:r>
      <w:r w:rsidR="003871CE" w:rsidRPr="00692206">
        <w:t xml:space="preserve"> </w:t>
      </w:r>
      <w:r w:rsidR="007C1CF4">
        <w:t>sub</w:t>
      </w:r>
      <w:r w:rsidR="00FC295F">
        <w:t>type</w:t>
      </w:r>
      <w:r w:rsidR="007C1CF4">
        <w:t xml:space="preserve"> whilst</w:t>
      </w:r>
      <w:r w:rsidR="00993F38" w:rsidRPr="00692206">
        <w:t xml:space="preserve"> a</w:t>
      </w:r>
      <w:r w:rsidR="003871CE" w:rsidRPr="00692206">
        <w:t>lmost all cases of DHL were identified within the GCB population, consistent with the literature (</w:t>
      </w:r>
      <w:r w:rsidR="008C665F">
        <w:t>Appendix</w:t>
      </w:r>
      <w:r w:rsidR="008C665F" w:rsidRPr="00692206">
        <w:t xml:space="preserve"> Table </w:t>
      </w:r>
      <w:r w:rsidR="00F63C0A">
        <w:t>7</w:t>
      </w:r>
      <w:r w:rsidR="00523E72">
        <w:t>, p1</w:t>
      </w:r>
      <w:r w:rsidR="006E4C31">
        <w:t>3</w:t>
      </w:r>
      <w:r w:rsidR="003871CE" w:rsidRPr="00692206">
        <w:t>)</w:t>
      </w:r>
      <w:r w:rsidR="00F101F6" w:rsidRPr="009C0CA5">
        <w:rPr>
          <w:vertAlign w:val="superscript"/>
        </w:rPr>
        <w:t>15</w:t>
      </w:r>
      <w:r w:rsidR="003871CE" w:rsidRPr="00692206">
        <w:t xml:space="preserve">. </w:t>
      </w:r>
      <w:r w:rsidR="00993F38" w:rsidRPr="00692206">
        <w:t xml:space="preserve"> </w:t>
      </w:r>
      <w:r w:rsidR="003871CE" w:rsidRPr="00692206">
        <w:t xml:space="preserve">Dual expression of MYC and BCL-2 </w:t>
      </w:r>
      <w:r w:rsidR="00A12901">
        <w:t xml:space="preserve">proteins or RNA </w:t>
      </w:r>
      <w:r w:rsidR="003871CE" w:rsidRPr="00692206">
        <w:t>was more frequent in ABC</w:t>
      </w:r>
      <w:r w:rsidR="007C1CF4">
        <w:t xml:space="preserve"> cases</w:t>
      </w:r>
      <w:r w:rsidR="00A12901">
        <w:t xml:space="preserve"> and at </w:t>
      </w:r>
      <w:r w:rsidR="00A12901" w:rsidRPr="00AC297E">
        <w:t xml:space="preserve">similar frequencies </w:t>
      </w:r>
      <w:r w:rsidR="003871CE" w:rsidRPr="00AC297E">
        <w:t>to th</w:t>
      </w:r>
      <w:r w:rsidR="00A12901" w:rsidRPr="00AC297E">
        <w:t>at</w:t>
      </w:r>
      <w:r w:rsidR="003871CE" w:rsidRPr="00AC297E">
        <w:t xml:space="preserve"> </w:t>
      </w:r>
      <w:r w:rsidR="00993F38" w:rsidRPr="00AC297E">
        <w:t>previously reported</w:t>
      </w:r>
      <w:r w:rsidR="00917A8E" w:rsidRPr="00AC297E">
        <w:t xml:space="preserve"> (</w:t>
      </w:r>
      <w:r w:rsidR="008C665F">
        <w:t>Appendix</w:t>
      </w:r>
      <w:r w:rsidR="008C665F" w:rsidRPr="00AC297E">
        <w:t xml:space="preserve"> Table </w:t>
      </w:r>
      <w:r w:rsidR="00F63C0A">
        <w:t>7</w:t>
      </w:r>
      <w:r w:rsidR="00523E72">
        <w:t>, p1</w:t>
      </w:r>
      <w:r w:rsidR="006E4C31">
        <w:t>3</w:t>
      </w:r>
      <w:r w:rsidR="003871CE" w:rsidRPr="00AC297E">
        <w:t>).</w:t>
      </w:r>
      <w:r w:rsidR="009B6A50" w:rsidRPr="00AC297E">
        <w:t xml:space="preserve"> </w:t>
      </w:r>
    </w:p>
    <w:p w14:paraId="6A5864F8" w14:textId="51449CA4" w:rsidR="00D55DF5" w:rsidRPr="00AB7565" w:rsidRDefault="00D55DF5" w:rsidP="00D51336">
      <w:pPr>
        <w:pStyle w:val="p1"/>
        <w:spacing w:before="120" w:after="200" w:line="276" w:lineRule="auto"/>
        <w:jc w:val="both"/>
        <w:rPr>
          <w:rFonts w:cs="Times New Roman"/>
        </w:rPr>
      </w:pPr>
      <w:r w:rsidRPr="00D51336">
        <w:rPr>
          <w:rFonts w:asciiTheme="minorHAnsi" w:hAnsiTheme="minorHAnsi"/>
          <w:sz w:val="22"/>
          <w:szCs w:val="22"/>
        </w:rPr>
        <w:t xml:space="preserve">The overall frequency of the ABC subtype </w:t>
      </w:r>
      <w:r w:rsidR="0062029B" w:rsidRPr="00D51336">
        <w:rPr>
          <w:rFonts w:asciiTheme="minorHAnsi" w:hAnsiTheme="minorHAnsi"/>
          <w:sz w:val="22"/>
          <w:szCs w:val="22"/>
        </w:rPr>
        <w:t>(</w:t>
      </w:r>
      <w:r w:rsidR="009A070E" w:rsidRPr="00D51336">
        <w:rPr>
          <w:rFonts w:asciiTheme="minorHAnsi" w:hAnsiTheme="minorHAnsi"/>
          <w:sz w:val="22"/>
          <w:szCs w:val="22"/>
        </w:rPr>
        <w:t xml:space="preserve">27%) </w:t>
      </w:r>
      <w:r w:rsidRPr="00D51336">
        <w:rPr>
          <w:rFonts w:asciiTheme="minorHAnsi" w:hAnsiTheme="minorHAnsi"/>
          <w:sz w:val="22"/>
          <w:szCs w:val="22"/>
        </w:rPr>
        <w:t xml:space="preserve">was lower than has been reported in </w:t>
      </w:r>
      <w:r w:rsidR="00526F88" w:rsidRPr="00D51336">
        <w:rPr>
          <w:rFonts w:asciiTheme="minorHAnsi" w:hAnsiTheme="minorHAnsi"/>
          <w:sz w:val="22"/>
          <w:szCs w:val="22"/>
        </w:rPr>
        <w:t xml:space="preserve">some </w:t>
      </w:r>
      <w:r w:rsidRPr="00D51336">
        <w:rPr>
          <w:rFonts w:asciiTheme="minorHAnsi" w:hAnsiTheme="minorHAnsi"/>
          <w:sz w:val="22"/>
          <w:szCs w:val="22"/>
        </w:rPr>
        <w:t xml:space="preserve">retrospective </w:t>
      </w:r>
      <w:r w:rsidR="0062029B" w:rsidRPr="00D51336">
        <w:rPr>
          <w:rFonts w:asciiTheme="minorHAnsi" w:hAnsiTheme="minorHAnsi"/>
          <w:sz w:val="22"/>
          <w:szCs w:val="22"/>
        </w:rPr>
        <w:t>ser</w:t>
      </w:r>
      <w:r w:rsidRPr="00D51336">
        <w:rPr>
          <w:rFonts w:asciiTheme="minorHAnsi" w:hAnsiTheme="minorHAnsi"/>
          <w:sz w:val="22"/>
          <w:szCs w:val="22"/>
        </w:rPr>
        <w:t>ies</w:t>
      </w:r>
      <w:r w:rsidR="0062029B" w:rsidRPr="00D51336">
        <w:rPr>
          <w:rFonts w:asciiTheme="minorHAnsi" w:hAnsiTheme="minorHAnsi"/>
          <w:sz w:val="22"/>
          <w:szCs w:val="22"/>
        </w:rPr>
        <w:t>,</w:t>
      </w:r>
      <w:r w:rsidR="00526F88" w:rsidRPr="00D51336">
        <w:rPr>
          <w:rFonts w:asciiTheme="minorHAnsi" w:hAnsiTheme="minorHAnsi"/>
          <w:sz w:val="22"/>
          <w:szCs w:val="22"/>
        </w:rPr>
        <w:t xml:space="preserve"> where roughly equal numbers of GCB and ABC cases were see</w:t>
      </w:r>
      <w:r w:rsidR="003513F7">
        <w:rPr>
          <w:rFonts w:asciiTheme="minorHAnsi" w:hAnsiTheme="minorHAnsi"/>
          <w:sz w:val="22"/>
          <w:szCs w:val="22"/>
        </w:rPr>
        <w:t>n</w:t>
      </w:r>
      <w:r w:rsidR="00F101F6" w:rsidRPr="009C0CA5">
        <w:rPr>
          <w:rFonts w:asciiTheme="minorHAnsi" w:hAnsiTheme="minorHAnsi"/>
          <w:sz w:val="22"/>
          <w:szCs w:val="22"/>
          <w:vertAlign w:val="superscript"/>
        </w:rPr>
        <w:t>15</w:t>
      </w:r>
      <w:r w:rsidR="00200F0C">
        <w:rPr>
          <w:rFonts w:asciiTheme="minorHAnsi" w:hAnsiTheme="minorHAnsi"/>
          <w:sz w:val="22"/>
          <w:szCs w:val="22"/>
          <w:vertAlign w:val="superscript"/>
        </w:rPr>
        <w:t>,16</w:t>
      </w:r>
      <w:r w:rsidR="00570D4D" w:rsidRPr="00D51336">
        <w:rPr>
          <w:rFonts w:asciiTheme="minorHAnsi" w:hAnsiTheme="minorHAnsi"/>
          <w:sz w:val="22"/>
          <w:szCs w:val="22"/>
        </w:rPr>
        <w:t xml:space="preserve">.  </w:t>
      </w:r>
      <w:r w:rsidR="00526F88" w:rsidRPr="00D51336">
        <w:rPr>
          <w:rFonts w:asciiTheme="minorHAnsi" w:hAnsiTheme="minorHAnsi"/>
          <w:sz w:val="22"/>
          <w:szCs w:val="22"/>
        </w:rPr>
        <w:t>However,  a recent large randomised trial reported very similar findings to the present study,</w:t>
      </w:r>
      <w:r w:rsidR="004D4B64" w:rsidRPr="00D51336">
        <w:rPr>
          <w:rFonts w:asciiTheme="minorHAnsi" w:hAnsiTheme="minorHAnsi"/>
          <w:sz w:val="22"/>
          <w:szCs w:val="22"/>
        </w:rPr>
        <w:t xml:space="preserve"> </w:t>
      </w:r>
      <w:r w:rsidR="00526F88" w:rsidRPr="00D51336">
        <w:rPr>
          <w:rFonts w:asciiTheme="minorHAnsi" w:hAnsiTheme="minorHAnsi"/>
          <w:sz w:val="22"/>
          <w:szCs w:val="22"/>
        </w:rPr>
        <w:t>with 58% GCB, 26% ABC and 16% unclassified</w:t>
      </w:r>
      <w:r w:rsidR="00AC297E">
        <w:rPr>
          <w:rFonts w:asciiTheme="minorHAnsi" w:hAnsiTheme="minorHAnsi"/>
          <w:sz w:val="22"/>
          <w:szCs w:val="22"/>
        </w:rPr>
        <w:t xml:space="preserve"> cases</w:t>
      </w:r>
      <w:r w:rsidR="00526F88" w:rsidRPr="00D51336">
        <w:rPr>
          <w:rFonts w:asciiTheme="minorHAnsi" w:hAnsiTheme="minorHAnsi"/>
          <w:sz w:val="22"/>
          <w:szCs w:val="22"/>
        </w:rPr>
        <w:t xml:space="preserve">, using </w:t>
      </w:r>
      <w:r w:rsidR="00AC297E" w:rsidRPr="00D51336">
        <w:rPr>
          <w:rFonts w:asciiTheme="minorHAnsi" w:hAnsiTheme="minorHAnsi"/>
          <w:sz w:val="22"/>
          <w:szCs w:val="22"/>
        </w:rPr>
        <w:t xml:space="preserve">the </w:t>
      </w:r>
      <w:r w:rsidR="00AC297E" w:rsidRPr="00D51336">
        <w:rPr>
          <w:rFonts w:asciiTheme="minorHAnsi" w:hAnsiTheme="minorHAnsi" w:cs="Times New Roman"/>
          <w:sz w:val="22"/>
          <w:szCs w:val="22"/>
        </w:rPr>
        <w:t>NanoString Lymphoma Subtyping Test</w:t>
      </w:r>
      <w:r w:rsidR="00F101F6" w:rsidRPr="009C0CA5">
        <w:rPr>
          <w:rFonts w:asciiTheme="minorHAnsi" w:hAnsiTheme="minorHAnsi" w:cs="Times New Roman"/>
          <w:sz w:val="22"/>
          <w:szCs w:val="22"/>
          <w:vertAlign w:val="superscript"/>
        </w:rPr>
        <w:t>1</w:t>
      </w:r>
      <w:r w:rsidR="00200F0C" w:rsidRPr="00200F0C">
        <w:rPr>
          <w:rFonts w:asciiTheme="minorHAnsi" w:hAnsiTheme="minorHAnsi" w:cs="Times New Roman"/>
          <w:sz w:val="22"/>
          <w:szCs w:val="22"/>
          <w:vertAlign w:val="superscript"/>
        </w:rPr>
        <w:t>7</w:t>
      </w:r>
      <w:r w:rsidR="00AC297E" w:rsidRPr="00D51336">
        <w:rPr>
          <w:rFonts w:asciiTheme="minorHAnsi" w:hAnsiTheme="minorHAnsi" w:cs="Times New Roman"/>
          <w:sz w:val="22"/>
          <w:szCs w:val="22"/>
        </w:rPr>
        <w:t xml:space="preserve">. </w:t>
      </w:r>
      <w:r w:rsidR="00890E9B">
        <w:rPr>
          <w:rFonts w:asciiTheme="minorHAnsi" w:hAnsiTheme="minorHAnsi" w:cs="Times New Roman"/>
          <w:sz w:val="22"/>
          <w:szCs w:val="22"/>
        </w:rPr>
        <w:t xml:space="preserve">  It is possible that some cases of lymphoma with poor prognostic features at presentation are excluded from trials such as this on the grounds of performance status or the need fo</w:t>
      </w:r>
      <w:r w:rsidR="00C168FD">
        <w:rPr>
          <w:rFonts w:asciiTheme="minorHAnsi" w:hAnsiTheme="minorHAnsi" w:cs="Times New Roman"/>
          <w:sz w:val="22"/>
          <w:szCs w:val="22"/>
        </w:rPr>
        <w:t xml:space="preserve">r urgent treatment before </w:t>
      </w:r>
      <w:r w:rsidR="00890E9B">
        <w:rPr>
          <w:rFonts w:asciiTheme="minorHAnsi" w:hAnsiTheme="minorHAnsi" w:cs="Times New Roman"/>
          <w:sz w:val="22"/>
          <w:szCs w:val="22"/>
        </w:rPr>
        <w:t xml:space="preserve">screening procedures can be completed, and this may reduce the proportion of ABC type </w:t>
      </w:r>
      <w:r w:rsidR="00C168FD">
        <w:rPr>
          <w:rFonts w:asciiTheme="minorHAnsi" w:hAnsiTheme="minorHAnsi" w:cs="Times New Roman"/>
          <w:sz w:val="22"/>
          <w:szCs w:val="22"/>
        </w:rPr>
        <w:t>cases entering prospective studie</w:t>
      </w:r>
      <w:r w:rsidR="00890E9B">
        <w:rPr>
          <w:rFonts w:asciiTheme="minorHAnsi" w:hAnsiTheme="minorHAnsi" w:cs="Times New Roman"/>
          <w:sz w:val="22"/>
          <w:szCs w:val="22"/>
        </w:rPr>
        <w:t>s.</w:t>
      </w:r>
    </w:p>
    <w:p w14:paraId="61E4D2DD" w14:textId="31B38904" w:rsidR="00466537" w:rsidRPr="00692206" w:rsidRDefault="00E723A8" w:rsidP="00324F29">
      <w:pPr>
        <w:spacing w:before="120"/>
        <w:jc w:val="both"/>
      </w:pPr>
      <w:r w:rsidRPr="00692206">
        <w:lastRenderedPageBreak/>
        <w:t xml:space="preserve">The overall </w:t>
      </w:r>
      <w:r w:rsidR="006A4AFD" w:rsidRPr="00692206">
        <w:t>outcomes are</w:t>
      </w:r>
      <w:r w:rsidRPr="00692206">
        <w:t xml:space="preserve"> </w:t>
      </w:r>
      <w:r w:rsidR="00AF60F6" w:rsidRPr="00692206">
        <w:t>consistent</w:t>
      </w:r>
      <w:r w:rsidRPr="00692206">
        <w:t xml:space="preserve"> with other large prospective studies</w:t>
      </w:r>
      <w:r w:rsidR="006A4AFD" w:rsidRPr="00692206">
        <w:t xml:space="preserve"> in DLBCL</w:t>
      </w:r>
      <w:r w:rsidRPr="00692206">
        <w:t xml:space="preserve">, with </w:t>
      </w:r>
      <w:r w:rsidR="006A4AFD" w:rsidRPr="00692206">
        <w:t xml:space="preserve">a </w:t>
      </w:r>
      <w:r w:rsidRPr="00692206">
        <w:t xml:space="preserve">similar </w:t>
      </w:r>
      <w:r w:rsidR="0066142C" w:rsidRPr="00692206">
        <w:t>PFS</w:t>
      </w:r>
      <w:r w:rsidRPr="00692206">
        <w:t xml:space="preserve"> </w:t>
      </w:r>
      <w:r w:rsidR="00AC0619" w:rsidRPr="00692206">
        <w:t xml:space="preserve">(72% at 30 months) </w:t>
      </w:r>
      <w:r w:rsidRPr="00692206">
        <w:t xml:space="preserve">to </w:t>
      </w:r>
      <w:r w:rsidR="00E4127D">
        <w:t>recent</w:t>
      </w:r>
      <w:r w:rsidR="00EA723D" w:rsidRPr="00692206">
        <w:t xml:space="preserve"> </w:t>
      </w:r>
      <w:r w:rsidRPr="00692206">
        <w:t xml:space="preserve">phase III </w:t>
      </w:r>
      <w:r w:rsidR="006A4AFD" w:rsidRPr="00692206">
        <w:t>trial</w:t>
      </w:r>
      <w:r w:rsidR="00577A39">
        <w:t>s</w:t>
      </w:r>
      <w:r w:rsidR="00D21B47" w:rsidRPr="009C0CA5">
        <w:rPr>
          <w:vertAlign w:val="superscript"/>
        </w:rPr>
        <w:t>1,1</w:t>
      </w:r>
      <w:r w:rsidR="00200F0C">
        <w:rPr>
          <w:vertAlign w:val="superscript"/>
        </w:rPr>
        <w:t>7</w:t>
      </w:r>
      <w:r w:rsidRPr="00692206">
        <w:t xml:space="preserve">. </w:t>
      </w:r>
      <w:r w:rsidR="006A4AFD" w:rsidRPr="00692206">
        <w:t xml:space="preserve"> The</w:t>
      </w:r>
      <w:r w:rsidRPr="00692206">
        <w:t xml:space="preserve"> </w:t>
      </w:r>
      <w:r w:rsidR="003A6CDE" w:rsidRPr="00692206">
        <w:t>PFS</w:t>
      </w:r>
      <w:r w:rsidR="004252C7" w:rsidRPr="00692206">
        <w:t xml:space="preserve"> </w:t>
      </w:r>
      <w:r w:rsidRPr="00692206">
        <w:t xml:space="preserve">for the ITT population </w:t>
      </w:r>
      <w:r w:rsidR="006A4AFD" w:rsidRPr="00692206">
        <w:t xml:space="preserve">was </w:t>
      </w:r>
      <w:r w:rsidRPr="00692206">
        <w:t>not improve</w:t>
      </w:r>
      <w:r w:rsidR="006A4AFD" w:rsidRPr="00692206">
        <w:t>d</w:t>
      </w:r>
      <w:r w:rsidRPr="00692206">
        <w:t xml:space="preserve"> </w:t>
      </w:r>
      <w:r w:rsidR="006A4AFD" w:rsidRPr="00692206">
        <w:t>by</w:t>
      </w:r>
      <w:r w:rsidRPr="00692206">
        <w:t xml:space="preserve"> the addition of bortezomib</w:t>
      </w:r>
      <w:r w:rsidR="006A4AFD" w:rsidRPr="00692206">
        <w:t xml:space="preserve"> at these doses, nor was there evidence of a differential effect accor</w:t>
      </w:r>
      <w:r w:rsidR="00466537" w:rsidRPr="00692206">
        <w:t xml:space="preserve">ding to the </w:t>
      </w:r>
      <w:r w:rsidR="00AF60F6" w:rsidRPr="00692206">
        <w:t>COO</w:t>
      </w:r>
      <w:r w:rsidR="00466537" w:rsidRPr="00692206">
        <w:t xml:space="preserve">. </w:t>
      </w:r>
      <w:r w:rsidR="00AF60F6" w:rsidRPr="00692206">
        <w:t xml:space="preserve"> </w:t>
      </w:r>
      <w:r w:rsidRPr="00692206">
        <w:t xml:space="preserve">This </w:t>
      </w:r>
      <w:r w:rsidR="006A4AFD" w:rsidRPr="00692206">
        <w:t xml:space="preserve">is in keeping with the findings of </w:t>
      </w:r>
      <w:r w:rsidRPr="00692206">
        <w:t xml:space="preserve">a </w:t>
      </w:r>
      <w:r w:rsidR="006A4AFD" w:rsidRPr="00692206">
        <w:t xml:space="preserve">smaller </w:t>
      </w:r>
      <w:r w:rsidR="00480B6E" w:rsidRPr="00692206">
        <w:t xml:space="preserve">randomised </w:t>
      </w:r>
      <w:r w:rsidRPr="00692206">
        <w:t xml:space="preserve">phase II </w:t>
      </w:r>
      <w:r w:rsidR="00480B6E" w:rsidRPr="00692206">
        <w:t>study</w:t>
      </w:r>
      <w:r w:rsidR="00DC5FA6" w:rsidRPr="00692206">
        <w:t xml:space="preserve"> </w:t>
      </w:r>
      <w:r w:rsidRPr="00692206">
        <w:t xml:space="preserve">where </w:t>
      </w:r>
      <w:r w:rsidR="000F5B9F" w:rsidRPr="00692206">
        <w:t xml:space="preserve">the addition of bortezomib </w:t>
      </w:r>
      <w:r w:rsidR="008259B4">
        <w:t>1.3 mg/m</w:t>
      </w:r>
      <w:r w:rsidR="008259B4" w:rsidRPr="008259B4">
        <w:rPr>
          <w:vertAlign w:val="superscript"/>
        </w:rPr>
        <w:t>2</w:t>
      </w:r>
      <w:r w:rsidR="008259B4">
        <w:t xml:space="preserve"> </w:t>
      </w:r>
      <w:r w:rsidR="000F5B9F" w:rsidRPr="00692206">
        <w:t xml:space="preserve">to R-CHOP on days 1 and 4 </w:t>
      </w:r>
      <w:r w:rsidRPr="00692206">
        <w:t xml:space="preserve">did not improve </w:t>
      </w:r>
      <w:r w:rsidR="00480B6E" w:rsidRPr="00692206">
        <w:t xml:space="preserve">outcomes </w:t>
      </w:r>
      <w:r w:rsidR="000F5B9F" w:rsidRPr="00692206">
        <w:t>for non-GCB DLBCL</w:t>
      </w:r>
      <w:r w:rsidR="00480B6E" w:rsidRPr="00692206">
        <w:t xml:space="preserve">, defined </w:t>
      </w:r>
      <w:r w:rsidR="00325FB6">
        <w:t>in that study</w:t>
      </w:r>
      <w:r w:rsidR="00480B6E" w:rsidRPr="00692206">
        <w:t xml:space="preserve"> </w:t>
      </w:r>
      <w:r w:rsidR="0094148E" w:rsidRPr="00692206">
        <w:t>by immunohistochemistry</w:t>
      </w:r>
      <w:r w:rsidR="000923DE" w:rsidRPr="009C0CA5">
        <w:rPr>
          <w:vertAlign w:val="superscript"/>
        </w:rPr>
        <w:t>1</w:t>
      </w:r>
      <w:r w:rsidR="00200F0C" w:rsidRPr="00200F0C">
        <w:rPr>
          <w:vertAlign w:val="superscript"/>
        </w:rPr>
        <w:t>8</w:t>
      </w:r>
      <w:r w:rsidR="00E5540C" w:rsidRPr="00692206">
        <w:t>.</w:t>
      </w:r>
      <w:r w:rsidR="00466537" w:rsidRPr="00692206">
        <w:t xml:space="preserve"> </w:t>
      </w:r>
    </w:p>
    <w:p w14:paraId="18D7F9AC" w14:textId="7CF1783E" w:rsidR="00C625E9" w:rsidRDefault="00250ADF" w:rsidP="00324F29">
      <w:pPr>
        <w:spacing w:before="120"/>
        <w:jc w:val="both"/>
      </w:pPr>
      <w:r>
        <w:t>D</w:t>
      </w:r>
      <w:r w:rsidR="00466537" w:rsidRPr="00692206">
        <w:t xml:space="preserve">elivery of the R-CHOP was </w:t>
      </w:r>
      <w:r>
        <w:t xml:space="preserve">not </w:t>
      </w:r>
      <w:r w:rsidR="007D2F97" w:rsidRPr="00692206">
        <w:t xml:space="preserve">significantly </w:t>
      </w:r>
      <w:r w:rsidR="00466537" w:rsidRPr="00692206">
        <w:t xml:space="preserve">compromised by the addition of bortezomib.  Individual R-CHOP components had similar mean </w:t>
      </w:r>
      <w:r w:rsidR="00332EF9">
        <w:t>received dose intensity</w:t>
      </w:r>
      <w:r w:rsidR="00466537" w:rsidRPr="00692206">
        <w:t xml:space="preserve"> between arms</w:t>
      </w:r>
      <w:r>
        <w:t xml:space="preserve"> and almost</w:t>
      </w:r>
      <w:r w:rsidR="003954B7">
        <w:t xml:space="preserve"> </w:t>
      </w:r>
      <w:r w:rsidR="00332EF9">
        <w:t>90% of</w:t>
      </w:r>
      <w:r w:rsidR="000136B3">
        <w:t xml:space="preserve"> patients completed 6 cycles.</w:t>
      </w:r>
      <w:r w:rsidR="003954B7">
        <w:t xml:space="preserve">  </w:t>
      </w:r>
      <w:r w:rsidR="000136B3">
        <w:t>A</w:t>
      </w:r>
      <w:r w:rsidR="007D2F97" w:rsidRPr="00692206">
        <w:t>lthough more dose reductions wer</w:t>
      </w:r>
      <w:r w:rsidR="00D346FB">
        <w:t>e noted in the RB-CHOP group, and</w:t>
      </w:r>
      <w:r w:rsidR="007D2F97" w:rsidRPr="00692206">
        <w:t xml:space="preserve"> this might have countered </w:t>
      </w:r>
      <w:r w:rsidR="003954B7">
        <w:t xml:space="preserve">a </w:t>
      </w:r>
      <w:r w:rsidR="007D2F97" w:rsidRPr="00692206">
        <w:t>positive effect of the addition of bortezomib</w:t>
      </w:r>
      <w:r w:rsidR="000136B3">
        <w:t xml:space="preserve">, the difference was small and consisted mostly of reductions </w:t>
      </w:r>
      <w:r w:rsidR="003954B7">
        <w:t>in</w:t>
      </w:r>
      <w:r w:rsidR="000136B3">
        <w:t xml:space="preserve"> vincristine dose</w:t>
      </w:r>
      <w:r w:rsidR="00466537" w:rsidRPr="00692206">
        <w:t xml:space="preserve">. </w:t>
      </w:r>
      <w:r w:rsidR="007D2F97" w:rsidRPr="00692206">
        <w:t xml:space="preserve">  The slight increase in neurotoxicity suggest</w:t>
      </w:r>
      <w:r w:rsidR="003954B7">
        <w:t>s</w:t>
      </w:r>
      <w:r w:rsidR="007D2F97" w:rsidRPr="00692206">
        <w:t xml:space="preserve"> that the bortezomib was given at a biologically active dose. </w:t>
      </w:r>
      <w:r w:rsidR="003954B7">
        <w:t xml:space="preserve"> </w:t>
      </w:r>
      <w:r w:rsidR="00CA7AA3" w:rsidRPr="00692206">
        <w:t>It</w:t>
      </w:r>
      <w:r w:rsidR="00466537" w:rsidRPr="00692206">
        <w:t xml:space="preserve"> was administered on days 1 to 8 of cycles 2 to 5</w:t>
      </w:r>
      <w:r w:rsidR="007D2F97" w:rsidRPr="00692206">
        <w:t xml:space="preserve">, at a dose which has shown efficacy in other lymphoma trials, but </w:t>
      </w:r>
      <w:r w:rsidR="00CA7AA3" w:rsidRPr="00692206">
        <w:t>we recognise</w:t>
      </w:r>
      <w:r w:rsidR="007D2F97" w:rsidRPr="00692206">
        <w:t xml:space="preserve"> that more potent </w:t>
      </w:r>
      <w:r w:rsidR="00466537" w:rsidRPr="00692206">
        <w:t>proteasome inhibitor</w:t>
      </w:r>
      <w:r w:rsidR="007D2F97" w:rsidRPr="00692206">
        <w:t>s are now in use</w:t>
      </w:r>
      <w:r w:rsidR="00481F1A" w:rsidRPr="00692206">
        <w:t>, as are other agents with apparent preferential effects in the ABC group such as lenalidomide and ibru</w:t>
      </w:r>
      <w:r w:rsidR="00C728D1">
        <w:t>tinib, trials of which are</w:t>
      </w:r>
      <w:r w:rsidR="00481F1A" w:rsidRPr="00692206">
        <w:t xml:space="preserve"> in progress</w:t>
      </w:r>
      <w:r w:rsidR="007D2F97" w:rsidRPr="00692206">
        <w:t>.</w:t>
      </w:r>
    </w:p>
    <w:p w14:paraId="27B29179" w14:textId="4F9C1CCB" w:rsidR="00C67006" w:rsidRPr="00692206" w:rsidRDefault="00C625E9" w:rsidP="00324F29">
      <w:pPr>
        <w:spacing w:before="120"/>
        <w:jc w:val="both"/>
      </w:pPr>
      <w:r>
        <w:t xml:space="preserve">Bortezomib did not improve </w:t>
      </w:r>
      <w:r w:rsidR="00394F24">
        <w:t>outcomes</w:t>
      </w:r>
      <w:r>
        <w:t xml:space="preserve"> in the ABC subtype, which was confirmed to be enriched for</w:t>
      </w:r>
      <w:r w:rsidR="001B075C">
        <w:t xml:space="preserve"> expression of</w:t>
      </w:r>
      <w:r>
        <w:t xml:space="preserve"> NF-</w:t>
      </w:r>
      <w:r>
        <w:rPr>
          <w:rFonts w:cstheme="minorHAnsi"/>
        </w:rPr>
        <w:t>κ</w:t>
      </w:r>
      <w:r w:rsidR="00DE28AC">
        <w:t>B target genes, or for</w:t>
      </w:r>
      <w:r>
        <w:t xml:space="preserve"> cases with somatic mutations associated with NF-</w:t>
      </w:r>
      <w:r>
        <w:rPr>
          <w:rFonts w:cstheme="minorHAnsi"/>
        </w:rPr>
        <w:t>κ</w:t>
      </w:r>
      <w:r>
        <w:t>B activation.</w:t>
      </w:r>
      <w:r w:rsidR="00DE28AC">
        <w:t xml:space="preserve"> </w:t>
      </w:r>
      <w:r w:rsidR="003634FC">
        <w:t xml:space="preserve"> </w:t>
      </w:r>
      <w:r w:rsidR="00DE28AC">
        <w:t>It is possible that inhibition of NF-</w:t>
      </w:r>
      <w:r w:rsidR="00DE28AC">
        <w:rPr>
          <w:rFonts w:cstheme="minorHAnsi"/>
        </w:rPr>
        <w:t xml:space="preserve">κB is insufficient to improve outcomes in addition to R-CHOP in DLBCL, or that bortezomib </w:t>
      </w:r>
      <w:r w:rsidR="0081722E">
        <w:rPr>
          <w:rFonts w:cstheme="minorHAnsi"/>
        </w:rPr>
        <w:t xml:space="preserve">at the doses used </w:t>
      </w:r>
      <w:r w:rsidR="00DE28AC">
        <w:rPr>
          <w:rFonts w:cstheme="minorHAnsi"/>
        </w:rPr>
        <w:t xml:space="preserve">was unable to inhibit </w:t>
      </w:r>
      <w:r w:rsidR="00DE28AC">
        <w:t>NF-</w:t>
      </w:r>
      <w:r w:rsidR="00DE28AC">
        <w:rPr>
          <w:rFonts w:cstheme="minorHAnsi"/>
        </w:rPr>
        <w:t>κB adequately</w:t>
      </w:r>
      <w:r w:rsidR="001B075C">
        <w:rPr>
          <w:rFonts w:cstheme="minorHAnsi"/>
        </w:rPr>
        <w:t xml:space="preserve"> for this to occur</w:t>
      </w:r>
      <w:r w:rsidR="00DE28AC">
        <w:rPr>
          <w:rFonts w:cstheme="minorHAnsi"/>
        </w:rPr>
        <w:t>.</w:t>
      </w:r>
      <w:r w:rsidR="00E36B5F" w:rsidRPr="00E36B5F">
        <w:rPr>
          <w:rFonts w:eastAsia="Times New Roman" w:cs="Times New Roman"/>
        </w:rPr>
        <w:t xml:space="preserve"> </w:t>
      </w:r>
      <w:r w:rsidR="00E36B5F">
        <w:rPr>
          <w:rFonts w:eastAsia="Times New Roman" w:cs="Times New Roman"/>
        </w:rPr>
        <w:t>A different study in patients with non-GCB lymphoma, selected by immunohistochemistry, failed to demonstrate a difference between R-CHOP and R-CHP</w:t>
      </w:r>
      <w:r w:rsidR="00603BBD">
        <w:rPr>
          <w:rFonts w:eastAsia="Times New Roman" w:cs="Times New Roman"/>
        </w:rPr>
        <w:t>,</w:t>
      </w:r>
      <w:r w:rsidR="00E36B5F">
        <w:rPr>
          <w:rFonts w:eastAsia="Times New Roman" w:cs="Times New Roman"/>
        </w:rPr>
        <w:t xml:space="preserve"> with bortezomib</w:t>
      </w:r>
      <w:r w:rsidR="00603BBD">
        <w:rPr>
          <w:rFonts w:eastAsia="Times New Roman" w:cs="Times New Roman"/>
        </w:rPr>
        <w:t xml:space="preserve"> given in place of vincristine</w:t>
      </w:r>
      <w:r w:rsidR="00E36B5F">
        <w:rPr>
          <w:rFonts w:eastAsia="Times New Roman" w:cs="Times New Roman"/>
        </w:rPr>
        <w:t>, supporting this finding</w:t>
      </w:r>
      <w:r w:rsidR="00E11815" w:rsidRPr="009C0CA5">
        <w:rPr>
          <w:rFonts w:eastAsia="Times New Roman" w:cs="Times New Roman"/>
          <w:vertAlign w:val="superscript"/>
        </w:rPr>
        <w:t>1</w:t>
      </w:r>
      <w:r w:rsidR="00200F0C" w:rsidRPr="00200F0C">
        <w:rPr>
          <w:rFonts w:eastAsia="Times New Roman" w:cs="Times New Roman"/>
          <w:vertAlign w:val="superscript"/>
        </w:rPr>
        <w:t>9</w:t>
      </w:r>
      <w:r w:rsidR="00E36B5F">
        <w:rPr>
          <w:rFonts w:eastAsia="Times New Roman" w:cs="Times New Roman"/>
        </w:rPr>
        <w:t>.</w:t>
      </w:r>
    </w:p>
    <w:p w14:paraId="2A66F6A5" w14:textId="33097662" w:rsidR="00E723A8" w:rsidRPr="00692206" w:rsidRDefault="00C67006" w:rsidP="00324F29">
      <w:pPr>
        <w:spacing w:before="120"/>
        <w:jc w:val="both"/>
      </w:pPr>
      <w:r w:rsidRPr="00692206">
        <w:t xml:space="preserve">Recent studies have demonstrated the difficulty of improving the results of </w:t>
      </w:r>
      <w:r w:rsidR="0004769B" w:rsidRPr="00692206">
        <w:t xml:space="preserve">initial </w:t>
      </w:r>
      <w:r w:rsidRPr="00692206">
        <w:t>therapy in DLB</w:t>
      </w:r>
      <w:r w:rsidR="00304AC4">
        <w:t>C</w:t>
      </w:r>
      <w:r w:rsidRPr="00692206">
        <w:t>L by the addition of novel agents</w:t>
      </w:r>
      <w:r w:rsidR="0004769B" w:rsidRPr="00692206">
        <w:t xml:space="preserve"> which had show</w:t>
      </w:r>
      <w:r w:rsidR="003634FC">
        <w:t>n</w:t>
      </w:r>
      <w:r w:rsidR="0004769B" w:rsidRPr="00692206">
        <w:t xml:space="preserve"> promising activity in single arm studies treating recurrent diseas</w:t>
      </w:r>
      <w:r w:rsidR="00577A39">
        <w:t>e</w:t>
      </w:r>
      <w:r w:rsidRPr="00692206">
        <w:t xml:space="preserve">. </w:t>
      </w:r>
      <w:r w:rsidR="0046556F">
        <w:t xml:space="preserve"> </w:t>
      </w:r>
      <w:r w:rsidR="0004769B" w:rsidRPr="00692206">
        <w:t xml:space="preserve">This may partly reflect biological selection through treatment failure: </w:t>
      </w:r>
      <w:r w:rsidR="007145DC">
        <w:t>i</w:t>
      </w:r>
      <w:r w:rsidRPr="00692206">
        <w:t xml:space="preserve">n the relapsed/refractory </w:t>
      </w:r>
      <w:r w:rsidR="0004769B" w:rsidRPr="00692206">
        <w:t>lymphomas</w:t>
      </w:r>
      <w:r w:rsidRPr="00692206">
        <w:t xml:space="preserve"> where </w:t>
      </w:r>
      <w:r w:rsidR="0004769B" w:rsidRPr="00692206">
        <w:t>new</w:t>
      </w:r>
      <w:r w:rsidRPr="00692206">
        <w:t xml:space="preserve"> agents are investigated, biology is likely to be different from the </w:t>
      </w:r>
      <w:r w:rsidR="0004769B" w:rsidRPr="00692206">
        <w:t>newly-diagnosed</w:t>
      </w:r>
      <w:r w:rsidRPr="00692206">
        <w:t xml:space="preserve">. </w:t>
      </w:r>
      <w:r w:rsidR="0004769B" w:rsidRPr="00692206">
        <w:t xml:space="preserve">Thus, the majority of GCB DLBCL </w:t>
      </w:r>
      <w:r w:rsidRPr="00692206">
        <w:t xml:space="preserve">are cured by R-CHOP, </w:t>
      </w:r>
      <w:r w:rsidR="0004769B" w:rsidRPr="00692206">
        <w:t xml:space="preserve">while recurrent disease is enriched for those with </w:t>
      </w:r>
      <w:r w:rsidRPr="00692206">
        <w:t xml:space="preserve">DHL. </w:t>
      </w:r>
      <w:r w:rsidR="0004769B" w:rsidRPr="00692206">
        <w:t xml:space="preserve"> Similarly recurrent ABC DLBCL i</w:t>
      </w:r>
      <w:r w:rsidR="00080F14">
        <w:t>s enriched for double-expressor</w:t>
      </w:r>
      <w:r w:rsidR="0004769B" w:rsidRPr="00692206">
        <w:t xml:space="preserve"> lymphomas, which may account for the different results reported from the previous series of bortezomib treatment.  This highlights the need for full molecular characterisation of the diseases being treated, both at diagnosi</w:t>
      </w:r>
      <w:r w:rsidR="00A11C52" w:rsidRPr="00692206">
        <w:t>s</w:t>
      </w:r>
      <w:r w:rsidR="0004769B" w:rsidRPr="00692206">
        <w:t xml:space="preserve"> and in the case of initial treatment failure.</w:t>
      </w:r>
    </w:p>
    <w:p w14:paraId="374989BE" w14:textId="7F7C7920" w:rsidR="000A42D3" w:rsidRDefault="000A42D3" w:rsidP="00324F29">
      <w:pPr>
        <w:spacing w:before="120"/>
        <w:jc w:val="both"/>
      </w:pPr>
      <w:r w:rsidRPr="00692206">
        <w:t xml:space="preserve">The presence of a small number of DHL within the GCB group has lowered the PFS figure for this </w:t>
      </w:r>
      <w:r w:rsidR="0081722E">
        <w:t>subgroup</w:t>
      </w:r>
      <w:r w:rsidRPr="00692206">
        <w:t xml:space="preserve"> in this study.  Overall</w:t>
      </w:r>
      <w:r w:rsidR="0046556F">
        <w:t xml:space="preserve"> however</w:t>
      </w:r>
      <w:r w:rsidR="0081722E">
        <w:t>,</w:t>
      </w:r>
      <w:r w:rsidRPr="00692206">
        <w:t xml:space="preserve"> the outcome for the </w:t>
      </w:r>
      <w:r w:rsidR="006753F6" w:rsidRPr="00367E84">
        <w:t>DHL</w:t>
      </w:r>
      <w:r w:rsidRPr="00692206">
        <w:t xml:space="preserve"> cases appears better than has been reported in some earlier studies</w:t>
      </w:r>
      <w:r w:rsidR="00200F0C" w:rsidRPr="00200F0C">
        <w:rPr>
          <w:vertAlign w:val="superscript"/>
        </w:rPr>
        <w:t>20</w:t>
      </w:r>
      <w:r w:rsidRPr="00692206">
        <w:t xml:space="preserve"> </w:t>
      </w:r>
      <w:r w:rsidR="00CD65F6">
        <w:t xml:space="preserve"> </w:t>
      </w:r>
      <w:r w:rsidRPr="00692206">
        <w:t>and consistent with more recent analyses</w:t>
      </w:r>
      <w:r w:rsidR="00200F0C" w:rsidRPr="00200F0C">
        <w:rPr>
          <w:vertAlign w:val="superscript"/>
        </w:rPr>
        <w:t>2</w:t>
      </w:r>
      <w:r w:rsidR="00200F0C">
        <w:rPr>
          <w:vertAlign w:val="superscript"/>
        </w:rPr>
        <w:t>1</w:t>
      </w:r>
      <w:r w:rsidR="0070595D" w:rsidRPr="009C0CA5">
        <w:rPr>
          <w:vertAlign w:val="superscript"/>
        </w:rPr>
        <w:t>,2</w:t>
      </w:r>
      <w:r w:rsidR="00200F0C" w:rsidRPr="00200F0C">
        <w:rPr>
          <w:vertAlign w:val="superscript"/>
        </w:rPr>
        <w:t>2</w:t>
      </w:r>
      <w:r w:rsidRPr="00692206">
        <w:t xml:space="preserve">. </w:t>
      </w:r>
      <w:r w:rsidR="0081722E">
        <w:t xml:space="preserve"> </w:t>
      </w:r>
      <w:r w:rsidRPr="00692206">
        <w:t>Whilst clearly worse than the non-rearranged group, it appeared that nearly half of DHLs had not progressed at 30 months</w:t>
      </w:r>
      <w:r w:rsidR="007E1EA0">
        <w:t xml:space="preserve">. The </w:t>
      </w:r>
      <w:r w:rsidRPr="00692206">
        <w:t xml:space="preserve">PFS at 30 months </w:t>
      </w:r>
      <w:r w:rsidR="007E1EA0">
        <w:t>was</w:t>
      </w:r>
      <w:r w:rsidR="00A06B2A" w:rsidRPr="0081722E">
        <w:t xml:space="preserve"> 38.9% after R-CHOP compared with </w:t>
      </w:r>
      <w:r w:rsidR="00A06B2A">
        <w:t>58.9</w:t>
      </w:r>
      <w:r w:rsidR="00A06B2A" w:rsidRPr="0081722E">
        <w:t>% after RB-CHOP</w:t>
      </w:r>
      <w:r w:rsidRPr="00692206">
        <w:t xml:space="preserve">, although this </w:t>
      </w:r>
      <w:r w:rsidR="0018058C">
        <w:t xml:space="preserve">was the result of a post-hoc analysis and </w:t>
      </w:r>
      <w:r w:rsidR="0085344D">
        <w:t>was</w:t>
      </w:r>
      <w:r w:rsidR="0085344D" w:rsidRPr="00692206">
        <w:t xml:space="preserve"> </w:t>
      </w:r>
      <w:r w:rsidRPr="00692206">
        <w:t>not statistical</w:t>
      </w:r>
      <w:r w:rsidR="0085344D">
        <w:t>ly</w:t>
      </w:r>
      <w:r w:rsidRPr="00692206">
        <w:t xml:space="preserve"> significan</w:t>
      </w:r>
      <w:r w:rsidR="0085344D">
        <w:t>t</w:t>
      </w:r>
      <w:r w:rsidR="00A06B2A">
        <w:t xml:space="preserve"> (data not shown)</w:t>
      </w:r>
      <w:r w:rsidRPr="00692206">
        <w:t>.</w:t>
      </w:r>
    </w:p>
    <w:p w14:paraId="158DF36E" w14:textId="045A782D" w:rsidR="005F73CF" w:rsidRPr="00692206" w:rsidRDefault="007F0934" w:rsidP="00324F29">
      <w:pPr>
        <w:spacing w:before="120"/>
        <w:jc w:val="both"/>
      </w:pPr>
      <w:r>
        <w:t xml:space="preserve">A number of limitations can be identified in this study.  </w:t>
      </w:r>
      <w:r w:rsidR="008E05F9">
        <w:t>Any clinical trial is potentially prone to selective recruitment of better-prognosis patients</w:t>
      </w:r>
      <w:r w:rsidR="00EF1693">
        <w:t xml:space="preserve">, but we endeavoured to minimise this effect by deferring randomisation until the second cycle of therapy, allowing </w:t>
      </w:r>
      <w:r>
        <w:t xml:space="preserve">rapid initiation of treatment with </w:t>
      </w:r>
      <w:r w:rsidR="00EF1693">
        <w:t>molecular typing proceed</w:t>
      </w:r>
      <w:r>
        <w:t>ing</w:t>
      </w:r>
      <w:r w:rsidR="00EF1693">
        <w:t xml:space="preserve"> in tandem.  </w:t>
      </w:r>
      <w:r w:rsidR="00533733">
        <w:t>As a result, the median time from diagnosis to initiation of therapy was lower than in comparable studies</w:t>
      </w:r>
      <w:r w:rsidR="00082D61" w:rsidRPr="009C0CA5">
        <w:rPr>
          <w:vertAlign w:val="superscript"/>
        </w:rPr>
        <w:t>2</w:t>
      </w:r>
      <w:r w:rsidR="00200F0C" w:rsidRPr="00200F0C">
        <w:rPr>
          <w:vertAlign w:val="superscript"/>
        </w:rPr>
        <w:t>3</w:t>
      </w:r>
      <w:r w:rsidR="00533733">
        <w:t>, and t</w:t>
      </w:r>
      <w:r w:rsidR="00EF1693">
        <w:t>he</w:t>
      </w:r>
      <w:r w:rsidR="00533733">
        <w:t xml:space="preserve"> distribution</w:t>
      </w:r>
      <w:r w:rsidR="00EF1693">
        <w:t xml:space="preserve"> of IPI scores in this study </w:t>
      </w:r>
      <w:r w:rsidR="00533733">
        <w:t>was</w:t>
      </w:r>
      <w:r w:rsidR="00210ABB">
        <w:t xml:space="preserve"> similar to</w:t>
      </w:r>
      <w:r w:rsidR="00533733">
        <w:t>,</w:t>
      </w:r>
      <w:r w:rsidR="00210ABB">
        <w:t xml:space="preserve"> </w:t>
      </w:r>
      <w:r w:rsidR="00DA359B">
        <w:t xml:space="preserve">or </w:t>
      </w:r>
      <w:r w:rsidR="00DA359B">
        <w:lastRenderedPageBreak/>
        <w:t>worse</w:t>
      </w:r>
      <w:r w:rsidR="00533733">
        <w:t>,</w:t>
      </w:r>
      <w:r w:rsidR="00DA359B">
        <w:t xml:space="preserve"> than </w:t>
      </w:r>
      <w:r w:rsidR="00210ABB">
        <w:t>recent trial</w:t>
      </w:r>
      <w:r w:rsidR="004C6190">
        <w:t>s</w:t>
      </w:r>
      <w:r w:rsidR="00082D61" w:rsidRPr="009C0CA5">
        <w:rPr>
          <w:vertAlign w:val="superscript"/>
        </w:rPr>
        <w:t>1,1</w:t>
      </w:r>
      <w:r w:rsidR="00200F0C" w:rsidRPr="00200F0C">
        <w:rPr>
          <w:vertAlign w:val="superscript"/>
        </w:rPr>
        <w:t>7</w:t>
      </w:r>
      <w:r w:rsidR="00210ABB">
        <w:t>, with 47%</w:t>
      </w:r>
      <w:r w:rsidR="00EA1FA7">
        <w:t xml:space="preserve"> cases</w:t>
      </w:r>
      <w:r w:rsidR="00210ABB">
        <w:t xml:space="preserve"> high-intermediate or high risk. </w:t>
      </w:r>
      <w:r>
        <w:t xml:space="preserve"> </w:t>
      </w:r>
      <w:r w:rsidR="005B0A68">
        <w:t xml:space="preserve">Despite this, the exclusion of patients with performance status of 3 or above may have removed a cohort with the most adverse biology. </w:t>
      </w:r>
      <w:r>
        <w:t xml:space="preserve"> </w:t>
      </w:r>
      <w:r w:rsidR="00B244E2">
        <w:t xml:space="preserve"> It was not possible to perform central histopathology review on the cases entered</w:t>
      </w:r>
      <w:r w:rsidR="00501948">
        <w:t xml:space="preserve"> and the presence of Epstein-Barr virus (EBV) in the biopsy material was not routinely examined</w:t>
      </w:r>
      <w:r w:rsidR="00D76C9B">
        <w:t>,</w:t>
      </w:r>
      <w:r w:rsidR="00B244E2">
        <w:t xml:space="preserve"> but all were diagnosed by expert haematopathologists, a procedure with a high accuracy for DLBCL: over 96% in a recent series from the UK</w:t>
      </w:r>
      <w:r w:rsidR="00082D61" w:rsidRPr="009C0CA5">
        <w:rPr>
          <w:vertAlign w:val="superscript"/>
        </w:rPr>
        <w:t>2</w:t>
      </w:r>
      <w:r w:rsidR="00200F0C" w:rsidRPr="00200F0C">
        <w:rPr>
          <w:vertAlign w:val="superscript"/>
        </w:rPr>
        <w:t>4</w:t>
      </w:r>
      <w:r w:rsidR="00501948">
        <w:t xml:space="preserve">, and EBV is present in </w:t>
      </w:r>
      <w:r w:rsidR="00D76C9B">
        <w:t>less than 3% of DLBCL in Europe, making it unlikely that this would have affected the results</w:t>
      </w:r>
      <w:r w:rsidR="00B244E2">
        <w:t xml:space="preserve">.  </w:t>
      </w:r>
      <w:r>
        <w:t>The dose of bortezomib was chosen to reflect that used in other combination studies but could be regarded as lower than optimum, owing to the risk of additive neurotoxicity.</w:t>
      </w:r>
      <w:r w:rsidR="00A25652">
        <w:t xml:space="preserve">  T</w:t>
      </w:r>
      <w:r>
        <w:t xml:space="preserve">here was </w:t>
      </w:r>
      <w:r w:rsidR="00EA1FA7">
        <w:t xml:space="preserve">also </w:t>
      </w:r>
      <w:r>
        <w:t>a slight excess of vincristine dose redu</w:t>
      </w:r>
      <w:r w:rsidR="00AB7565">
        <w:t>c</w:t>
      </w:r>
      <w:r>
        <w:t xml:space="preserve">tions in the RB-CHOP arm, which could potentially have eroded a positive effect </w:t>
      </w:r>
      <w:r w:rsidR="00A25652">
        <w:t xml:space="preserve">from the bortezomib.  </w:t>
      </w:r>
      <w:r w:rsidR="00EA1FA7">
        <w:t>The use of routine FFPE biopsy material was necessitated by the large number of recruiting centers, but resulted in a failure rate of 15% for molecular typing, and may have resulted in a larger than expected number of unclassified cases where poor quality RNA resulted in a low probability score in the COO classifier.</w:t>
      </w:r>
    </w:p>
    <w:p w14:paraId="0480D317" w14:textId="1DC10A93" w:rsidR="002B6404" w:rsidRDefault="00CA07A5" w:rsidP="00324F29">
      <w:pPr>
        <w:spacing w:before="120"/>
        <w:jc w:val="both"/>
      </w:pPr>
      <w:r w:rsidRPr="00692206">
        <w:t xml:space="preserve">In conclusion, this trial has demonstrated that complex molecular characterisation can be performed in real time, with a pragmatic treatment schedule that allows for </w:t>
      </w:r>
      <w:r w:rsidR="00C1365F" w:rsidRPr="00692206">
        <w:t xml:space="preserve">the </w:t>
      </w:r>
      <w:r w:rsidRPr="00692206">
        <w:t xml:space="preserve">allocation of therapy based upon the molecular sub-type.  </w:t>
      </w:r>
      <w:r w:rsidR="0007515F" w:rsidRPr="00692206">
        <w:t xml:space="preserve">This is likely to become increasingly relevant as our understanding of the </w:t>
      </w:r>
      <w:r w:rsidR="00C1365F" w:rsidRPr="00692206">
        <w:t>phenotypic diversity of DLBCL expands to encompass not only COO, but other biologically distinct categories based upon genomic alterations as well</w:t>
      </w:r>
      <w:r w:rsidR="00200F0C" w:rsidRPr="00200F0C">
        <w:rPr>
          <w:vertAlign w:val="superscript"/>
        </w:rPr>
        <w:t>15,2</w:t>
      </w:r>
      <w:r w:rsidR="00200F0C">
        <w:rPr>
          <w:vertAlign w:val="superscript"/>
        </w:rPr>
        <w:t>5</w:t>
      </w:r>
      <w:r w:rsidR="006A3C50" w:rsidRPr="009C0CA5">
        <w:rPr>
          <w:vertAlign w:val="superscript"/>
        </w:rPr>
        <w:t>,2</w:t>
      </w:r>
      <w:r w:rsidR="00200F0C" w:rsidRPr="00200F0C">
        <w:rPr>
          <w:vertAlign w:val="superscript"/>
        </w:rPr>
        <w:t>6</w:t>
      </w:r>
      <w:r w:rsidR="00C1365F" w:rsidRPr="00692206">
        <w:t xml:space="preserve">.  Future trials using such methods will be important to explore the mechanisms </w:t>
      </w:r>
      <w:r w:rsidR="00D35622" w:rsidRPr="00692206">
        <w:t xml:space="preserve">of action </w:t>
      </w:r>
      <w:r w:rsidR="00C1365F" w:rsidRPr="00692206">
        <w:t xml:space="preserve">of investigational agents and to </w:t>
      </w:r>
      <w:r w:rsidR="00D35622" w:rsidRPr="00692206">
        <w:t>re-</w:t>
      </w:r>
      <w:r w:rsidR="00C1365F" w:rsidRPr="00692206">
        <w:t xml:space="preserve">define the groups in which they </w:t>
      </w:r>
      <w:r w:rsidR="003A4487">
        <w:t>are most likely to be effective, with the poor prognosis double hit lymphomas representing a potential opportunity for such an approach.</w:t>
      </w:r>
    </w:p>
    <w:p w14:paraId="2F18C1F2" w14:textId="77777777" w:rsidR="0081722E" w:rsidRDefault="0081722E" w:rsidP="00367E84">
      <w:pPr>
        <w:spacing w:before="120"/>
        <w:rPr>
          <w:b/>
        </w:rPr>
      </w:pPr>
    </w:p>
    <w:p w14:paraId="6DDBD225" w14:textId="77777777" w:rsidR="00324F29" w:rsidRDefault="00324F29">
      <w:pPr>
        <w:rPr>
          <w:b/>
        </w:rPr>
      </w:pPr>
      <w:r>
        <w:rPr>
          <w:b/>
        </w:rPr>
        <w:br w:type="page"/>
      </w:r>
    </w:p>
    <w:p w14:paraId="296110E3" w14:textId="79668A7D" w:rsidR="00845E79" w:rsidRDefault="00845E79" w:rsidP="0030644C">
      <w:pPr>
        <w:spacing w:before="120"/>
        <w:ind w:left="567"/>
        <w:outlineLvl w:val="0"/>
        <w:rPr>
          <w:b/>
        </w:rPr>
      </w:pPr>
      <w:r>
        <w:rPr>
          <w:b/>
        </w:rPr>
        <w:lastRenderedPageBreak/>
        <w:t>Research in context panel:</w:t>
      </w:r>
    </w:p>
    <w:p w14:paraId="1FC1DC22" w14:textId="4B2A065D" w:rsidR="00A06B2A" w:rsidRDefault="00A06B2A" w:rsidP="0030644C">
      <w:pPr>
        <w:spacing w:before="120"/>
        <w:ind w:left="567"/>
        <w:outlineLvl w:val="0"/>
        <w:rPr>
          <w:b/>
        </w:rPr>
      </w:pPr>
      <w:r w:rsidRPr="00043C89">
        <w:rPr>
          <w:b/>
        </w:rPr>
        <w:t>Evidence before this study.</w:t>
      </w:r>
    </w:p>
    <w:p w14:paraId="0BD1A35E" w14:textId="77777777" w:rsidR="00845E79" w:rsidRDefault="00845E79" w:rsidP="00324F29">
      <w:pPr>
        <w:spacing w:before="120"/>
        <w:ind w:left="567"/>
      </w:pPr>
      <w:r>
        <w:t>We searched PubMed from January 1998 until March 2014 for publications in English for reported randomised clinical trials with the terms “diffuse large B-cell lymphoma” and “cell of origin”, and studies involving “diffuse-large B-cell lymphoma” and “bortezomib”.</w:t>
      </w:r>
    </w:p>
    <w:p w14:paraId="192F9A15" w14:textId="759695E6" w:rsidR="00845E79" w:rsidRDefault="00845E79" w:rsidP="00324F29">
      <w:pPr>
        <w:spacing w:before="120"/>
        <w:ind w:left="567"/>
      </w:pPr>
      <w:r>
        <w:t>Using gene expression profiling to characterise patients, ABC subtype had inferior survival compared with the GCB subtype in several retrospective patient cohorts treated with R-CHOP or CHOP-like regimen</w:t>
      </w:r>
      <w:r w:rsidR="00ED291B">
        <w:t>s</w:t>
      </w:r>
      <w:r>
        <w:t xml:space="preserve">. </w:t>
      </w:r>
      <w:r w:rsidR="0050044A">
        <w:t xml:space="preserve"> </w:t>
      </w:r>
      <w:r>
        <w:t>Bortezomib had limited single-agent activity in DLBCL but had been successfully combined with standard chemotherapy regimens. Bortezomib in combination with dose-adjusted R-EPOCH (rituximab, etoposide, cyclophosphamide, doxorubicin, vincristine, and prednisolone) resulted in higher progression free survival in the ABC than the GCB subtype. Bortezomib in combination with R-CHOP produced similar outcomes in non-GCB DLBCL (ascertained by immunohistochemistry) compared with GCB DLBCL.</w:t>
      </w:r>
    </w:p>
    <w:p w14:paraId="5236D585" w14:textId="77777777" w:rsidR="00845E79" w:rsidRDefault="00845E79" w:rsidP="0030644C">
      <w:pPr>
        <w:spacing w:before="120"/>
        <w:ind w:left="567"/>
        <w:outlineLvl w:val="0"/>
        <w:rPr>
          <w:b/>
        </w:rPr>
      </w:pPr>
      <w:r w:rsidRPr="00436C73">
        <w:rPr>
          <w:b/>
        </w:rPr>
        <w:t>Added value of the study.</w:t>
      </w:r>
    </w:p>
    <w:p w14:paraId="1CAA2A82" w14:textId="3C2F4087" w:rsidR="00845E79" w:rsidRDefault="00845E79" w:rsidP="00324F29">
      <w:pPr>
        <w:spacing w:before="120"/>
        <w:ind w:left="567"/>
      </w:pPr>
      <w:r>
        <w:t>T</w:t>
      </w:r>
      <w:r w:rsidR="005E53FF">
        <w:t>o our knowledge, t</w:t>
      </w:r>
      <w:r>
        <w:t xml:space="preserve">he study is the first to </w:t>
      </w:r>
      <w:r w:rsidR="00394F24">
        <w:t xml:space="preserve">combine </w:t>
      </w:r>
      <w:r>
        <w:t>prospective gene expression profil</w:t>
      </w:r>
      <w:r w:rsidR="00394F24">
        <w:t>ing of lymphoma with a targeted therapy to</w:t>
      </w:r>
      <w:r>
        <w:t xml:space="preserve"> allow stratification and randomisation within a phase 3 clinical trial. </w:t>
      </w:r>
      <w:r w:rsidR="00394F24">
        <w:t xml:space="preserve"> </w:t>
      </w:r>
      <w:r>
        <w:t xml:space="preserve">It is the first study to assess a novel agent in DLBCL prospectively powered to </w:t>
      </w:r>
      <w:r w:rsidR="00394F24">
        <w:t>address</w:t>
      </w:r>
      <w:r>
        <w:t xml:space="preserve"> subtypes defined by gene expression profiling</w:t>
      </w:r>
      <w:r w:rsidR="00394F24">
        <w:t>,</w:t>
      </w:r>
      <w:r>
        <w:t xml:space="preserve"> and </w:t>
      </w:r>
      <w:r w:rsidR="00394F24">
        <w:t>demonstrates</w:t>
      </w:r>
      <w:r>
        <w:t xml:space="preserve"> that the addition of bortezomib to R-CHOP does not improve survival</w:t>
      </w:r>
      <w:r w:rsidR="00394F24">
        <w:t xml:space="preserve"> as expected in the ABC subgroup</w:t>
      </w:r>
      <w:r>
        <w:t>.</w:t>
      </w:r>
      <w:r w:rsidR="00394F24">
        <w:t xml:space="preserve"> </w:t>
      </w:r>
      <w:r>
        <w:t xml:space="preserve"> Extensive characterisation and subgroup analyses suggest that COO subtype and NF-</w:t>
      </w:r>
      <w:r>
        <w:rPr>
          <w:rFonts w:cstheme="minorHAnsi"/>
        </w:rPr>
        <w:t>κ</w:t>
      </w:r>
      <w:r>
        <w:t>B activating mutations do not associate with improved outcomes with RB-CHOP</w:t>
      </w:r>
      <w:r w:rsidR="00394F24">
        <w:t>,</w:t>
      </w:r>
      <w:r>
        <w:t xml:space="preserve"> and </w:t>
      </w:r>
      <w:r w:rsidR="00864F4C">
        <w:t xml:space="preserve">that </w:t>
      </w:r>
      <w:r>
        <w:t xml:space="preserve">bortezomib </w:t>
      </w:r>
      <w:r w:rsidR="00864F4C">
        <w:t>does not act</w:t>
      </w:r>
      <w:r w:rsidR="00394F24">
        <w:t xml:space="preserve"> as an effective</w:t>
      </w:r>
      <w:r>
        <w:t xml:space="preserve"> inhibitor of the </w:t>
      </w:r>
      <w:r w:rsidR="00394F24">
        <w:t>NF-</w:t>
      </w:r>
      <w:r w:rsidR="00394F24">
        <w:rPr>
          <w:rFonts w:cstheme="minorHAnsi"/>
        </w:rPr>
        <w:t>κ</w:t>
      </w:r>
      <w:r w:rsidR="00394F24">
        <w:t xml:space="preserve">B </w:t>
      </w:r>
      <w:r>
        <w:t>pathway in this disease</w:t>
      </w:r>
      <w:r w:rsidR="00394F24">
        <w:t>.</w:t>
      </w:r>
      <w:r>
        <w:t xml:space="preserve"> Exploratory analyses </w:t>
      </w:r>
      <w:r w:rsidR="00394F24">
        <w:t>howev</w:t>
      </w:r>
      <w:r>
        <w:t xml:space="preserve">er suggest that </w:t>
      </w:r>
      <w:r w:rsidR="00394F24">
        <w:t xml:space="preserve">different </w:t>
      </w:r>
      <w:r>
        <w:t xml:space="preserve">high-risk subgroups, DEL and DHL, may benefit from the addition of bortezomib </w:t>
      </w:r>
      <w:r w:rsidR="00864F4C">
        <w:t xml:space="preserve">or similar agents </w:t>
      </w:r>
      <w:r>
        <w:t xml:space="preserve">to </w:t>
      </w:r>
      <w:r w:rsidR="00864F4C">
        <w:t xml:space="preserve">standard </w:t>
      </w:r>
      <w:r>
        <w:t>immunochemotherapy.</w:t>
      </w:r>
    </w:p>
    <w:p w14:paraId="472D72E0" w14:textId="77777777" w:rsidR="00845E79" w:rsidRPr="00436C73" w:rsidRDefault="00845E79" w:rsidP="0030644C">
      <w:pPr>
        <w:spacing w:before="120"/>
        <w:ind w:left="567"/>
        <w:outlineLvl w:val="0"/>
        <w:rPr>
          <w:b/>
        </w:rPr>
      </w:pPr>
      <w:r w:rsidRPr="00436C73">
        <w:rPr>
          <w:b/>
        </w:rPr>
        <w:t>Implications of all the available evidence.</w:t>
      </w:r>
    </w:p>
    <w:p w14:paraId="359CD750" w14:textId="5E5230A3" w:rsidR="00845E79" w:rsidRPr="0033164D" w:rsidRDefault="00845E79" w:rsidP="00324F29">
      <w:pPr>
        <w:spacing w:before="120"/>
        <w:ind w:left="567"/>
      </w:pPr>
      <w:r>
        <w:t xml:space="preserve">The trial design provides a rational framework for future studies in DLBCL, allowing prompt </w:t>
      </w:r>
      <w:r w:rsidR="00864F4C">
        <w:t>initiation</w:t>
      </w:r>
      <w:r>
        <w:t xml:space="preserve"> of treatment whil</w:t>
      </w:r>
      <w:r w:rsidR="00864F4C">
        <w:t>e</w:t>
      </w:r>
      <w:r>
        <w:t xml:space="preserve"> </w:t>
      </w:r>
      <w:r w:rsidR="00864F4C">
        <w:t xml:space="preserve">molecular </w:t>
      </w:r>
      <w:r>
        <w:t xml:space="preserve">characterisation </w:t>
      </w:r>
      <w:r w:rsidR="00864F4C">
        <w:t>is carried out</w:t>
      </w:r>
      <w:r>
        <w:t xml:space="preserve">. </w:t>
      </w:r>
      <w:r w:rsidR="00864F4C">
        <w:t xml:space="preserve"> </w:t>
      </w:r>
      <w:r>
        <w:t xml:space="preserve">The study confirms R-CHOP as </w:t>
      </w:r>
      <w:r w:rsidR="00864F4C">
        <w:t xml:space="preserve">the </w:t>
      </w:r>
      <w:r>
        <w:t xml:space="preserve">standard of care for most patients with DLBCL, </w:t>
      </w:r>
      <w:r w:rsidR="00864F4C">
        <w:t>but</w:t>
      </w:r>
      <w:r>
        <w:t xml:space="preserve"> raises the possibility that high-risk subgroups could benefit from the addition of a proteasome inhibitor to </w:t>
      </w:r>
      <w:r w:rsidR="00864F4C">
        <w:t>standard therapy,</w:t>
      </w:r>
      <w:r>
        <w:t xml:space="preserve"> which may guide future research. </w:t>
      </w:r>
    </w:p>
    <w:p w14:paraId="5F71E7FB" w14:textId="77777777" w:rsidR="00016900" w:rsidRDefault="00016900" w:rsidP="00324F29">
      <w:pPr>
        <w:spacing w:before="120"/>
        <w:ind w:left="567"/>
        <w:rPr>
          <w:b/>
        </w:rPr>
      </w:pPr>
    </w:p>
    <w:p w14:paraId="5498F1BB" w14:textId="0C8004AA" w:rsidR="004B766F" w:rsidRPr="00324F29" w:rsidRDefault="004B766F" w:rsidP="0030644C">
      <w:pPr>
        <w:spacing w:before="120"/>
        <w:ind w:left="567"/>
        <w:outlineLvl w:val="0"/>
        <w:rPr>
          <w:b/>
        </w:rPr>
      </w:pPr>
      <w:r w:rsidRPr="00324F29">
        <w:rPr>
          <w:b/>
        </w:rPr>
        <w:t xml:space="preserve">Data sharing </w:t>
      </w:r>
      <w:r w:rsidR="00C65B01" w:rsidRPr="00324F29">
        <w:rPr>
          <w:b/>
        </w:rPr>
        <w:t>statement</w:t>
      </w:r>
    </w:p>
    <w:p w14:paraId="56BCAD03" w14:textId="5367AECF" w:rsidR="007857AD" w:rsidRPr="007857AD" w:rsidRDefault="007857AD" w:rsidP="007857AD">
      <w:pPr>
        <w:spacing w:after="0" w:line="240" w:lineRule="auto"/>
        <w:ind w:left="567"/>
        <w:rPr>
          <w:rFonts w:ascii="Calibri" w:hAnsi="Calibri" w:cs="Times New Roman"/>
          <w:color w:val="000000" w:themeColor="text1"/>
          <w:lang w:val="en-US" w:eastAsia="en-US"/>
        </w:rPr>
      </w:pPr>
      <w:r w:rsidRPr="007857AD">
        <w:rPr>
          <w:rFonts w:ascii="Calibri" w:hAnsi="Calibri" w:cs="Times New Roman"/>
          <w:color w:val="000000" w:themeColor="text1"/>
          <w:lang w:val="en-US" w:eastAsia="en-US"/>
        </w:rPr>
        <w:t>Individual participant data will be made available, including data dictionaries, for approved data sharing requests.  Individual participant data will be shared that underlie the results reported in this article, after de-identification and normalisation of information (text, tables, figures, and appendices). The study protocol</w:t>
      </w:r>
      <w:r w:rsidR="00EE5C12" w:rsidRPr="007857AD">
        <w:rPr>
          <w:rFonts w:ascii="Calibri" w:hAnsi="Calibri" w:cs="Times New Roman"/>
          <w:color w:val="000000" w:themeColor="text1"/>
          <w:lang w:val="en-US" w:eastAsia="en-US"/>
        </w:rPr>
        <w:t xml:space="preserve"> </w:t>
      </w:r>
      <w:r w:rsidR="00EE5C12">
        <w:rPr>
          <w:rFonts w:ascii="Calibri" w:hAnsi="Calibri" w:cs="Times New Roman"/>
          <w:color w:val="000000" w:themeColor="text1"/>
          <w:lang w:val="en-US" w:eastAsia="en-US"/>
        </w:rPr>
        <w:t>is available in the appendix (appendix pp</w:t>
      </w:r>
      <w:r w:rsidR="006E4C31">
        <w:rPr>
          <w:rFonts w:ascii="Calibri" w:hAnsi="Calibri" w:cs="Times New Roman"/>
          <w:color w:val="000000" w:themeColor="text1"/>
          <w:lang w:val="en-US" w:eastAsia="en-US"/>
        </w:rPr>
        <w:t>15</w:t>
      </w:r>
      <w:r w:rsidR="00EE5C12">
        <w:rPr>
          <w:rFonts w:ascii="Calibri" w:hAnsi="Calibri" w:cs="Times New Roman"/>
          <w:color w:val="000000" w:themeColor="text1"/>
          <w:lang w:val="en-US" w:eastAsia="en-US"/>
        </w:rPr>
        <w:t>-</w:t>
      </w:r>
      <w:r w:rsidR="006E4C31">
        <w:rPr>
          <w:rFonts w:ascii="Calibri" w:hAnsi="Calibri" w:cs="Times New Roman"/>
          <w:color w:val="000000" w:themeColor="text1"/>
          <w:lang w:val="en-US" w:eastAsia="en-US"/>
        </w:rPr>
        <w:t>90</w:t>
      </w:r>
      <w:r w:rsidR="00EE5C12">
        <w:rPr>
          <w:rFonts w:ascii="Calibri" w:hAnsi="Calibri" w:cs="Times New Roman"/>
          <w:color w:val="000000" w:themeColor="text1"/>
          <w:lang w:val="en-US" w:eastAsia="en-US"/>
        </w:rPr>
        <w:t xml:space="preserve">) </w:t>
      </w:r>
      <w:r w:rsidR="00EE5C12" w:rsidRPr="007857AD">
        <w:rPr>
          <w:rFonts w:ascii="Calibri" w:hAnsi="Calibri" w:cs="Times New Roman"/>
          <w:color w:val="000000" w:themeColor="text1"/>
          <w:lang w:val="en-US" w:eastAsia="en-US"/>
        </w:rPr>
        <w:t>and statistical analysis plan will also be available</w:t>
      </w:r>
      <w:r w:rsidR="00EE5C12">
        <w:rPr>
          <w:rFonts w:ascii="Calibri" w:hAnsi="Calibri" w:cs="Times New Roman"/>
          <w:color w:val="000000" w:themeColor="text1"/>
          <w:lang w:val="en-US" w:eastAsia="en-US"/>
        </w:rPr>
        <w:t xml:space="preserve"> upon request</w:t>
      </w:r>
      <w:r w:rsidR="00EE5C12" w:rsidRPr="007857AD" w:rsidDel="00EE5C12">
        <w:rPr>
          <w:rFonts w:ascii="Calibri" w:hAnsi="Calibri" w:cs="Times New Roman"/>
          <w:color w:val="000000" w:themeColor="text1"/>
          <w:lang w:val="en-US" w:eastAsia="en-US"/>
        </w:rPr>
        <w:t xml:space="preserve"> </w:t>
      </w:r>
      <w:r w:rsidRPr="007857AD">
        <w:rPr>
          <w:rFonts w:ascii="Calibri" w:hAnsi="Calibri" w:cs="Times New Roman"/>
          <w:color w:val="000000" w:themeColor="text1"/>
          <w:lang w:val="en-US" w:eastAsia="en-US"/>
        </w:rPr>
        <w:t xml:space="preserve">.  Anonymised data will be available beginning 3 months after and ending 5 years following publication of the article, to researchers who provide a completed Data Sharing Agreement that describes a </w:t>
      </w:r>
      <w:r w:rsidRPr="007857AD">
        <w:rPr>
          <w:rFonts w:ascii="Calibri" w:hAnsi="Calibri" w:cs="Times New Roman"/>
          <w:color w:val="000000" w:themeColor="text1"/>
          <w:lang w:val="en-US" w:eastAsia="en-US"/>
        </w:rPr>
        <w:lastRenderedPageBreak/>
        <w:t xml:space="preserve">methodologically sound proposal, for the purpose of the approved proposal. Proposals should be directed to </w:t>
      </w:r>
      <w:hyperlink r:id="rId8" w:history="1">
        <w:r w:rsidRPr="007857AD">
          <w:rPr>
            <w:rFonts w:ascii="Calibri" w:hAnsi="Calibri" w:cs="Times New Roman"/>
            <w:color w:val="000000" w:themeColor="text1"/>
            <w:u w:val="single"/>
            <w:lang w:val="en-US" w:eastAsia="en-US"/>
          </w:rPr>
          <w:t>ctu@soton.ac.uk</w:t>
        </w:r>
      </w:hyperlink>
      <w:r w:rsidRPr="007857AD">
        <w:rPr>
          <w:rFonts w:ascii="Calibri" w:hAnsi="Calibri" w:cs="Times New Roman"/>
          <w:color w:val="000000" w:themeColor="text1"/>
          <w:lang w:val="en-US" w:eastAsia="en-US"/>
        </w:rPr>
        <w:t>. Data will be shared once all relevant parties approve and sign the Data Sharing Agreement. Data sharing requests are available for 5 years via the Southampton CTU website.</w:t>
      </w:r>
    </w:p>
    <w:p w14:paraId="263F9253" w14:textId="07011CB8" w:rsidR="00C65B01" w:rsidRPr="00324F29" w:rsidRDefault="00C65B01" w:rsidP="00324F29">
      <w:pPr>
        <w:spacing w:before="120"/>
        <w:ind w:left="567"/>
      </w:pPr>
    </w:p>
    <w:p w14:paraId="5CFCED08" w14:textId="77777777" w:rsidR="00845E79" w:rsidRDefault="00845E79" w:rsidP="0030644C">
      <w:pPr>
        <w:spacing w:before="120"/>
        <w:ind w:left="567"/>
        <w:outlineLvl w:val="0"/>
        <w:rPr>
          <w:b/>
        </w:rPr>
      </w:pPr>
      <w:r>
        <w:rPr>
          <w:b/>
        </w:rPr>
        <w:t>Contributors</w:t>
      </w:r>
    </w:p>
    <w:p w14:paraId="72284689" w14:textId="53F64467" w:rsidR="00A06B2A" w:rsidRPr="001237E2" w:rsidRDefault="00A06B2A" w:rsidP="00324F29">
      <w:pPr>
        <w:spacing w:before="120"/>
        <w:ind w:left="567"/>
        <w:jc w:val="both"/>
      </w:pPr>
      <w:r>
        <w:t>PJ and AD designed the study, had oversight and contributed to data interpretation, writing and approval of the report. TC and GG contributed to data analysis, interpretation, writing of the report and oversaw work at the Southampton Clinical Trials Unit.  SB undertook the molecular, histological and cytogenetic analysis, and contributed to writing of the report. TM and LS contributed to designing the study, central statistical data monitoring, the writing and development of the statistical ana</w:t>
      </w:r>
      <w:r w:rsidR="005E53FF">
        <w:t>l</w:t>
      </w:r>
      <w:r>
        <w:t>y</w:t>
      </w:r>
      <w:r w:rsidR="005E53FF">
        <w:t>s</w:t>
      </w:r>
      <w:r>
        <w:t>is plan and wri</w:t>
      </w:r>
      <w:r w:rsidR="005E53FF">
        <w:t>ti</w:t>
      </w:r>
      <w:r>
        <w:t>ng of the report.  TM also carried out the main clinical statiscal analyses and production of the correspoinding figures and tables of the report.  CS, DW, MC and RT performed bioinformatic analysis and data interpretation. DW, RT and MC also contributed to design, implementation and testing of the COO classifier. CB and RT performed histological analysis and approved the report. FC, A</w:t>
      </w:r>
      <w:r w:rsidR="00703931">
        <w:t>C</w:t>
      </w:r>
      <w:r>
        <w:t xml:space="preserve"> and MD performed mutational analysis, data interpretation and contributed to writing of the report. JC managed the trial and contributed to writing of the report.  SKS was involved in project management and approval of the report.   </w:t>
      </w:r>
      <w:r w:rsidR="00703931">
        <w:t xml:space="preserve">RS contributed to trial design and oversight.  </w:t>
      </w:r>
      <w:r>
        <w:t>AM, PF, GC and CP gathered and interpreted the data. All authors have reviewed and approved the final version of the report.</w:t>
      </w:r>
    </w:p>
    <w:p w14:paraId="1B9E5A64" w14:textId="77777777" w:rsidR="00360C67" w:rsidRDefault="00360C67" w:rsidP="00324F29">
      <w:pPr>
        <w:spacing w:before="120"/>
        <w:ind w:left="567"/>
        <w:rPr>
          <w:b/>
        </w:rPr>
      </w:pPr>
    </w:p>
    <w:p w14:paraId="157E235B" w14:textId="77777777" w:rsidR="00845E79" w:rsidRDefault="00845E79" w:rsidP="0030644C">
      <w:pPr>
        <w:spacing w:before="120"/>
        <w:ind w:left="567"/>
        <w:outlineLvl w:val="0"/>
        <w:rPr>
          <w:b/>
        </w:rPr>
      </w:pPr>
      <w:r>
        <w:rPr>
          <w:b/>
        </w:rPr>
        <w:t>Declaration of interests</w:t>
      </w:r>
    </w:p>
    <w:p w14:paraId="37E10D82" w14:textId="3C832515" w:rsidR="00571FE9" w:rsidRPr="009C0CA5" w:rsidRDefault="00073AB1" w:rsidP="009C0CA5">
      <w:pPr>
        <w:pStyle w:val="p1"/>
        <w:ind w:left="567"/>
        <w:jc w:val="both"/>
        <w:rPr>
          <w:rFonts w:asciiTheme="minorHAnsi" w:hAnsiTheme="minorHAnsi" w:cs="Times New Roman"/>
          <w:sz w:val="22"/>
          <w:szCs w:val="22"/>
        </w:rPr>
      </w:pPr>
      <w:r w:rsidRPr="009C0CA5">
        <w:rPr>
          <w:rFonts w:asciiTheme="minorHAnsi" w:hAnsiTheme="minorHAnsi"/>
          <w:sz w:val="22"/>
          <w:szCs w:val="22"/>
        </w:rPr>
        <w:t xml:space="preserve">AD </w:t>
      </w:r>
      <w:r w:rsidR="003E5F90" w:rsidRPr="009C0CA5">
        <w:rPr>
          <w:rFonts w:asciiTheme="minorHAnsi" w:hAnsiTheme="minorHAnsi"/>
          <w:sz w:val="22"/>
          <w:szCs w:val="22"/>
        </w:rPr>
        <w:t>r</w:t>
      </w:r>
      <w:r w:rsidR="003E5F90" w:rsidRPr="009C0CA5">
        <w:rPr>
          <w:rFonts w:asciiTheme="minorHAnsi" w:hAnsiTheme="minorHAnsi" w:cs="Times New Roman"/>
          <w:sz w:val="22"/>
          <w:szCs w:val="22"/>
          <w:u w:val="single"/>
        </w:rPr>
        <w:t>eports grants and personal fees from Janssen,  Bayer, ADC therapeutics. Roche, Celgene, Acerta, Gilead, and personal fees from Kite and Morphosys.</w:t>
      </w:r>
      <w:r w:rsidR="003E5F90" w:rsidRPr="009C0CA5">
        <w:rPr>
          <w:rFonts w:asciiTheme="minorHAnsi" w:hAnsiTheme="minorHAnsi" w:cs="Times New Roman"/>
          <w:sz w:val="22"/>
          <w:szCs w:val="22"/>
        </w:rPr>
        <w:t xml:space="preserve">  </w:t>
      </w:r>
      <w:r w:rsidRPr="009C0CA5">
        <w:rPr>
          <w:rFonts w:asciiTheme="minorHAnsi" w:hAnsiTheme="minorHAnsi"/>
          <w:sz w:val="22"/>
          <w:szCs w:val="22"/>
        </w:rPr>
        <w:t xml:space="preserve">TC </w:t>
      </w:r>
      <w:r w:rsidR="004A35DB" w:rsidRPr="009C0CA5">
        <w:rPr>
          <w:rFonts w:asciiTheme="minorHAnsi" w:hAnsiTheme="minorHAnsi"/>
          <w:sz w:val="22"/>
          <w:szCs w:val="22"/>
        </w:rPr>
        <w:t>reports</w:t>
      </w:r>
      <w:r w:rsidRPr="009C0CA5">
        <w:rPr>
          <w:rFonts w:asciiTheme="minorHAnsi" w:hAnsiTheme="minorHAnsi"/>
          <w:sz w:val="22"/>
          <w:szCs w:val="22"/>
        </w:rPr>
        <w:t xml:space="preserve"> travel support from Janssen.</w:t>
      </w:r>
      <w:r w:rsidR="00571FE9" w:rsidRPr="009C0CA5">
        <w:rPr>
          <w:rFonts w:asciiTheme="minorHAnsi" w:hAnsiTheme="minorHAnsi"/>
          <w:sz w:val="22"/>
          <w:szCs w:val="22"/>
        </w:rPr>
        <w:t xml:space="preserve"> RT</w:t>
      </w:r>
      <w:r w:rsidR="00571FE9" w:rsidRPr="009C0CA5">
        <w:rPr>
          <w:rStyle w:val="s1"/>
          <w:rFonts w:asciiTheme="minorHAnsi" w:hAnsiTheme="minorHAnsi"/>
          <w:sz w:val="22"/>
          <w:szCs w:val="22"/>
        </w:rPr>
        <w:t xml:space="preserve"> </w:t>
      </w:r>
      <w:r w:rsidR="003E5F90" w:rsidRPr="009C0CA5">
        <w:rPr>
          <w:rFonts w:asciiTheme="minorHAnsi" w:hAnsiTheme="minorHAnsi" w:cs="Times New Roman"/>
          <w:sz w:val="22"/>
          <w:szCs w:val="22"/>
          <w:u w:val="single"/>
        </w:rPr>
        <w:t>reports</w:t>
      </w:r>
      <w:r w:rsidR="00571FE9" w:rsidRPr="009C0CA5">
        <w:rPr>
          <w:rFonts w:asciiTheme="minorHAnsi" w:hAnsiTheme="minorHAnsi" w:cs="Times New Roman"/>
          <w:sz w:val="22"/>
          <w:szCs w:val="22"/>
          <w:u w:val="single"/>
        </w:rPr>
        <w:t xml:space="preserve"> grants from UCB Pharma, SV Health Investors, and personal fees from Roche andCelgene; GG received a grant from Janssen; </w:t>
      </w:r>
      <w:r w:rsidR="002C3210" w:rsidRPr="009C0CA5">
        <w:rPr>
          <w:rFonts w:asciiTheme="minorHAnsi" w:hAnsiTheme="minorHAnsi" w:cs="Times New Roman"/>
          <w:sz w:val="22"/>
          <w:szCs w:val="22"/>
          <w:u w:val="single"/>
        </w:rPr>
        <w:t>GC r</w:t>
      </w:r>
      <w:r w:rsidR="002C3210" w:rsidRPr="009C0CA5">
        <w:rPr>
          <w:rStyle w:val="s1"/>
          <w:rFonts w:asciiTheme="minorHAnsi" w:hAnsiTheme="minorHAnsi"/>
          <w:sz w:val="22"/>
          <w:szCs w:val="22"/>
        </w:rPr>
        <w:t xml:space="preserve">eports grants from Celgene, Amgen, Pfizer and Celleron andpersonal fees from Takeda, Roche, Gilead, </w:t>
      </w:r>
      <w:r w:rsidR="002C3210" w:rsidRPr="009C0CA5">
        <w:rPr>
          <w:rFonts w:asciiTheme="minorHAnsi" w:hAnsiTheme="minorHAnsi" w:cs="Times New Roman"/>
          <w:sz w:val="22"/>
          <w:szCs w:val="22"/>
          <w:u w:val="single"/>
        </w:rPr>
        <w:t>Bristol-Myers Squibb</w:t>
      </w:r>
      <w:r w:rsidR="002C3210" w:rsidRPr="009C0CA5">
        <w:rPr>
          <w:rStyle w:val="s1"/>
          <w:rFonts w:asciiTheme="minorHAnsi" w:hAnsiTheme="minorHAnsi"/>
          <w:sz w:val="22"/>
          <w:szCs w:val="22"/>
        </w:rPr>
        <w:t xml:space="preserve"> and Merck Sharpe and Dohme; </w:t>
      </w:r>
      <w:r w:rsidR="00A40EC5" w:rsidRPr="009C0CA5">
        <w:rPr>
          <w:rStyle w:val="s1"/>
          <w:rFonts w:asciiTheme="minorHAnsi" w:hAnsiTheme="minorHAnsi"/>
          <w:sz w:val="22"/>
          <w:szCs w:val="22"/>
        </w:rPr>
        <w:t>AM r</w:t>
      </w:r>
      <w:r w:rsidR="00A40EC5" w:rsidRPr="009C0CA5">
        <w:rPr>
          <w:rFonts w:asciiTheme="minorHAnsi" w:hAnsiTheme="minorHAnsi" w:cs="Times New Roman"/>
          <w:sz w:val="22"/>
          <w:szCs w:val="22"/>
          <w:u w:val="single"/>
        </w:rPr>
        <w:t>eports personal fees from Roche, Celgene, Novartis, Bristol-Myers Squibb</w:t>
      </w:r>
      <w:r w:rsidR="00A40EC5" w:rsidRPr="009C0CA5">
        <w:rPr>
          <w:rStyle w:val="s1"/>
          <w:rFonts w:asciiTheme="minorHAnsi" w:hAnsiTheme="minorHAnsi"/>
          <w:sz w:val="22"/>
          <w:szCs w:val="22"/>
        </w:rPr>
        <w:t>, Merck Sharpe and Dohme</w:t>
      </w:r>
      <w:r w:rsidR="00A40EC5" w:rsidRPr="009C0CA5">
        <w:rPr>
          <w:rFonts w:asciiTheme="minorHAnsi" w:hAnsiTheme="minorHAnsi" w:cs="Times New Roman"/>
          <w:sz w:val="22"/>
          <w:szCs w:val="22"/>
          <w:u w:val="single"/>
        </w:rPr>
        <w:t>, Sandoz, Gilead, Janssen, Amgen, Takeda, and grants and personal fees from Pfizer.;</w:t>
      </w:r>
      <w:r w:rsidR="001E4513" w:rsidRPr="009C0CA5">
        <w:rPr>
          <w:rFonts w:asciiTheme="minorHAnsi" w:hAnsiTheme="minorHAnsi" w:cs="Times New Roman"/>
          <w:sz w:val="22"/>
          <w:szCs w:val="22"/>
          <w:u w:val="single"/>
        </w:rPr>
        <w:t xml:space="preserve"> </w:t>
      </w:r>
      <w:r w:rsidR="00571FE9" w:rsidRPr="009C0CA5">
        <w:rPr>
          <w:rFonts w:asciiTheme="minorHAnsi" w:hAnsiTheme="minorHAnsi" w:cs="Times New Roman"/>
          <w:sz w:val="22"/>
          <w:szCs w:val="22"/>
          <w:u w:val="single"/>
        </w:rPr>
        <w:t>PJ reports grants from Janssen, Bloodwise, and Epizyme,and  personal fees from Takeda, Bristol-Myers Squibb, Novartis, Celgene, Boeringher Ingelheim, Kite pharmaceuticals, Genmab and Incyte,  </w:t>
      </w:r>
    </w:p>
    <w:p w14:paraId="4EA9B6E2" w14:textId="77777777" w:rsidR="00324F29" w:rsidRPr="00073AB1" w:rsidRDefault="00324F29" w:rsidP="00324F29">
      <w:pPr>
        <w:spacing w:before="120"/>
        <w:ind w:left="567"/>
      </w:pPr>
    </w:p>
    <w:p w14:paraId="79B30E4D" w14:textId="77777777" w:rsidR="00845E79" w:rsidRPr="009D7E5D" w:rsidRDefault="00845E79" w:rsidP="0030644C">
      <w:pPr>
        <w:spacing w:before="120"/>
        <w:ind w:left="567"/>
        <w:outlineLvl w:val="0"/>
        <w:rPr>
          <w:b/>
        </w:rPr>
      </w:pPr>
      <w:r>
        <w:rPr>
          <w:b/>
        </w:rPr>
        <w:t>Acknowledgements</w:t>
      </w:r>
    </w:p>
    <w:p w14:paraId="255549F6" w14:textId="16ED9D74" w:rsidR="00DC386B" w:rsidRDefault="00DC386B" w:rsidP="00324F29">
      <w:pPr>
        <w:spacing w:before="120"/>
        <w:ind w:left="567"/>
        <w:jc w:val="both"/>
      </w:pPr>
      <w:r>
        <w:t xml:space="preserve">We are grateful to all the patients, clinicians, research staff and REMoDL-B research team who made this study possible. Cancer Research UK provided endorsement and core funding at the Southampton Clinical Trials Unit. Janssen provided funding, free drug, labelling and distribution. The Southampton Clinical Trials Unit undertook design and delivery of the trial. The National Health Service provided funding to the National Institute for Health Research Clinical Research Network.  </w:t>
      </w:r>
      <w:r w:rsidR="00284D1C">
        <w:rPr>
          <w:rFonts w:eastAsia="Times New Roman" w:cstheme="minorHAnsi"/>
          <w:bCs/>
          <w:color w:val="1C1D1E"/>
          <w:lang w:val="en" w:eastAsia="en-GB"/>
        </w:rPr>
        <w:t xml:space="preserve">The study was supported by the National Institute for Healthcare Research/Cancer Research UK Experimental Cancer Medicine Centres at Southampton, Oxford and Cambridge, </w:t>
      </w:r>
      <w:r w:rsidR="00284D1C">
        <w:rPr>
          <w:rFonts w:eastAsia="Times New Roman" w:cstheme="minorHAnsi"/>
          <w:bCs/>
          <w:color w:val="1C1D1E"/>
          <w:lang w:val="en" w:eastAsia="en-GB"/>
        </w:rPr>
        <w:lastRenderedPageBreak/>
        <w:t xml:space="preserve">UK. </w:t>
      </w:r>
      <w:r>
        <w:t xml:space="preserve">Bloodwise provided funding for the Precision Medicine </w:t>
      </w:r>
      <w:r w:rsidR="005E53FF">
        <w:t>for</w:t>
      </w:r>
      <w:r>
        <w:t xml:space="preserve"> Aggressive Lymphoma (PMAL) consortium that supported translational components of the study. The Haematological Malignancy Diagnostic Service performed real-time gene expression profiling. The Department of Pathology, University of Cambridge, performed mutation analyses.</w:t>
      </w:r>
      <w:r w:rsidR="00A856ED">
        <w:t xml:space="preserve"> </w:t>
      </w:r>
      <w:r>
        <w:t>University Hospital Southampton NHS Foundation Trust</w:t>
      </w:r>
      <w:r w:rsidR="00A856ED">
        <w:t xml:space="preserve"> was</w:t>
      </w:r>
      <w:r>
        <w:t xml:space="preserve"> academic sponsor for the trial.</w:t>
      </w:r>
    </w:p>
    <w:p w14:paraId="57881BC6" w14:textId="18E421C1" w:rsidR="00214C5A" w:rsidRDefault="00214C5A">
      <w:r>
        <w:br w:type="page"/>
      </w:r>
    </w:p>
    <w:p w14:paraId="515EF058" w14:textId="00159880" w:rsidR="00BB4BDD" w:rsidRPr="00360C67" w:rsidRDefault="00BB4BDD" w:rsidP="0030644C">
      <w:pPr>
        <w:spacing w:before="120"/>
        <w:outlineLvl w:val="0"/>
        <w:rPr>
          <w:b/>
        </w:rPr>
      </w:pPr>
      <w:r w:rsidRPr="00360C67">
        <w:rPr>
          <w:b/>
        </w:rPr>
        <w:lastRenderedPageBreak/>
        <w:t>References</w:t>
      </w:r>
    </w:p>
    <w:p w14:paraId="264442A8" w14:textId="77777777" w:rsidR="00425D02" w:rsidRPr="00425D02" w:rsidRDefault="00ED6D1F" w:rsidP="00425D02">
      <w:pPr>
        <w:pStyle w:val="EndNoteBibliography"/>
        <w:spacing w:after="0"/>
      </w:pPr>
      <w:r w:rsidRPr="00692206">
        <w:fldChar w:fldCharType="begin"/>
      </w:r>
      <w:r w:rsidRPr="00692206">
        <w:instrText xml:space="preserve"> ADDIN EN.REFLIST </w:instrText>
      </w:r>
      <w:r w:rsidRPr="00692206">
        <w:fldChar w:fldCharType="separate"/>
      </w:r>
      <w:r w:rsidR="00425D02" w:rsidRPr="00425D02">
        <w:t>1.</w:t>
      </w:r>
      <w:r w:rsidR="00425D02" w:rsidRPr="00425D02">
        <w:tab/>
        <w:t xml:space="preserve">Cunningham D, Hawkes EA, Jack A, et al. Rituximab plus cyclophosphamide, doxorubicin, vincristine, and prednisolone in patients with newly diagnosed diffuse large B-cell non-Hodgkin lymphoma: a phase 3 comparison of dose intensification with 14-day versus 21-day cycles. </w:t>
      </w:r>
      <w:r w:rsidR="00425D02" w:rsidRPr="00425D02">
        <w:rPr>
          <w:i/>
        </w:rPr>
        <w:t>Lancet</w:t>
      </w:r>
      <w:r w:rsidR="00425D02" w:rsidRPr="00425D02">
        <w:t xml:space="preserve"> 2013; </w:t>
      </w:r>
      <w:r w:rsidR="00425D02" w:rsidRPr="00425D02">
        <w:rPr>
          <w:b/>
        </w:rPr>
        <w:t>381</w:t>
      </w:r>
      <w:r w:rsidR="00425D02" w:rsidRPr="00425D02">
        <w:t>(9880): 1817-26.</w:t>
      </w:r>
    </w:p>
    <w:p w14:paraId="5255D6EE" w14:textId="77777777" w:rsidR="00425D02" w:rsidRPr="00425D02" w:rsidRDefault="00425D02" w:rsidP="00425D02">
      <w:pPr>
        <w:pStyle w:val="EndNoteBibliography"/>
        <w:spacing w:after="0"/>
      </w:pPr>
      <w:r w:rsidRPr="00425D02">
        <w:t>2.</w:t>
      </w:r>
      <w:r w:rsidRPr="00425D02">
        <w:tab/>
        <w:t xml:space="preserve">Smith A, Crouch S, Howell D, Burton C, Patmore R, Roman E. Impact of age and socioeconomic status on treatment and survival from aggressive lymphoma: a UK population-based study of diffuse large B-cell lymphoma. </w:t>
      </w:r>
      <w:r w:rsidRPr="00425D02">
        <w:rPr>
          <w:i/>
        </w:rPr>
        <w:t>Cancer epidemiology</w:t>
      </w:r>
      <w:r w:rsidRPr="00425D02">
        <w:t xml:space="preserve"> 2015; </w:t>
      </w:r>
      <w:r w:rsidRPr="00425D02">
        <w:rPr>
          <w:b/>
        </w:rPr>
        <w:t>39</w:t>
      </w:r>
      <w:r w:rsidRPr="00425D02">
        <w:t>(6): 1103-12.</w:t>
      </w:r>
    </w:p>
    <w:p w14:paraId="4169D963" w14:textId="61197781" w:rsidR="00425D02" w:rsidRPr="00425D02" w:rsidRDefault="00425D02" w:rsidP="00425D02">
      <w:pPr>
        <w:pStyle w:val="EndNoteBibliography"/>
        <w:spacing w:after="0"/>
      </w:pPr>
      <w:r w:rsidRPr="00425D02">
        <w:t>3</w:t>
      </w:r>
      <w:r w:rsidR="000C6100">
        <w:t xml:space="preserve">. </w:t>
      </w:r>
      <w:r w:rsidR="000C6100">
        <w:tab/>
      </w:r>
      <w:r w:rsidRPr="00425D02">
        <w:t xml:space="preserve">van Imhoff GW, McMillan A, Matasar MJ, et al. Ofatumumab versus rituximab salvage chemoimmunotherapy in relapsed or refractory diffuse large B-cell lymphoma: the ORCHARRD study. </w:t>
      </w:r>
      <w:r w:rsidRPr="00425D02">
        <w:rPr>
          <w:i/>
        </w:rPr>
        <w:t>Journal of Clinical Oncology</w:t>
      </w:r>
      <w:r w:rsidRPr="00425D02">
        <w:t xml:space="preserve"> 2016; </w:t>
      </w:r>
      <w:r w:rsidRPr="00425D02">
        <w:rPr>
          <w:b/>
        </w:rPr>
        <w:t>35</w:t>
      </w:r>
      <w:r w:rsidRPr="00425D02">
        <w:t>(5): 544-51.</w:t>
      </w:r>
    </w:p>
    <w:p w14:paraId="074D0A9F" w14:textId="39B60112" w:rsidR="00425D02" w:rsidRPr="00425D02" w:rsidRDefault="000C6100" w:rsidP="00B67CBB">
      <w:pPr>
        <w:pStyle w:val="EndNoteBibliography"/>
        <w:spacing w:after="0"/>
      </w:pPr>
      <w:r>
        <w:t xml:space="preserve">4. </w:t>
      </w:r>
      <w:r w:rsidR="00425D02" w:rsidRPr="00425D02">
        <w:tab/>
        <w:t xml:space="preserve">Lenz G, Wright G, Dave SS, et al. Stromal gene signatures in large-B-cell lymphomas. </w:t>
      </w:r>
      <w:r w:rsidR="00425D02" w:rsidRPr="00425D02">
        <w:rPr>
          <w:i/>
        </w:rPr>
        <w:t>N Engl J Med</w:t>
      </w:r>
      <w:r w:rsidR="00425D02" w:rsidRPr="00425D02">
        <w:t xml:space="preserve"> 2008; </w:t>
      </w:r>
      <w:r w:rsidR="00425D02" w:rsidRPr="00425D02">
        <w:rPr>
          <w:b/>
        </w:rPr>
        <w:t>359</w:t>
      </w:r>
      <w:r w:rsidR="00425D02" w:rsidRPr="00425D02">
        <w:t>(22): 2313-23.</w:t>
      </w:r>
    </w:p>
    <w:p w14:paraId="4F65F129" w14:textId="51C2DE9B" w:rsidR="00425D02" w:rsidRPr="00425D02" w:rsidRDefault="00D369B6" w:rsidP="00425D02">
      <w:pPr>
        <w:pStyle w:val="EndNoteBibliography"/>
        <w:spacing w:after="0"/>
      </w:pPr>
      <w:r>
        <w:t>5</w:t>
      </w:r>
      <w:r w:rsidR="00425D02" w:rsidRPr="00425D02">
        <w:t>.</w:t>
      </w:r>
      <w:r w:rsidR="00425D02" w:rsidRPr="00425D02">
        <w:tab/>
        <w:t>Young RM, Shaffer AL, Phelan JD, Staudt LM. B-cell receptor signaling in diffuse large B-cell lymphoma.  Seminars in hematology; 2015: Elsevier; 2015. p. 77-85.</w:t>
      </w:r>
    </w:p>
    <w:p w14:paraId="0E7B725A" w14:textId="3BE2BF3E" w:rsidR="00425D02" w:rsidRPr="00425D02" w:rsidRDefault="00D369B6" w:rsidP="00425D02">
      <w:pPr>
        <w:pStyle w:val="EndNoteBibliography"/>
        <w:spacing w:after="0"/>
      </w:pPr>
      <w:r>
        <w:t>6</w:t>
      </w:r>
      <w:r w:rsidR="00425D02" w:rsidRPr="00425D02">
        <w:t>.</w:t>
      </w:r>
      <w:r w:rsidR="00425D02" w:rsidRPr="00425D02">
        <w:tab/>
        <w:t xml:space="preserve">Dunleavy K, Pittaluga S, Czuczman MS, et al. Differential efficacy of bortezomib plus chemotherapy within molecular subtypes of diffuse large B-cell lymphoma. </w:t>
      </w:r>
      <w:r w:rsidR="00425D02" w:rsidRPr="00425D02">
        <w:rPr>
          <w:i/>
        </w:rPr>
        <w:t>Blood</w:t>
      </w:r>
      <w:r w:rsidR="00425D02" w:rsidRPr="00425D02">
        <w:t xml:space="preserve"> 2009; </w:t>
      </w:r>
      <w:r w:rsidR="00425D02" w:rsidRPr="00425D02">
        <w:rPr>
          <w:b/>
        </w:rPr>
        <w:t>113</w:t>
      </w:r>
      <w:r w:rsidR="00425D02" w:rsidRPr="00425D02">
        <w:t>(24): 6069-76.</w:t>
      </w:r>
    </w:p>
    <w:p w14:paraId="692340C1" w14:textId="04CF8CB0" w:rsidR="00425D02" w:rsidRPr="00425D02" w:rsidRDefault="00DB7CA2" w:rsidP="00425D02">
      <w:pPr>
        <w:pStyle w:val="EndNoteBibliography"/>
        <w:spacing w:after="0"/>
      </w:pPr>
      <w:r>
        <w:t>7</w:t>
      </w:r>
      <w:r w:rsidR="00425D02" w:rsidRPr="00425D02">
        <w:t>.</w:t>
      </w:r>
      <w:r w:rsidR="00425D02" w:rsidRPr="00425D02">
        <w:tab/>
        <w:t xml:space="preserve">ALEA. TENALEA. 2004. </w:t>
      </w:r>
      <w:hyperlink r:id="rId9" w:history="1">
        <w:r w:rsidR="00425D02" w:rsidRPr="00425D02">
          <w:rPr>
            <w:rStyle w:val="Hyperlink"/>
            <w:rFonts w:asciiTheme="minorHAnsi" w:hAnsiTheme="minorHAnsi" w:cstheme="minorBidi"/>
          </w:rPr>
          <w:t>https://nl.tenalea.net/amc/ALEA/Login.aspx</w:t>
        </w:r>
      </w:hyperlink>
      <w:r w:rsidR="00425D02" w:rsidRPr="00425D02">
        <w:t>.</w:t>
      </w:r>
      <w:r>
        <w:t xml:space="preserve">Last accessed 6.11.18 </w:t>
      </w:r>
    </w:p>
    <w:p w14:paraId="7446DD5E" w14:textId="2954E347" w:rsidR="00425D02" w:rsidRPr="00425D02" w:rsidRDefault="00674FC2" w:rsidP="00425D02">
      <w:pPr>
        <w:pStyle w:val="EndNoteBibliography"/>
        <w:spacing w:after="0"/>
      </w:pPr>
      <w:r>
        <w:t>8</w:t>
      </w:r>
      <w:r w:rsidR="00425D02" w:rsidRPr="00425D02">
        <w:t>.</w:t>
      </w:r>
      <w:r w:rsidR="00425D02" w:rsidRPr="00425D02">
        <w:tab/>
        <w:t xml:space="preserve">Moreau P, Pylypenko H, Grosicki S, et al. Subcutaneous versus intravenous administration of bortezomib in patients with relapsed multiple myeloma: a randomised, phase 3, non-inferiority study. </w:t>
      </w:r>
      <w:r w:rsidR="00425D02" w:rsidRPr="00425D02">
        <w:rPr>
          <w:i/>
        </w:rPr>
        <w:t>The Lancet Oncology</w:t>
      </w:r>
      <w:r w:rsidR="00425D02" w:rsidRPr="00425D02">
        <w:t xml:space="preserve"> 2011; </w:t>
      </w:r>
      <w:r w:rsidR="00425D02" w:rsidRPr="00425D02">
        <w:rPr>
          <w:b/>
        </w:rPr>
        <w:t>12</w:t>
      </w:r>
      <w:r w:rsidR="00425D02" w:rsidRPr="00425D02">
        <w:t>(5): 431-40.</w:t>
      </w:r>
    </w:p>
    <w:p w14:paraId="2FF83F31" w14:textId="389FDC22" w:rsidR="00425D02" w:rsidRPr="00425D02" w:rsidRDefault="00F32001" w:rsidP="00425D02">
      <w:pPr>
        <w:pStyle w:val="EndNoteBibliography"/>
        <w:spacing w:after="0"/>
      </w:pPr>
      <w:r>
        <w:t>9</w:t>
      </w:r>
      <w:r w:rsidR="00425D02" w:rsidRPr="00425D02">
        <w:t>.</w:t>
      </w:r>
      <w:r w:rsidR="00425D02" w:rsidRPr="00425D02">
        <w:tab/>
        <w:t xml:space="preserve">Cheson BD, Horning SJ, Coiffier B, et al. Report of an international workshop to standardize response criteria for non-Hodgkin's lymphomas. </w:t>
      </w:r>
      <w:r w:rsidR="00425D02" w:rsidRPr="00425D02">
        <w:rPr>
          <w:i/>
        </w:rPr>
        <w:t>Journal of clinical oncology</w:t>
      </w:r>
      <w:r w:rsidR="00425D02" w:rsidRPr="00425D02">
        <w:t xml:space="preserve"> 1999; </w:t>
      </w:r>
      <w:r w:rsidR="00425D02" w:rsidRPr="00425D02">
        <w:rPr>
          <w:b/>
        </w:rPr>
        <w:t>17</w:t>
      </w:r>
      <w:r w:rsidR="00425D02" w:rsidRPr="00425D02">
        <w:t>(4): 1244-.</w:t>
      </w:r>
    </w:p>
    <w:p w14:paraId="05A3B9D1" w14:textId="67CCC6D0" w:rsidR="00425D02" w:rsidRPr="00425D02" w:rsidRDefault="00425D02" w:rsidP="00425D02">
      <w:pPr>
        <w:pStyle w:val="EndNoteBibliography"/>
        <w:spacing w:after="0"/>
      </w:pPr>
      <w:r w:rsidRPr="00425D02">
        <w:t>1</w:t>
      </w:r>
      <w:r w:rsidR="00F87704">
        <w:t>0</w:t>
      </w:r>
      <w:r w:rsidRPr="00425D02">
        <w:t>.</w:t>
      </w:r>
      <w:r w:rsidRPr="00425D02">
        <w:tab/>
        <w:t xml:space="preserve">Care MA, Barrans S, Worrillow L, Jack A, Westhead DR, Tooze RM. A Microarray Platform-Independent Classification Tool for Cell of Origin Class Allows Comparative Analysis of Gene Expression in Diffuse Large B-cell Lymphoma. </w:t>
      </w:r>
      <w:r w:rsidRPr="00425D02">
        <w:rPr>
          <w:i/>
        </w:rPr>
        <w:t>PLoS One</w:t>
      </w:r>
      <w:r w:rsidRPr="00425D02">
        <w:t xml:space="preserve"> 2013; </w:t>
      </w:r>
      <w:r w:rsidRPr="00425D02">
        <w:rPr>
          <w:b/>
        </w:rPr>
        <w:t>8</w:t>
      </w:r>
      <w:r w:rsidRPr="00425D02">
        <w:t>(2): e55895.</w:t>
      </w:r>
    </w:p>
    <w:p w14:paraId="64BAFFD1" w14:textId="3D875AD7" w:rsidR="00425D02" w:rsidRPr="00425D02" w:rsidRDefault="00425D02" w:rsidP="00425D02">
      <w:pPr>
        <w:pStyle w:val="EndNoteBibliography"/>
        <w:spacing w:after="0"/>
      </w:pPr>
      <w:r w:rsidRPr="00425D02">
        <w:t>1</w:t>
      </w:r>
      <w:r w:rsidR="00F87704">
        <w:t>1</w:t>
      </w:r>
      <w:r w:rsidRPr="00425D02">
        <w:t>.</w:t>
      </w:r>
      <w:r w:rsidRPr="00425D02">
        <w:tab/>
        <w:t xml:space="preserve">Cucco F, Clipson A, Kennedy H, et al. Mutation screening using formalin-fixed paraffin-embedded tissues: a stratified approach according to DNA quality. </w:t>
      </w:r>
      <w:r w:rsidRPr="00425D02">
        <w:rPr>
          <w:i/>
        </w:rPr>
        <w:t>Lab Invest</w:t>
      </w:r>
      <w:r w:rsidRPr="00425D02">
        <w:t xml:space="preserve"> 2018</w:t>
      </w:r>
      <w:r w:rsidRPr="009C0CA5">
        <w:rPr>
          <w:rFonts w:asciiTheme="minorHAnsi" w:hAnsiTheme="minorHAnsi"/>
        </w:rPr>
        <w:t>.</w:t>
      </w:r>
      <w:r w:rsidR="00F87704" w:rsidRPr="009C0CA5">
        <w:rPr>
          <w:rFonts w:asciiTheme="minorHAnsi" w:hAnsiTheme="minorHAnsi"/>
          <w:color w:val="000000"/>
          <w:shd w:val="clear" w:color="auto" w:fill="FFFFFF"/>
          <w:lang w:val="en-US"/>
        </w:rPr>
        <w:t xml:space="preserve"> </w:t>
      </w:r>
      <w:r w:rsidR="00F87704" w:rsidRPr="009C0CA5">
        <w:rPr>
          <w:rFonts w:asciiTheme="minorHAnsi" w:hAnsiTheme="minorHAnsi"/>
          <w:b/>
          <w:color w:val="000000"/>
          <w:shd w:val="clear" w:color="auto" w:fill="FFFFFF"/>
          <w:lang w:val="en-US"/>
        </w:rPr>
        <w:t>98</w:t>
      </w:r>
      <w:r w:rsidR="00F87704" w:rsidRPr="009C0CA5">
        <w:rPr>
          <w:rFonts w:asciiTheme="minorHAnsi" w:hAnsiTheme="minorHAnsi"/>
          <w:color w:val="000000"/>
          <w:shd w:val="clear" w:color="auto" w:fill="FFFFFF"/>
          <w:lang w:val="en-US"/>
        </w:rPr>
        <w:t>(8):1084-1092</w:t>
      </w:r>
    </w:p>
    <w:p w14:paraId="2CABF5FD" w14:textId="0C14D84E" w:rsidR="00425D02" w:rsidRPr="00425D02" w:rsidRDefault="00406579" w:rsidP="00425D02">
      <w:pPr>
        <w:pStyle w:val="EndNoteBibliography"/>
        <w:spacing w:after="0"/>
      </w:pPr>
      <w:r>
        <w:t>12</w:t>
      </w:r>
      <w:r w:rsidR="00425D02" w:rsidRPr="00425D02">
        <w:t>.</w:t>
      </w:r>
      <w:r w:rsidR="00425D02" w:rsidRPr="00425D02">
        <w:tab/>
        <w:t xml:space="preserve">Yuan J, Wright G, Rosenwald A, et al. Identification of Primary Mediastinal Large B-cell Lymphoma at Nonmediastinal Sites by Gene Expression Profiling. </w:t>
      </w:r>
      <w:r w:rsidR="00425D02" w:rsidRPr="00425D02">
        <w:rPr>
          <w:i/>
        </w:rPr>
        <w:t>Am J Surg Pathol</w:t>
      </w:r>
      <w:r w:rsidR="00425D02" w:rsidRPr="00425D02">
        <w:t xml:space="preserve"> 2015; </w:t>
      </w:r>
      <w:r w:rsidR="00425D02" w:rsidRPr="00425D02">
        <w:rPr>
          <w:b/>
        </w:rPr>
        <w:t>39</w:t>
      </w:r>
      <w:r w:rsidR="00425D02" w:rsidRPr="00425D02">
        <w:t>(10): 1322-30.</w:t>
      </w:r>
    </w:p>
    <w:p w14:paraId="25EED91D" w14:textId="7673550F" w:rsidR="00425D02" w:rsidRPr="00425D02" w:rsidRDefault="00A93496" w:rsidP="00425D02">
      <w:pPr>
        <w:pStyle w:val="EndNoteBibliography"/>
        <w:spacing w:after="0"/>
      </w:pPr>
      <w:r>
        <w:t>13</w:t>
      </w:r>
      <w:r w:rsidR="00425D02" w:rsidRPr="00425D02">
        <w:t>.</w:t>
      </w:r>
      <w:r w:rsidR="00425D02" w:rsidRPr="00425D02">
        <w:tab/>
        <w:t xml:space="preserve">Gómez H, Hidalgo M, Casanova L, et al. Risk factors for treatment-related death in elderly patients with aggressive non-Hodgkin's lymphoma: results of a multivariate analysis. </w:t>
      </w:r>
      <w:r w:rsidR="00425D02" w:rsidRPr="00425D02">
        <w:rPr>
          <w:i/>
        </w:rPr>
        <w:t>Journal of clinical oncology</w:t>
      </w:r>
      <w:r w:rsidR="00425D02" w:rsidRPr="00425D02">
        <w:t xml:space="preserve"> 1998; </w:t>
      </w:r>
      <w:r w:rsidR="00425D02" w:rsidRPr="00425D02">
        <w:rPr>
          <w:b/>
        </w:rPr>
        <w:t>16</w:t>
      </w:r>
      <w:r w:rsidR="00425D02" w:rsidRPr="00425D02">
        <w:t>(6): 2065-9.</w:t>
      </w:r>
    </w:p>
    <w:p w14:paraId="0DF79A2C" w14:textId="44A614FF" w:rsidR="00425D02" w:rsidRPr="00425D02" w:rsidRDefault="0017119C" w:rsidP="00425D02">
      <w:pPr>
        <w:pStyle w:val="EndNoteBibliography"/>
        <w:spacing w:after="0"/>
      </w:pPr>
      <w:r>
        <w:t>14</w:t>
      </w:r>
      <w:r w:rsidR="00425D02" w:rsidRPr="00425D02">
        <w:t>.</w:t>
      </w:r>
      <w:r w:rsidR="00425D02" w:rsidRPr="00425D02">
        <w:tab/>
        <w:t xml:space="preserve">Dubois S, Viailly PJ, Mareschal S, et al. Next-Generation Sequencing in Diffuse Large B-Cell Lymphoma Highlights Molecular Divergence and Therapeutic Opportunities: a LYSA Study. </w:t>
      </w:r>
      <w:r w:rsidR="00425D02" w:rsidRPr="00425D02">
        <w:rPr>
          <w:i/>
        </w:rPr>
        <w:t>Clin Cancer Res</w:t>
      </w:r>
      <w:r w:rsidR="00425D02" w:rsidRPr="00425D02">
        <w:t xml:space="preserve"> 2016; </w:t>
      </w:r>
      <w:r w:rsidR="00425D02" w:rsidRPr="00425D02">
        <w:rPr>
          <w:b/>
        </w:rPr>
        <w:t>22</w:t>
      </w:r>
      <w:r w:rsidR="00425D02" w:rsidRPr="00425D02">
        <w:t>(12): 2919-28.</w:t>
      </w:r>
    </w:p>
    <w:p w14:paraId="75A1FE75" w14:textId="18D899A3" w:rsidR="00425D02" w:rsidRDefault="0017119C" w:rsidP="00425D02">
      <w:pPr>
        <w:pStyle w:val="EndNoteBibliography"/>
        <w:spacing w:after="0"/>
      </w:pPr>
      <w:r>
        <w:t>15</w:t>
      </w:r>
      <w:r w:rsidR="00425D02" w:rsidRPr="00425D02">
        <w:t>.</w:t>
      </w:r>
      <w:r w:rsidR="00425D02" w:rsidRPr="00425D02">
        <w:tab/>
        <w:t xml:space="preserve">Reddy A, Zhang J, Davis NS, et al. Genetic and Functional Drivers of Diffuse Large B Cell Lymphoma. </w:t>
      </w:r>
      <w:r w:rsidR="00425D02" w:rsidRPr="00425D02">
        <w:rPr>
          <w:i/>
        </w:rPr>
        <w:t>Cell</w:t>
      </w:r>
      <w:r w:rsidR="00425D02" w:rsidRPr="00425D02">
        <w:t xml:space="preserve"> 2017; </w:t>
      </w:r>
      <w:r w:rsidR="00425D02" w:rsidRPr="00425D02">
        <w:rPr>
          <w:b/>
        </w:rPr>
        <w:t>171</w:t>
      </w:r>
      <w:r w:rsidR="00425D02" w:rsidRPr="00425D02">
        <w:t>(2): 481-94.</w:t>
      </w:r>
    </w:p>
    <w:p w14:paraId="16A4F65B" w14:textId="7BD59DAF" w:rsidR="00200F0C" w:rsidRPr="00425D02" w:rsidRDefault="00200F0C" w:rsidP="00425D02">
      <w:pPr>
        <w:pStyle w:val="EndNoteBibliography"/>
        <w:spacing w:after="0"/>
      </w:pPr>
      <w:r>
        <w:t>16</w:t>
      </w:r>
      <w:r w:rsidRPr="00425D02">
        <w:t>.</w:t>
      </w:r>
      <w:r w:rsidRPr="00425D02">
        <w:tab/>
        <w:t xml:space="preserve">Scott DW, Wright GW, Williams PM, et al. Determining cell-of-origin subtypes of diffuse large B-cell lymphoma using gene expression in formalin-fixed paraffin-embedded tissue. </w:t>
      </w:r>
      <w:r w:rsidRPr="00425D02">
        <w:rPr>
          <w:i/>
        </w:rPr>
        <w:t>Blood</w:t>
      </w:r>
      <w:r w:rsidRPr="00425D02">
        <w:t xml:space="preserve"> 2014; </w:t>
      </w:r>
      <w:r w:rsidRPr="00425D02">
        <w:rPr>
          <w:b/>
        </w:rPr>
        <w:t>123</w:t>
      </w:r>
      <w:r w:rsidRPr="00425D02">
        <w:t>(8): 1214-7.</w:t>
      </w:r>
    </w:p>
    <w:p w14:paraId="1403B2C6" w14:textId="220DBCD7" w:rsidR="00425D02" w:rsidRPr="00425D02" w:rsidRDefault="00F101F6" w:rsidP="00425D02">
      <w:pPr>
        <w:pStyle w:val="EndNoteBibliography"/>
        <w:spacing w:after="0"/>
      </w:pPr>
      <w:r>
        <w:t>1</w:t>
      </w:r>
      <w:r w:rsidR="00B55076">
        <w:t>7</w:t>
      </w:r>
      <w:r w:rsidR="00425D02" w:rsidRPr="00425D02">
        <w:t>.</w:t>
      </w:r>
      <w:r w:rsidR="00425D02" w:rsidRPr="00425D02">
        <w:tab/>
        <w:t xml:space="preserve">Vitolo U, Trneny M, Belada D, et al. Obinutuzumab or Rituximab Plus Cyclophosphamide, Doxorubicin, Vincristine, and Prednisone in Previously Untreated Diffuse Large B-Cell Lymphoma. </w:t>
      </w:r>
      <w:r w:rsidR="00425D02" w:rsidRPr="00425D02">
        <w:rPr>
          <w:i/>
        </w:rPr>
        <w:t>J Clin Oncol</w:t>
      </w:r>
      <w:r w:rsidR="00425D02" w:rsidRPr="00425D02">
        <w:t xml:space="preserve"> 2017; </w:t>
      </w:r>
      <w:r w:rsidR="00425D02" w:rsidRPr="00425D02">
        <w:rPr>
          <w:b/>
        </w:rPr>
        <w:t>35</w:t>
      </w:r>
      <w:r w:rsidR="00425D02" w:rsidRPr="00425D02">
        <w:t>(31): 3529-37.</w:t>
      </w:r>
    </w:p>
    <w:p w14:paraId="281D904F" w14:textId="57F1D298" w:rsidR="00425D02" w:rsidRPr="00425D02" w:rsidRDefault="00B55076" w:rsidP="00425D02">
      <w:pPr>
        <w:pStyle w:val="EndNoteBibliography"/>
        <w:spacing w:after="0"/>
      </w:pPr>
      <w:r>
        <w:t>18</w:t>
      </w:r>
      <w:r w:rsidR="00425D02" w:rsidRPr="00425D02">
        <w:t>.</w:t>
      </w:r>
      <w:r w:rsidR="00425D02" w:rsidRPr="00425D02">
        <w:tab/>
        <w:t xml:space="preserve">Leonard JP, Kolibaba KS, Reeves JA, et al. Randomized Phase II Study of R-CHOP With or Without Bortezomib in Previously Untreated Patients With Non–Germinal Center B-Cell–Like Diffuse Large B-Cell Lymphoma. </w:t>
      </w:r>
      <w:r w:rsidR="00425D02" w:rsidRPr="00425D02">
        <w:rPr>
          <w:i/>
        </w:rPr>
        <w:t>Journal of Clinical Oncology</w:t>
      </w:r>
      <w:r w:rsidR="00425D02" w:rsidRPr="00425D02">
        <w:t xml:space="preserve"> 2017; </w:t>
      </w:r>
      <w:r w:rsidR="00425D02" w:rsidRPr="00425D02">
        <w:rPr>
          <w:b/>
        </w:rPr>
        <w:t>35</w:t>
      </w:r>
      <w:r w:rsidR="00425D02" w:rsidRPr="00425D02">
        <w:t>(31): 3538-46.</w:t>
      </w:r>
    </w:p>
    <w:p w14:paraId="5170A6F9" w14:textId="08187EB9" w:rsidR="00425D02" w:rsidRPr="00425D02" w:rsidRDefault="00B55076" w:rsidP="00425D02">
      <w:pPr>
        <w:pStyle w:val="EndNoteBibliography"/>
        <w:spacing w:after="0"/>
      </w:pPr>
      <w:r>
        <w:lastRenderedPageBreak/>
        <w:t>19</w:t>
      </w:r>
      <w:r w:rsidR="00425D02" w:rsidRPr="00425D02">
        <w:t>.</w:t>
      </w:r>
      <w:r w:rsidR="00425D02" w:rsidRPr="00425D02">
        <w:tab/>
        <w:t xml:space="preserve">Offner F, Samoilova O, Osmanov E, et al. Frontline rituximab, cyclophosphamide, doxorubicin, and prednisone with bortezomib (VR-CAP) or vincristine (R-CHOP) for non-GCB DLBCL. </w:t>
      </w:r>
      <w:r w:rsidR="00425D02" w:rsidRPr="00425D02">
        <w:rPr>
          <w:i/>
        </w:rPr>
        <w:t>Blood</w:t>
      </w:r>
      <w:r w:rsidR="00425D02" w:rsidRPr="00425D02">
        <w:t xml:space="preserve"> 2015; </w:t>
      </w:r>
      <w:r w:rsidR="00425D02" w:rsidRPr="00425D02">
        <w:rPr>
          <w:b/>
        </w:rPr>
        <w:t>126</w:t>
      </w:r>
      <w:r w:rsidR="00425D02" w:rsidRPr="00425D02">
        <w:t>(16): 1893-901.</w:t>
      </w:r>
    </w:p>
    <w:p w14:paraId="79F94FA4" w14:textId="2F8D8664" w:rsidR="00425D02" w:rsidRPr="00425D02" w:rsidRDefault="00B55076" w:rsidP="00425D02">
      <w:pPr>
        <w:pStyle w:val="EndNoteBibliography"/>
        <w:spacing w:after="0"/>
      </w:pPr>
      <w:r>
        <w:t>20</w:t>
      </w:r>
      <w:r w:rsidR="00425D02" w:rsidRPr="00425D02">
        <w:t>.</w:t>
      </w:r>
      <w:r w:rsidR="00425D02" w:rsidRPr="00425D02">
        <w:tab/>
        <w:t xml:space="preserve">Petrich AM, Gandhi M, Jovanovic B, et al. Impact of induction regimen and stem cell transplantation on outcomes in double-hit lymphoma: a multicenter retrospective analysis. </w:t>
      </w:r>
      <w:r w:rsidR="00425D02" w:rsidRPr="00425D02">
        <w:rPr>
          <w:i/>
        </w:rPr>
        <w:t>Blood</w:t>
      </w:r>
      <w:r w:rsidR="00425D02" w:rsidRPr="00425D02">
        <w:t xml:space="preserve"> 2014; </w:t>
      </w:r>
      <w:r w:rsidR="00425D02" w:rsidRPr="00425D02">
        <w:rPr>
          <w:b/>
        </w:rPr>
        <w:t>124</w:t>
      </w:r>
      <w:r w:rsidR="00425D02" w:rsidRPr="00425D02">
        <w:t>(15): 2354-61.</w:t>
      </w:r>
    </w:p>
    <w:p w14:paraId="00EFACC7" w14:textId="7B4C1727" w:rsidR="00425D02" w:rsidRPr="00425D02" w:rsidRDefault="00B55076" w:rsidP="00425D02">
      <w:pPr>
        <w:pStyle w:val="EndNoteBibliography"/>
        <w:spacing w:after="0"/>
      </w:pPr>
      <w:r>
        <w:t>21</w:t>
      </w:r>
      <w:r w:rsidR="00425D02" w:rsidRPr="00425D02">
        <w:rPr>
          <w:rFonts w:hint="eastAsia"/>
        </w:rPr>
        <w:t>.</w:t>
      </w:r>
      <w:r w:rsidR="00425D02" w:rsidRPr="00425D02">
        <w:rPr>
          <w:rFonts w:hint="eastAsia"/>
        </w:rPr>
        <w:tab/>
        <w:t>Clipson A, Barrans S, Zeng N, et al. The prognosis of MYC translocation positive diffuse large B</w:t>
      </w:r>
      <w:r w:rsidR="00425D02" w:rsidRPr="00425D02">
        <w:rPr>
          <w:rFonts w:hint="eastAsia"/>
        </w:rPr>
        <w:t>‐</w:t>
      </w:r>
      <w:r w:rsidR="00425D02" w:rsidRPr="00425D02">
        <w:rPr>
          <w:rFonts w:hint="eastAsia"/>
        </w:rPr>
        <w:t>cell lymphoma depends on the s</w:t>
      </w:r>
      <w:r w:rsidR="00425D02" w:rsidRPr="00425D02">
        <w:t xml:space="preserve">econd hit. </w:t>
      </w:r>
      <w:r w:rsidR="00425D02" w:rsidRPr="00425D02">
        <w:rPr>
          <w:i/>
        </w:rPr>
        <w:t>The Journal of Pathology: Clinical Research</w:t>
      </w:r>
      <w:r w:rsidR="00425D02" w:rsidRPr="00425D02">
        <w:t xml:space="preserve"> 2015; </w:t>
      </w:r>
      <w:r w:rsidR="00425D02" w:rsidRPr="00425D02">
        <w:rPr>
          <w:b/>
        </w:rPr>
        <w:t>1</w:t>
      </w:r>
      <w:r w:rsidR="00425D02" w:rsidRPr="00425D02">
        <w:t>(3): 125-33.</w:t>
      </w:r>
    </w:p>
    <w:p w14:paraId="4A5401F3" w14:textId="5EF3B554" w:rsidR="00425D02" w:rsidRPr="00425D02" w:rsidRDefault="00B55076" w:rsidP="00425D02">
      <w:pPr>
        <w:pStyle w:val="EndNoteBibliography"/>
        <w:spacing w:after="0"/>
      </w:pPr>
      <w:r>
        <w:t>22</w:t>
      </w:r>
      <w:r w:rsidR="00425D02" w:rsidRPr="00425D02">
        <w:t>.</w:t>
      </w:r>
      <w:r w:rsidR="00425D02" w:rsidRPr="00425D02">
        <w:tab/>
        <w:t xml:space="preserve">Landsburg DJ, Falkiewicz MK, Maly J, et al. Outcomes of Patients With Double-Hit Lymphoma Who Achieve First Complete Remission. </w:t>
      </w:r>
      <w:r w:rsidR="00425D02" w:rsidRPr="00425D02">
        <w:rPr>
          <w:i/>
        </w:rPr>
        <w:t>J Clin Oncol</w:t>
      </w:r>
      <w:r w:rsidR="00425D02" w:rsidRPr="00425D02">
        <w:t xml:space="preserve"> 2017; </w:t>
      </w:r>
      <w:r w:rsidR="00425D02" w:rsidRPr="00425D02">
        <w:rPr>
          <w:b/>
        </w:rPr>
        <w:t>35</w:t>
      </w:r>
      <w:r w:rsidR="00425D02" w:rsidRPr="00425D02">
        <w:t>(20): 2260-7.</w:t>
      </w:r>
    </w:p>
    <w:p w14:paraId="316F80FA" w14:textId="2098A1F6" w:rsidR="00425D02" w:rsidRPr="00425D02" w:rsidRDefault="00B55076" w:rsidP="00425D02">
      <w:pPr>
        <w:pStyle w:val="EndNoteBibliography"/>
        <w:spacing w:after="0"/>
      </w:pPr>
      <w:r>
        <w:t>23</w:t>
      </w:r>
      <w:r w:rsidR="00425D02" w:rsidRPr="00425D02">
        <w:t>.</w:t>
      </w:r>
      <w:r w:rsidR="00425D02" w:rsidRPr="00425D02">
        <w:tab/>
        <w:t xml:space="preserve">Maurer MJ, Ghesquieres H, Link BK, et al. Diagnosis-to-Treatment Interval Is an Important Clinical Factor in Newly Diagnosed Diffuse Large B-Cell Lymphoma and Has Implication for Bias in Clinical Trials. </w:t>
      </w:r>
      <w:r w:rsidR="00425D02" w:rsidRPr="00425D02">
        <w:rPr>
          <w:i/>
        </w:rPr>
        <w:t>J Clin Oncol</w:t>
      </w:r>
      <w:r w:rsidR="00425D02" w:rsidRPr="00425D02">
        <w:t xml:space="preserve"> 2018; </w:t>
      </w:r>
      <w:r w:rsidR="00425D02" w:rsidRPr="00425D02">
        <w:rPr>
          <w:b/>
        </w:rPr>
        <w:t>36</w:t>
      </w:r>
      <w:r w:rsidR="00425D02" w:rsidRPr="00425D02">
        <w:t>(16): 1603-10.</w:t>
      </w:r>
    </w:p>
    <w:p w14:paraId="660E0AA1" w14:textId="3F7DEF68" w:rsidR="00425D02" w:rsidRPr="00425D02" w:rsidRDefault="00B55076" w:rsidP="00425D02">
      <w:pPr>
        <w:pStyle w:val="EndNoteBibliography"/>
        <w:spacing w:after="0"/>
      </w:pPr>
      <w:r>
        <w:t>24</w:t>
      </w:r>
      <w:r w:rsidR="00425D02" w:rsidRPr="00425D02">
        <w:t>.</w:t>
      </w:r>
      <w:r w:rsidR="00425D02" w:rsidRPr="00425D02">
        <w:tab/>
        <w:t xml:space="preserve">Proctor IE, McNamara C, Rodriguez-Justo M, Isaacson PG, Ramsay A. Importance of expert central review in the diagnosis of lymphoid malignancies in a regional cancer network. </w:t>
      </w:r>
      <w:r w:rsidR="00425D02" w:rsidRPr="00425D02">
        <w:rPr>
          <w:i/>
        </w:rPr>
        <w:t>J Clin Oncol</w:t>
      </w:r>
      <w:r w:rsidR="00425D02" w:rsidRPr="00425D02">
        <w:t xml:space="preserve"> 2011; </w:t>
      </w:r>
      <w:r w:rsidR="00425D02" w:rsidRPr="00425D02">
        <w:rPr>
          <w:b/>
        </w:rPr>
        <w:t>29</w:t>
      </w:r>
      <w:r w:rsidR="00425D02" w:rsidRPr="00425D02">
        <w:t>(11): 1431-5.</w:t>
      </w:r>
    </w:p>
    <w:p w14:paraId="544FA618" w14:textId="4F0A992B" w:rsidR="00425D02" w:rsidRPr="00425D02" w:rsidRDefault="00B55076" w:rsidP="00425D02">
      <w:pPr>
        <w:pStyle w:val="EndNoteBibliography"/>
        <w:spacing w:after="0"/>
      </w:pPr>
      <w:r>
        <w:t>25</w:t>
      </w:r>
      <w:r w:rsidR="00425D02" w:rsidRPr="00425D02">
        <w:t>.</w:t>
      </w:r>
      <w:r w:rsidR="00425D02" w:rsidRPr="00425D02">
        <w:tab/>
        <w:t xml:space="preserve">Chapuy B, Stewart C, Dunford AJ, et al. Molecular subtypes of diffuse large B cell lymphoma are associated with distinct pathogenic mechanisms and outcomes. </w:t>
      </w:r>
      <w:r w:rsidR="00425D02" w:rsidRPr="00425D02">
        <w:rPr>
          <w:i/>
        </w:rPr>
        <w:t>Nat Med</w:t>
      </w:r>
      <w:r w:rsidR="00425D02" w:rsidRPr="00425D02">
        <w:t xml:space="preserve"> 2018; </w:t>
      </w:r>
      <w:r w:rsidR="00425D02" w:rsidRPr="00425D02">
        <w:rPr>
          <w:b/>
        </w:rPr>
        <w:t>24</w:t>
      </w:r>
      <w:r w:rsidR="00425D02" w:rsidRPr="00425D02">
        <w:t>(5): 679-90.</w:t>
      </w:r>
    </w:p>
    <w:p w14:paraId="3AC8C380" w14:textId="6CE74113" w:rsidR="00425D02" w:rsidRPr="00425D02" w:rsidRDefault="00B55076" w:rsidP="00425D02">
      <w:pPr>
        <w:pStyle w:val="EndNoteBibliography"/>
        <w:spacing w:after="0"/>
      </w:pPr>
      <w:r>
        <w:t>26</w:t>
      </w:r>
      <w:r w:rsidR="00D07520">
        <w:t>.</w:t>
      </w:r>
      <w:r w:rsidR="00425D02" w:rsidRPr="00425D02">
        <w:tab/>
        <w:t xml:space="preserve">Schmitz R, Wright GW, Huang DW, et al. Genetics and Pathogenesis of Diffuse Large B-Cell Lymphoma. </w:t>
      </w:r>
      <w:r w:rsidR="00425D02" w:rsidRPr="00425D02">
        <w:rPr>
          <w:i/>
        </w:rPr>
        <w:t>N Engl J Med</w:t>
      </w:r>
      <w:r w:rsidR="00425D02" w:rsidRPr="00425D02">
        <w:t xml:space="preserve"> 2018; </w:t>
      </w:r>
      <w:r w:rsidR="00425D02" w:rsidRPr="00425D02">
        <w:rPr>
          <w:b/>
        </w:rPr>
        <w:t>378</w:t>
      </w:r>
      <w:r w:rsidR="00425D02" w:rsidRPr="00425D02">
        <w:t>(15): 1396-407.</w:t>
      </w:r>
    </w:p>
    <w:p w14:paraId="0F3F63C0" w14:textId="059C5764" w:rsidR="008676CA" w:rsidRPr="00692206" w:rsidRDefault="00ED6D1F" w:rsidP="00367E84">
      <w:pPr>
        <w:spacing w:before="120"/>
      </w:pPr>
      <w:r w:rsidRPr="00692206">
        <w:fldChar w:fldCharType="end"/>
      </w:r>
    </w:p>
    <w:p w14:paraId="4E06E3DD" w14:textId="42BF79C5" w:rsidR="00E133CD" w:rsidRDefault="00E133CD" w:rsidP="00367E84">
      <w:pPr>
        <w:spacing w:before="120"/>
      </w:pPr>
      <w:r>
        <w:br w:type="page"/>
      </w:r>
    </w:p>
    <w:p w14:paraId="48D435B4" w14:textId="280EF494" w:rsidR="00A34E73" w:rsidRDefault="00A229EC" w:rsidP="00367E84">
      <w:pPr>
        <w:spacing w:before="120"/>
      </w:pPr>
      <w:r w:rsidRPr="00A229EC">
        <w:rPr>
          <w:noProof/>
          <w:lang w:eastAsia="en-GB"/>
        </w:rPr>
        <w:lastRenderedPageBreak/>
        <w:drawing>
          <wp:inline distT="0" distB="0" distL="0" distR="0" wp14:anchorId="227BC68C" wp14:editId="0235DD29">
            <wp:extent cx="6840000" cy="3846749"/>
            <wp:effectExtent l="0" t="0" r="0" b="1905"/>
            <wp:docPr id="6" name="Picture 6" descr="\\rjsharedfiles.soton.ac.uk\Medicine\CTU\CTU STATISTICS AREA\01Trials\REMoDL-B\2018 Publication Analyses\Figure 1 - CONSORT 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jsharedfiles.soton.ac.uk\Medicine\CTU\CTU STATISTICS AREA\01Trials\REMoDL-B\2018 Publication Analyses\Figure 1 - CONSORT Diagra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0000" cy="3846749"/>
                    </a:xfrm>
                    <a:prstGeom prst="rect">
                      <a:avLst/>
                    </a:prstGeom>
                    <a:noFill/>
                    <a:ln>
                      <a:noFill/>
                    </a:ln>
                  </pic:spPr>
                </pic:pic>
              </a:graphicData>
            </a:graphic>
          </wp:inline>
        </w:drawing>
      </w:r>
    </w:p>
    <w:p w14:paraId="101D2431" w14:textId="7D2293AE" w:rsidR="002373E1" w:rsidRDefault="00A34E73" w:rsidP="0030644C">
      <w:pPr>
        <w:spacing w:before="120"/>
        <w:outlineLvl w:val="0"/>
      </w:pPr>
      <w:r w:rsidRPr="00632215">
        <w:t>Figure 1: Consort diagram outlining randomisation</w:t>
      </w:r>
    </w:p>
    <w:p w14:paraId="32886E0D" w14:textId="77777777" w:rsidR="002373E1" w:rsidRDefault="002373E1">
      <w:r>
        <w:br w:type="page"/>
      </w:r>
    </w:p>
    <w:p w14:paraId="4DE59F71" w14:textId="77777777" w:rsidR="00A34E73" w:rsidRDefault="00A34E73" w:rsidP="00367E84">
      <w:pPr>
        <w:spacing w:before="120"/>
      </w:pPr>
    </w:p>
    <w:p w14:paraId="59A95500" w14:textId="32B209CE" w:rsidR="00BB39C9" w:rsidRDefault="006A3294" w:rsidP="00367E84">
      <w:pPr>
        <w:spacing w:before="120"/>
      </w:pPr>
      <w:r w:rsidRPr="006A3294">
        <w:rPr>
          <w:noProof/>
          <w:lang w:eastAsia="en-GB"/>
        </w:rPr>
        <w:drawing>
          <wp:inline distT="0" distB="0" distL="0" distR="0" wp14:anchorId="7794E3E7" wp14:editId="43A19128">
            <wp:extent cx="5892721" cy="4285615"/>
            <wp:effectExtent l="0" t="0" r="635" b="6985"/>
            <wp:docPr id="2" name="Picture 2" descr="\\rjsharedfiles.soton.ac.uk\Medicine\CTU\CTU STATISTICS AREA\01Trials\REMoDL-B\2018 Publication Analyses\Programming\Figure 2 - PFS by Arm (Mol prof 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jsharedfiles.soton.ac.uk\Medicine\CTU\CTU STATISTICS AREA\01Trials\REMoDL-B\2018 Publication Analyses\Programming\Figure 2 - PFS by Arm (Mol prof Grou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0057" cy="4290950"/>
                    </a:xfrm>
                    <a:prstGeom prst="rect">
                      <a:avLst/>
                    </a:prstGeom>
                    <a:noFill/>
                    <a:ln>
                      <a:noFill/>
                    </a:ln>
                  </pic:spPr>
                </pic:pic>
              </a:graphicData>
            </a:graphic>
          </wp:inline>
        </w:drawing>
      </w:r>
    </w:p>
    <w:p w14:paraId="502ED031" w14:textId="1A7B5108" w:rsidR="00BB39C9" w:rsidRDefault="00BB39C9" w:rsidP="00367E84">
      <w:pPr>
        <w:spacing w:before="120"/>
        <w:rPr>
          <w:lang w:val="en-US"/>
        </w:rPr>
      </w:pPr>
      <w:r w:rsidRPr="00780474">
        <w:rPr>
          <w:b/>
          <w:bCs/>
        </w:rPr>
        <w:t xml:space="preserve">Figure </w:t>
      </w:r>
      <w:r w:rsidR="00DE5825">
        <w:rPr>
          <w:b/>
          <w:bCs/>
        </w:rPr>
        <w:t>2</w:t>
      </w:r>
      <w:r w:rsidRPr="00780474">
        <w:rPr>
          <w:b/>
          <w:bCs/>
        </w:rPr>
        <w:t>:</w:t>
      </w:r>
      <w:r>
        <w:t xml:space="preserve"> PFS according to treatment arm A: </w:t>
      </w:r>
      <w:r w:rsidRPr="00425528">
        <w:rPr>
          <w:lang w:val="en-US"/>
        </w:rPr>
        <w:t>ITT population: GCB + ABC patients  N=719</w:t>
      </w:r>
      <w:r>
        <w:rPr>
          <w:lang w:val="en-US"/>
        </w:rPr>
        <w:t xml:space="preserve"> (Labels indicate the estimated percentage progression-free at 12 months and 30 months) B: ABC subgroup(N=244) C: GCB subgroup (N=475) D: Unclassified group. (N=199)</w:t>
      </w:r>
    </w:p>
    <w:p w14:paraId="15A76A2F" w14:textId="3AC9945A" w:rsidR="00BB39C9" w:rsidRDefault="002373E1" w:rsidP="00EF256F">
      <w:r>
        <w:rPr>
          <w:lang w:val="en-US"/>
        </w:rPr>
        <w:br w:type="page"/>
      </w:r>
    </w:p>
    <w:p w14:paraId="60FFB050" w14:textId="0A632F6E" w:rsidR="002373E1" w:rsidRDefault="002373E1">
      <w:pPr>
        <w:rPr>
          <w:b/>
          <w:bCs/>
          <w:szCs w:val="18"/>
        </w:rPr>
      </w:pPr>
    </w:p>
    <w:p w14:paraId="22705AF7" w14:textId="326B46E7" w:rsidR="00BB39C9" w:rsidRPr="002373E1" w:rsidRDefault="00FE6602" w:rsidP="00367E84">
      <w:pPr>
        <w:spacing w:before="120"/>
        <w:rPr>
          <w:b/>
          <w:bCs/>
          <w:szCs w:val="18"/>
        </w:rPr>
      </w:pPr>
      <w:r>
        <w:rPr>
          <w:b/>
          <w:bCs/>
          <w:noProof/>
          <w:szCs w:val="18"/>
          <w:lang w:eastAsia="en-GB"/>
        </w:rPr>
        <w:drawing>
          <wp:inline distT="0" distB="0" distL="0" distR="0" wp14:anchorId="5E48E1B9" wp14:editId="798E6061">
            <wp:extent cx="3563620" cy="4661452"/>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 v2.jpg"/>
                    <pic:cNvPicPr/>
                  </pic:nvPicPr>
                  <pic:blipFill rotWithShape="1">
                    <a:blip r:embed="rId12" cstate="print">
                      <a:extLst>
                        <a:ext uri="{28A0092B-C50C-407E-A947-70E740481C1C}">
                          <a14:useLocalDpi xmlns:a14="http://schemas.microsoft.com/office/drawing/2010/main" val="0"/>
                        </a:ext>
                      </a:extLst>
                    </a:blip>
                    <a:srcRect b="34597"/>
                    <a:stretch/>
                  </pic:blipFill>
                  <pic:spPr bwMode="auto">
                    <a:xfrm>
                      <a:off x="0" y="0"/>
                      <a:ext cx="3564000" cy="4661949"/>
                    </a:xfrm>
                    <a:prstGeom prst="rect">
                      <a:avLst/>
                    </a:prstGeom>
                    <a:ln>
                      <a:noFill/>
                    </a:ln>
                    <a:extLst>
                      <a:ext uri="{53640926-AAD7-44D8-BBD7-CCE9431645EC}">
                        <a14:shadowObscured xmlns:a14="http://schemas.microsoft.com/office/drawing/2010/main"/>
                      </a:ext>
                    </a:extLst>
                  </pic:spPr>
                </pic:pic>
              </a:graphicData>
            </a:graphic>
          </wp:inline>
        </w:drawing>
      </w:r>
    </w:p>
    <w:p w14:paraId="1AF7F7D0" w14:textId="1A1F40DE" w:rsidR="00DD188F" w:rsidRDefault="00BB39C9" w:rsidP="00367E84">
      <w:pPr>
        <w:spacing w:before="120"/>
      </w:pPr>
      <w:r>
        <w:rPr>
          <w:b/>
        </w:rPr>
        <w:t xml:space="preserve">Figure </w:t>
      </w:r>
      <w:r w:rsidR="00DE5825">
        <w:rPr>
          <w:b/>
        </w:rPr>
        <w:t>3</w:t>
      </w:r>
      <w:r>
        <w:rPr>
          <w:b/>
        </w:rPr>
        <w:t>a</w:t>
      </w:r>
      <w:r w:rsidRPr="00680C73">
        <w:rPr>
          <w:b/>
        </w:rPr>
        <w:t>.</w:t>
      </w:r>
      <w:r w:rsidR="002373E1">
        <w:t xml:space="preserve"> P</w:t>
      </w:r>
      <w:r w:rsidR="00DD188F">
        <w:t>rogression-free survival</w:t>
      </w:r>
      <w:r w:rsidR="002373E1">
        <w:t xml:space="preserve"> </w:t>
      </w:r>
      <w:r w:rsidR="00DD188F">
        <w:t>comparing</w:t>
      </w:r>
      <w:r w:rsidR="002373E1">
        <w:t xml:space="preserve"> double-hit </w:t>
      </w:r>
      <w:r w:rsidR="00DD188F">
        <w:t>lymphomas to non-rearranged cases, separated by treatment arm</w:t>
      </w:r>
    </w:p>
    <w:p w14:paraId="09F04D1A" w14:textId="3C083713" w:rsidR="00DD188F" w:rsidRDefault="00DD188F" w:rsidP="00DD188F">
      <w:pPr>
        <w:spacing w:before="120"/>
      </w:pPr>
      <w:r>
        <w:rPr>
          <w:b/>
        </w:rPr>
        <w:t xml:space="preserve">Figure </w:t>
      </w:r>
      <w:r w:rsidR="00DE5825">
        <w:rPr>
          <w:b/>
        </w:rPr>
        <w:t>3</w:t>
      </w:r>
      <w:r>
        <w:rPr>
          <w:b/>
        </w:rPr>
        <w:t>b</w:t>
      </w:r>
      <w:r w:rsidRPr="00DD188F">
        <w:t xml:space="preserve"> </w:t>
      </w:r>
      <w:r>
        <w:t xml:space="preserve">Progression-free survival comparing double-expressor (High </w:t>
      </w:r>
      <w:r w:rsidRPr="000B3B81">
        <w:rPr>
          <w:i/>
        </w:rPr>
        <w:t>MYC</w:t>
      </w:r>
      <w:r>
        <w:t xml:space="preserve"> and high </w:t>
      </w:r>
      <w:r w:rsidRPr="000B3B81">
        <w:rPr>
          <w:i/>
        </w:rPr>
        <w:t>BCL-2</w:t>
      </w:r>
      <w:r>
        <w:t xml:space="preserve"> mRNA) lymphomas to all other cases, separated by treatment arm</w:t>
      </w:r>
    </w:p>
    <w:p w14:paraId="14695023" w14:textId="77777777" w:rsidR="00DE5825" w:rsidRDefault="00DE5825" w:rsidP="00DD188F">
      <w:pPr>
        <w:spacing w:before="120"/>
      </w:pPr>
    </w:p>
    <w:p w14:paraId="27340291" w14:textId="13816B7A" w:rsidR="00DE5825" w:rsidRDefault="008D01CD" w:rsidP="00DD188F">
      <w:pPr>
        <w:spacing w:before="120"/>
      </w:pPr>
      <w:r>
        <w:rPr>
          <w:b/>
          <w:bCs/>
          <w:noProof/>
          <w:szCs w:val="18"/>
          <w:lang w:eastAsia="en-GB"/>
        </w:rPr>
        <w:lastRenderedPageBreak/>
        <mc:AlternateContent>
          <mc:Choice Requires="wps">
            <w:drawing>
              <wp:anchor distT="0" distB="0" distL="114300" distR="114300" simplePos="0" relativeHeight="251659264" behindDoc="0" locked="0" layoutInCell="1" allowOverlap="1" wp14:anchorId="6704E0A3" wp14:editId="35A29EDF">
                <wp:simplePos x="0" y="0"/>
                <wp:positionH relativeFrom="column">
                  <wp:posOffset>89452</wp:posOffset>
                </wp:positionH>
                <wp:positionV relativeFrom="paragraph">
                  <wp:posOffset>59635</wp:posOffset>
                </wp:positionV>
                <wp:extent cx="218661" cy="178904"/>
                <wp:effectExtent l="0" t="0" r="10160" b="12065"/>
                <wp:wrapNone/>
                <wp:docPr id="4" name="Rectangle 4"/>
                <wp:cNvGraphicFramePr/>
                <a:graphic xmlns:a="http://schemas.openxmlformats.org/drawingml/2006/main">
                  <a:graphicData uri="http://schemas.microsoft.com/office/word/2010/wordprocessingShape">
                    <wps:wsp>
                      <wps:cNvSpPr/>
                      <wps:spPr>
                        <a:xfrm>
                          <a:off x="0" y="0"/>
                          <a:ext cx="218661" cy="1789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B718E1" id="Rectangle 4" o:spid="_x0000_s1026" style="position:absolute;margin-left:7.05pt;margin-top:4.7pt;width:17.2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" fillcolor="white [3212]" strokecolor="white [3212]" strokeweight="2pt"/>
            </w:pict>
          </mc:Fallback>
        </mc:AlternateContent>
      </w:r>
      <w:r>
        <w:rPr>
          <w:b/>
          <w:bCs/>
          <w:noProof/>
          <w:szCs w:val="18"/>
          <w:lang w:eastAsia="en-GB"/>
        </w:rPr>
        <w:drawing>
          <wp:inline distT="0" distB="0" distL="0" distR="0" wp14:anchorId="4F464D1B" wp14:editId="411002EE">
            <wp:extent cx="3563620" cy="25154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 4 v2.jpg"/>
                    <pic:cNvPicPr/>
                  </pic:nvPicPr>
                  <pic:blipFill rotWithShape="1">
                    <a:blip r:embed="rId12" cstate="print">
                      <a:extLst>
                        <a:ext uri="{28A0092B-C50C-407E-A947-70E740481C1C}">
                          <a14:useLocalDpi xmlns:a14="http://schemas.microsoft.com/office/drawing/2010/main" val="0"/>
                        </a:ext>
                      </a:extLst>
                    </a:blip>
                    <a:srcRect t="64706"/>
                    <a:stretch/>
                  </pic:blipFill>
                  <pic:spPr bwMode="auto">
                    <a:xfrm>
                      <a:off x="0" y="0"/>
                      <a:ext cx="3564000" cy="2515751"/>
                    </a:xfrm>
                    <a:prstGeom prst="rect">
                      <a:avLst/>
                    </a:prstGeom>
                    <a:ln>
                      <a:noFill/>
                    </a:ln>
                    <a:extLst>
                      <a:ext uri="{53640926-AAD7-44D8-BBD7-CCE9431645EC}">
                        <a14:shadowObscured xmlns:a14="http://schemas.microsoft.com/office/drawing/2010/main"/>
                      </a:ext>
                    </a:extLst>
                  </pic:spPr>
                </pic:pic>
              </a:graphicData>
            </a:graphic>
          </wp:inline>
        </w:drawing>
      </w:r>
    </w:p>
    <w:p w14:paraId="5BCF08D2" w14:textId="2235B71C" w:rsidR="00417DFA" w:rsidRDefault="002373E1" w:rsidP="0003579E">
      <w:pPr>
        <w:spacing w:before="120"/>
      </w:pPr>
      <w:r>
        <w:rPr>
          <w:b/>
        </w:rPr>
        <w:t xml:space="preserve">Figure </w:t>
      </w:r>
      <w:r w:rsidR="001053CA">
        <w:rPr>
          <w:b/>
        </w:rPr>
        <w:t>4</w:t>
      </w:r>
      <w:r w:rsidR="00BB39C9" w:rsidRPr="00680C73">
        <w:rPr>
          <w:b/>
        </w:rPr>
        <w:t>.</w:t>
      </w:r>
      <w:r w:rsidR="00BB39C9">
        <w:t xml:space="preserve"> Forest plot of hazard ratios based on PFS for high-risk and </w:t>
      </w:r>
      <w:r>
        <w:t>different molecular</w:t>
      </w:r>
      <w:r w:rsidR="00BB39C9">
        <w:t xml:space="preserve"> subtypes by treatment arm.</w:t>
      </w:r>
      <w:r w:rsidR="00417DFA">
        <w:br w:type="page"/>
      </w:r>
    </w:p>
    <w:p w14:paraId="2AAA130B" w14:textId="77777777" w:rsidR="00BB39C9" w:rsidRDefault="00BB39C9" w:rsidP="00367E84">
      <w:pPr>
        <w:spacing w:before="120"/>
      </w:pPr>
    </w:p>
    <w:tbl>
      <w:tblPr>
        <w:tblW w:w="6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89"/>
        <w:gridCol w:w="1067"/>
        <w:gridCol w:w="1067"/>
        <w:gridCol w:w="1293"/>
      </w:tblGrid>
      <w:tr w:rsidR="00E133CD" w:rsidRPr="00E96281" w14:paraId="1486DDF8" w14:textId="77777777" w:rsidTr="00C1735E">
        <w:trPr>
          <w:trHeight w:val="716"/>
          <w:jc w:val="center"/>
        </w:trPr>
        <w:tc>
          <w:tcPr>
            <w:tcW w:w="2889" w:type="dxa"/>
            <w:shd w:val="clear" w:color="auto" w:fill="BFBFBF" w:themeFill="background1" w:themeFillShade="BF"/>
            <w:tcMar>
              <w:top w:w="15" w:type="dxa"/>
              <w:left w:w="12" w:type="dxa"/>
              <w:bottom w:w="0" w:type="dxa"/>
              <w:right w:w="12" w:type="dxa"/>
            </w:tcMar>
            <w:vAlign w:val="center"/>
            <w:hideMark/>
          </w:tcPr>
          <w:p w14:paraId="07E990D2" w14:textId="77777777" w:rsidR="00E133CD" w:rsidRPr="00E96281" w:rsidRDefault="00E133CD" w:rsidP="00016900">
            <w:pPr>
              <w:spacing w:after="0" w:line="240" w:lineRule="auto"/>
              <w:jc w:val="center"/>
              <w:rPr>
                <w:sz w:val="18"/>
                <w:szCs w:val="18"/>
              </w:rPr>
            </w:pPr>
            <w:r w:rsidRPr="00E96281">
              <w:rPr>
                <w:b/>
                <w:bCs/>
                <w:sz w:val="18"/>
                <w:szCs w:val="18"/>
              </w:rPr>
              <w:t>Characteristic</w:t>
            </w:r>
          </w:p>
        </w:tc>
        <w:tc>
          <w:tcPr>
            <w:tcW w:w="1067" w:type="dxa"/>
            <w:shd w:val="clear" w:color="auto" w:fill="BFBFBF" w:themeFill="background1" w:themeFillShade="BF"/>
            <w:tcMar>
              <w:top w:w="15" w:type="dxa"/>
              <w:left w:w="12" w:type="dxa"/>
              <w:bottom w:w="0" w:type="dxa"/>
              <w:right w:w="12" w:type="dxa"/>
            </w:tcMar>
            <w:vAlign w:val="center"/>
            <w:hideMark/>
          </w:tcPr>
          <w:p w14:paraId="26658A61" w14:textId="77777777" w:rsidR="00E133CD" w:rsidRPr="00E96281" w:rsidRDefault="00E133CD" w:rsidP="00016900">
            <w:pPr>
              <w:spacing w:after="0" w:line="240" w:lineRule="auto"/>
              <w:jc w:val="center"/>
              <w:rPr>
                <w:sz w:val="18"/>
                <w:szCs w:val="18"/>
              </w:rPr>
            </w:pPr>
            <w:r w:rsidRPr="00E96281">
              <w:rPr>
                <w:b/>
                <w:bCs/>
                <w:sz w:val="18"/>
                <w:szCs w:val="18"/>
              </w:rPr>
              <w:t>R-CHOP</w:t>
            </w:r>
            <w:r>
              <w:rPr>
                <w:sz w:val="18"/>
                <w:szCs w:val="18"/>
              </w:rPr>
              <w:t xml:space="preserve"> </w:t>
            </w:r>
            <w:r w:rsidRPr="00E96281">
              <w:rPr>
                <w:b/>
                <w:bCs/>
                <w:sz w:val="18"/>
                <w:szCs w:val="18"/>
              </w:rPr>
              <w:t>(N=459)</w:t>
            </w:r>
          </w:p>
        </w:tc>
        <w:tc>
          <w:tcPr>
            <w:tcW w:w="1067" w:type="dxa"/>
            <w:shd w:val="clear" w:color="auto" w:fill="BFBFBF" w:themeFill="background1" w:themeFillShade="BF"/>
            <w:tcMar>
              <w:top w:w="15" w:type="dxa"/>
              <w:left w:w="12" w:type="dxa"/>
              <w:bottom w:w="0" w:type="dxa"/>
              <w:right w:w="12" w:type="dxa"/>
            </w:tcMar>
            <w:vAlign w:val="center"/>
            <w:hideMark/>
          </w:tcPr>
          <w:p w14:paraId="207A66A9" w14:textId="77777777" w:rsidR="00E133CD" w:rsidRPr="00E96281" w:rsidRDefault="00E133CD" w:rsidP="00016900">
            <w:pPr>
              <w:spacing w:after="0" w:line="240" w:lineRule="auto"/>
              <w:jc w:val="center"/>
              <w:rPr>
                <w:sz w:val="18"/>
                <w:szCs w:val="18"/>
              </w:rPr>
            </w:pPr>
            <w:r w:rsidRPr="00E96281">
              <w:rPr>
                <w:b/>
                <w:bCs/>
                <w:sz w:val="18"/>
                <w:szCs w:val="18"/>
              </w:rPr>
              <w:t>RB-CHOP</w:t>
            </w:r>
            <w:r>
              <w:rPr>
                <w:sz w:val="18"/>
                <w:szCs w:val="18"/>
              </w:rPr>
              <w:t xml:space="preserve"> </w:t>
            </w:r>
            <w:r w:rsidRPr="00E96281">
              <w:rPr>
                <w:b/>
                <w:bCs/>
                <w:sz w:val="18"/>
                <w:szCs w:val="18"/>
              </w:rPr>
              <w:t>(N=459)</w:t>
            </w:r>
          </w:p>
        </w:tc>
        <w:tc>
          <w:tcPr>
            <w:tcW w:w="1293" w:type="dxa"/>
            <w:shd w:val="clear" w:color="auto" w:fill="BFBFBF" w:themeFill="background1" w:themeFillShade="BF"/>
            <w:tcMar>
              <w:top w:w="15" w:type="dxa"/>
              <w:left w:w="12" w:type="dxa"/>
              <w:bottom w:w="0" w:type="dxa"/>
              <w:right w:w="12" w:type="dxa"/>
            </w:tcMar>
            <w:vAlign w:val="center"/>
            <w:hideMark/>
          </w:tcPr>
          <w:p w14:paraId="12C11672" w14:textId="77777777" w:rsidR="00E133CD" w:rsidRPr="00E96281" w:rsidRDefault="00E133CD" w:rsidP="00016900">
            <w:pPr>
              <w:spacing w:after="0" w:line="240" w:lineRule="auto"/>
              <w:jc w:val="center"/>
              <w:rPr>
                <w:sz w:val="18"/>
                <w:szCs w:val="18"/>
              </w:rPr>
            </w:pPr>
            <w:r w:rsidRPr="00E96281">
              <w:rPr>
                <w:b/>
                <w:bCs/>
                <w:sz w:val="18"/>
                <w:szCs w:val="18"/>
              </w:rPr>
              <w:t>Non-rand.</w:t>
            </w:r>
            <w:r>
              <w:rPr>
                <w:sz w:val="18"/>
                <w:szCs w:val="18"/>
              </w:rPr>
              <w:t xml:space="preserve"> </w:t>
            </w:r>
            <w:r w:rsidRPr="00E96281">
              <w:rPr>
                <w:b/>
                <w:bCs/>
                <w:sz w:val="18"/>
                <w:szCs w:val="18"/>
              </w:rPr>
              <w:t>(n=158)</w:t>
            </w:r>
          </w:p>
        </w:tc>
      </w:tr>
      <w:tr w:rsidR="00E133CD" w:rsidRPr="00E96281" w14:paraId="06320545"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14FE42AC" w14:textId="77777777" w:rsidR="00E133CD" w:rsidRPr="00E96281" w:rsidRDefault="00E133CD" w:rsidP="00016900">
            <w:pPr>
              <w:spacing w:after="0" w:line="240" w:lineRule="auto"/>
              <w:jc w:val="center"/>
              <w:rPr>
                <w:sz w:val="18"/>
                <w:szCs w:val="18"/>
              </w:rPr>
            </w:pPr>
            <w:r>
              <w:rPr>
                <w:b/>
                <w:bCs/>
                <w:sz w:val="18"/>
                <w:szCs w:val="18"/>
              </w:rPr>
              <w:t>Median age (range)</w:t>
            </w:r>
          </w:p>
        </w:tc>
        <w:tc>
          <w:tcPr>
            <w:tcW w:w="1067" w:type="dxa"/>
            <w:shd w:val="clear" w:color="auto" w:fill="FFFFFF" w:themeFill="background1"/>
            <w:tcMar>
              <w:top w:w="15" w:type="dxa"/>
              <w:left w:w="12" w:type="dxa"/>
              <w:bottom w:w="0" w:type="dxa"/>
              <w:right w:w="12" w:type="dxa"/>
            </w:tcMar>
            <w:vAlign w:val="center"/>
            <w:hideMark/>
          </w:tcPr>
          <w:p w14:paraId="79507036" w14:textId="77777777" w:rsidR="00E133CD" w:rsidRPr="00E96281" w:rsidRDefault="00E133CD" w:rsidP="00016900">
            <w:pPr>
              <w:spacing w:after="0" w:line="240" w:lineRule="auto"/>
              <w:jc w:val="center"/>
              <w:rPr>
                <w:sz w:val="18"/>
                <w:szCs w:val="18"/>
              </w:rPr>
            </w:pPr>
            <w:r w:rsidRPr="00E96281">
              <w:rPr>
                <w:b/>
                <w:bCs/>
                <w:sz w:val="18"/>
                <w:szCs w:val="18"/>
              </w:rPr>
              <w:t>65 (24-86)</w:t>
            </w:r>
          </w:p>
        </w:tc>
        <w:tc>
          <w:tcPr>
            <w:tcW w:w="1067" w:type="dxa"/>
            <w:shd w:val="clear" w:color="auto" w:fill="FFFFFF" w:themeFill="background1"/>
            <w:tcMar>
              <w:top w:w="15" w:type="dxa"/>
              <w:left w:w="12" w:type="dxa"/>
              <w:bottom w:w="0" w:type="dxa"/>
              <w:right w:w="12" w:type="dxa"/>
            </w:tcMar>
            <w:vAlign w:val="center"/>
            <w:hideMark/>
          </w:tcPr>
          <w:p w14:paraId="1DEDBC82" w14:textId="77777777" w:rsidR="00E133CD" w:rsidRPr="00E96281" w:rsidRDefault="00E133CD" w:rsidP="00016900">
            <w:pPr>
              <w:spacing w:after="0" w:line="240" w:lineRule="auto"/>
              <w:jc w:val="center"/>
              <w:rPr>
                <w:sz w:val="18"/>
                <w:szCs w:val="18"/>
              </w:rPr>
            </w:pPr>
            <w:r w:rsidRPr="00E96281">
              <w:rPr>
                <w:b/>
                <w:bCs/>
                <w:sz w:val="18"/>
                <w:szCs w:val="18"/>
              </w:rPr>
              <w:t>63 (20-84)</w:t>
            </w:r>
          </w:p>
        </w:tc>
        <w:tc>
          <w:tcPr>
            <w:tcW w:w="1293" w:type="dxa"/>
            <w:shd w:val="clear" w:color="auto" w:fill="FFFFFF" w:themeFill="background1"/>
            <w:tcMar>
              <w:top w:w="15" w:type="dxa"/>
              <w:left w:w="12" w:type="dxa"/>
              <w:bottom w:w="0" w:type="dxa"/>
              <w:right w:w="12" w:type="dxa"/>
            </w:tcMar>
            <w:vAlign w:val="center"/>
            <w:hideMark/>
          </w:tcPr>
          <w:p w14:paraId="4465887D" w14:textId="77777777" w:rsidR="00E133CD" w:rsidRPr="00E96281" w:rsidRDefault="00E133CD" w:rsidP="00016900">
            <w:pPr>
              <w:spacing w:after="0" w:line="240" w:lineRule="auto"/>
              <w:jc w:val="center"/>
              <w:rPr>
                <w:sz w:val="18"/>
                <w:szCs w:val="18"/>
              </w:rPr>
            </w:pPr>
            <w:r w:rsidRPr="00E96281">
              <w:rPr>
                <w:b/>
                <w:bCs/>
                <w:sz w:val="18"/>
                <w:szCs w:val="18"/>
              </w:rPr>
              <w:t>65 (24-85)</w:t>
            </w:r>
          </w:p>
        </w:tc>
      </w:tr>
      <w:tr w:rsidR="00E133CD" w:rsidRPr="00E96281" w14:paraId="73DC603E"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4800E415" w14:textId="46651E6B" w:rsidR="00E133CD" w:rsidRPr="00E96281" w:rsidRDefault="00E133CD" w:rsidP="00016900">
            <w:pPr>
              <w:spacing w:after="0" w:line="240" w:lineRule="auto"/>
              <w:jc w:val="center"/>
              <w:rPr>
                <w:sz w:val="18"/>
                <w:szCs w:val="18"/>
              </w:rPr>
            </w:pPr>
            <w:r w:rsidRPr="00E96281">
              <w:rPr>
                <w:b/>
                <w:bCs/>
                <w:sz w:val="18"/>
                <w:szCs w:val="18"/>
              </w:rPr>
              <w:t xml:space="preserve">ECOG Performance Status – </w:t>
            </w:r>
            <w:r w:rsidR="00196D1E">
              <w:rPr>
                <w:b/>
                <w:bCs/>
                <w:sz w:val="18"/>
                <w:szCs w:val="18"/>
              </w:rPr>
              <w:t xml:space="preserve">n </w:t>
            </w:r>
            <w:r w:rsidRPr="00E96281">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653AE66C"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1FA6B38C"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5942D46E" w14:textId="77777777" w:rsidR="00E133CD" w:rsidRPr="00E96281" w:rsidRDefault="00E133CD" w:rsidP="00016900">
            <w:pPr>
              <w:spacing w:after="0" w:line="240" w:lineRule="auto"/>
              <w:jc w:val="center"/>
              <w:rPr>
                <w:sz w:val="18"/>
                <w:szCs w:val="18"/>
              </w:rPr>
            </w:pPr>
          </w:p>
        </w:tc>
      </w:tr>
      <w:tr w:rsidR="00E133CD" w:rsidRPr="00E96281" w14:paraId="5AFE1DD1"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68651405" w14:textId="77777777" w:rsidR="00E133CD" w:rsidRPr="00E96281" w:rsidRDefault="00E133CD" w:rsidP="00016900">
            <w:pPr>
              <w:spacing w:after="0" w:line="240" w:lineRule="auto"/>
              <w:jc w:val="center"/>
              <w:rPr>
                <w:sz w:val="18"/>
                <w:szCs w:val="18"/>
              </w:rPr>
            </w:pPr>
            <w:r w:rsidRPr="00E96281">
              <w:rPr>
                <w:b/>
                <w:bCs/>
                <w:sz w:val="18"/>
                <w:szCs w:val="18"/>
              </w:rPr>
              <w:t>0</w:t>
            </w:r>
          </w:p>
        </w:tc>
        <w:tc>
          <w:tcPr>
            <w:tcW w:w="1067" w:type="dxa"/>
            <w:shd w:val="clear" w:color="auto" w:fill="FFFFFF" w:themeFill="background1"/>
            <w:tcMar>
              <w:top w:w="15" w:type="dxa"/>
              <w:left w:w="12" w:type="dxa"/>
              <w:bottom w:w="0" w:type="dxa"/>
              <w:right w:w="12" w:type="dxa"/>
            </w:tcMar>
            <w:vAlign w:val="center"/>
            <w:hideMark/>
          </w:tcPr>
          <w:p w14:paraId="08BDFA6E" w14:textId="5637C109" w:rsidR="00E133CD" w:rsidRPr="00E96281" w:rsidRDefault="00196D1E" w:rsidP="00016900">
            <w:pPr>
              <w:spacing w:after="0" w:line="240" w:lineRule="auto"/>
              <w:jc w:val="center"/>
              <w:rPr>
                <w:sz w:val="18"/>
                <w:szCs w:val="18"/>
              </w:rPr>
            </w:pPr>
            <w:r>
              <w:rPr>
                <w:b/>
                <w:bCs/>
                <w:sz w:val="18"/>
                <w:szCs w:val="18"/>
              </w:rPr>
              <w:t>250 (</w:t>
            </w:r>
            <w:r w:rsidR="00E133CD" w:rsidRPr="00E96281">
              <w:rPr>
                <w:b/>
                <w:bCs/>
                <w:sz w:val="18"/>
                <w:szCs w:val="18"/>
              </w:rPr>
              <w:t>56.4</w:t>
            </w:r>
            <w:r w:rsidR="0078152A">
              <w:rPr>
                <w:b/>
                <w:bCs/>
                <w:sz w:val="18"/>
                <w:szCs w:val="18"/>
              </w:rPr>
              <w:t>%</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7B3D160A" w14:textId="33F56504" w:rsidR="00E133CD" w:rsidRPr="00E96281" w:rsidRDefault="0078152A" w:rsidP="00016900">
            <w:pPr>
              <w:spacing w:after="0" w:line="240" w:lineRule="auto"/>
              <w:jc w:val="center"/>
              <w:rPr>
                <w:sz w:val="18"/>
                <w:szCs w:val="18"/>
              </w:rPr>
            </w:pPr>
            <w:r>
              <w:rPr>
                <w:b/>
                <w:bCs/>
                <w:sz w:val="18"/>
                <w:szCs w:val="18"/>
              </w:rPr>
              <w:t>222 (</w:t>
            </w:r>
            <w:r w:rsidR="00E133CD" w:rsidRPr="00E96281">
              <w:rPr>
                <w:b/>
                <w:bCs/>
                <w:sz w:val="18"/>
                <w:szCs w:val="18"/>
              </w:rPr>
              <w:t>50.1</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718373CB" w14:textId="1EB4C8A7" w:rsidR="00E133CD" w:rsidRPr="00E96281" w:rsidRDefault="0078152A" w:rsidP="00016900">
            <w:pPr>
              <w:spacing w:after="0" w:line="240" w:lineRule="auto"/>
              <w:jc w:val="center"/>
              <w:rPr>
                <w:sz w:val="18"/>
                <w:szCs w:val="18"/>
              </w:rPr>
            </w:pPr>
            <w:r>
              <w:rPr>
                <w:b/>
                <w:bCs/>
                <w:sz w:val="18"/>
                <w:szCs w:val="18"/>
              </w:rPr>
              <w:t>73 (</w:t>
            </w:r>
            <w:r w:rsidR="00E133CD" w:rsidRPr="00E96281">
              <w:rPr>
                <w:b/>
                <w:bCs/>
                <w:sz w:val="18"/>
                <w:szCs w:val="18"/>
              </w:rPr>
              <w:t>47.4</w:t>
            </w:r>
            <w:r>
              <w:rPr>
                <w:b/>
                <w:bCs/>
                <w:sz w:val="18"/>
                <w:szCs w:val="18"/>
              </w:rPr>
              <w:t>%)</w:t>
            </w:r>
          </w:p>
        </w:tc>
      </w:tr>
      <w:tr w:rsidR="00E133CD" w:rsidRPr="00E96281" w14:paraId="6240B7B8"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61CACA7E" w14:textId="77777777" w:rsidR="00E133CD" w:rsidRPr="00E96281" w:rsidRDefault="00E133CD" w:rsidP="00016900">
            <w:pPr>
              <w:spacing w:after="0" w:line="240" w:lineRule="auto"/>
              <w:jc w:val="center"/>
              <w:rPr>
                <w:sz w:val="18"/>
                <w:szCs w:val="18"/>
              </w:rPr>
            </w:pPr>
            <w:r w:rsidRPr="00E96281">
              <w:rPr>
                <w:b/>
                <w:bCs/>
                <w:sz w:val="18"/>
                <w:szCs w:val="18"/>
              </w:rPr>
              <w:t>1</w:t>
            </w:r>
          </w:p>
        </w:tc>
        <w:tc>
          <w:tcPr>
            <w:tcW w:w="1067" w:type="dxa"/>
            <w:shd w:val="clear" w:color="auto" w:fill="FFFFFF" w:themeFill="background1"/>
            <w:tcMar>
              <w:top w:w="15" w:type="dxa"/>
              <w:left w:w="12" w:type="dxa"/>
              <w:bottom w:w="0" w:type="dxa"/>
              <w:right w:w="12" w:type="dxa"/>
            </w:tcMar>
            <w:vAlign w:val="center"/>
            <w:hideMark/>
          </w:tcPr>
          <w:p w14:paraId="3BC72F5F" w14:textId="621ABC24" w:rsidR="00E133CD" w:rsidRPr="00E96281" w:rsidRDefault="0078152A" w:rsidP="00016900">
            <w:pPr>
              <w:spacing w:after="0" w:line="240" w:lineRule="auto"/>
              <w:jc w:val="center"/>
              <w:rPr>
                <w:sz w:val="18"/>
                <w:szCs w:val="18"/>
              </w:rPr>
            </w:pPr>
            <w:r>
              <w:rPr>
                <w:b/>
                <w:bCs/>
                <w:sz w:val="18"/>
                <w:szCs w:val="18"/>
              </w:rPr>
              <w:t>142 (</w:t>
            </w:r>
            <w:r w:rsidR="00E133CD" w:rsidRPr="00E96281">
              <w:rPr>
                <w:b/>
                <w:bCs/>
                <w:sz w:val="18"/>
                <w:szCs w:val="18"/>
              </w:rPr>
              <w:t>32.1</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6371230E" w14:textId="2DD3EAC9" w:rsidR="00E133CD" w:rsidRPr="00E96281" w:rsidRDefault="0078152A" w:rsidP="00016900">
            <w:pPr>
              <w:spacing w:after="0" w:line="240" w:lineRule="auto"/>
              <w:jc w:val="center"/>
              <w:rPr>
                <w:sz w:val="18"/>
                <w:szCs w:val="18"/>
              </w:rPr>
            </w:pPr>
            <w:r>
              <w:rPr>
                <w:b/>
                <w:bCs/>
                <w:sz w:val="18"/>
                <w:szCs w:val="18"/>
              </w:rPr>
              <w:t>168 (</w:t>
            </w:r>
            <w:r w:rsidR="00E133CD" w:rsidRPr="00E96281">
              <w:rPr>
                <w:b/>
                <w:bCs/>
                <w:sz w:val="18"/>
                <w:szCs w:val="18"/>
              </w:rPr>
              <w:t>37.9</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065ABE3C" w14:textId="5E712A98" w:rsidR="00E133CD" w:rsidRPr="00E96281" w:rsidRDefault="0078152A" w:rsidP="00016900">
            <w:pPr>
              <w:spacing w:after="0" w:line="240" w:lineRule="auto"/>
              <w:jc w:val="center"/>
              <w:rPr>
                <w:sz w:val="18"/>
                <w:szCs w:val="18"/>
              </w:rPr>
            </w:pPr>
            <w:r>
              <w:rPr>
                <w:b/>
                <w:bCs/>
                <w:sz w:val="18"/>
                <w:szCs w:val="18"/>
              </w:rPr>
              <w:t>57 (</w:t>
            </w:r>
            <w:r w:rsidR="00E133CD" w:rsidRPr="00E96281">
              <w:rPr>
                <w:b/>
                <w:bCs/>
                <w:sz w:val="18"/>
                <w:szCs w:val="18"/>
              </w:rPr>
              <w:t>37.0</w:t>
            </w:r>
            <w:r>
              <w:rPr>
                <w:b/>
                <w:bCs/>
                <w:sz w:val="18"/>
                <w:szCs w:val="18"/>
              </w:rPr>
              <w:t>%)</w:t>
            </w:r>
          </w:p>
        </w:tc>
      </w:tr>
      <w:tr w:rsidR="00E133CD" w:rsidRPr="00E96281" w14:paraId="63DC59FD"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67D50953" w14:textId="77777777" w:rsidR="00E133CD" w:rsidRPr="00E96281" w:rsidRDefault="00E133CD" w:rsidP="00016900">
            <w:pPr>
              <w:spacing w:after="0" w:line="240" w:lineRule="auto"/>
              <w:jc w:val="center"/>
              <w:rPr>
                <w:sz w:val="18"/>
                <w:szCs w:val="18"/>
              </w:rPr>
            </w:pPr>
            <w:r w:rsidRPr="00E96281">
              <w:rPr>
                <w:b/>
                <w:bCs/>
                <w:sz w:val="18"/>
                <w:szCs w:val="18"/>
              </w:rPr>
              <w:t>2</w:t>
            </w:r>
          </w:p>
        </w:tc>
        <w:tc>
          <w:tcPr>
            <w:tcW w:w="1067" w:type="dxa"/>
            <w:shd w:val="clear" w:color="auto" w:fill="FFFFFF" w:themeFill="background1"/>
            <w:tcMar>
              <w:top w:w="15" w:type="dxa"/>
              <w:left w:w="12" w:type="dxa"/>
              <w:bottom w:w="0" w:type="dxa"/>
              <w:right w:w="12" w:type="dxa"/>
            </w:tcMar>
            <w:vAlign w:val="center"/>
            <w:hideMark/>
          </w:tcPr>
          <w:p w14:paraId="72D39C2D" w14:textId="4C57AA60" w:rsidR="00E133CD" w:rsidRPr="00E96281" w:rsidRDefault="0078152A" w:rsidP="00016900">
            <w:pPr>
              <w:spacing w:after="0" w:line="240" w:lineRule="auto"/>
              <w:jc w:val="center"/>
              <w:rPr>
                <w:sz w:val="18"/>
                <w:szCs w:val="18"/>
              </w:rPr>
            </w:pPr>
            <w:r>
              <w:rPr>
                <w:b/>
                <w:bCs/>
                <w:sz w:val="18"/>
                <w:szCs w:val="18"/>
              </w:rPr>
              <w:t>51 (</w:t>
            </w:r>
            <w:r w:rsidR="00E133CD" w:rsidRPr="00E96281">
              <w:rPr>
                <w:b/>
                <w:bCs/>
                <w:sz w:val="18"/>
                <w:szCs w:val="18"/>
              </w:rPr>
              <w:t>11.5</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3B1B612F" w14:textId="7FE97187" w:rsidR="00E133CD" w:rsidRPr="00E96281" w:rsidRDefault="0078152A" w:rsidP="00016900">
            <w:pPr>
              <w:spacing w:after="0" w:line="240" w:lineRule="auto"/>
              <w:jc w:val="center"/>
              <w:rPr>
                <w:sz w:val="18"/>
                <w:szCs w:val="18"/>
              </w:rPr>
            </w:pPr>
            <w:r>
              <w:rPr>
                <w:b/>
                <w:bCs/>
                <w:sz w:val="18"/>
                <w:szCs w:val="18"/>
              </w:rPr>
              <w:t>53 (</w:t>
            </w:r>
            <w:r w:rsidR="00E133CD" w:rsidRPr="00E96281">
              <w:rPr>
                <w:b/>
                <w:bCs/>
                <w:sz w:val="18"/>
                <w:szCs w:val="18"/>
              </w:rPr>
              <w:t>12.0</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246C2536" w14:textId="77DE4A72" w:rsidR="00E133CD" w:rsidRPr="00E96281" w:rsidRDefault="0078152A" w:rsidP="00016900">
            <w:pPr>
              <w:spacing w:after="0" w:line="240" w:lineRule="auto"/>
              <w:jc w:val="center"/>
              <w:rPr>
                <w:sz w:val="18"/>
                <w:szCs w:val="18"/>
              </w:rPr>
            </w:pPr>
            <w:r>
              <w:rPr>
                <w:b/>
                <w:bCs/>
                <w:sz w:val="18"/>
                <w:szCs w:val="18"/>
              </w:rPr>
              <w:t>24 (</w:t>
            </w:r>
            <w:r w:rsidR="00E133CD" w:rsidRPr="00E96281">
              <w:rPr>
                <w:b/>
                <w:bCs/>
                <w:sz w:val="18"/>
                <w:szCs w:val="18"/>
              </w:rPr>
              <w:t>15.6</w:t>
            </w:r>
            <w:r>
              <w:rPr>
                <w:b/>
                <w:bCs/>
                <w:sz w:val="18"/>
                <w:szCs w:val="18"/>
              </w:rPr>
              <w:t>%)</w:t>
            </w:r>
          </w:p>
        </w:tc>
      </w:tr>
      <w:tr w:rsidR="00E133CD" w:rsidRPr="00E96281" w14:paraId="54137EE4"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177522CB" w14:textId="4269DC52" w:rsidR="00E133CD" w:rsidRPr="00E96281" w:rsidRDefault="00E133CD" w:rsidP="00016900">
            <w:pPr>
              <w:spacing w:after="0" w:line="240" w:lineRule="auto"/>
              <w:jc w:val="center"/>
              <w:rPr>
                <w:sz w:val="18"/>
                <w:szCs w:val="18"/>
              </w:rPr>
            </w:pPr>
            <w:r w:rsidRPr="00E96281">
              <w:rPr>
                <w:b/>
                <w:bCs/>
                <w:sz w:val="18"/>
                <w:szCs w:val="18"/>
              </w:rPr>
              <w:t>Bone marrow involved</w:t>
            </w:r>
            <w:r w:rsidR="0078152A" w:rsidRPr="00E96281">
              <w:rPr>
                <w:b/>
                <w:bCs/>
                <w:sz w:val="18"/>
                <w:szCs w:val="18"/>
              </w:rPr>
              <w:t xml:space="preserve"> </w:t>
            </w:r>
            <w:r w:rsidR="0078152A">
              <w:rPr>
                <w:b/>
                <w:bCs/>
                <w:sz w:val="18"/>
                <w:szCs w:val="18"/>
              </w:rPr>
              <w:t xml:space="preserve">- n </w:t>
            </w:r>
            <w:r w:rsidR="0078152A" w:rsidRPr="00E96281">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03C47E19"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242628FA"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66FEB285" w14:textId="77777777" w:rsidR="00E133CD" w:rsidRPr="00E96281" w:rsidRDefault="00E133CD" w:rsidP="00016900">
            <w:pPr>
              <w:spacing w:after="0" w:line="240" w:lineRule="auto"/>
              <w:jc w:val="center"/>
              <w:rPr>
                <w:sz w:val="18"/>
                <w:szCs w:val="18"/>
              </w:rPr>
            </w:pPr>
          </w:p>
        </w:tc>
      </w:tr>
      <w:tr w:rsidR="00E133CD" w:rsidRPr="00E96281" w14:paraId="4E4A7221"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0AF7E439" w14:textId="6DB006E7" w:rsidR="00E133CD" w:rsidRPr="00E96281" w:rsidRDefault="00E133CD" w:rsidP="0078152A">
            <w:pPr>
              <w:spacing w:after="0" w:line="240" w:lineRule="auto"/>
              <w:jc w:val="center"/>
              <w:rPr>
                <w:sz w:val="18"/>
                <w:szCs w:val="18"/>
              </w:rPr>
            </w:pPr>
            <w:r w:rsidRPr="00E96281">
              <w:rPr>
                <w:b/>
                <w:bCs/>
                <w:sz w:val="18"/>
                <w:szCs w:val="18"/>
              </w:rPr>
              <w:t>Yes</w:t>
            </w:r>
          </w:p>
        </w:tc>
        <w:tc>
          <w:tcPr>
            <w:tcW w:w="1067" w:type="dxa"/>
            <w:shd w:val="clear" w:color="auto" w:fill="FFFFFF" w:themeFill="background1"/>
            <w:tcMar>
              <w:top w:w="15" w:type="dxa"/>
              <w:left w:w="12" w:type="dxa"/>
              <w:bottom w:w="0" w:type="dxa"/>
              <w:right w:w="12" w:type="dxa"/>
            </w:tcMar>
            <w:vAlign w:val="center"/>
            <w:hideMark/>
          </w:tcPr>
          <w:p w14:paraId="62FB07B1" w14:textId="694D1199" w:rsidR="00E133CD" w:rsidRPr="00E96281" w:rsidRDefault="00C25DE0" w:rsidP="00016900">
            <w:pPr>
              <w:spacing w:after="0" w:line="240" w:lineRule="auto"/>
              <w:jc w:val="center"/>
              <w:rPr>
                <w:sz w:val="18"/>
                <w:szCs w:val="18"/>
              </w:rPr>
            </w:pPr>
            <w:r>
              <w:rPr>
                <w:b/>
                <w:bCs/>
                <w:sz w:val="18"/>
                <w:szCs w:val="18"/>
              </w:rPr>
              <w:t>78 (</w:t>
            </w:r>
            <w:r w:rsidR="00E133CD" w:rsidRPr="00E96281">
              <w:rPr>
                <w:b/>
                <w:bCs/>
                <w:sz w:val="18"/>
                <w:szCs w:val="18"/>
              </w:rPr>
              <w:t>17.4</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5362F8DA" w14:textId="0AD4EC78" w:rsidR="00E133CD" w:rsidRPr="00E96281" w:rsidRDefault="00C25DE0" w:rsidP="00016900">
            <w:pPr>
              <w:spacing w:after="0" w:line="240" w:lineRule="auto"/>
              <w:jc w:val="center"/>
              <w:rPr>
                <w:sz w:val="18"/>
                <w:szCs w:val="18"/>
              </w:rPr>
            </w:pPr>
            <w:r>
              <w:rPr>
                <w:b/>
                <w:bCs/>
                <w:sz w:val="18"/>
                <w:szCs w:val="18"/>
              </w:rPr>
              <w:t>63 (</w:t>
            </w:r>
            <w:r w:rsidR="00E133CD" w:rsidRPr="00E96281">
              <w:rPr>
                <w:b/>
                <w:bCs/>
                <w:sz w:val="18"/>
                <w:szCs w:val="18"/>
              </w:rPr>
              <w:t>14.1</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16F19E16" w14:textId="48C99808" w:rsidR="00E133CD" w:rsidRPr="00E96281" w:rsidRDefault="00C25DE0" w:rsidP="00016900">
            <w:pPr>
              <w:spacing w:after="0" w:line="240" w:lineRule="auto"/>
              <w:jc w:val="center"/>
              <w:rPr>
                <w:sz w:val="18"/>
                <w:szCs w:val="18"/>
              </w:rPr>
            </w:pPr>
            <w:r>
              <w:rPr>
                <w:b/>
                <w:bCs/>
                <w:sz w:val="18"/>
                <w:szCs w:val="18"/>
              </w:rPr>
              <w:t>34 (</w:t>
            </w:r>
            <w:r w:rsidR="00E133CD" w:rsidRPr="00E96281">
              <w:rPr>
                <w:b/>
                <w:bCs/>
                <w:sz w:val="18"/>
                <w:szCs w:val="18"/>
              </w:rPr>
              <w:t>21.7</w:t>
            </w:r>
            <w:r>
              <w:rPr>
                <w:b/>
                <w:bCs/>
                <w:sz w:val="18"/>
                <w:szCs w:val="18"/>
              </w:rPr>
              <w:t>%)</w:t>
            </w:r>
          </w:p>
        </w:tc>
      </w:tr>
      <w:tr w:rsidR="00E133CD" w:rsidRPr="00E96281" w14:paraId="35D2304A"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1909486A" w14:textId="68FA9B39" w:rsidR="00E133CD" w:rsidRPr="00E96281" w:rsidRDefault="00E133CD" w:rsidP="00016900">
            <w:pPr>
              <w:spacing w:after="0" w:line="240" w:lineRule="auto"/>
              <w:jc w:val="center"/>
              <w:rPr>
                <w:sz w:val="18"/>
                <w:szCs w:val="18"/>
              </w:rPr>
            </w:pPr>
            <w:r w:rsidRPr="00E96281">
              <w:rPr>
                <w:b/>
                <w:bCs/>
                <w:sz w:val="18"/>
                <w:szCs w:val="18"/>
                <w:lang w:val="pt-PT"/>
              </w:rPr>
              <w:t>Serum LDH Level</w:t>
            </w:r>
            <w:r w:rsidR="0078152A">
              <w:rPr>
                <w:b/>
                <w:bCs/>
                <w:sz w:val="18"/>
                <w:szCs w:val="18"/>
                <w:lang w:val="pt-PT"/>
              </w:rPr>
              <w:t xml:space="preserve"> – n (%)</w:t>
            </w:r>
          </w:p>
        </w:tc>
        <w:tc>
          <w:tcPr>
            <w:tcW w:w="1067" w:type="dxa"/>
            <w:shd w:val="clear" w:color="auto" w:fill="FFFFFF" w:themeFill="background1"/>
            <w:tcMar>
              <w:top w:w="15" w:type="dxa"/>
              <w:left w:w="12" w:type="dxa"/>
              <w:bottom w:w="0" w:type="dxa"/>
              <w:right w:w="12" w:type="dxa"/>
            </w:tcMar>
            <w:vAlign w:val="center"/>
            <w:hideMark/>
          </w:tcPr>
          <w:p w14:paraId="142BB79E"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6C2FE936"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05129B08" w14:textId="77777777" w:rsidR="00E133CD" w:rsidRPr="00E96281" w:rsidRDefault="00E133CD" w:rsidP="00016900">
            <w:pPr>
              <w:spacing w:after="0" w:line="240" w:lineRule="auto"/>
              <w:jc w:val="center"/>
              <w:rPr>
                <w:sz w:val="18"/>
                <w:szCs w:val="18"/>
              </w:rPr>
            </w:pPr>
          </w:p>
        </w:tc>
      </w:tr>
      <w:tr w:rsidR="00E133CD" w:rsidRPr="00E96281" w14:paraId="7F9D9317"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B934B11" w14:textId="1505BC77" w:rsidR="00E133CD" w:rsidRPr="00E96281" w:rsidRDefault="00E133CD" w:rsidP="0078152A">
            <w:pPr>
              <w:spacing w:after="0" w:line="240" w:lineRule="auto"/>
              <w:jc w:val="center"/>
              <w:rPr>
                <w:sz w:val="18"/>
                <w:szCs w:val="18"/>
              </w:rPr>
            </w:pPr>
            <w:r w:rsidRPr="00E96281">
              <w:rPr>
                <w:b/>
                <w:bCs/>
                <w:sz w:val="18"/>
                <w:szCs w:val="18"/>
                <w:lang w:val="pt-PT"/>
              </w:rPr>
              <w:t>&gt;ULN</w:t>
            </w:r>
          </w:p>
        </w:tc>
        <w:tc>
          <w:tcPr>
            <w:tcW w:w="1067" w:type="dxa"/>
            <w:shd w:val="clear" w:color="auto" w:fill="FFFFFF" w:themeFill="background1"/>
            <w:tcMar>
              <w:top w:w="15" w:type="dxa"/>
              <w:left w:w="12" w:type="dxa"/>
              <w:bottom w:w="0" w:type="dxa"/>
              <w:right w:w="12" w:type="dxa"/>
            </w:tcMar>
            <w:vAlign w:val="center"/>
            <w:hideMark/>
          </w:tcPr>
          <w:p w14:paraId="3CB3B041" w14:textId="6A2CF24E" w:rsidR="00E133CD" w:rsidRPr="00E96281" w:rsidRDefault="00C25DE0" w:rsidP="00016900">
            <w:pPr>
              <w:spacing w:after="0" w:line="240" w:lineRule="auto"/>
              <w:jc w:val="center"/>
              <w:rPr>
                <w:sz w:val="18"/>
                <w:szCs w:val="18"/>
              </w:rPr>
            </w:pPr>
            <w:r>
              <w:rPr>
                <w:b/>
                <w:bCs/>
                <w:sz w:val="18"/>
                <w:szCs w:val="18"/>
              </w:rPr>
              <w:t>224 (</w:t>
            </w:r>
            <w:r w:rsidR="00E133CD" w:rsidRPr="00E96281">
              <w:rPr>
                <w:b/>
                <w:bCs/>
                <w:sz w:val="18"/>
                <w:szCs w:val="18"/>
              </w:rPr>
              <w:t>59.4</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547D88BA" w14:textId="33CF189A" w:rsidR="00E133CD" w:rsidRPr="00E96281" w:rsidRDefault="00C25DE0" w:rsidP="00016900">
            <w:pPr>
              <w:spacing w:after="0" w:line="240" w:lineRule="auto"/>
              <w:jc w:val="center"/>
              <w:rPr>
                <w:sz w:val="18"/>
                <w:szCs w:val="18"/>
              </w:rPr>
            </w:pPr>
            <w:r>
              <w:rPr>
                <w:b/>
                <w:bCs/>
                <w:sz w:val="18"/>
                <w:szCs w:val="18"/>
              </w:rPr>
              <w:t>227 (</w:t>
            </w:r>
            <w:r w:rsidR="00E133CD" w:rsidRPr="00E96281">
              <w:rPr>
                <w:b/>
                <w:bCs/>
                <w:sz w:val="18"/>
                <w:szCs w:val="18"/>
              </w:rPr>
              <w:t>61.7</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6EF31C9D" w14:textId="47F41377" w:rsidR="00E133CD" w:rsidRPr="00E96281" w:rsidRDefault="00C25DE0" w:rsidP="00016900">
            <w:pPr>
              <w:spacing w:after="0" w:line="240" w:lineRule="auto"/>
              <w:jc w:val="center"/>
              <w:rPr>
                <w:sz w:val="18"/>
                <w:szCs w:val="18"/>
              </w:rPr>
            </w:pPr>
            <w:r>
              <w:rPr>
                <w:b/>
                <w:bCs/>
                <w:sz w:val="18"/>
                <w:szCs w:val="18"/>
              </w:rPr>
              <w:t>77 (</w:t>
            </w:r>
            <w:r w:rsidR="00E133CD" w:rsidRPr="00E96281">
              <w:rPr>
                <w:b/>
                <w:bCs/>
                <w:sz w:val="18"/>
                <w:szCs w:val="18"/>
              </w:rPr>
              <w:t>71.3</w:t>
            </w:r>
            <w:r>
              <w:rPr>
                <w:b/>
                <w:bCs/>
                <w:sz w:val="18"/>
                <w:szCs w:val="18"/>
              </w:rPr>
              <w:t>%)</w:t>
            </w:r>
          </w:p>
        </w:tc>
      </w:tr>
      <w:tr w:rsidR="00E133CD" w:rsidRPr="00E96281" w14:paraId="5FA190A1"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B20D476" w14:textId="14C699FA" w:rsidR="00E133CD" w:rsidRPr="00E96281" w:rsidRDefault="00E133CD" w:rsidP="00016900">
            <w:pPr>
              <w:spacing w:after="0" w:line="240" w:lineRule="auto"/>
              <w:jc w:val="center"/>
              <w:rPr>
                <w:sz w:val="18"/>
                <w:szCs w:val="18"/>
              </w:rPr>
            </w:pPr>
            <w:r w:rsidRPr="00E96281">
              <w:rPr>
                <w:b/>
                <w:bCs/>
                <w:sz w:val="18"/>
                <w:szCs w:val="18"/>
              </w:rPr>
              <w:t xml:space="preserve">IPI score – </w:t>
            </w:r>
            <w:r w:rsidR="0078152A">
              <w:rPr>
                <w:b/>
                <w:bCs/>
                <w:sz w:val="18"/>
                <w:szCs w:val="18"/>
              </w:rPr>
              <w:t xml:space="preserve">n </w:t>
            </w:r>
            <w:r w:rsidRPr="00E96281">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15839D7E"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753DB074"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5AA74F7F" w14:textId="77777777" w:rsidR="00E133CD" w:rsidRPr="00E96281" w:rsidRDefault="00E133CD" w:rsidP="00016900">
            <w:pPr>
              <w:spacing w:after="0" w:line="240" w:lineRule="auto"/>
              <w:jc w:val="center"/>
              <w:rPr>
                <w:sz w:val="18"/>
                <w:szCs w:val="18"/>
              </w:rPr>
            </w:pPr>
          </w:p>
        </w:tc>
      </w:tr>
      <w:tr w:rsidR="00E133CD" w:rsidRPr="00E96281" w14:paraId="641B4FE0"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43653FE" w14:textId="10AB0532" w:rsidR="00E133CD" w:rsidRPr="00E96281" w:rsidRDefault="00E133CD" w:rsidP="00016900">
            <w:pPr>
              <w:spacing w:after="0" w:line="240" w:lineRule="auto"/>
              <w:jc w:val="center"/>
              <w:rPr>
                <w:sz w:val="18"/>
                <w:szCs w:val="18"/>
              </w:rPr>
            </w:pPr>
            <w:r w:rsidRPr="00E96281">
              <w:rPr>
                <w:b/>
                <w:bCs/>
                <w:sz w:val="18"/>
                <w:szCs w:val="18"/>
              </w:rPr>
              <w:t>Low</w:t>
            </w:r>
            <w:r w:rsidR="004D0292">
              <w:rPr>
                <w:b/>
                <w:bCs/>
                <w:sz w:val="18"/>
                <w:szCs w:val="18"/>
              </w:rPr>
              <w:t xml:space="preserve"> (0-1)</w:t>
            </w:r>
          </w:p>
        </w:tc>
        <w:tc>
          <w:tcPr>
            <w:tcW w:w="1067" w:type="dxa"/>
            <w:shd w:val="clear" w:color="auto" w:fill="FFFFFF" w:themeFill="background1"/>
            <w:tcMar>
              <w:top w:w="15" w:type="dxa"/>
              <w:left w:w="12" w:type="dxa"/>
              <w:bottom w:w="0" w:type="dxa"/>
              <w:right w:w="12" w:type="dxa"/>
            </w:tcMar>
            <w:vAlign w:val="center"/>
            <w:hideMark/>
          </w:tcPr>
          <w:p w14:paraId="43411981" w14:textId="61D5F6D4" w:rsidR="00E133CD" w:rsidRPr="00E96281" w:rsidRDefault="00C25DE0" w:rsidP="00016900">
            <w:pPr>
              <w:spacing w:after="0" w:line="240" w:lineRule="auto"/>
              <w:jc w:val="center"/>
              <w:rPr>
                <w:sz w:val="18"/>
                <w:szCs w:val="18"/>
              </w:rPr>
            </w:pPr>
            <w:r>
              <w:rPr>
                <w:b/>
                <w:bCs/>
                <w:sz w:val="18"/>
                <w:szCs w:val="18"/>
              </w:rPr>
              <w:t>123 (</w:t>
            </w:r>
            <w:r w:rsidR="00E133CD" w:rsidRPr="00E96281">
              <w:rPr>
                <w:b/>
                <w:bCs/>
                <w:sz w:val="18"/>
                <w:szCs w:val="18"/>
              </w:rPr>
              <w:t>26.8</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337C48B9" w14:textId="62C5C684" w:rsidR="00E133CD" w:rsidRPr="00E96281" w:rsidRDefault="00C25DE0" w:rsidP="00016900">
            <w:pPr>
              <w:spacing w:after="0" w:line="240" w:lineRule="auto"/>
              <w:jc w:val="center"/>
              <w:rPr>
                <w:sz w:val="18"/>
                <w:szCs w:val="18"/>
              </w:rPr>
            </w:pPr>
            <w:r>
              <w:rPr>
                <w:b/>
                <w:bCs/>
                <w:sz w:val="18"/>
                <w:szCs w:val="18"/>
              </w:rPr>
              <w:t>120 (</w:t>
            </w:r>
            <w:r w:rsidR="00E133CD" w:rsidRPr="00E96281">
              <w:rPr>
                <w:b/>
                <w:bCs/>
                <w:sz w:val="18"/>
                <w:szCs w:val="18"/>
              </w:rPr>
              <w:t>26.1</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41FEB966" w14:textId="4C413DA6" w:rsidR="00E133CD" w:rsidRPr="00E96281" w:rsidRDefault="00C25DE0" w:rsidP="00016900">
            <w:pPr>
              <w:spacing w:after="0" w:line="240" w:lineRule="auto"/>
              <w:jc w:val="center"/>
              <w:rPr>
                <w:sz w:val="18"/>
                <w:szCs w:val="18"/>
              </w:rPr>
            </w:pPr>
            <w:r>
              <w:rPr>
                <w:b/>
                <w:bCs/>
                <w:sz w:val="18"/>
                <w:szCs w:val="18"/>
              </w:rPr>
              <w:t>33 (</w:t>
            </w:r>
            <w:r w:rsidR="00E133CD" w:rsidRPr="00E96281">
              <w:rPr>
                <w:b/>
                <w:bCs/>
                <w:sz w:val="18"/>
                <w:szCs w:val="18"/>
              </w:rPr>
              <w:t>20.9</w:t>
            </w:r>
            <w:r>
              <w:rPr>
                <w:b/>
                <w:bCs/>
                <w:sz w:val="18"/>
                <w:szCs w:val="18"/>
              </w:rPr>
              <w:t>%)</w:t>
            </w:r>
          </w:p>
        </w:tc>
      </w:tr>
      <w:tr w:rsidR="00E133CD" w:rsidRPr="00E96281" w14:paraId="3F208905"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06D42BB4" w14:textId="03578F29" w:rsidR="00E133CD" w:rsidRPr="00E96281" w:rsidRDefault="00E133CD" w:rsidP="00016900">
            <w:pPr>
              <w:spacing w:after="0" w:line="240" w:lineRule="auto"/>
              <w:jc w:val="center"/>
              <w:rPr>
                <w:sz w:val="18"/>
                <w:szCs w:val="18"/>
              </w:rPr>
            </w:pPr>
            <w:r w:rsidRPr="00E96281">
              <w:rPr>
                <w:b/>
                <w:bCs/>
                <w:sz w:val="18"/>
                <w:szCs w:val="18"/>
              </w:rPr>
              <w:t>Low Intermediate</w:t>
            </w:r>
            <w:r w:rsidR="004D0292">
              <w:rPr>
                <w:b/>
                <w:bCs/>
                <w:sz w:val="18"/>
                <w:szCs w:val="18"/>
              </w:rPr>
              <w:t xml:space="preserve"> (2)</w:t>
            </w:r>
          </w:p>
        </w:tc>
        <w:tc>
          <w:tcPr>
            <w:tcW w:w="1067" w:type="dxa"/>
            <w:shd w:val="clear" w:color="auto" w:fill="FFFFFF" w:themeFill="background1"/>
            <w:tcMar>
              <w:top w:w="15" w:type="dxa"/>
              <w:left w:w="12" w:type="dxa"/>
              <w:bottom w:w="0" w:type="dxa"/>
              <w:right w:w="12" w:type="dxa"/>
            </w:tcMar>
            <w:vAlign w:val="center"/>
            <w:hideMark/>
          </w:tcPr>
          <w:p w14:paraId="149D5E60" w14:textId="6E8C8B89" w:rsidR="00E133CD" w:rsidRPr="00E96281" w:rsidRDefault="00C25DE0" w:rsidP="00016900">
            <w:pPr>
              <w:spacing w:after="0" w:line="240" w:lineRule="auto"/>
              <w:jc w:val="center"/>
              <w:rPr>
                <w:sz w:val="18"/>
                <w:szCs w:val="18"/>
              </w:rPr>
            </w:pPr>
            <w:r>
              <w:rPr>
                <w:b/>
                <w:bCs/>
                <w:sz w:val="18"/>
                <w:szCs w:val="18"/>
              </w:rPr>
              <w:t>11 (</w:t>
            </w:r>
            <w:r w:rsidR="00E133CD" w:rsidRPr="00E96281">
              <w:rPr>
                <w:b/>
                <w:bCs/>
                <w:sz w:val="18"/>
                <w:szCs w:val="18"/>
              </w:rPr>
              <w:t>24.2</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743A5560" w14:textId="193406FB" w:rsidR="00E133CD" w:rsidRPr="00E96281" w:rsidRDefault="00C25DE0" w:rsidP="00016900">
            <w:pPr>
              <w:spacing w:after="0" w:line="240" w:lineRule="auto"/>
              <w:jc w:val="center"/>
              <w:rPr>
                <w:sz w:val="18"/>
                <w:szCs w:val="18"/>
              </w:rPr>
            </w:pPr>
            <w:r>
              <w:rPr>
                <w:b/>
                <w:bCs/>
                <w:sz w:val="18"/>
                <w:szCs w:val="18"/>
              </w:rPr>
              <w:t>123 (</w:t>
            </w:r>
            <w:r w:rsidR="00E133CD" w:rsidRPr="00E96281">
              <w:rPr>
                <w:b/>
                <w:bCs/>
                <w:sz w:val="18"/>
                <w:szCs w:val="18"/>
              </w:rPr>
              <w:t>26.8</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7CEA2F2B" w14:textId="1C3AA469" w:rsidR="00E133CD" w:rsidRPr="00E96281" w:rsidRDefault="00C25DE0" w:rsidP="00016900">
            <w:pPr>
              <w:spacing w:after="0" w:line="240" w:lineRule="auto"/>
              <w:jc w:val="center"/>
              <w:rPr>
                <w:sz w:val="18"/>
                <w:szCs w:val="18"/>
              </w:rPr>
            </w:pPr>
            <w:r>
              <w:rPr>
                <w:b/>
                <w:bCs/>
                <w:sz w:val="18"/>
                <w:szCs w:val="18"/>
              </w:rPr>
              <w:t>45 (</w:t>
            </w:r>
            <w:r w:rsidR="00E133CD" w:rsidRPr="00E96281">
              <w:rPr>
                <w:b/>
                <w:bCs/>
                <w:sz w:val="18"/>
                <w:szCs w:val="18"/>
              </w:rPr>
              <w:t>28.5</w:t>
            </w:r>
            <w:r>
              <w:rPr>
                <w:b/>
                <w:bCs/>
                <w:sz w:val="18"/>
                <w:szCs w:val="18"/>
              </w:rPr>
              <w:t>%)</w:t>
            </w:r>
          </w:p>
        </w:tc>
      </w:tr>
      <w:tr w:rsidR="00E133CD" w:rsidRPr="00E96281" w14:paraId="676B5A79"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E355D28" w14:textId="7F01F833" w:rsidR="00E133CD" w:rsidRPr="00E96281" w:rsidRDefault="00E133CD" w:rsidP="00016900">
            <w:pPr>
              <w:spacing w:after="0" w:line="240" w:lineRule="auto"/>
              <w:jc w:val="center"/>
              <w:rPr>
                <w:sz w:val="18"/>
                <w:szCs w:val="18"/>
              </w:rPr>
            </w:pPr>
            <w:r w:rsidRPr="00E96281">
              <w:rPr>
                <w:b/>
                <w:bCs/>
                <w:sz w:val="18"/>
                <w:szCs w:val="18"/>
              </w:rPr>
              <w:t>High Intermediate</w:t>
            </w:r>
            <w:r w:rsidR="004D0292">
              <w:rPr>
                <w:b/>
                <w:bCs/>
                <w:sz w:val="18"/>
                <w:szCs w:val="18"/>
              </w:rPr>
              <w:t xml:space="preserve"> (3)</w:t>
            </w:r>
          </w:p>
        </w:tc>
        <w:tc>
          <w:tcPr>
            <w:tcW w:w="1067" w:type="dxa"/>
            <w:shd w:val="clear" w:color="auto" w:fill="FFFFFF" w:themeFill="background1"/>
            <w:tcMar>
              <w:top w:w="15" w:type="dxa"/>
              <w:left w:w="12" w:type="dxa"/>
              <w:bottom w:w="0" w:type="dxa"/>
              <w:right w:w="12" w:type="dxa"/>
            </w:tcMar>
            <w:vAlign w:val="center"/>
            <w:hideMark/>
          </w:tcPr>
          <w:p w14:paraId="4043A74A" w14:textId="3096BBEB" w:rsidR="00E133CD" w:rsidRPr="00E96281" w:rsidRDefault="00C25DE0" w:rsidP="00016900">
            <w:pPr>
              <w:spacing w:after="0" w:line="240" w:lineRule="auto"/>
              <w:jc w:val="center"/>
              <w:rPr>
                <w:sz w:val="18"/>
                <w:szCs w:val="18"/>
              </w:rPr>
            </w:pPr>
            <w:r>
              <w:rPr>
                <w:b/>
                <w:bCs/>
                <w:sz w:val="18"/>
                <w:szCs w:val="18"/>
              </w:rPr>
              <w:t>145 (</w:t>
            </w:r>
            <w:r w:rsidR="00E133CD" w:rsidRPr="00E96281">
              <w:rPr>
                <w:b/>
                <w:bCs/>
                <w:sz w:val="18"/>
                <w:szCs w:val="18"/>
              </w:rPr>
              <w:t>31.6</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7E75A0F7" w14:textId="216B815E" w:rsidR="00E133CD" w:rsidRPr="00E96281" w:rsidRDefault="00C25DE0" w:rsidP="00016900">
            <w:pPr>
              <w:spacing w:after="0" w:line="240" w:lineRule="auto"/>
              <w:jc w:val="center"/>
              <w:rPr>
                <w:sz w:val="18"/>
                <w:szCs w:val="18"/>
              </w:rPr>
            </w:pPr>
            <w:r>
              <w:rPr>
                <w:b/>
                <w:bCs/>
                <w:sz w:val="18"/>
                <w:szCs w:val="18"/>
              </w:rPr>
              <w:t>133 (</w:t>
            </w:r>
            <w:r w:rsidR="00E133CD" w:rsidRPr="00E96281">
              <w:rPr>
                <w:b/>
                <w:bCs/>
                <w:sz w:val="18"/>
                <w:szCs w:val="18"/>
              </w:rPr>
              <w:t>29.0</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01AD10D5" w14:textId="011419C7" w:rsidR="00E133CD" w:rsidRPr="00E96281" w:rsidRDefault="00C25DE0" w:rsidP="00016900">
            <w:pPr>
              <w:spacing w:after="0" w:line="240" w:lineRule="auto"/>
              <w:jc w:val="center"/>
              <w:rPr>
                <w:sz w:val="18"/>
                <w:szCs w:val="18"/>
              </w:rPr>
            </w:pPr>
            <w:r>
              <w:rPr>
                <w:b/>
                <w:bCs/>
                <w:sz w:val="18"/>
                <w:szCs w:val="18"/>
              </w:rPr>
              <w:t>51 (</w:t>
            </w:r>
            <w:r w:rsidR="00E133CD" w:rsidRPr="00E96281">
              <w:rPr>
                <w:b/>
                <w:bCs/>
                <w:sz w:val="18"/>
                <w:szCs w:val="18"/>
              </w:rPr>
              <w:t>32.3</w:t>
            </w:r>
            <w:r>
              <w:rPr>
                <w:b/>
                <w:bCs/>
                <w:sz w:val="18"/>
                <w:szCs w:val="18"/>
              </w:rPr>
              <w:t>%)</w:t>
            </w:r>
          </w:p>
        </w:tc>
      </w:tr>
      <w:tr w:rsidR="00E133CD" w:rsidRPr="00E96281" w14:paraId="7CF18198"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1C7ABC69" w14:textId="099BB158" w:rsidR="00E133CD" w:rsidRPr="00E96281" w:rsidRDefault="00E133CD" w:rsidP="00016900">
            <w:pPr>
              <w:spacing w:after="0" w:line="240" w:lineRule="auto"/>
              <w:jc w:val="center"/>
              <w:rPr>
                <w:sz w:val="18"/>
                <w:szCs w:val="18"/>
              </w:rPr>
            </w:pPr>
            <w:r w:rsidRPr="00E96281">
              <w:rPr>
                <w:b/>
                <w:bCs/>
                <w:sz w:val="18"/>
                <w:szCs w:val="18"/>
              </w:rPr>
              <w:t>High</w:t>
            </w:r>
            <w:r w:rsidR="004D0292">
              <w:rPr>
                <w:b/>
                <w:bCs/>
                <w:sz w:val="18"/>
                <w:szCs w:val="18"/>
              </w:rPr>
              <w:t xml:space="preserve"> (4-5)</w:t>
            </w:r>
          </w:p>
        </w:tc>
        <w:tc>
          <w:tcPr>
            <w:tcW w:w="1067" w:type="dxa"/>
            <w:shd w:val="clear" w:color="auto" w:fill="FFFFFF" w:themeFill="background1"/>
            <w:tcMar>
              <w:top w:w="15" w:type="dxa"/>
              <w:left w:w="12" w:type="dxa"/>
              <w:bottom w:w="0" w:type="dxa"/>
              <w:right w:w="12" w:type="dxa"/>
            </w:tcMar>
            <w:vAlign w:val="center"/>
            <w:hideMark/>
          </w:tcPr>
          <w:p w14:paraId="2B9ADA91" w14:textId="0E796BD3" w:rsidR="00E133CD" w:rsidRPr="00E96281" w:rsidRDefault="00C25DE0" w:rsidP="00016900">
            <w:pPr>
              <w:spacing w:after="0" w:line="240" w:lineRule="auto"/>
              <w:jc w:val="center"/>
              <w:rPr>
                <w:sz w:val="18"/>
                <w:szCs w:val="18"/>
              </w:rPr>
            </w:pPr>
            <w:r>
              <w:rPr>
                <w:b/>
                <w:bCs/>
                <w:sz w:val="18"/>
                <w:szCs w:val="18"/>
              </w:rPr>
              <w:t>80 (</w:t>
            </w:r>
            <w:r w:rsidR="00E133CD" w:rsidRPr="00E96281">
              <w:rPr>
                <w:b/>
                <w:bCs/>
                <w:sz w:val="18"/>
                <w:szCs w:val="18"/>
              </w:rPr>
              <w:t>17.4</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6EBFBF05" w14:textId="4DB91BFB" w:rsidR="00E133CD" w:rsidRPr="00E96281" w:rsidRDefault="00C25DE0" w:rsidP="00016900">
            <w:pPr>
              <w:spacing w:after="0" w:line="240" w:lineRule="auto"/>
              <w:jc w:val="center"/>
              <w:rPr>
                <w:sz w:val="18"/>
                <w:szCs w:val="18"/>
              </w:rPr>
            </w:pPr>
            <w:r>
              <w:rPr>
                <w:b/>
                <w:bCs/>
                <w:sz w:val="18"/>
                <w:szCs w:val="18"/>
              </w:rPr>
              <w:t>83 (</w:t>
            </w:r>
            <w:r w:rsidR="00E133CD" w:rsidRPr="00E96281">
              <w:rPr>
                <w:b/>
                <w:bCs/>
                <w:sz w:val="18"/>
                <w:szCs w:val="18"/>
              </w:rPr>
              <w:t>18.1</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4D10148F" w14:textId="20BC7C0D" w:rsidR="00E133CD" w:rsidRPr="00E96281" w:rsidRDefault="00C25DE0" w:rsidP="00016900">
            <w:pPr>
              <w:spacing w:after="0" w:line="240" w:lineRule="auto"/>
              <w:jc w:val="center"/>
              <w:rPr>
                <w:sz w:val="18"/>
                <w:szCs w:val="18"/>
              </w:rPr>
            </w:pPr>
            <w:r>
              <w:rPr>
                <w:b/>
                <w:bCs/>
                <w:sz w:val="18"/>
                <w:szCs w:val="18"/>
              </w:rPr>
              <w:t>29 (</w:t>
            </w:r>
            <w:r w:rsidR="00E133CD" w:rsidRPr="00E96281">
              <w:rPr>
                <w:b/>
                <w:bCs/>
                <w:sz w:val="18"/>
                <w:szCs w:val="18"/>
              </w:rPr>
              <w:t>18.4</w:t>
            </w:r>
            <w:r>
              <w:rPr>
                <w:b/>
                <w:bCs/>
                <w:sz w:val="18"/>
                <w:szCs w:val="18"/>
              </w:rPr>
              <w:t>%)</w:t>
            </w:r>
          </w:p>
        </w:tc>
      </w:tr>
      <w:tr w:rsidR="00E133CD" w:rsidRPr="00E96281" w14:paraId="49398BF5"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805A7A4" w14:textId="77777777" w:rsidR="00E133CD" w:rsidRPr="00E96281" w:rsidRDefault="00E133CD" w:rsidP="00016900">
            <w:pPr>
              <w:spacing w:after="0" w:line="240" w:lineRule="auto"/>
              <w:jc w:val="center"/>
              <w:rPr>
                <w:sz w:val="18"/>
                <w:szCs w:val="18"/>
              </w:rPr>
            </w:pPr>
            <w:r w:rsidRPr="00E96281">
              <w:rPr>
                <w:b/>
                <w:bCs/>
                <w:sz w:val="18"/>
                <w:szCs w:val="18"/>
              </w:rPr>
              <w:t>Stage – n (%)</w:t>
            </w:r>
          </w:p>
        </w:tc>
        <w:tc>
          <w:tcPr>
            <w:tcW w:w="1067" w:type="dxa"/>
            <w:shd w:val="clear" w:color="auto" w:fill="FFFFFF" w:themeFill="background1"/>
            <w:tcMar>
              <w:top w:w="15" w:type="dxa"/>
              <w:left w:w="12" w:type="dxa"/>
              <w:bottom w:w="0" w:type="dxa"/>
              <w:right w:w="12" w:type="dxa"/>
            </w:tcMar>
            <w:vAlign w:val="center"/>
            <w:hideMark/>
          </w:tcPr>
          <w:p w14:paraId="6BFD2F7E"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6B13EAB5"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76201E5B" w14:textId="77777777" w:rsidR="00E133CD" w:rsidRPr="00E96281" w:rsidRDefault="00E133CD" w:rsidP="00016900">
            <w:pPr>
              <w:spacing w:after="0" w:line="240" w:lineRule="auto"/>
              <w:jc w:val="center"/>
              <w:rPr>
                <w:sz w:val="18"/>
                <w:szCs w:val="18"/>
              </w:rPr>
            </w:pPr>
          </w:p>
        </w:tc>
      </w:tr>
      <w:tr w:rsidR="00E133CD" w:rsidRPr="00E96281" w14:paraId="6BF97C08"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3FBB1C6E" w14:textId="77777777" w:rsidR="00E133CD" w:rsidRPr="00E96281" w:rsidRDefault="00E133CD" w:rsidP="00016900">
            <w:pPr>
              <w:spacing w:after="0" w:line="240" w:lineRule="auto"/>
              <w:jc w:val="center"/>
              <w:rPr>
                <w:sz w:val="18"/>
                <w:szCs w:val="18"/>
              </w:rPr>
            </w:pPr>
            <w:r w:rsidRPr="00E96281">
              <w:rPr>
                <w:b/>
                <w:bCs/>
                <w:sz w:val="18"/>
                <w:szCs w:val="18"/>
              </w:rPr>
              <w:t>I</w:t>
            </w:r>
          </w:p>
        </w:tc>
        <w:tc>
          <w:tcPr>
            <w:tcW w:w="1067" w:type="dxa"/>
            <w:shd w:val="clear" w:color="auto" w:fill="FFFFFF" w:themeFill="background1"/>
            <w:tcMar>
              <w:top w:w="15" w:type="dxa"/>
              <w:left w:w="12" w:type="dxa"/>
              <w:bottom w:w="0" w:type="dxa"/>
              <w:right w:w="12" w:type="dxa"/>
            </w:tcMar>
            <w:vAlign w:val="center"/>
            <w:hideMark/>
          </w:tcPr>
          <w:p w14:paraId="083E8D6B" w14:textId="33B252BC" w:rsidR="00E133CD" w:rsidRPr="00E96281" w:rsidRDefault="006874F4" w:rsidP="00016900">
            <w:pPr>
              <w:spacing w:after="0" w:line="240" w:lineRule="auto"/>
              <w:jc w:val="center"/>
              <w:rPr>
                <w:sz w:val="18"/>
                <w:szCs w:val="18"/>
              </w:rPr>
            </w:pPr>
            <w:r>
              <w:rPr>
                <w:b/>
                <w:bCs/>
                <w:sz w:val="18"/>
                <w:szCs w:val="18"/>
              </w:rPr>
              <w:t>12 (</w:t>
            </w:r>
            <w:r w:rsidR="00E133CD" w:rsidRPr="00E96281">
              <w:rPr>
                <w:b/>
                <w:bCs/>
                <w:sz w:val="18"/>
                <w:szCs w:val="18"/>
              </w:rPr>
              <w:t>2.6</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62C3F319" w14:textId="46CC097C" w:rsidR="00E133CD" w:rsidRPr="00E96281" w:rsidRDefault="006874F4" w:rsidP="00016900">
            <w:pPr>
              <w:spacing w:after="0" w:line="240" w:lineRule="auto"/>
              <w:jc w:val="center"/>
              <w:rPr>
                <w:sz w:val="18"/>
                <w:szCs w:val="18"/>
              </w:rPr>
            </w:pPr>
            <w:r>
              <w:rPr>
                <w:b/>
                <w:bCs/>
                <w:sz w:val="18"/>
                <w:szCs w:val="18"/>
              </w:rPr>
              <w:t>14 (</w:t>
            </w:r>
            <w:r w:rsidR="00E133CD" w:rsidRPr="00E96281">
              <w:rPr>
                <w:b/>
                <w:bCs/>
                <w:sz w:val="18"/>
                <w:szCs w:val="18"/>
              </w:rPr>
              <w:t>3.1</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1251ECE3" w14:textId="2A38B09D" w:rsidR="00E133CD" w:rsidRPr="00E96281" w:rsidRDefault="006874F4" w:rsidP="00016900">
            <w:pPr>
              <w:spacing w:after="0" w:line="240" w:lineRule="auto"/>
              <w:jc w:val="center"/>
              <w:rPr>
                <w:sz w:val="18"/>
                <w:szCs w:val="18"/>
              </w:rPr>
            </w:pPr>
            <w:r>
              <w:rPr>
                <w:b/>
                <w:bCs/>
                <w:sz w:val="18"/>
                <w:szCs w:val="18"/>
              </w:rPr>
              <w:t>5 (</w:t>
            </w:r>
            <w:r w:rsidR="00E133CD" w:rsidRPr="00E96281">
              <w:rPr>
                <w:b/>
                <w:bCs/>
                <w:sz w:val="18"/>
                <w:szCs w:val="18"/>
              </w:rPr>
              <w:t>3.2</w:t>
            </w:r>
            <w:r>
              <w:rPr>
                <w:b/>
                <w:bCs/>
                <w:sz w:val="18"/>
                <w:szCs w:val="18"/>
              </w:rPr>
              <w:t>%)</w:t>
            </w:r>
          </w:p>
        </w:tc>
      </w:tr>
      <w:tr w:rsidR="00E133CD" w:rsidRPr="00E96281" w14:paraId="14FC386D"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D182841" w14:textId="77777777" w:rsidR="00E133CD" w:rsidRPr="00E96281" w:rsidRDefault="00E133CD" w:rsidP="00016900">
            <w:pPr>
              <w:spacing w:after="0" w:line="240" w:lineRule="auto"/>
              <w:jc w:val="center"/>
              <w:rPr>
                <w:sz w:val="18"/>
                <w:szCs w:val="18"/>
              </w:rPr>
            </w:pPr>
            <w:r w:rsidRPr="00E96281">
              <w:rPr>
                <w:b/>
                <w:bCs/>
                <w:sz w:val="18"/>
                <w:szCs w:val="18"/>
              </w:rPr>
              <w:t>II</w:t>
            </w:r>
          </w:p>
        </w:tc>
        <w:tc>
          <w:tcPr>
            <w:tcW w:w="1067" w:type="dxa"/>
            <w:shd w:val="clear" w:color="auto" w:fill="FFFFFF" w:themeFill="background1"/>
            <w:tcMar>
              <w:top w:w="15" w:type="dxa"/>
              <w:left w:w="12" w:type="dxa"/>
              <w:bottom w:w="0" w:type="dxa"/>
              <w:right w:w="12" w:type="dxa"/>
            </w:tcMar>
            <w:vAlign w:val="center"/>
            <w:hideMark/>
          </w:tcPr>
          <w:p w14:paraId="02CD2E71" w14:textId="7AEE1172" w:rsidR="00E133CD" w:rsidRPr="00E96281" w:rsidRDefault="006874F4" w:rsidP="00016900">
            <w:pPr>
              <w:spacing w:after="0" w:line="240" w:lineRule="auto"/>
              <w:jc w:val="center"/>
              <w:rPr>
                <w:sz w:val="18"/>
                <w:szCs w:val="18"/>
              </w:rPr>
            </w:pPr>
            <w:r>
              <w:rPr>
                <w:b/>
                <w:bCs/>
                <w:sz w:val="18"/>
                <w:szCs w:val="18"/>
              </w:rPr>
              <w:t>131 (</w:t>
            </w:r>
            <w:r w:rsidR="00E133CD" w:rsidRPr="00E96281">
              <w:rPr>
                <w:b/>
                <w:bCs/>
                <w:sz w:val="18"/>
                <w:szCs w:val="18"/>
              </w:rPr>
              <w:t>28.7</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147B5CF3" w14:textId="0EFF8610" w:rsidR="00E133CD" w:rsidRPr="00E96281" w:rsidRDefault="006874F4" w:rsidP="00016900">
            <w:pPr>
              <w:spacing w:after="0" w:line="240" w:lineRule="auto"/>
              <w:jc w:val="center"/>
              <w:rPr>
                <w:sz w:val="18"/>
                <w:szCs w:val="18"/>
              </w:rPr>
            </w:pPr>
            <w:r>
              <w:rPr>
                <w:b/>
                <w:bCs/>
                <w:sz w:val="18"/>
                <w:szCs w:val="18"/>
              </w:rPr>
              <w:t>126 (</w:t>
            </w:r>
            <w:r w:rsidR="00E133CD" w:rsidRPr="00E96281">
              <w:rPr>
                <w:b/>
                <w:bCs/>
                <w:sz w:val="18"/>
                <w:szCs w:val="18"/>
              </w:rPr>
              <w:t>27.6</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5BA99D16" w14:textId="29F88283" w:rsidR="00E133CD" w:rsidRPr="00E96281" w:rsidRDefault="006874F4" w:rsidP="00016900">
            <w:pPr>
              <w:spacing w:after="0" w:line="240" w:lineRule="auto"/>
              <w:jc w:val="center"/>
              <w:rPr>
                <w:sz w:val="18"/>
                <w:szCs w:val="18"/>
              </w:rPr>
            </w:pPr>
            <w:r>
              <w:rPr>
                <w:b/>
                <w:bCs/>
                <w:sz w:val="18"/>
                <w:szCs w:val="18"/>
              </w:rPr>
              <w:t>37 (</w:t>
            </w:r>
            <w:r w:rsidR="00E133CD" w:rsidRPr="00E96281">
              <w:rPr>
                <w:b/>
                <w:bCs/>
                <w:sz w:val="18"/>
                <w:szCs w:val="18"/>
              </w:rPr>
              <w:t>23.6</w:t>
            </w:r>
            <w:r>
              <w:rPr>
                <w:b/>
                <w:bCs/>
                <w:sz w:val="18"/>
                <w:szCs w:val="18"/>
              </w:rPr>
              <w:t>%)</w:t>
            </w:r>
          </w:p>
        </w:tc>
      </w:tr>
      <w:tr w:rsidR="00E133CD" w:rsidRPr="00E96281" w14:paraId="1A1F304C"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2B0D6280" w14:textId="77777777" w:rsidR="00E133CD" w:rsidRPr="00E96281" w:rsidRDefault="00E133CD" w:rsidP="00016900">
            <w:pPr>
              <w:spacing w:after="0" w:line="240" w:lineRule="auto"/>
              <w:jc w:val="center"/>
              <w:rPr>
                <w:sz w:val="18"/>
                <w:szCs w:val="18"/>
              </w:rPr>
            </w:pPr>
            <w:r w:rsidRPr="00E96281">
              <w:rPr>
                <w:b/>
                <w:bCs/>
                <w:sz w:val="18"/>
                <w:szCs w:val="18"/>
              </w:rPr>
              <w:t>III</w:t>
            </w:r>
          </w:p>
        </w:tc>
        <w:tc>
          <w:tcPr>
            <w:tcW w:w="1067" w:type="dxa"/>
            <w:shd w:val="clear" w:color="auto" w:fill="FFFFFF" w:themeFill="background1"/>
            <w:tcMar>
              <w:top w:w="15" w:type="dxa"/>
              <w:left w:w="12" w:type="dxa"/>
              <w:bottom w:w="0" w:type="dxa"/>
              <w:right w:w="12" w:type="dxa"/>
            </w:tcMar>
            <w:vAlign w:val="center"/>
            <w:hideMark/>
          </w:tcPr>
          <w:p w14:paraId="3B88851E" w14:textId="629A19DD" w:rsidR="00E133CD" w:rsidRPr="00E96281" w:rsidRDefault="006874F4" w:rsidP="00016900">
            <w:pPr>
              <w:spacing w:after="0" w:line="240" w:lineRule="auto"/>
              <w:jc w:val="center"/>
              <w:rPr>
                <w:sz w:val="18"/>
                <w:szCs w:val="18"/>
              </w:rPr>
            </w:pPr>
            <w:r>
              <w:rPr>
                <w:b/>
                <w:bCs/>
                <w:sz w:val="18"/>
                <w:szCs w:val="18"/>
              </w:rPr>
              <w:t>128 (</w:t>
            </w:r>
            <w:r w:rsidR="00E133CD" w:rsidRPr="00E96281">
              <w:rPr>
                <w:b/>
                <w:bCs/>
                <w:sz w:val="18"/>
                <w:szCs w:val="18"/>
              </w:rPr>
              <w:t>28.0</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7F67A7B6" w14:textId="1625790C" w:rsidR="00E133CD" w:rsidRPr="00E96281" w:rsidRDefault="006874F4" w:rsidP="00016900">
            <w:pPr>
              <w:spacing w:after="0" w:line="240" w:lineRule="auto"/>
              <w:jc w:val="center"/>
              <w:rPr>
                <w:sz w:val="18"/>
                <w:szCs w:val="18"/>
              </w:rPr>
            </w:pPr>
            <w:r>
              <w:rPr>
                <w:b/>
                <w:bCs/>
                <w:sz w:val="18"/>
                <w:szCs w:val="18"/>
              </w:rPr>
              <w:t>154 (</w:t>
            </w:r>
            <w:r w:rsidR="00E133CD" w:rsidRPr="00E96281">
              <w:rPr>
                <w:b/>
                <w:bCs/>
                <w:sz w:val="18"/>
                <w:szCs w:val="18"/>
              </w:rPr>
              <w:t>33.7</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4699ECD3" w14:textId="2EE2D590" w:rsidR="00E133CD" w:rsidRPr="00E96281" w:rsidRDefault="006874F4" w:rsidP="00016900">
            <w:pPr>
              <w:spacing w:after="0" w:line="240" w:lineRule="auto"/>
              <w:jc w:val="center"/>
              <w:rPr>
                <w:sz w:val="18"/>
                <w:szCs w:val="18"/>
              </w:rPr>
            </w:pPr>
            <w:r>
              <w:rPr>
                <w:b/>
                <w:bCs/>
                <w:sz w:val="18"/>
                <w:szCs w:val="18"/>
              </w:rPr>
              <w:t>48 (</w:t>
            </w:r>
            <w:r w:rsidR="00E133CD" w:rsidRPr="00E96281">
              <w:rPr>
                <w:b/>
                <w:bCs/>
                <w:sz w:val="18"/>
                <w:szCs w:val="18"/>
              </w:rPr>
              <w:t>30.6</w:t>
            </w:r>
            <w:r>
              <w:rPr>
                <w:b/>
                <w:bCs/>
                <w:sz w:val="18"/>
                <w:szCs w:val="18"/>
              </w:rPr>
              <w:t>%)</w:t>
            </w:r>
          </w:p>
        </w:tc>
      </w:tr>
      <w:tr w:rsidR="00E133CD" w:rsidRPr="00E96281" w14:paraId="4C1172E4"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398C9EB0" w14:textId="77777777" w:rsidR="00E133CD" w:rsidRPr="00E96281" w:rsidRDefault="00E133CD" w:rsidP="00016900">
            <w:pPr>
              <w:spacing w:after="0" w:line="240" w:lineRule="auto"/>
              <w:jc w:val="center"/>
              <w:rPr>
                <w:sz w:val="18"/>
                <w:szCs w:val="18"/>
              </w:rPr>
            </w:pPr>
            <w:r w:rsidRPr="00E96281">
              <w:rPr>
                <w:b/>
                <w:bCs/>
                <w:sz w:val="18"/>
                <w:szCs w:val="18"/>
              </w:rPr>
              <w:t>IV</w:t>
            </w:r>
          </w:p>
        </w:tc>
        <w:tc>
          <w:tcPr>
            <w:tcW w:w="1067" w:type="dxa"/>
            <w:shd w:val="clear" w:color="auto" w:fill="FFFFFF" w:themeFill="background1"/>
            <w:tcMar>
              <w:top w:w="15" w:type="dxa"/>
              <w:left w:w="12" w:type="dxa"/>
              <w:bottom w:w="0" w:type="dxa"/>
              <w:right w:w="12" w:type="dxa"/>
            </w:tcMar>
            <w:vAlign w:val="center"/>
            <w:hideMark/>
          </w:tcPr>
          <w:p w14:paraId="62B09FED" w14:textId="29233B75" w:rsidR="00E133CD" w:rsidRPr="00E96281" w:rsidRDefault="006874F4" w:rsidP="00016900">
            <w:pPr>
              <w:spacing w:after="0" w:line="240" w:lineRule="auto"/>
              <w:jc w:val="center"/>
              <w:rPr>
                <w:sz w:val="18"/>
                <w:szCs w:val="18"/>
              </w:rPr>
            </w:pPr>
            <w:r>
              <w:rPr>
                <w:b/>
                <w:bCs/>
                <w:sz w:val="18"/>
                <w:szCs w:val="18"/>
              </w:rPr>
              <w:t>186 (</w:t>
            </w:r>
            <w:r w:rsidR="00E133CD" w:rsidRPr="00E96281">
              <w:rPr>
                <w:b/>
                <w:bCs/>
                <w:sz w:val="18"/>
                <w:szCs w:val="18"/>
              </w:rPr>
              <w:t>40.7</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2CF426B5" w14:textId="6ADE097B" w:rsidR="00E133CD" w:rsidRPr="00E96281" w:rsidRDefault="006874F4" w:rsidP="00016900">
            <w:pPr>
              <w:spacing w:after="0" w:line="240" w:lineRule="auto"/>
              <w:jc w:val="center"/>
              <w:rPr>
                <w:sz w:val="18"/>
                <w:szCs w:val="18"/>
              </w:rPr>
            </w:pPr>
            <w:r>
              <w:rPr>
                <w:b/>
                <w:bCs/>
                <w:sz w:val="18"/>
                <w:szCs w:val="18"/>
              </w:rPr>
              <w:t>163 (</w:t>
            </w:r>
            <w:r w:rsidR="00E133CD" w:rsidRPr="00E96281">
              <w:rPr>
                <w:b/>
                <w:bCs/>
                <w:sz w:val="18"/>
                <w:szCs w:val="18"/>
              </w:rPr>
              <w:t>35.7</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2D7DBEE7" w14:textId="415D69B7" w:rsidR="00E133CD" w:rsidRPr="00E96281" w:rsidRDefault="006874F4" w:rsidP="00016900">
            <w:pPr>
              <w:spacing w:after="0" w:line="240" w:lineRule="auto"/>
              <w:jc w:val="center"/>
              <w:rPr>
                <w:sz w:val="18"/>
                <w:szCs w:val="18"/>
              </w:rPr>
            </w:pPr>
            <w:r>
              <w:rPr>
                <w:b/>
                <w:bCs/>
                <w:sz w:val="18"/>
                <w:szCs w:val="18"/>
              </w:rPr>
              <w:t>67 (</w:t>
            </w:r>
            <w:r w:rsidR="00E133CD" w:rsidRPr="00E96281">
              <w:rPr>
                <w:b/>
                <w:bCs/>
                <w:sz w:val="18"/>
                <w:szCs w:val="18"/>
              </w:rPr>
              <w:t>42.7</w:t>
            </w:r>
            <w:r>
              <w:rPr>
                <w:b/>
                <w:bCs/>
                <w:sz w:val="18"/>
                <w:szCs w:val="18"/>
              </w:rPr>
              <w:t>%)</w:t>
            </w:r>
          </w:p>
        </w:tc>
      </w:tr>
      <w:tr w:rsidR="00E133CD" w:rsidRPr="00E96281" w14:paraId="5BD7F42C" w14:textId="77777777" w:rsidTr="00C1735E">
        <w:trPr>
          <w:trHeight w:val="328"/>
          <w:jc w:val="center"/>
        </w:trPr>
        <w:tc>
          <w:tcPr>
            <w:tcW w:w="2889" w:type="dxa"/>
            <w:shd w:val="clear" w:color="auto" w:fill="FFFFFF" w:themeFill="background1"/>
            <w:tcMar>
              <w:top w:w="15" w:type="dxa"/>
              <w:left w:w="12" w:type="dxa"/>
              <w:bottom w:w="0" w:type="dxa"/>
              <w:right w:w="12" w:type="dxa"/>
            </w:tcMar>
            <w:hideMark/>
          </w:tcPr>
          <w:p w14:paraId="54717FE6" w14:textId="056AAD09" w:rsidR="00E133CD" w:rsidRPr="00E96281" w:rsidRDefault="00E133CD" w:rsidP="0078152A">
            <w:pPr>
              <w:spacing w:after="0" w:line="240" w:lineRule="auto"/>
              <w:jc w:val="center"/>
              <w:rPr>
                <w:sz w:val="18"/>
                <w:szCs w:val="18"/>
              </w:rPr>
            </w:pPr>
            <w:r w:rsidRPr="00E96281">
              <w:rPr>
                <w:b/>
                <w:bCs/>
                <w:sz w:val="18"/>
                <w:szCs w:val="18"/>
              </w:rPr>
              <w:t xml:space="preserve">Bulk greater than 10cm </w:t>
            </w:r>
            <w:r w:rsidR="0078152A">
              <w:rPr>
                <w:b/>
                <w:bCs/>
                <w:sz w:val="18"/>
                <w:szCs w:val="18"/>
              </w:rPr>
              <w:t xml:space="preserve">- n </w:t>
            </w:r>
            <w:r w:rsidRPr="00E96281">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21448A0D" w14:textId="77777777" w:rsidR="00E133CD" w:rsidRPr="00E96281" w:rsidRDefault="00E133CD" w:rsidP="00016900">
            <w:pPr>
              <w:spacing w:after="0" w:line="240" w:lineRule="auto"/>
              <w:jc w:val="center"/>
              <w:rPr>
                <w:sz w:val="18"/>
                <w:szCs w:val="18"/>
              </w:rPr>
            </w:pPr>
          </w:p>
        </w:tc>
        <w:tc>
          <w:tcPr>
            <w:tcW w:w="1067" w:type="dxa"/>
            <w:shd w:val="clear" w:color="auto" w:fill="FFFFFF" w:themeFill="background1"/>
            <w:tcMar>
              <w:top w:w="15" w:type="dxa"/>
              <w:left w:w="12" w:type="dxa"/>
              <w:bottom w:w="0" w:type="dxa"/>
              <w:right w:w="12" w:type="dxa"/>
            </w:tcMar>
            <w:vAlign w:val="center"/>
            <w:hideMark/>
          </w:tcPr>
          <w:p w14:paraId="5D70D2FD" w14:textId="77777777" w:rsidR="00E133CD" w:rsidRPr="00E96281" w:rsidRDefault="00E133CD" w:rsidP="00016900">
            <w:pPr>
              <w:spacing w:after="0" w:line="240" w:lineRule="auto"/>
              <w:jc w:val="center"/>
              <w:rPr>
                <w:sz w:val="18"/>
                <w:szCs w:val="18"/>
              </w:rPr>
            </w:pPr>
          </w:p>
        </w:tc>
        <w:tc>
          <w:tcPr>
            <w:tcW w:w="1293" w:type="dxa"/>
            <w:shd w:val="clear" w:color="auto" w:fill="FFFFFF" w:themeFill="background1"/>
            <w:tcMar>
              <w:top w:w="15" w:type="dxa"/>
              <w:left w:w="12" w:type="dxa"/>
              <w:bottom w:w="0" w:type="dxa"/>
              <w:right w:w="12" w:type="dxa"/>
            </w:tcMar>
            <w:vAlign w:val="center"/>
            <w:hideMark/>
          </w:tcPr>
          <w:p w14:paraId="4C5B0B93" w14:textId="77777777" w:rsidR="00E133CD" w:rsidRPr="00E96281" w:rsidRDefault="00E133CD" w:rsidP="00016900">
            <w:pPr>
              <w:spacing w:after="0" w:line="240" w:lineRule="auto"/>
              <w:jc w:val="center"/>
              <w:rPr>
                <w:sz w:val="18"/>
                <w:szCs w:val="18"/>
              </w:rPr>
            </w:pPr>
          </w:p>
        </w:tc>
      </w:tr>
      <w:tr w:rsidR="00E133CD" w:rsidRPr="00E96281" w14:paraId="4F4F5B55" w14:textId="77777777" w:rsidTr="00C1735E">
        <w:trPr>
          <w:trHeight w:val="325"/>
          <w:jc w:val="center"/>
        </w:trPr>
        <w:tc>
          <w:tcPr>
            <w:tcW w:w="2889" w:type="dxa"/>
            <w:shd w:val="clear" w:color="auto" w:fill="FFFFFF" w:themeFill="background1"/>
            <w:tcMar>
              <w:top w:w="15" w:type="dxa"/>
              <w:left w:w="12" w:type="dxa"/>
              <w:bottom w:w="0" w:type="dxa"/>
              <w:right w:w="12" w:type="dxa"/>
            </w:tcMar>
            <w:hideMark/>
          </w:tcPr>
          <w:p w14:paraId="06BF19CC" w14:textId="77777777" w:rsidR="00E133CD" w:rsidRPr="00E96281" w:rsidRDefault="00E133CD" w:rsidP="00016900">
            <w:pPr>
              <w:spacing w:after="0" w:line="240" w:lineRule="auto"/>
              <w:jc w:val="center"/>
              <w:rPr>
                <w:sz w:val="18"/>
                <w:szCs w:val="18"/>
              </w:rPr>
            </w:pPr>
            <w:r w:rsidRPr="00E96281">
              <w:rPr>
                <w:b/>
                <w:bCs/>
                <w:sz w:val="18"/>
                <w:szCs w:val="18"/>
              </w:rPr>
              <w:t>Yes</w:t>
            </w:r>
          </w:p>
        </w:tc>
        <w:tc>
          <w:tcPr>
            <w:tcW w:w="1067" w:type="dxa"/>
            <w:shd w:val="clear" w:color="auto" w:fill="FFFFFF" w:themeFill="background1"/>
            <w:tcMar>
              <w:top w:w="15" w:type="dxa"/>
              <w:left w:w="12" w:type="dxa"/>
              <w:bottom w:w="0" w:type="dxa"/>
              <w:right w:w="12" w:type="dxa"/>
            </w:tcMar>
            <w:vAlign w:val="center"/>
            <w:hideMark/>
          </w:tcPr>
          <w:p w14:paraId="6C4D6A78" w14:textId="35C63842" w:rsidR="00E133CD" w:rsidRPr="00E96281" w:rsidRDefault="007026C9" w:rsidP="00016900">
            <w:pPr>
              <w:spacing w:after="0" w:line="240" w:lineRule="auto"/>
              <w:jc w:val="center"/>
              <w:rPr>
                <w:sz w:val="18"/>
                <w:szCs w:val="18"/>
              </w:rPr>
            </w:pPr>
            <w:r>
              <w:rPr>
                <w:b/>
                <w:bCs/>
                <w:sz w:val="18"/>
                <w:szCs w:val="18"/>
              </w:rPr>
              <w:t>122 (</w:t>
            </w:r>
            <w:r w:rsidR="00E133CD" w:rsidRPr="00E96281">
              <w:rPr>
                <w:b/>
                <w:bCs/>
                <w:sz w:val="18"/>
                <w:szCs w:val="18"/>
              </w:rPr>
              <w:t>26.8</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70FA62BF" w14:textId="2920B3FD" w:rsidR="00E133CD" w:rsidRPr="00E96281" w:rsidRDefault="007026C9" w:rsidP="00016900">
            <w:pPr>
              <w:spacing w:after="0" w:line="240" w:lineRule="auto"/>
              <w:jc w:val="center"/>
              <w:rPr>
                <w:sz w:val="18"/>
                <w:szCs w:val="18"/>
              </w:rPr>
            </w:pPr>
            <w:r>
              <w:rPr>
                <w:b/>
                <w:bCs/>
                <w:sz w:val="18"/>
                <w:szCs w:val="18"/>
              </w:rPr>
              <w:t>141 (</w:t>
            </w:r>
            <w:r w:rsidR="00E133CD" w:rsidRPr="00E96281">
              <w:rPr>
                <w:b/>
                <w:bCs/>
                <w:sz w:val="18"/>
                <w:szCs w:val="18"/>
              </w:rPr>
              <w:t>31.3</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50AB1B9E" w14:textId="000FA88F" w:rsidR="00E133CD" w:rsidRPr="00E96281" w:rsidRDefault="007026C9" w:rsidP="00016900">
            <w:pPr>
              <w:spacing w:after="0" w:line="240" w:lineRule="auto"/>
              <w:jc w:val="center"/>
              <w:rPr>
                <w:sz w:val="18"/>
                <w:szCs w:val="18"/>
              </w:rPr>
            </w:pPr>
            <w:r>
              <w:rPr>
                <w:b/>
                <w:bCs/>
                <w:sz w:val="18"/>
                <w:szCs w:val="18"/>
              </w:rPr>
              <w:t>66 (</w:t>
            </w:r>
            <w:r w:rsidR="00E133CD" w:rsidRPr="00E96281">
              <w:rPr>
                <w:b/>
                <w:bCs/>
                <w:sz w:val="18"/>
                <w:szCs w:val="18"/>
              </w:rPr>
              <w:t>42.6</w:t>
            </w:r>
            <w:r>
              <w:rPr>
                <w:b/>
                <w:bCs/>
                <w:sz w:val="18"/>
                <w:szCs w:val="18"/>
              </w:rPr>
              <w:t>%)</w:t>
            </w:r>
          </w:p>
        </w:tc>
      </w:tr>
      <w:tr w:rsidR="00E133CD" w:rsidRPr="00E96281" w14:paraId="62C3689D" w14:textId="77777777" w:rsidTr="00C1735E">
        <w:trPr>
          <w:trHeight w:val="325"/>
          <w:jc w:val="center"/>
        </w:trPr>
        <w:tc>
          <w:tcPr>
            <w:tcW w:w="2889" w:type="dxa"/>
            <w:shd w:val="clear" w:color="auto" w:fill="FFFFFF" w:themeFill="background1"/>
            <w:tcMar>
              <w:top w:w="15" w:type="dxa"/>
              <w:left w:w="12" w:type="dxa"/>
              <w:bottom w:w="0" w:type="dxa"/>
              <w:right w:w="12" w:type="dxa"/>
            </w:tcMar>
            <w:hideMark/>
          </w:tcPr>
          <w:p w14:paraId="326FAB0A" w14:textId="59AF29CE" w:rsidR="00E133CD" w:rsidRPr="00E96281" w:rsidRDefault="00E133CD" w:rsidP="00016900">
            <w:pPr>
              <w:spacing w:after="0" w:line="240" w:lineRule="auto"/>
              <w:jc w:val="center"/>
              <w:rPr>
                <w:sz w:val="18"/>
                <w:szCs w:val="18"/>
              </w:rPr>
            </w:pPr>
            <w:r w:rsidRPr="00E96281">
              <w:rPr>
                <w:b/>
                <w:bCs/>
                <w:sz w:val="18"/>
                <w:szCs w:val="18"/>
              </w:rPr>
              <w:t>Molecular phenotype: ABC%</w:t>
            </w:r>
            <w:r w:rsidR="00FC295F">
              <w:rPr>
                <w:b/>
                <w:bCs/>
                <w:sz w:val="18"/>
                <w:szCs w:val="18"/>
              </w:rPr>
              <w:t xml:space="preserve"> xd   </w:t>
            </w:r>
          </w:p>
        </w:tc>
        <w:tc>
          <w:tcPr>
            <w:tcW w:w="1067" w:type="dxa"/>
            <w:shd w:val="clear" w:color="auto" w:fill="FFFFFF" w:themeFill="background1"/>
            <w:tcMar>
              <w:top w:w="15" w:type="dxa"/>
              <w:left w:w="12" w:type="dxa"/>
              <w:bottom w:w="0" w:type="dxa"/>
              <w:right w:w="12" w:type="dxa"/>
            </w:tcMar>
            <w:vAlign w:val="center"/>
            <w:hideMark/>
          </w:tcPr>
          <w:p w14:paraId="01016C56" w14:textId="52BFB4FD" w:rsidR="00E133CD" w:rsidRPr="00E96281" w:rsidRDefault="007026C9" w:rsidP="00016900">
            <w:pPr>
              <w:spacing w:after="0" w:line="240" w:lineRule="auto"/>
              <w:jc w:val="center"/>
              <w:rPr>
                <w:sz w:val="18"/>
                <w:szCs w:val="18"/>
              </w:rPr>
            </w:pPr>
            <w:r>
              <w:rPr>
                <w:b/>
                <w:bCs/>
                <w:sz w:val="18"/>
                <w:szCs w:val="18"/>
              </w:rPr>
              <w:t>121 (</w:t>
            </w:r>
            <w:r w:rsidR="00E133CD" w:rsidRPr="00E96281">
              <w:rPr>
                <w:b/>
                <w:bCs/>
                <w:sz w:val="18"/>
                <w:szCs w:val="18"/>
              </w:rPr>
              <w:t>26.4</w:t>
            </w:r>
            <w:r>
              <w:rPr>
                <w:b/>
                <w:bCs/>
                <w:sz w:val="18"/>
                <w:szCs w:val="18"/>
              </w:rPr>
              <w:t>%)</w:t>
            </w:r>
          </w:p>
        </w:tc>
        <w:tc>
          <w:tcPr>
            <w:tcW w:w="1067" w:type="dxa"/>
            <w:shd w:val="clear" w:color="auto" w:fill="FFFFFF" w:themeFill="background1"/>
            <w:tcMar>
              <w:top w:w="15" w:type="dxa"/>
              <w:left w:w="12" w:type="dxa"/>
              <w:bottom w:w="0" w:type="dxa"/>
              <w:right w:w="12" w:type="dxa"/>
            </w:tcMar>
            <w:vAlign w:val="center"/>
            <w:hideMark/>
          </w:tcPr>
          <w:p w14:paraId="2EA5E095" w14:textId="505C94C9" w:rsidR="00E133CD" w:rsidRPr="00E96281" w:rsidRDefault="007026C9" w:rsidP="00016900">
            <w:pPr>
              <w:spacing w:after="0" w:line="240" w:lineRule="auto"/>
              <w:jc w:val="center"/>
              <w:rPr>
                <w:sz w:val="18"/>
                <w:szCs w:val="18"/>
              </w:rPr>
            </w:pPr>
            <w:r>
              <w:rPr>
                <w:b/>
                <w:bCs/>
                <w:sz w:val="18"/>
                <w:szCs w:val="18"/>
              </w:rPr>
              <w:t>123 (</w:t>
            </w:r>
            <w:r w:rsidR="00E133CD" w:rsidRPr="00E96281">
              <w:rPr>
                <w:b/>
                <w:bCs/>
                <w:sz w:val="18"/>
                <w:szCs w:val="18"/>
              </w:rPr>
              <w:t>26.8</w:t>
            </w:r>
            <w:r>
              <w:rPr>
                <w:b/>
                <w:bCs/>
                <w:sz w:val="18"/>
                <w:szCs w:val="18"/>
              </w:rPr>
              <w:t>%)</w:t>
            </w:r>
          </w:p>
        </w:tc>
        <w:tc>
          <w:tcPr>
            <w:tcW w:w="1293" w:type="dxa"/>
            <w:shd w:val="clear" w:color="auto" w:fill="FFFFFF" w:themeFill="background1"/>
            <w:tcMar>
              <w:top w:w="15" w:type="dxa"/>
              <w:left w:w="12" w:type="dxa"/>
              <w:bottom w:w="0" w:type="dxa"/>
              <w:right w:w="12" w:type="dxa"/>
            </w:tcMar>
            <w:vAlign w:val="center"/>
            <w:hideMark/>
          </w:tcPr>
          <w:p w14:paraId="2CA57698" w14:textId="0AC4C627" w:rsidR="00E133CD" w:rsidRPr="00E96281" w:rsidRDefault="007026C9" w:rsidP="00016900">
            <w:pPr>
              <w:spacing w:after="0" w:line="240" w:lineRule="auto"/>
              <w:jc w:val="center"/>
              <w:rPr>
                <w:sz w:val="18"/>
                <w:szCs w:val="18"/>
              </w:rPr>
            </w:pPr>
            <w:r>
              <w:rPr>
                <w:sz w:val="18"/>
                <w:szCs w:val="18"/>
              </w:rPr>
              <w:t>-</w:t>
            </w:r>
          </w:p>
        </w:tc>
      </w:tr>
      <w:tr w:rsidR="00C1735E" w:rsidRPr="00E96281" w14:paraId="73D45D3E" w14:textId="77777777" w:rsidTr="00C1735E">
        <w:trPr>
          <w:trHeight w:val="325"/>
          <w:jc w:val="center"/>
        </w:trPr>
        <w:tc>
          <w:tcPr>
            <w:tcW w:w="2889" w:type="dxa"/>
            <w:shd w:val="clear" w:color="auto" w:fill="FFFFFF" w:themeFill="background1"/>
            <w:tcMar>
              <w:top w:w="15" w:type="dxa"/>
              <w:left w:w="12" w:type="dxa"/>
              <w:bottom w:w="0" w:type="dxa"/>
              <w:right w:w="12" w:type="dxa"/>
            </w:tcMar>
          </w:tcPr>
          <w:p w14:paraId="06DB476D" w14:textId="047CDDFA" w:rsidR="00C1735E" w:rsidRPr="00E96281" w:rsidRDefault="00C1735E" w:rsidP="00016900">
            <w:pPr>
              <w:spacing w:after="0" w:line="240" w:lineRule="auto"/>
              <w:jc w:val="center"/>
              <w:rPr>
                <w:b/>
                <w:bCs/>
                <w:sz w:val="18"/>
                <w:szCs w:val="18"/>
              </w:rPr>
            </w:pPr>
            <w:r w:rsidRPr="00C1735E">
              <w:rPr>
                <w:b/>
                <w:bCs/>
                <w:sz w:val="18"/>
                <w:szCs w:val="18"/>
              </w:rPr>
              <w:t xml:space="preserve">Molecular phenotype: </w:t>
            </w:r>
            <w:r>
              <w:rPr>
                <w:b/>
                <w:bCs/>
                <w:sz w:val="18"/>
                <w:szCs w:val="18"/>
              </w:rPr>
              <w:t>GCB</w:t>
            </w:r>
            <w:r w:rsidRPr="00C1735E">
              <w:rPr>
                <w:b/>
                <w:bCs/>
                <w:sz w:val="18"/>
                <w:szCs w:val="18"/>
              </w:rPr>
              <w:t xml:space="preserve">% </w:t>
            </w:r>
          </w:p>
        </w:tc>
        <w:tc>
          <w:tcPr>
            <w:tcW w:w="1067" w:type="dxa"/>
            <w:shd w:val="clear" w:color="auto" w:fill="FFFFFF" w:themeFill="background1"/>
            <w:tcMar>
              <w:top w:w="15" w:type="dxa"/>
              <w:left w:w="12" w:type="dxa"/>
              <w:bottom w:w="0" w:type="dxa"/>
              <w:right w:w="12" w:type="dxa"/>
            </w:tcMar>
          </w:tcPr>
          <w:p w14:paraId="254FD606" w14:textId="7257540F" w:rsidR="00C1735E" w:rsidRPr="00E96281" w:rsidRDefault="007026C9" w:rsidP="00016900">
            <w:pPr>
              <w:spacing w:after="0" w:line="240" w:lineRule="auto"/>
              <w:jc w:val="center"/>
              <w:rPr>
                <w:b/>
                <w:bCs/>
                <w:sz w:val="18"/>
                <w:szCs w:val="18"/>
              </w:rPr>
            </w:pPr>
            <w:r>
              <w:rPr>
                <w:b/>
                <w:bCs/>
                <w:sz w:val="18"/>
                <w:szCs w:val="18"/>
              </w:rPr>
              <w:t>240 (</w:t>
            </w:r>
            <w:r w:rsidR="00C1735E">
              <w:rPr>
                <w:b/>
                <w:bCs/>
                <w:sz w:val="18"/>
                <w:szCs w:val="18"/>
              </w:rPr>
              <w:t>52.3</w:t>
            </w:r>
            <w:r>
              <w:rPr>
                <w:b/>
                <w:bCs/>
                <w:sz w:val="18"/>
                <w:szCs w:val="18"/>
              </w:rPr>
              <w:t>%)</w:t>
            </w:r>
          </w:p>
        </w:tc>
        <w:tc>
          <w:tcPr>
            <w:tcW w:w="1067" w:type="dxa"/>
            <w:shd w:val="clear" w:color="auto" w:fill="FFFFFF" w:themeFill="background1"/>
            <w:tcMar>
              <w:top w:w="15" w:type="dxa"/>
              <w:left w:w="12" w:type="dxa"/>
              <w:bottom w:w="0" w:type="dxa"/>
              <w:right w:w="12" w:type="dxa"/>
            </w:tcMar>
          </w:tcPr>
          <w:p w14:paraId="02D26B37" w14:textId="1ED54D09" w:rsidR="00C1735E" w:rsidRPr="00E96281" w:rsidRDefault="007026C9" w:rsidP="00016900">
            <w:pPr>
              <w:spacing w:after="0" w:line="240" w:lineRule="auto"/>
              <w:jc w:val="center"/>
              <w:rPr>
                <w:b/>
                <w:bCs/>
                <w:sz w:val="18"/>
                <w:szCs w:val="18"/>
              </w:rPr>
            </w:pPr>
            <w:r>
              <w:rPr>
                <w:b/>
                <w:bCs/>
                <w:sz w:val="18"/>
                <w:szCs w:val="18"/>
              </w:rPr>
              <w:t>235 (</w:t>
            </w:r>
            <w:r w:rsidR="00C1735E">
              <w:rPr>
                <w:b/>
                <w:bCs/>
                <w:sz w:val="18"/>
                <w:szCs w:val="18"/>
              </w:rPr>
              <w:t>51.2</w:t>
            </w:r>
            <w:r>
              <w:rPr>
                <w:b/>
                <w:bCs/>
                <w:sz w:val="18"/>
                <w:szCs w:val="18"/>
              </w:rPr>
              <w:t>%)</w:t>
            </w:r>
          </w:p>
        </w:tc>
        <w:tc>
          <w:tcPr>
            <w:tcW w:w="1293" w:type="dxa"/>
            <w:shd w:val="clear" w:color="auto" w:fill="FFFFFF" w:themeFill="background1"/>
            <w:tcMar>
              <w:top w:w="15" w:type="dxa"/>
              <w:left w:w="12" w:type="dxa"/>
              <w:bottom w:w="0" w:type="dxa"/>
              <w:right w:w="12" w:type="dxa"/>
            </w:tcMar>
            <w:vAlign w:val="center"/>
          </w:tcPr>
          <w:p w14:paraId="5D67D7F3" w14:textId="39F2858F" w:rsidR="00C1735E" w:rsidRPr="00E96281" w:rsidRDefault="007026C9" w:rsidP="00016900">
            <w:pPr>
              <w:spacing w:after="0" w:line="240" w:lineRule="auto"/>
              <w:jc w:val="center"/>
              <w:rPr>
                <w:sz w:val="18"/>
                <w:szCs w:val="18"/>
              </w:rPr>
            </w:pPr>
            <w:r>
              <w:rPr>
                <w:sz w:val="18"/>
                <w:szCs w:val="18"/>
              </w:rPr>
              <w:t>-</w:t>
            </w:r>
          </w:p>
        </w:tc>
      </w:tr>
      <w:tr w:rsidR="00C1735E" w:rsidRPr="00E96281" w14:paraId="27053260" w14:textId="77777777" w:rsidTr="00C1735E">
        <w:trPr>
          <w:trHeight w:val="325"/>
          <w:jc w:val="center"/>
        </w:trPr>
        <w:tc>
          <w:tcPr>
            <w:tcW w:w="2889" w:type="dxa"/>
            <w:shd w:val="clear" w:color="auto" w:fill="FFFFFF" w:themeFill="background1"/>
            <w:tcMar>
              <w:top w:w="15" w:type="dxa"/>
              <w:left w:w="12" w:type="dxa"/>
              <w:bottom w:w="0" w:type="dxa"/>
              <w:right w:w="12" w:type="dxa"/>
            </w:tcMar>
          </w:tcPr>
          <w:p w14:paraId="341BC966" w14:textId="757F28B7" w:rsidR="00C1735E" w:rsidRPr="00E96281" w:rsidRDefault="00C1735E" w:rsidP="00016900">
            <w:pPr>
              <w:spacing w:after="0" w:line="240" w:lineRule="auto"/>
              <w:jc w:val="center"/>
              <w:rPr>
                <w:b/>
                <w:bCs/>
                <w:sz w:val="18"/>
                <w:szCs w:val="18"/>
              </w:rPr>
            </w:pPr>
            <w:r w:rsidRPr="00C1735E">
              <w:rPr>
                <w:b/>
                <w:bCs/>
                <w:sz w:val="18"/>
                <w:szCs w:val="18"/>
              </w:rPr>
              <w:t xml:space="preserve">Molecular phenotype: </w:t>
            </w:r>
            <w:r>
              <w:rPr>
                <w:b/>
                <w:bCs/>
                <w:sz w:val="18"/>
                <w:szCs w:val="18"/>
              </w:rPr>
              <w:t>Unc</w:t>
            </w:r>
            <w:r w:rsidRPr="00C1735E">
              <w:rPr>
                <w:b/>
                <w:bCs/>
                <w:sz w:val="18"/>
                <w:szCs w:val="18"/>
              </w:rPr>
              <w:t xml:space="preserve">% </w:t>
            </w:r>
          </w:p>
        </w:tc>
        <w:tc>
          <w:tcPr>
            <w:tcW w:w="1067" w:type="dxa"/>
            <w:shd w:val="clear" w:color="auto" w:fill="FFFFFF" w:themeFill="background1"/>
            <w:tcMar>
              <w:top w:w="15" w:type="dxa"/>
              <w:left w:w="12" w:type="dxa"/>
              <w:bottom w:w="0" w:type="dxa"/>
              <w:right w:w="12" w:type="dxa"/>
            </w:tcMar>
          </w:tcPr>
          <w:p w14:paraId="290A2A98" w14:textId="29274D7F" w:rsidR="00C1735E" w:rsidRPr="00E96281" w:rsidRDefault="007026C9" w:rsidP="00016900">
            <w:pPr>
              <w:spacing w:after="0" w:line="240" w:lineRule="auto"/>
              <w:jc w:val="center"/>
              <w:rPr>
                <w:b/>
                <w:bCs/>
                <w:sz w:val="18"/>
                <w:szCs w:val="18"/>
              </w:rPr>
            </w:pPr>
            <w:r>
              <w:rPr>
                <w:b/>
                <w:bCs/>
                <w:sz w:val="18"/>
                <w:szCs w:val="18"/>
              </w:rPr>
              <w:t>98 (</w:t>
            </w:r>
            <w:r w:rsidR="00C1735E">
              <w:rPr>
                <w:b/>
                <w:bCs/>
                <w:sz w:val="18"/>
                <w:szCs w:val="18"/>
              </w:rPr>
              <w:t>21.4</w:t>
            </w:r>
            <w:r>
              <w:rPr>
                <w:b/>
                <w:bCs/>
                <w:sz w:val="18"/>
                <w:szCs w:val="18"/>
              </w:rPr>
              <w:t>%)</w:t>
            </w:r>
          </w:p>
        </w:tc>
        <w:tc>
          <w:tcPr>
            <w:tcW w:w="1067" w:type="dxa"/>
            <w:shd w:val="clear" w:color="auto" w:fill="FFFFFF" w:themeFill="background1"/>
            <w:tcMar>
              <w:top w:w="15" w:type="dxa"/>
              <w:left w:w="12" w:type="dxa"/>
              <w:bottom w:w="0" w:type="dxa"/>
              <w:right w:w="12" w:type="dxa"/>
            </w:tcMar>
          </w:tcPr>
          <w:p w14:paraId="0610C936" w14:textId="775D4070" w:rsidR="00C1735E" w:rsidRPr="00E96281" w:rsidRDefault="007026C9" w:rsidP="00016900">
            <w:pPr>
              <w:spacing w:after="0" w:line="240" w:lineRule="auto"/>
              <w:jc w:val="center"/>
              <w:rPr>
                <w:b/>
                <w:bCs/>
                <w:sz w:val="18"/>
                <w:szCs w:val="18"/>
              </w:rPr>
            </w:pPr>
            <w:r>
              <w:rPr>
                <w:b/>
                <w:bCs/>
                <w:sz w:val="18"/>
                <w:szCs w:val="18"/>
              </w:rPr>
              <w:t>101 (</w:t>
            </w:r>
            <w:r w:rsidR="00C1735E">
              <w:rPr>
                <w:b/>
                <w:bCs/>
                <w:sz w:val="18"/>
                <w:szCs w:val="18"/>
              </w:rPr>
              <w:t>22.0</w:t>
            </w:r>
            <w:r>
              <w:rPr>
                <w:b/>
                <w:bCs/>
                <w:sz w:val="18"/>
                <w:szCs w:val="18"/>
              </w:rPr>
              <w:t>%)</w:t>
            </w:r>
          </w:p>
        </w:tc>
        <w:tc>
          <w:tcPr>
            <w:tcW w:w="1293" w:type="dxa"/>
            <w:shd w:val="clear" w:color="auto" w:fill="FFFFFF" w:themeFill="background1"/>
            <w:tcMar>
              <w:top w:w="15" w:type="dxa"/>
              <w:left w:w="12" w:type="dxa"/>
              <w:bottom w:w="0" w:type="dxa"/>
              <w:right w:w="12" w:type="dxa"/>
            </w:tcMar>
            <w:vAlign w:val="center"/>
          </w:tcPr>
          <w:p w14:paraId="4D03D4BD" w14:textId="27FA8C0D" w:rsidR="00C1735E" w:rsidRPr="00E96281" w:rsidRDefault="007026C9" w:rsidP="00016900">
            <w:pPr>
              <w:spacing w:after="0" w:line="240" w:lineRule="auto"/>
              <w:jc w:val="center"/>
              <w:rPr>
                <w:sz w:val="18"/>
                <w:szCs w:val="18"/>
              </w:rPr>
            </w:pPr>
            <w:r>
              <w:rPr>
                <w:sz w:val="18"/>
                <w:szCs w:val="18"/>
              </w:rPr>
              <w:t>-</w:t>
            </w:r>
          </w:p>
        </w:tc>
      </w:tr>
    </w:tbl>
    <w:p w14:paraId="7B9F396B" w14:textId="7F0B894D" w:rsidR="004226C7" w:rsidRDefault="004226C7" w:rsidP="00367E84">
      <w:pPr>
        <w:spacing w:before="120"/>
      </w:pPr>
    </w:p>
    <w:p w14:paraId="4F422009" w14:textId="70CF9FAB" w:rsidR="00892CEE" w:rsidRDefault="00892CEE" w:rsidP="00367E84">
      <w:pPr>
        <w:spacing w:before="120"/>
      </w:pPr>
      <w:r>
        <w:t>Table 1.</w:t>
      </w:r>
      <w:r w:rsidRPr="00A65274">
        <w:t xml:space="preserve"> </w:t>
      </w:r>
      <w:r>
        <w:t>Baseline characteristics of the participants by treatment arm</w:t>
      </w:r>
      <w:r w:rsidR="000A42D3">
        <w:t xml:space="preserve"> (ITT population and non-randomised cases)</w:t>
      </w:r>
      <w:r>
        <w:t>. ECOG= Europ</w:t>
      </w:r>
      <w:r w:rsidR="004835F9">
        <w:t xml:space="preserve">ean Cooperative Oncology Group </w:t>
      </w:r>
      <w:r w:rsidR="00C1735E">
        <w:t>(Unc= unclassified)</w:t>
      </w:r>
    </w:p>
    <w:p w14:paraId="789F3F10" w14:textId="77777777" w:rsidR="004226C7" w:rsidRDefault="004226C7" w:rsidP="00367E84">
      <w:pPr>
        <w:spacing w:before="120"/>
      </w:pPr>
      <w:r>
        <w:br w:type="page"/>
      </w:r>
    </w:p>
    <w:p w14:paraId="4D70E4EF" w14:textId="606A442D" w:rsidR="000B5530" w:rsidRDefault="000B5530" w:rsidP="00367E84">
      <w:pPr>
        <w:spacing w:before="120"/>
      </w:pPr>
    </w:p>
    <w:tbl>
      <w:tblPr>
        <w:tblW w:w="9540" w:type="dxa"/>
        <w:tblInd w:w="23" w:type="dxa"/>
        <w:tblBorders>
          <w:top w:val="single" w:sz="18" w:space="0" w:color="000000"/>
          <w:left w:val="single" w:sz="18" w:space="0" w:color="000000"/>
          <w:bottom w:val="single" w:sz="4" w:space="0" w:color="auto"/>
          <w:right w:val="single" w:sz="18" w:space="0" w:color="000000"/>
          <w:insideH w:val="single" w:sz="4" w:space="0" w:color="auto"/>
          <w:insideV w:val="single" w:sz="4" w:space="0" w:color="auto"/>
        </w:tblBorders>
        <w:tblCellMar>
          <w:left w:w="0" w:type="dxa"/>
          <w:right w:w="0" w:type="dxa"/>
        </w:tblCellMar>
        <w:tblLook w:val="04A0" w:firstRow="1" w:lastRow="0" w:firstColumn="1" w:lastColumn="0" w:noHBand="0" w:noVBand="1"/>
      </w:tblPr>
      <w:tblGrid>
        <w:gridCol w:w="3860"/>
        <w:gridCol w:w="1400"/>
        <w:gridCol w:w="1400"/>
        <w:gridCol w:w="1400"/>
        <w:gridCol w:w="1480"/>
      </w:tblGrid>
      <w:tr w:rsidR="00815712" w:rsidRPr="009070C3" w14:paraId="0EFBFDAC" w14:textId="77777777" w:rsidTr="00E6238E">
        <w:trPr>
          <w:trHeight w:val="1034"/>
        </w:trPr>
        <w:tc>
          <w:tcPr>
            <w:tcW w:w="3860" w:type="dxa"/>
            <w:shd w:val="clear" w:color="auto" w:fill="A6A6A6" w:themeFill="background1" w:themeFillShade="A6"/>
            <w:tcMar>
              <w:top w:w="15" w:type="dxa"/>
              <w:left w:w="12" w:type="dxa"/>
              <w:bottom w:w="0" w:type="dxa"/>
              <w:right w:w="12" w:type="dxa"/>
            </w:tcMar>
            <w:vAlign w:val="center"/>
            <w:hideMark/>
          </w:tcPr>
          <w:p w14:paraId="5C0A77BC" w14:textId="77777777" w:rsidR="00815712" w:rsidRPr="009070C3" w:rsidRDefault="00815712" w:rsidP="00573046">
            <w:pPr>
              <w:spacing w:after="0" w:line="240" w:lineRule="auto"/>
              <w:rPr>
                <w:lang w:val="en-US"/>
              </w:rPr>
            </w:pPr>
            <w:r w:rsidRPr="009070C3">
              <w:rPr>
                <w:b/>
                <w:bCs/>
              </w:rPr>
              <w:t>Characteristic</w:t>
            </w:r>
          </w:p>
        </w:tc>
        <w:tc>
          <w:tcPr>
            <w:tcW w:w="1400" w:type="dxa"/>
            <w:shd w:val="clear" w:color="auto" w:fill="A6A6A6" w:themeFill="background1" w:themeFillShade="A6"/>
            <w:tcMar>
              <w:top w:w="15" w:type="dxa"/>
              <w:left w:w="12" w:type="dxa"/>
              <w:bottom w:w="0" w:type="dxa"/>
              <w:right w:w="12" w:type="dxa"/>
            </w:tcMar>
            <w:vAlign w:val="center"/>
            <w:hideMark/>
          </w:tcPr>
          <w:p w14:paraId="18A0616F" w14:textId="77777777" w:rsidR="00815712" w:rsidRPr="009070C3" w:rsidRDefault="00815712" w:rsidP="00573046">
            <w:pPr>
              <w:spacing w:after="0" w:line="240" w:lineRule="auto"/>
              <w:rPr>
                <w:lang w:val="en-US"/>
              </w:rPr>
            </w:pPr>
            <w:r w:rsidRPr="009070C3">
              <w:rPr>
                <w:b/>
                <w:bCs/>
              </w:rPr>
              <w:t>ABC</w:t>
            </w:r>
          </w:p>
          <w:p w14:paraId="5BC695A5" w14:textId="77777777" w:rsidR="00815712" w:rsidRPr="009070C3" w:rsidRDefault="00815712" w:rsidP="00573046">
            <w:pPr>
              <w:spacing w:after="0" w:line="240" w:lineRule="auto"/>
              <w:rPr>
                <w:lang w:val="en-US"/>
              </w:rPr>
            </w:pPr>
            <w:r w:rsidRPr="009070C3">
              <w:rPr>
                <w:b/>
                <w:bCs/>
              </w:rPr>
              <w:t>(n=244)</w:t>
            </w:r>
          </w:p>
        </w:tc>
        <w:tc>
          <w:tcPr>
            <w:tcW w:w="1400" w:type="dxa"/>
            <w:shd w:val="clear" w:color="auto" w:fill="A6A6A6" w:themeFill="background1" w:themeFillShade="A6"/>
            <w:tcMar>
              <w:top w:w="15" w:type="dxa"/>
              <w:left w:w="12" w:type="dxa"/>
              <w:bottom w:w="0" w:type="dxa"/>
              <w:right w:w="12" w:type="dxa"/>
            </w:tcMar>
            <w:vAlign w:val="center"/>
            <w:hideMark/>
          </w:tcPr>
          <w:p w14:paraId="6C67CF3A" w14:textId="77777777" w:rsidR="00815712" w:rsidRPr="009070C3" w:rsidRDefault="00815712" w:rsidP="00573046">
            <w:pPr>
              <w:spacing w:after="0" w:line="240" w:lineRule="auto"/>
              <w:rPr>
                <w:lang w:val="en-US"/>
              </w:rPr>
            </w:pPr>
            <w:r w:rsidRPr="009070C3">
              <w:rPr>
                <w:b/>
                <w:bCs/>
              </w:rPr>
              <w:t>GCB</w:t>
            </w:r>
          </w:p>
          <w:p w14:paraId="6585E0AD" w14:textId="77777777" w:rsidR="00815712" w:rsidRPr="009070C3" w:rsidRDefault="00815712" w:rsidP="00573046">
            <w:pPr>
              <w:spacing w:after="0" w:line="240" w:lineRule="auto"/>
              <w:rPr>
                <w:lang w:val="en-US"/>
              </w:rPr>
            </w:pPr>
            <w:r w:rsidRPr="009070C3">
              <w:rPr>
                <w:b/>
                <w:bCs/>
              </w:rPr>
              <w:t>(n=475)</w:t>
            </w:r>
          </w:p>
        </w:tc>
        <w:tc>
          <w:tcPr>
            <w:tcW w:w="1400" w:type="dxa"/>
            <w:shd w:val="clear" w:color="auto" w:fill="A6A6A6" w:themeFill="background1" w:themeFillShade="A6"/>
            <w:tcMar>
              <w:top w:w="15" w:type="dxa"/>
              <w:left w:w="12" w:type="dxa"/>
              <w:bottom w:w="0" w:type="dxa"/>
              <w:right w:w="12" w:type="dxa"/>
            </w:tcMar>
            <w:vAlign w:val="center"/>
            <w:hideMark/>
          </w:tcPr>
          <w:p w14:paraId="5C092962" w14:textId="46DAF70D" w:rsidR="00815712" w:rsidRPr="009070C3" w:rsidRDefault="002D3421" w:rsidP="00573046">
            <w:pPr>
              <w:spacing w:after="0" w:line="240" w:lineRule="auto"/>
              <w:rPr>
                <w:lang w:val="en-US"/>
              </w:rPr>
            </w:pPr>
            <w:r>
              <w:rPr>
                <w:b/>
                <w:bCs/>
              </w:rPr>
              <w:t>Unc</w:t>
            </w:r>
          </w:p>
          <w:p w14:paraId="66857AF4" w14:textId="77777777" w:rsidR="00815712" w:rsidRPr="009070C3" w:rsidRDefault="00815712" w:rsidP="00573046">
            <w:pPr>
              <w:spacing w:after="0" w:line="240" w:lineRule="auto"/>
              <w:rPr>
                <w:lang w:val="en-US"/>
              </w:rPr>
            </w:pPr>
            <w:r w:rsidRPr="009070C3">
              <w:rPr>
                <w:b/>
                <w:bCs/>
              </w:rPr>
              <w:t>(n=199)</w:t>
            </w:r>
          </w:p>
        </w:tc>
        <w:tc>
          <w:tcPr>
            <w:tcW w:w="1480" w:type="dxa"/>
            <w:shd w:val="clear" w:color="auto" w:fill="A6A6A6" w:themeFill="background1" w:themeFillShade="A6"/>
            <w:tcMar>
              <w:top w:w="15" w:type="dxa"/>
              <w:left w:w="12" w:type="dxa"/>
              <w:bottom w:w="0" w:type="dxa"/>
              <w:right w:w="12" w:type="dxa"/>
            </w:tcMar>
            <w:vAlign w:val="center"/>
            <w:hideMark/>
          </w:tcPr>
          <w:p w14:paraId="29CAC120" w14:textId="77777777" w:rsidR="00815712" w:rsidRPr="009070C3" w:rsidRDefault="00815712" w:rsidP="00573046">
            <w:pPr>
              <w:spacing w:after="0" w:line="240" w:lineRule="auto"/>
              <w:rPr>
                <w:lang w:val="en-US"/>
              </w:rPr>
            </w:pPr>
            <w:r w:rsidRPr="009070C3">
              <w:rPr>
                <w:b/>
                <w:bCs/>
                <w:i/>
                <w:iCs/>
              </w:rPr>
              <w:t>P</w:t>
            </w:r>
            <w:r w:rsidRPr="009070C3">
              <w:rPr>
                <w:b/>
                <w:bCs/>
              </w:rPr>
              <w:t xml:space="preserve"> value </w:t>
            </w:r>
          </w:p>
          <w:p w14:paraId="625FC456" w14:textId="77777777" w:rsidR="00815712" w:rsidRPr="009070C3" w:rsidRDefault="00815712" w:rsidP="00573046">
            <w:pPr>
              <w:spacing w:after="0" w:line="240" w:lineRule="auto"/>
              <w:rPr>
                <w:lang w:val="en-US"/>
              </w:rPr>
            </w:pPr>
            <w:r w:rsidRPr="009070C3">
              <w:rPr>
                <w:b/>
                <w:bCs/>
              </w:rPr>
              <w:t>ABC vs GCB</w:t>
            </w:r>
          </w:p>
        </w:tc>
      </w:tr>
      <w:tr w:rsidR="00815712" w:rsidRPr="009070C3" w14:paraId="1B220D73" w14:textId="77777777" w:rsidTr="00E6238E">
        <w:trPr>
          <w:trHeight w:val="317"/>
        </w:trPr>
        <w:tc>
          <w:tcPr>
            <w:tcW w:w="3860" w:type="dxa"/>
            <w:shd w:val="clear" w:color="auto" w:fill="FFFFFF" w:themeFill="background1"/>
            <w:tcMar>
              <w:top w:w="15" w:type="dxa"/>
              <w:left w:w="12" w:type="dxa"/>
              <w:bottom w:w="0" w:type="dxa"/>
              <w:right w:w="12" w:type="dxa"/>
            </w:tcMar>
            <w:hideMark/>
          </w:tcPr>
          <w:p w14:paraId="743F6E92" w14:textId="77777777" w:rsidR="00815712" w:rsidRPr="009070C3" w:rsidRDefault="00815712" w:rsidP="00573046">
            <w:pPr>
              <w:spacing w:after="0" w:line="240" w:lineRule="auto"/>
              <w:rPr>
                <w:lang w:val="en-US"/>
              </w:rPr>
            </w:pPr>
            <w:r w:rsidRPr="009070C3">
              <w:rPr>
                <w:b/>
                <w:bCs/>
              </w:rPr>
              <w:t>Age</w:t>
            </w:r>
            <w:r>
              <w:rPr>
                <w:b/>
                <w:bCs/>
              </w:rPr>
              <w:t xml:space="preserve">  </w:t>
            </w:r>
            <w:r w:rsidRPr="009070C3">
              <w:rPr>
                <w:b/>
                <w:bCs/>
              </w:rPr>
              <w:t>Median (range), years</w:t>
            </w:r>
          </w:p>
        </w:tc>
        <w:tc>
          <w:tcPr>
            <w:tcW w:w="1400" w:type="dxa"/>
            <w:shd w:val="clear" w:color="auto" w:fill="FFFFFF" w:themeFill="background1"/>
            <w:tcMar>
              <w:top w:w="15" w:type="dxa"/>
              <w:left w:w="12" w:type="dxa"/>
              <w:bottom w:w="0" w:type="dxa"/>
              <w:right w:w="12" w:type="dxa"/>
            </w:tcMar>
            <w:vAlign w:val="center"/>
            <w:hideMark/>
          </w:tcPr>
          <w:p w14:paraId="4081D4FE" w14:textId="77777777" w:rsidR="00815712" w:rsidRPr="009070C3" w:rsidRDefault="00815712" w:rsidP="00573046">
            <w:pPr>
              <w:spacing w:after="0" w:line="240" w:lineRule="auto"/>
              <w:rPr>
                <w:lang w:val="en-US"/>
              </w:rPr>
            </w:pPr>
            <w:r w:rsidRPr="009070C3">
              <w:rPr>
                <w:b/>
                <w:bCs/>
              </w:rPr>
              <w:t>67 (22-86)</w:t>
            </w:r>
          </w:p>
        </w:tc>
        <w:tc>
          <w:tcPr>
            <w:tcW w:w="1400" w:type="dxa"/>
            <w:shd w:val="clear" w:color="auto" w:fill="FFFFFF" w:themeFill="background1"/>
            <w:tcMar>
              <w:top w:w="15" w:type="dxa"/>
              <w:left w:w="12" w:type="dxa"/>
              <w:bottom w:w="0" w:type="dxa"/>
              <w:right w:w="12" w:type="dxa"/>
            </w:tcMar>
            <w:vAlign w:val="center"/>
            <w:hideMark/>
          </w:tcPr>
          <w:p w14:paraId="4FD4FB26" w14:textId="77777777" w:rsidR="00815712" w:rsidRPr="009070C3" w:rsidRDefault="00815712" w:rsidP="00573046">
            <w:pPr>
              <w:spacing w:after="0" w:line="240" w:lineRule="auto"/>
              <w:rPr>
                <w:lang w:val="en-US"/>
              </w:rPr>
            </w:pPr>
            <w:r w:rsidRPr="009070C3">
              <w:rPr>
                <w:b/>
                <w:bCs/>
              </w:rPr>
              <w:t>63 (20-82)</w:t>
            </w:r>
          </w:p>
        </w:tc>
        <w:tc>
          <w:tcPr>
            <w:tcW w:w="1400" w:type="dxa"/>
            <w:shd w:val="clear" w:color="auto" w:fill="FFFFFF" w:themeFill="background1"/>
            <w:tcMar>
              <w:top w:w="15" w:type="dxa"/>
              <w:left w:w="12" w:type="dxa"/>
              <w:bottom w:w="0" w:type="dxa"/>
              <w:right w:w="12" w:type="dxa"/>
            </w:tcMar>
            <w:vAlign w:val="center"/>
            <w:hideMark/>
          </w:tcPr>
          <w:p w14:paraId="38B3C9B4" w14:textId="77777777" w:rsidR="00815712" w:rsidRPr="009070C3" w:rsidRDefault="00815712" w:rsidP="00573046">
            <w:pPr>
              <w:spacing w:after="0" w:line="240" w:lineRule="auto"/>
              <w:rPr>
                <w:lang w:val="en-US"/>
              </w:rPr>
            </w:pPr>
            <w:r w:rsidRPr="009070C3">
              <w:rPr>
                <w:b/>
                <w:bCs/>
              </w:rPr>
              <w:t>63 (20-84)</w:t>
            </w:r>
          </w:p>
        </w:tc>
        <w:tc>
          <w:tcPr>
            <w:tcW w:w="1480" w:type="dxa"/>
            <w:shd w:val="clear" w:color="auto" w:fill="FFFFFF" w:themeFill="background1"/>
            <w:tcMar>
              <w:top w:w="15" w:type="dxa"/>
              <w:left w:w="12" w:type="dxa"/>
              <w:bottom w:w="0" w:type="dxa"/>
              <w:right w:w="12" w:type="dxa"/>
            </w:tcMar>
            <w:vAlign w:val="center"/>
            <w:hideMark/>
          </w:tcPr>
          <w:p w14:paraId="644DE39E" w14:textId="708E4E7D" w:rsidR="00815712" w:rsidRPr="009070C3" w:rsidRDefault="00815712" w:rsidP="00573046">
            <w:pPr>
              <w:spacing w:after="0" w:line="240" w:lineRule="auto"/>
              <w:rPr>
                <w:lang w:val="en-US"/>
              </w:rPr>
            </w:pPr>
            <w:r w:rsidRPr="009070C3">
              <w:rPr>
                <w:b/>
                <w:bCs/>
              </w:rPr>
              <w:t>0.00</w:t>
            </w:r>
            <w:r w:rsidR="003C66C3">
              <w:rPr>
                <w:b/>
                <w:bCs/>
              </w:rPr>
              <w:t>4</w:t>
            </w:r>
            <w:r w:rsidRPr="009070C3">
              <w:rPr>
                <w:b/>
                <w:bCs/>
              </w:rPr>
              <w:t>5</w:t>
            </w:r>
          </w:p>
        </w:tc>
      </w:tr>
      <w:tr w:rsidR="00E6238E" w:rsidRPr="009070C3" w14:paraId="3BE18B4D" w14:textId="77777777" w:rsidTr="00AC4A94">
        <w:trPr>
          <w:trHeight w:val="385"/>
        </w:trPr>
        <w:tc>
          <w:tcPr>
            <w:tcW w:w="9540" w:type="dxa"/>
            <w:gridSpan w:val="5"/>
            <w:shd w:val="clear" w:color="auto" w:fill="FFFFFF" w:themeFill="background1"/>
            <w:tcMar>
              <w:top w:w="15" w:type="dxa"/>
              <w:left w:w="12" w:type="dxa"/>
              <w:bottom w:w="0" w:type="dxa"/>
              <w:right w:w="12" w:type="dxa"/>
            </w:tcMar>
            <w:hideMark/>
          </w:tcPr>
          <w:p w14:paraId="26162DA3" w14:textId="52CDD51B" w:rsidR="00E6238E" w:rsidRPr="009070C3" w:rsidRDefault="00E6238E" w:rsidP="00573046">
            <w:pPr>
              <w:spacing w:after="0" w:line="240" w:lineRule="auto"/>
              <w:rPr>
                <w:lang w:val="en-US"/>
              </w:rPr>
            </w:pPr>
            <w:r w:rsidRPr="009070C3">
              <w:rPr>
                <w:b/>
                <w:bCs/>
              </w:rPr>
              <w:t xml:space="preserve">ECOG Performance Status – </w:t>
            </w:r>
            <w:r w:rsidR="00495872">
              <w:rPr>
                <w:b/>
                <w:bCs/>
              </w:rPr>
              <w:t xml:space="preserve">n </w:t>
            </w:r>
            <w:r w:rsidRPr="009070C3">
              <w:rPr>
                <w:b/>
                <w:bCs/>
              </w:rPr>
              <w:t>(%)</w:t>
            </w:r>
          </w:p>
        </w:tc>
      </w:tr>
      <w:tr w:rsidR="00815712" w:rsidRPr="009070C3" w14:paraId="78B91EE6" w14:textId="77777777" w:rsidTr="00E6238E">
        <w:trPr>
          <w:trHeight w:val="385"/>
        </w:trPr>
        <w:tc>
          <w:tcPr>
            <w:tcW w:w="3860" w:type="dxa"/>
            <w:shd w:val="clear" w:color="auto" w:fill="FFFFFF" w:themeFill="background1"/>
            <w:tcMar>
              <w:top w:w="15" w:type="dxa"/>
              <w:left w:w="12" w:type="dxa"/>
              <w:bottom w:w="0" w:type="dxa"/>
              <w:right w:w="12" w:type="dxa"/>
            </w:tcMar>
            <w:hideMark/>
          </w:tcPr>
          <w:p w14:paraId="56A9CE94" w14:textId="77777777" w:rsidR="00815712" w:rsidRPr="009070C3" w:rsidRDefault="00815712" w:rsidP="00573046">
            <w:pPr>
              <w:spacing w:after="0" w:line="240" w:lineRule="auto"/>
              <w:rPr>
                <w:lang w:val="en-US"/>
              </w:rPr>
            </w:pPr>
            <w:r w:rsidRPr="009070C3">
              <w:rPr>
                <w:b/>
                <w:bCs/>
              </w:rPr>
              <w:t>0</w:t>
            </w:r>
          </w:p>
        </w:tc>
        <w:tc>
          <w:tcPr>
            <w:tcW w:w="1400" w:type="dxa"/>
            <w:shd w:val="clear" w:color="auto" w:fill="FFFFFF" w:themeFill="background1"/>
            <w:tcMar>
              <w:top w:w="15" w:type="dxa"/>
              <w:left w:w="12" w:type="dxa"/>
              <w:bottom w:w="0" w:type="dxa"/>
              <w:right w:w="12" w:type="dxa"/>
            </w:tcMar>
            <w:vAlign w:val="center"/>
            <w:hideMark/>
          </w:tcPr>
          <w:p w14:paraId="4B66FA27" w14:textId="0A5B7701" w:rsidR="00815712" w:rsidRPr="009070C3" w:rsidRDefault="00495872" w:rsidP="00573046">
            <w:pPr>
              <w:spacing w:after="0" w:line="240" w:lineRule="auto"/>
              <w:rPr>
                <w:lang w:val="en-US"/>
              </w:rPr>
            </w:pPr>
            <w:r>
              <w:rPr>
                <w:b/>
                <w:bCs/>
              </w:rPr>
              <w:t>121 (</w:t>
            </w:r>
            <w:r w:rsidR="00815712" w:rsidRPr="009070C3">
              <w:rPr>
                <w:b/>
                <w:bCs/>
              </w:rPr>
              <w:t>51.9</w:t>
            </w:r>
            <w:r>
              <w:rPr>
                <w:b/>
                <w:bCs/>
              </w:rPr>
              <w:t>%)</w:t>
            </w:r>
          </w:p>
        </w:tc>
        <w:tc>
          <w:tcPr>
            <w:tcW w:w="1400" w:type="dxa"/>
            <w:shd w:val="clear" w:color="auto" w:fill="FFFFFF" w:themeFill="background1"/>
            <w:tcMar>
              <w:top w:w="15" w:type="dxa"/>
              <w:left w:w="12" w:type="dxa"/>
              <w:bottom w:w="0" w:type="dxa"/>
              <w:right w:w="12" w:type="dxa"/>
            </w:tcMar>
            <w:vAlign w:val="center"/>
            <w:hideMark/>
          </w:tcPr>
          <w:p w14:paraId="489783B5" w14:textId="40800A66" w:rsidR="00815712" w:rsidRPr="009070C3" w:rsidRDefault="00495872" w:rsidP="00573046">
            <w:pPr>
              <w:spacing w:after="0" w:line="240" w:lineRule="auto"/>
              <w:rPr>
                <w:lang w:val="en-US"/>
              </w:rPr>
            </w:pPr>
            <w:r>
              <w:rPr>
                <w:b/>
                <w:bCs/>
              </w:rPr>
              <w:t>247 (</w:t>
            </w:r>
            <w:r w:rsidR="00815712" w:rsidRPr="009070C3">
              <w:rPr>
                <w:b/>
                <w:bCs/>
              </w:rPr>
              <w:t>53.8</w:t>
            </w:r>
            <w:r>
              <w:rPr>
                <w:b/>
                <w:bCs/>
              </w:rPr>
              <w:t>%)</w:t>
            </w:r>
          </w:p>
        </w:tc>
        <w:tc>
          <w:tcPr>
            <w:tcW w:w="1400" w:type="dxa"/>
            <w:shd w:val="clear" w:color="auto" w:fill="FFFFFF" w:themeFill="background1"/>
            <w:tcMar>
              <w:top w:w="15" w:type="dxa"/>
              <w:left w:w="12" w:type="dxa"/>
              <w:bottom w:w="0" w:type="dxa"/>
              <w:right w:w="12" w:type="dxa"/>
            </w:tcMar>
            <w:vAlign w:val="center"/>
            <w:hideMark/>
          </w:tcPr>
          <w:p w14:paraId="77A492EA" w14:textId="0B1BCB7E" w:rsidR="00815712" w:rsidRPr="009070C3" w:rsidRDefault="00495872" w:rsidP="00573046">
            <w:pPr>
              <w:spacing w:after="0" w:line="240" w:lineRule="auto"/>
              <w:rPr>
                <w:lang w:val="en-US"/>
              </w:rPr>
            </w:pPr>
            <w:r>
              <w:rPr>
                <w:b/>
                <w:bCs/>
              </w:rPr>
              <w:t>104 (</w:t>
            </w:r>
            <w:r w:rsidR="00815712" w:rsidRPr="009070C3">
              <w:rPr>
                <w:b/>
                <w:bCs/>
              </w:rPr>
              <w:t>53.6</w:t>
            </w:r>
            <w:r>
              <w:rPr>
                <w:b/>
                <w:bCs/>
              </w:rPr>
              <w:t>%)</w:t>
            </w:r>
          </w:p>
        </w:tc>
        <w:tc>
          <w:tcPr>
            <w:tcW w:w="1480" w:type="dxa"/>
            <w:shd w:val="clear" w:color="auto" w:fill="FFFFFF" w:themeFill="background1"/>
            <w:tcMar>
              <w:top w:w="15" w:type="dxa"/>
              <w:left w:w="12" w:type="dxa"/>
              <w:bottom w:w="0" w:type="dxa"/>
              <w:right w:w="12" w:type="dxa"/>
            </w:tcMar>
            <w:vAlign w:val="center"/>
            <w:hideMark/>
          </w:tcPr>
          <w:p w14:paraId="7FA504E1" w14:textId="77777777" w:rsidR="00815712" w:rsidRPr="009070C3" w:rsidRDefault="00815712" w:rsidP="00573046">
            <w:pPr>
              <w:spacing w:after="0" w:line="240" w:lineRule="auto"/>
              <w:rPr>
                <w:lang w:val="en-US"/>
              </w:rPr>
            </w:pPr>
          </w:p>
        </w:tc>
      </w:tr>
      <w:tr w:rsidR="00815712" w:rsidRPr="009070C3" w14:paraId="7409F261" w14:textId="77777777" w:rsidTr="00E6238E">
        <w:trPr>
          <w:trHeight w:val="385"/>
        </w:trPr>
        <w:tc>
          <w:tcPr>
            <w:tcW w:w="3860" w:type="dxa"/>
            <w:shd w:val="clear" w:color="auto" w:fill="FFFFFF" w:themeFill="background1"/>
            <w:tcMar>
              <w:top w:w="15" w:type="dxa"/>
              <w:left w:w="12" w:type="dxa"/>
              <w:bottom w:w="0" w:type="dxa"/>
              <w:right w:w="12" w:type="dxa"/>
            </w:tcMar>
            <w:hideMark/>
          </w:tcPr>
          <w:p w14:paraId="70E364CC" w14:textId="77777777" w:rsidR="00815712" w:rsidRPr="009070C3" w:rsidRDefault="00815712" w:rsidP="00573046">
            <w:pPr>
              <w:spacing w:after="0" w:line="240" w:lineRule="auto"/>
              <w:rPr>
                <w:lang w:val="en-US"/>
              </w:rPr>
            </w:pPr>
            <w:r w:rsidRPr="009070C3">
              <w:rPr>
                <w:b/>
                <w:bCs/>
              </w:rPr>
              <w:t>1</w:t>
            </w:r>
          </w:p>
        </w:tc>
        <w:tc>
          <w:tcPr>
            <w:tcW w:w="1400" w:type="dxa"/>
            <w:shd w:val="clear" w:color="auto" w:fill="FFFFFF" w:themeFill="background1"/>
            <w:tcMar>
              <w:top w:w="15" w:type="dxa"/>
              <w:left w:w="12" w:type="dxa"/>
              <w:bottom w:w="0" w:type="dxa"/>
              <w:right w:w="12" w:type="dxa"/>
            </w:tcMar>
            <w:vAlign w:val="center"/>
            <w:hideMark/>
          </w:tcPr>
          <w:p w14:paraId="5E9EE111" w14:textId="621E53C1" w:rsidR="00815712" w:rsidRPr="009070C3" w:rsidRDefault="00495872" w:rsidP="00573046">
            <w:pPr>
              <w:spacing w:after="0" w:line="240" w:lineRule="auto"/>
              <w:rPr>
                <w:lang w:val="en-US"/>
              </w:rPr>
            </w:pPr>
            <w:r>
              <w:rPr>
                <w:b/>
                <w:bCs/>
              </w:rPr>
              <w:t>84 (</w:t>
            </w:r>
            <w:r w:rsidR="00815712" w:rsidRPr="009070C3">
              <w:rPr>
                <w:b/>
                <w:bCs/>
              </w:rPr>
              <w:t>36.1</w:t>
            </w:r>
            <w:r>
              <w:rPr>
                <w:b/>
                <w:bCs/>
              </w:rPr>
              <w:t>%)</w:t>
            </w:r>
          </w:p>
        </w:tc>
        <w:tc>
          <w:tcPr>
            <w:tcW w:w="1400" w:type="dxa"/>
            <w:shd w:val="clear" w:color="auto" w:fill="FFFFFF" w:themeFill="background1"/>
            <w:tcMar>
              <w:top w:w="15" w:type="dxa"/>
              <w:left w:w="12" w:type="dxa"/>
              <w:bottom w:w="0" w:type="dxa"/>
              <w:right w:w="12" w:type="dxa"/>
            </w:tcMar>
            <w:vAlign w:val="center"/>
            <w:hideMark/>
          </w:tcPr>
          <w:p w14:paraId="102D25DE" w14:textId="445A4B7C" w:rsidR="00815712" w:rsidRPr="009070C3" w:rsidRDefault="00495872" w:rsidP="00573046">
            <w:pPr>
              <w:spacing w:after="0" w:line="240" w:lineRule="auto"/>
              <w:rPr>
                <w:lang w:val="en-US"/>
              </w:rPr>
            </w:pPr>
            <w:r>
              <w:rPr>
                <w:b/>
                <w:bCs/>
              </w:rPr>
              <w:t>158 (</w:t>
            </w:r>
            <w:r w:rsidR="00815712" w:rsidRPr="009070C3">
              <w:rPr>
                <w:b/>
                <w:bCs/>
              </w:rPr>
              <w:t>34.4</w:t>
            </w:r>
            <w:r>
              <w:rPr>
                <w:b/>
                <w:bCs/>
              </w:rPr>
              <w:t>%)</w:t>
            </w:r>
          </w:p>
        </w:tc>
        <w:tc>
          <w:tcPr>
            <w:tcW w:w="1400" w:type="dxa"/>
            <w:shd w:val="clear" w:color="auto" w:fill="FFFFFF" w:themeFill="background1"/>
            <w:tcMar>
              <w:top w:w="15" w:type="dxa"/>
              <w:left w:w="12" w:type="dxa"/>
              <w:bottom w:w="0" w:type="dxa"/>
              <w:right w:w="12" w:type="dxa"/>
            </w:tcMar>
            <w:vAlign w:val="center"/>
            <w:hideMark/>
          </w:tcPr>
          <w:p w14:paraId="2F125D36" w14:textId="570E9C0D" w:rsidR="00815712" w:rsidRPr="009070C3" w:rsidRDefault="00495872" w:rsidP="00573046">
            <w:pPr>
              <w:spacing w:after="0" w:line="240" w:lineRule="auto"/>
              <w:rPr>
                <w:lang w:val="en-US"/>
              </w:rPr>
            </w:pPr>
            <w:r>
              <w:rPr>
                <w:b/>
                <w:bCs/>
              </w:rPr>
              <w:t>68 (</w:t>
            </w:r>
            <w:r w:rsidR="00815712" w:rsidRPr="009070C3">
              <w:rPr>
                <w:b/>
                <w:bCs/>
              </w:rPr>
              <w:t>35.1</w:t>
            </w:r>
            <w:r>
              <w:rPr>
                <w:b/>
                <w:bCs/>
              </w:rPr>
              <w:t>%)</w:t>
            </w:r>
          </w:p>
        </w:tc>
        <w:tc>
          <w:tcPr>
            <w:tcW w:w="1480" w:type="dxa"/>
            <w:shd w:val="clear" w:color="auto" w:fill="FFFFFF" w:themeFill="background1"/>
            <w:tcMar>
              <w:top w:w="15" w:type="dxa"/>
              <w:left w:w="12" w:type="dxa"/>
              <w:bottom w:w="0" w:type="dxa"/>
              <w:right w:w="12" w:type="dxa"/>
            </w:tcMar>
            <w:vAlign w:val="center"/>
            <w:hideMark/>
          </w:tcPr>
          <w:p w14:paraId="6E8EB6DB" w14:textId="08607A86" w:rsidR="00815712" w:rsidRPr="009070C3" w:rsidRDefault="00815712" w:rsidP="00573046">
            <w:pPr>
              <w:spacing w:after="0" w:line="240" w:lineRule="auto"/>
              <w:rPr>
                <w:lang w:val="en-US"/>
              </w:rPr>
            </w:pPr>
            <w:r w:rsidRPr="009070C3">
              <w:rPr>
                <w:b/>
                <w:bCs/>
              </w:rPr>
              <w:t>0.8</w:t>
            </w:r>
            <w:r w:rsidR="003C66C3">
              <w:rPr>
                <w:b/>
                <w:bCs/>
              </w:rPr>
              <w:t>3</w:t>
            </w:r>
          </w:p>
        </w:tc>
      </w:tr>
      <w:tr w:rsidR="00815712" w:rsidRPr="009070C3" w14:paraId="732F64BF" w14:textId="77777777" w:rsidTr="00E6238E">
        <w:trPr>
          <w:trHeight w:val="385"/>
        </w:trPr>
        <w:tc>
          <w:tcPr>
            <w:tcW w:w="3860" w:type="dxa"/>
            <w:shd w:val="clear" w:color="auto" w:fill="FFFFFF" w:themeFill="background1"/>
            <w:tcMar>
              <w:top w:w="15" w:type="dxa"/>
              <w:left w:w="12" w:type="dxa"/>
              <w:bottom w:w="0" w:type="dxa"/>
              <w:right w:w="12" w:type="dxa"/>
            </w:tcMar>
            <w:hideMark/>
          </w:tcPr>
          <w:p w14:paraId="3CA47923" w14:textId="77777777" w:rsidR="00815712" w:rsidRPr="009070C3" w:rsidRDefault="00815712" w:rsidP="00573046">
            <w:pPr>
              <w:spacing w:after="0" w:line="240" w:lineRule="auto"/>
              <w:rPr>
                <w:lang w:val="en-US"/>
              </w:rPr>
            </w:pPr>
            <w:r w:rsidRPr="009070C3">
              <w:rPr>
                <w:b/>
                <w:bCs/>
              </w:rPr>
              <w:t>2</w:t>
            </w:r>
          </w:p>
        </w:tc>
        <w:tc>
          <w:tcPr>
            <w:tcW w:w="1400" w:type="dxa"/>
            <w:shd w:val="clear" w:color="auto" w:fill="FFFFFF" w:themeFill="background1"/>
            <w:tcMar>
              <w:top w:w="15" w:type="dxa"/>
              <w:left w:w="12" w:type="dxa"/>
              <w:bottom w:w="0" w:type="dxa"/>
              <w:right w:w="12" w:type="dxa"/>
            </w:tcMar>
            <w:vAlign w:val="center"/>
            <w:hideMark/>
          </w:tcPr>
          <w:p w14:paraId="0CC7FDF9" w14:textId="2CA23921" w:rsidR="00815712" w:rsidRPr="009070C3" w:rsidRDefault="00495872" w:rsidP="00573046">
            <w:pPr>
              <w:spacing w:after="0" w:line="240" w:lineRule="auto"/>
              <w:rPr>
                <w:lang w:val="en-US"/>
              </w:rPr>
            </w:pPr>
            <w:r>
              <w:rPr>
                <w:b/>
                <w:bCs/>
              </w:rPr>
              <w:t>28 (</w:t>
            </w:r>
            <w:r w:rsidR="00815712" w:rsidRPr="009070C3">
              <w:rPr>
                <w:b/>
                <w:bCs/>
              </w:rPr>
              <w:t>12.0</w:t>
            </w:r>
            <w:r>
              <w:rPr>
                <w:b/>
                <w:bCs/>
              </w:rPr>
              <w:t>%)</w:t>
            </w:r>
          </w:p>
        </w:tc>
        <w:tc>
          <w:tcPr>
            <w:tcW w:w="1400" w:type="dxa"/>
            <w:shd w:val="clear" w:color="auto" w:fill="FFFFFF" w:themeFill="background1"/>
            <w:tcMar>
              <w:top w:w="15" w:type="dxa"/>
              <w:left w:w="12" w:type="dxa"/>
              <w:bottom w:w="0" w:type="dxa"/>
              <w:right w:w="12" w:type="dxa"/>
            </w:tcMar>
            <w:vAlign w:val="center"/>
            <w:hideMark/>
          </w:tcPr>
          <w:p w14:paraId="6F66ED28" w14:textId="672ECEA7" w:rsidR="00815712" w:rsidRPr="009070C3" w:rsidRDefault="00495872" w:rsidP="00573046">
            <w:pPr>
              <w:spacing w:after="0" w:line="240" w:lineRule="auto"/>
              <w:rPr>
                <w:lang w:val="en-US"/>
              </w:rPr>
            </w:pPr>
            <w:r>
              <w:rPr>
                <w:b/>
                <w:bCs/>
              </w:rPr>
              <w:t>54 (</w:t>
            </w:r>
            <w:r w:rsidR="00815712" w:rsidRPr="009070C3">
              <w:rPr>
                <w:b/>
                <w:bCs/>
              </w:rPr>
              <w:t>11.8</w:t>
            </w:r>
            <w:r>
              <w:rPr>
                <w:b/>
                <w:bCs/>
              </w:rPr>
              <w:t>%)</w:t>
            </w:r>
          </w:p>
        </w:tc>
        <w:tc>
          <w:tcPr>
            <w:tcW w:w="1400" w:type="dxa"/>
            <w:shd w:val="clear" w:color="auto" w:fill="FFFFFF" w:themeFill="background1"/>
            <w:tcMar>
              <w:top w:w="15" w:type="dxa"/>
              <w:left w:w="12" w:type="dxa"/>
              <w:bottom w:w="0" w:type="dxa"/>
              <w:right w:w="12" w:type="dxa"/>
            </w:tcMar>
            <w:vAlign w:val="center"/>
            <w:hideMark/>
          </w:tcPr>
          <w:p w14:paraId="5AA4FE1B" w14:textId="09BABA55" w:rsidR="00815712" w:rsidRPr="009070C3" w:rsidRDefault="00495872" w:rsidP="00573046">
            <w:pPr>
              <w:spacing w:after="0" w:line="240" w:lineRule="auto"/>
              <w:rPr>
                <w:lang w:val="en-US"/>
              </w:rPr>
            </w:pPr>
            <w:r>
              <w:rPr>
                <w:b/>
                <w:bCs/>
              </w:rPr>
              <w:t>22 (</w:t>
            </w:r>
            <w:r w:rsidR="00815712" w:rsidRPr="009070C3">
              <w:rPr>
                <w:b/>
                <w:bCs/>
              </w:rPr>
              <w:t>11.3</w:t>
            </w:r>
            <w:r>
              <w:rPr>
                <w:b/>
                <w:bCs/>
              </w:rPr>
              <w:t>%)</w:t>
            </w:r>
          </w:p>
        </w:tc>
        <w:tc>
          <w:tcPr>
            <w:tcW w:w="1480" w:type="dxa"/>
            <w:shd w:val="clear" w:color="auto" w:fill="FFFFFF" w:themeFill="background1"/>
            <w:tcMar>
              <w:top w:w="15" w:type="dxa"/>
              <w:left w:w="12" w:type="dxa"/>
              <w:bottom w:w="0" w:type="dxa"/>
              <w:right w:w="12" w:type="dxa"/>
            </w:tcMar>
            <w:vAlign w:val="center"/>
            <w:hideMark/>
          </w:tcPr>
          <w:p w14:paraId="06B54547" w14:textId="77777777" w:rsidR="00815712" w:rsidRPr="009070C3" w:rsidRDefault="00815712" w:rsidP="00573046">
            <w:pPr>
              <w:spacing w:after="0" w:line="240" w:lineRule="auto"/>
              <w:rPr>
                <w:lang w:val="en-US"/>
              </w:rPr>
            </w:pPr>
          </w:p>
        </w:tc>
      </w:tr>
      <w:tr w:rsidR="00815712" w:rsidRPr="009070C3" w14:paraId="0923274D" w14:textId="77777777" w:rsidTr="00E6238E">
        <w:trPr>
          <w:trHeight w:val="385"/>
        </w:trPr>
        <w:tc>
          <w:tcPr>
            <w:tcW w:w="3860" w:type="dxa"/>
            <w:shd w:val="clear" w:color="auto" w:fill="FFFFFF" w:themeFill="background1"/>
            <w:tcMar>
              <w:top w:w="15" w:type="dxa"/>
              <w:left w:w="12" w:type="dxa"/>
              <w:bottom w:w="0" w:type="dxa"/>
              <w:right w:w="12" w:type="dxa"/>
            </w:tcMar>
            <w:hideMark/>
          </w:tcPr>
          <w:p w14:paraId="7C38D6D0" w14:textId="65134145" w:rsidR="00815712" w:rsidRPr="009070C3" w:rsidRDefault="00815712" w:rsidP="00573046">
            <w:pPr>
              <w:spacing w:after="0" w:line="240" w:lineRule="auto"/>
              <w:rPr>
                <w:lang w:val="en-US"/>
              </w:rPr>
            </w:pPr>
            <w:r w:rsidRPr="009070C3">
              <w:rPr>
                <w:b/>
                <w:bCs/>
              </w:rPr>
              <w:t>Bone Marrow Involved</w:t>
            </w:r>
            <w:r w:rsidR="00495872">
              <w:rPr>
                <w:b/>
                <w:bCs/>
              </w:rPr>
              <w:t xml:space="preserve"> – n (%)</w:t>
            </w:r>
          </w:p>
        </w:tc>
        <w:tc>
          <w:tcPr>
            <w:tcW w:w="1400" w:type="dxa"/>
            <w:shd w:val="clear" w:color="auto" w:fill="FFFFFF" w:themeFill="background1"/>
            <w:tcMar>
              <w:top w:w="15" w:type="dxa"/>
              <w:left w:w="12" w:type="dxa"/>
              <w:bottom w:w="0" w:type="dxa"/>
              <w:right w:w="12" w:type="dxa"/>
            </w:tcMar>
            <w:vAlign w:val="center"/>
            <w:hideMark/>
          </w:tcPr>
          <w:p w14:paraId="2B95EB44" w14:textId="5B8B044D" w:rsidR="00815712" w:rsidRPr="009070C3" w:rsidRDefault="00495872" w:rsidP="00573046">
            <w:pPr>
              <w:spacing w:after="0" w:line="240" w:lineRule="auto"/>
              <w:rPr>
                <w:lang w:val="en-US"/>
              </w:rPr>
            </w:pPr>
            <w:r>
              <w:rPr>
                <w:b/>
                <w:bCs/>
              </w:rPr>
              <w:t>33 (</w:t>
            </w:r>
            <w:r w:rsidR="00815712" w:rsidRPr="009070C3">
              <w:rPr>
                <w:b/>
                <w:bCs/>
              </w:rPr>
              <w:t>13.8</w:t>
            </w:r>
            <w:r>
              <w:rPr>
                <w:b/>
                <w:bCs/>
              </w:rPr>
              <w:t>%)</w:t>
            </w:r>
          </w:p>
        </w:tc>
        <w:tc>
          <w:tcPr>
            <w:tcW w:w="1400" w:type="dxa"/>
            <w:shd w:val="clear" w:color="auto" w:fill="FFFFFF" w:themeFill="background1"/>
            <w:tcMar>
              <w:top w:w="15" w:type="dxa"/>
              <w:left w:w="12" w:type="dxa"/>
              <w:bottom w:w="0" w:type="dxa"/>
              <w:right w:w="12" w:type="dxa"/>
            </w:tcMar>
            <w:vAlign w:val="center"/>
            <w:hideMark/>
          </w:tcPr>
          <w:p w14:paraId="316F535D" w14:textId="7F30EB5D" w:rsidR="00815712" w:rsidRPr="009070C3" w:rsidRDefault="00495872" w:rsidP="00573046">
            <w:pPr>
              <w:spacing w:after="0" w:line="240" w:lineRule="auto"/>
              <w:rPr>
                <w:lang w:val="en-US"/>
              </w:rPr>
            </w:pPr>
            <w:r>
              <w:rPr>
                <w:b/>
                <w:bCs/>
              </w:rPr>
              <w:t>66 (</w:t>
            </w:r>
            <w:r w:rsidR="00815712" w:rsidRPr="009070C3">
              <w:rPr>
                <w:b/>
                <w:bCs/>
              </w:rPr>
              <w:t>14.2</w:t>
            </w:r>
            <w:r>
              <w:rPr>
                <w:b/>
                <w:bCs/>
              </w:rPr>
              <w:t>%)</w:t>
            </w:r>
          </w:p>
        </w:tc>
        <w:tc>
          <w:tcPr>
            <w:tcW w:w="1400" w:type="dxa"/>
            <w:shd w:val="clear" w:color="auto" w:fill="FFFFFF" w:themeFill="background1"/>
            <w:tcMar>
              <w:top w:w="15" w:type="dxa"/>
              <w:left w:w="12" w:type="dxa"/>
              <w:bottom w:w="0" w:type="dxa"/>
              <w:right w:w="12" w:type="dxa"/>
            </w:tcMar>
            <w:vAlign w:val="center"/>
            <w:hideMark/>
          </w:tcPr>
          <w:p w14:paraId="16DDF174" w14:textId="12C2567C" w:rsidR="00815712" w:rsidRPr="009070C3" w:rsidRDefault="00495872" w:rsidP="00573046">
            <w:pPr>
              <w:spacing w:after="0" w:line="240" w:lineRule="auto"/>
              <w:rPr>
                <w:lang w:val="en-US"/>
              </w:rPr>
            </w:pPr>
            <w:r>
              <w:rPr>
                <w:b/>
                <w:bCs/>
              </w:rPr>
              <w:t>42 (</w:t>
            </w:r>
            <w:r w:rsidR="00815712" w:rsidRPr="009070C3">
              <w:rPr>
                <w:b/>
                <w:bCs/>
              </w:rPr>
              <w:t>22.0</w:t>
            </w:r>
            <w:r>
              <w:rPr>
                <w:b/>
                <w:bCs/>
              </w:rPr>
              <w:t>%)</w:t>
            </w:r>
          </w:p>
        </w:tc>
        <w:tc>
          <w:tcPr>
            <w:tcW w:w="1480" w:type="dxa"/>
            <w:shd w:val="clear" w:color="auto" w:fill="FFFFFF" w:themeFill="background1"/>
            <w:tcMar>
              <w:top w:w="15" w:type="dxa"/>
              <w:left w:w="12" w:type="dxa"/>
              <w:bottom w:w="0" w:type="dxa"/>
              <w:right w:w="12" w:type="dxa"/>
            </w:tcMar>
            <w:vAlign w:val="center"/>
            <w:hideMark/>
          </w:tcPr>
          <w:p w14:paraId="5B849A5F" w14:textId="77777777" w:rsidR="00815712" w:rsidRPr="009070C3" w:rsidRDefault="00815712" w:rsidP="00573046">
            <w:pPr>
              <w:spacing w:after="0" w:line="240" w:lineRule="auto"/>
              <w:rPr>
                <w:lang w:val="en-US"/>
              </w:rPr>
            </w:pPr>
            <w:r w:rsidRPr="009070C3">
              <w:rPr>
                <w:b/>
                <w:bCs/>
              </w:rPr>
              <w:t>0.017</w:t>
            </w:r>
          </w:p>
        </w:tc>
      </w:tr>
      <w:tr w:rsidR="00815712" w:rsidRPr="009070C3" w14:paraId="2643F8D4" w14:textId="77777777" w:rsidTr="00E6238E">
        <w:trPr>
          <w:trHeight w:val="385"/>
        </w:trPr>
        <w:tc>
          <w:tcPr>
            <w:tcW w:w="3860" w:type="dxa"/>
            <w:shd w:val="clear" w:color="auto" w:fill="FFFFFF" w:themeFill="background1"/>
            <w:tcMar>
              <w:top w:w="15" w:type="dxa"/>
              <w:left w:w="12" w:type="dxa"/>
              <w:bottom w:w="0" w:type="dxa"/>
              <w:right w:w="12" w:type="dxa"/>
            </w:tcMar>
            <w:hideMark/>
          </w:tcPr>
          <w:p w14:paraId="24A760F5" w14:textId="3D0E81B4" w:rsidR="00815712" w:rsidRPr="009070C3" w:rsidRDefault="00815712" w:rsidP="00573046">
            <w:pPr>
              <w:spacing w:after="0" w:line="240" w:lineRule="auto"/>
              <w:rPr>
                <w:lang w:val="en-US"/>
              </w:rPr>
            </w:pPr>
            <w:r w:rsidRPr="009070C3">
              <w:rPr>
                <w:b/>
                <w:bCs/>
                <w:lang w:val="pt-PT"/>
              </w:rPr>
              <w:t xml:space="preserve">Serum LDH Level &gt;ULN </w:t>
            </w:r>
            <w:r w:rsidR="00495872">
              <w:rPr>
                <w:b/>
                <w:bCs/>
                <w:lang w:val="pt-PT"/>
              </w:rPr>
              <w:t xml:space="preserve">– n </w:t>
            </w:r>
            <w:r w:rsidRPr="009070C3">
              <w:rPr>
                <w:b/>
                <w:bCs/>
                <w:lang w:val="pt-PT"/>
              </w:rPr>
              <w:t>(%)</w:t>
            </w:r>
          </w:p>
        </w:tc>
        <w:tc>
          <w:tcPr>
            <w:tcW w:w="1400" w:type="dxa"/>
            <w:shd w:val="clear" w:color="auto" w:fill="FFFFFF" w:themeFill="background1"/>
            <w:tcMar>
              <w:top w:w="15" w:type="dxa"/>
              <w:left w:w="12" w:type="dxa"/>
              <w:bottom w:w="0" w:type="dxa"/>
              <w:right w:w="12" w:type="dxa"/>
            </w:tcMar>
            <w:vAlign w:val="center"/>
            <w:hideMark/>
          </w:tcPr>
          <w:p w14:paraId="443F6262" w14:textId="447C84B9" w:rsidR="00815712" w:rsidRPr="009070C3" w:rsidRDefault="00495872" w:rsidP="00573046">
            <w:pPr>
              <w:spacing w:after="0" w:line="240" w:lineRule="auto"/>
              <w:rPr>
                <w:lang w:val="en-US"/>
              </w:rPr>
            </w:pPr>
            <w:r>
              <w:rPr>
                <w:b/>
                <w:bCs/>
              </w:rPr>
              <w:t>115 (</w:t>
            </w:r>
            <w:r w:rsidR="00815712" w:rsidRPr="009070C3">
              <w:rPr>
                <w:b/>
                <w:bCs/>
              </w:rPr>
              <w:t>60.8</w:t>
            </w:r>
            <w:r>
              <w:rPr>
                <w:b/>
                <w:bCs/>
              </w:rPr>
              <w:t>%)</w:t>
            </w:r>
          </w:p>
        </w:tc>
        <w:tc>
          <w:tcPr>
            <w:tcW w:w="1400" w:type="dxa"/>
            <w:shd w:val="clear" w:color="auto" w:fill="FFFFFF" w:themeFill="background1"/>
            <w:tcMar>
              <w:top w:w="15" w:type="dxa"/>
              <w:left w:w="12" w:type="dxa"/>
              <w:bottom w:w="0" w:type="dxa"/>
              <w:right w:w="12" w:type="dxa"/>
            </w:tcMar>
            <w:vAlign w:val="center"/>
            <w:hideMark/>
          </w:tcPr>
          <w:p w14:paraId="4EAE191A" w14:textId="77FC9774" w:rsidR="00815712" w:rsidRPr="009070C3" w:rsidRDefault="00495872" w:rsidP="00573046">
            <w:pPr>
              <w:spacing w:after="0" w:line="240" w:lineRule="auto"/>
              <w:rPr>
                <w:lang w:val="en-US"/>
              </w:rPr>
            </w:pPr>
            <w:r>
              <w:rPr>
                <w:b/>
                <w:bCs/>
              </w:rPr>
              <w:t>231 (</w:t>
            </w:r>
            <w:r w:rsidR="00815712" w:rsidRPr="009070C3">
              <w:rPr>
                <w:b/>
                <w:bCs/>
              </w:rPr>
              <w:t>59.8</w:t>
            </w:r>
            <w:r>
              <w:rPr>
                <w:b/>
                <w:bCs/>
              </w:rPr>
              <w:t>%)</w:t>
            </w:r>
          </w:p>
        </w:tc>
        <w:tc>
          <w:tcPr>
            <w:tcW w:w="1400" w:type="dxa"/>
            <w:shd w:val="clear" w:color="auto" w:fill="FFFFFF" w:themeFill="background1"/>
            <w:tcMar>
              <w:top w:w="15" w:type="dxa"/>
              <w:left w:w="12" w:type="dxa"/>
              <w:bottom w:w="0" w:type="dxa"/>
              <w:right w:w="12" w:type="dxa"/>
            </w:tcMar>
            <w:vAlign w:val="center"/>
            <w:hideMark/>
          </w:tcPr>
          <w:p w14:paraId="0805C993" w14:textId="304B2CB6" w:rsidR="00815712" w:rsidRPr="009070C3" w:rsidRDefault="00495872" w:rsidP="00573046">
            <w:pPr>
              <w:spacing w:after="0" w:line="240" w:lineRule="auto"/>
              <w:rPr>
                <w:lang w:val="en-US"/>
              </w:rPr>
            </w:pPr>
            <w:r>
              <w:rPr>
                <w:b/>
                <w:bCs/>
              </w:rPr>
              <w:t>105 (</w:t>
            </w:r>
            <w:r w:rsidR="00815712" w:rsidRPr="009070C3">
              <w:rPr>
                <w:b/>
                <w:bCs/>
              </w:rPr>
              <w:t>61.8</w:t>
            </w:r>
            <w:r>
              <w:rPr>
                <w:b/>
                <w:bCs/>
              </w:rPr>
              <w:t>%)</w:t>
            </w:r>
          </w:p>
        </w:tc>
        <w:tc>
          <w:tcPr>
            <w:tcW w:w="1480" w:type="dxa"/>
            <w:shd w:val="clear" w:color="auto" w:fill="FFFFFF" w:themeFill="background1"/>
            <w:tcMar>
              <w:top w:w="15" w:type="dxa"/>
              <w:left w:w="12" w:type="dxa"/>
              <w:bottom w:w="0" w:type="dxa"/>
              <w:right w:w="12" w:type="dxa"/>
            </w:tcMar>
            <w:vAlign w:val="center"/>
            <w:hideMark/>
          </w:tcPr>
          <w:p w14:paraId="6112B8AF" w14:textId="78492757" w:rsidR="00815712" w:rsidRPr="009070C3" w:rsidRDefault="00815712" w:rsidP="00573046">
            <w:pPr>
              <w:spacing w:after="0" w:line="240" w:lineRule="auto"/>
              <w:rPr>
                <w:lang w:val="en-US"/>
              </w:rPr>
            </w:pPr>
            <w:r w:rsidRPr="009070C3">
              <w:rPr>
                <w:b/>
                <w:bCs/>
              </w:rPr>
              <w:t>0.1</w:t>
            </w:r>
            <w:r w:rsidR="003C66C3">
              <w:rPr>
                <w:b/>
                <w:bCs/>
              </w:rPr>
              <w:t>9</w:t>
            </w:r>
          </w:p>
        </w:tc>
      </w:tr>
      <w:tr w:rsidR="00E6238E" w:rsidRPr="009070C3" w14:paraId="6D5540FC" w14:textId="77777777" w:rsidTr="00AC4A94">
        <w:trPr>
          <w:trHeight w:val="385"/>
        </w:trPr>
        <w:tc>
          <w:tcPr>
            <w:tcW w:w="9540" w:type="dxa"/>
            <w:gridSpan w:val="5"/>
            <w:shd w:val="clear" w:color="auto" w:fill="FFFFFF" w:themeFill="background1"/>
            <w:tcMar>
              <w:top w:w="15" w:type="dxa"/>
              <w:left w:w="12" w:type="dxa"/>
              <w:bottom w:w="0" w:type="dxa"/>
              <w:right w:w="12" w:type="dxa"/>
            </w:tcMar>
            <w:hideMark/>
          </w:tcPr>
          <w:p w14:paraId="36AB868B" w14:textId="78D0CCAE" w:rsidR="00E6238E" w:rsidRPr="009070C3" w:rsidRDefault="00E6238E" w:rsidP="00573046">
            <w:pPr>
              <w:spacing w:after="0" w:line="240" w:lineRule="auto"/>
              <w:rPr>
                <w:lang w:val="en-US"/>
              </w:rPr>
            </w:pPr>
            <w:r w:rsidRPr="009070C3">
              <w:rPr>
                <w:b/>
                <w:bCs/>
              </w:rPr>
              <w:t xml:space="preserve">IPI score – </w:t>
            </w:r>
            <w:r w:rsidR="00495872">
              <w:rPr>
                <w:b/>
                <w:bCs/>
              </w:rPr>
              <w:t xml:space="preserve">n </w:t>
            </w:r>
            <w:r w:rsidRPr="009070C3">
              <w:rPr>
                <w:b/>
                <w:bCs/>
              </w:rPr>
              <w:t>(%)</w:t>
            </w:r>
          </w:p>
        </w:tc>
      </w:tr>
      <w:tr w:rsidR="00815712" w:rsidRPr="009070C3" w14:paraId="42341BEA" w14:textId="77777777" w:rsidTr="00E6238E">
        <w:trPr>
          <w:trHeight w:val="385"/>
        </w:trPr>
        <w:tc>
          <w:tcPr>
            <w:tcW w:w="3860" w:type="dxa"/>
            <w:shd w:val="clear" w:color="auto" w:fill="FFFFFF" w:themeFill="background1"/>
            <w:tcMar>
              <w:top w:w="15" w:type="dxa"/>
              <w:left w:w="12" w:type="dxa"/>
              <w:bottom w:w="0" w:type="dxa"/>
              <w:right w:w="12" w:type="dxa"/>
            </w:tcMar>
            <w:hideMark/>
          </w:tcPr>
          <w:p w14:paraId="7AAAF01D" w14:textId="77777777" w:rsidR="00815712" w:rsidRPr="009070C3" w:rsidRDefault="00815712" w:rsidP="00573046">
            <w:pPr>
              <w:spacing w:after="0" w:line="240" w:lineRule="auto"/>
              <w:rPr>
                <w:lang w:val="en-US"/>
              </w:rPr>
            </w:pPr>
            <w:r w:rsidRPr="009070C3">
              <w:rPr>
                <w:b/>
                <w:bCs/>
              </w:rPr>
              <w:t>Low</w:t>
            </w:r>
          </w:p>
        </w:tc>
        <w:tc>
          <w:tcPr>
            <w:tcW w:w="1400" w:type="dxa"/>
            <w:shd w:val="clear" w:color="auto" w:fill="FFFFFF" w:themeFill="background1"/>
            <w:tcMar>
              <w:top w:w="15" w:type="dxa"/>
              <w:left w:w="12" w:type="dxa"/>
              <w:bottom w:w="0" w:type="dxa"/>
              <w:right w:w="12" w:type="dxa"/>
            </w:tcMar>
            <w:vAlign w:val="center"/>
            <w:hideMark/>
          </w:tcPr>
          <w:p w14:paraId="0ACA9062" w14:textId="4EFF076D" w:rsidR="00815712" w:rsidRPr="009070C3" w:rsidRDefault="00495872" w:rsidP="00573046">
            <w:pPr>
              <w:spacing w:after="0" w:line="240" w:lineRule="auto"/>
              <w:rPr>
                <w:lang w:val="en-US"/>
              </w:rPr>
            </w:pPr>
            <w:r>
              <w:rPr>
                <w:b/>
                <w:bCs/>
              </w:rPr>
              <w:t>66 (</w:t>
            </w:r>
            <w:r w:rsidR="00815712" w:rsidRPr="009070C3">
              <w:rPr>
                <w:b/>
                <w:bCs/>
              </w:rPr>
              <w:t>27.0</w:t>
            </w:r>
            <w:r>
              <w:rPr>
                <w:b/>
                <w:bCs/>
              </w:rPr>
              <w:t>%)</w:t>
            </w:r>
          </w:p>
        </w:tc>
        <w:tc>
          <w:tcPr>
            <w:tcW w:w="1400" w:type="dxa"/>
            <w:shd w:val="clear" w:color="auto" w:fill="FFFFFF" w:themeFill="background1"/>
            <w:tcMar>
              <w:top w:w="15" w:type="dxa"/>
              <w:left w:w="12" w:type="dxa"/>
              <w:bottom w:w="0" w:type="dxa"/>
              <w:right w:w="12" w:type="dxa"/>
            </w:tcMar>
            <w:vAlign w:val="center"/>
            <w:hideMark/>
          </w:tcPr>
          <w:p w14:paraId="1811BF38" w14:textId="28CCBB1D" w:rsidR="00815712" w:rsidRPr="009070C3" w:rsidRDefault="00495872" w:rsidP="00573046">
            <w:pPr>
              <w:spacing w:after="0" w:line="240" w:lineRule="auto"/>
              <w:rPr>
                <w:lang w:val="en-US"/>
              </w:rPr>
            </w:pPr>
            <w:r>
              <w:rPr>
                <w:b/>
                <w:bCs/>
              </w:rPr>
              <w:t>127 (</w:t>
            </w:r>
            <w:r w:rsidR="00815712" w:rsidRPr="009070C3">
              <w:rPr>
                <w:b/>
                <w:bCs/>
              </w:rPr>
              <w:t>26.7</w:t>
            </w:r>
            <w:r>
              <w:rPr>
                <w:b/>
                <w:bCs/>
              </w:rPr>
              <w:t>%)</w:t>
            </w:r>
          </w:p>
        </w:tc>
        <w:tc>
          <w:tcPr>
            <w:tcW w:w="1400" w:type="dxa"/>
            <w:shd w:val="clear" w:color="auto" w:fill="FFFFFF" w:themeFill="background1"/>
            <w:tcMar>
              <w:top w:w="15" w:type="dxa"/>
              <w:left w:w="12" w:type="dxa"/>
              <w:bottom w:w="0" w:type="dxa"/>
              <w:right w:w="12" w:type="dxa"/>
            </w:tcMar>
            <w:vAlign w:val="center"/>
            <w:hideMark/>
          </w:tcPr>
          <w:p w14:paraId="7BE182FC" w14:textId="51330B32" w:rsidR="00815712" w:rsidRPr="009070C3" w:rsidRDefault="00495872" w:rsidP="00573046">
            <w:pPr>
              <w:spacing w:after="0" w:line="240" w:lineRule="auto"/>
              <w:rPr>
                <w:lang w:val="en-US"/>
              </w:rPr>
            </w:pPr>
            <w:r>
              <w:rPr>
                <w:b/>
                <w:bCs/>
              </w:rPr>
              <w:t>50 (</w:t>
            </w:r>
            <w:r w:rsidR="00815712" w:rsidRPr="009070C3">
              <w:rPr>
                <w:b/>
                <w:bCs/>
              </w:rPr>
              <w:t>25.</w:t>
            </w:r>
            <w:r w:rsidR="00815712">
              <w:rPr>
                <w:b/>
                <w:bCs/>
              </w:rPr>
              <w:t>1</w:t>
            </w:r>
            <w:r>
              <w:rPr>
                <w:b/>
                <w:bCs/>
              </w:rPr>
              <w:t>%)</w:t>
            </w:r>
          </w:p>
        </w:tc>
        <w:tc>
          <w:tcPr>
            <w:tcW w:w="1480" w:type="dxa"/>
            <w:shd w:val="clear" w:color="auto" w:fill="FFFFFF" w:themeFill="background1"/>
            <w:tcMar>
              <w:top w:w="15" w:type="dxa"/>
              <w:left w:w="12" w:type="dxa"/>
              <w:bottom w:w="0" w:type="dxa"/>
              <w:right w:w="12" w:type="dxa"/>
            </w:tcMar>
            <w:vAlign w:val="center"/>
            <w:hideMark/>
          </w:tcPr>
          <w:p w14:paraId="156AEDDE" w14:textId="77777777" w:rsidR="00815712" w:rsidRPr="009070C3" w:rsidRDefault="00815712" w:rsidP="00573046">
            <w:pPr>
              <w:spacing w:after="0" w:line="240" w:lineRule="auto"/>
              <w:rPr>
                <w:lang w:val="en-US"/>
              </w:rPr>
            </w:pPr>
          </w:p>
        </w:tc>
      </w:tr>
      <w:tr w:rsidR="00815712" w:rsidRPr="009070C3" w14:paraId="121ECA9E" w14:textId="77777777" w:rsidTr="00E6238E">
        <w:trPr>
          <w:trHeight w:val="385"/>
        </w:trPr>
        <w:tc>
          <w:tcPr>
            <w:tcW w:w="3860" w:type="dxa"/>
            <w:shd w:val="clear" w:color="auto" w:fill="FFFFFF" w:themeFill="background1"/>
            <w:tcMar>
              <w:top w:w="15" w:type="dxa"/>
              <w:left w:w="12" w:type="dxa"/>
              <w:bottom w:w="0" w:type="dxa"/>
              <w:right w:w="12" w:type="dxa"/>
            </w:tcMar>
            <w:hideMark/>
          </w:tcPr>
          <w:p w14:paraId="641FB7AC" w14:textId="77777777" w:rsidR="00815712" w:rsidRPr="009070C3" w:rsidRDefault="00815712" w:rsidP="00573046">
            <w:pPr>
              <w:spacing w:after="0" w:line="240" w:lineRule="auto"/>
              <w:rPr>
                <w:lang w:val="en-US"/>
              </w:rPr>
            </w:pPr>
            <w:r w:rsidRPr="009070C3">
              <w:rPr>
                <w:b/>
                <w:bCs/>
              </w:rPr>
              <w:t>Low Intermediate</w:t>
            </w:r>
          </w:p>
        </w:tc>
        <w:tc>
          <w:tcPr>
            <w:tcW w:w="1400" w:type="dxa"/>
            <w:shd w:val="clear" w:color="auto" w:fill="FFFFFF" w:themeFill="background1"/>
            <w:tcMar>
              <w:top w:w="15" w:type="dxa"/>
              <w:left w:w="12" w:type="dxa"/>
              <w:bottom w:w="0" w:type="dxa"/>
              <w:right w:w="12" w:type="dxa"/>
            </w:tcMar>
            <w:vAlign w:val="center"/>
            <w:hideMark/>
          </w:tcPr>
          <w:p w14:paraId="2FD62F41" w14:textId="7F289DB7" w:rsidR="00815712" w:rsidRPr="009070C3" w:rsidRDefault="00495872" w:rsidP="00573046">
            <w:pPr>
              <w:spacing w:after="0" w:line="240" w:lineRule="auto"/>
              <w:rPr>
                <w:lang w:val="en-US"/>
              </w:rPr>
            </w:pPr>
            <w:r>
              <w:rPr>
                <w:b/>
                <w:bCs/>
              </w:rPr>
              <w:t>70 (</w:t>
            </w:r>
            <w:r w:rsidR="00815712" w:rsidRPr="009070C3">
              <w:rPr>
                <w:b/>
                <w:bCs/>
              </w:rPr>
              <w:t>28.7</w:t>
            </w:r>
            <w:r>
              <w:rPr>
                <w:b/>
                <w:bCs/>
              </w:rPr>
              <w:t>%)</w:t>
            </w:r>
          </w:p>
        </w:tc>
        <w:tc>
          <w:tcPr>
            <w:tcW w:w="1400" w:type="dxa"/>
            <w:shd w:val="clear" w:color="auto" w:fill="FFFFFF" w:themeFill="background1"/>
            <w:tcMar>
              <w:top w:w="15" w:type="dxa"/>
              <w:left w:w="12" w:type="dxa"/>
              <w:bottom w:w="0" w:type="dxa"/>
              <w:right w:w="12" w:type="dxa"/>
            </w:tcMar>
            <w:vAlign w:val="center"/>
            <w:hideMark/>
          </w:tcPr>
          <w:p w14:paraId="46DFAE6C" w14:textId="54378198" w:rsidR="00815712" w:rsidRPr="009070C3" w:rsidRDefault="00495872" w:rsidP="00573046">
            <w:pPr>
              <w:spacing w:after="0" w:line="240" w:lineRule="auto"/>
              <w:rPr>
                <w:lang w:val="en-US"/>
              </w:rPr>
            </w:pPr>
            <w:r>
              <w:rPr>
                <w:b/>
                <w:bCs/>
              </w:rPr>
              <w:t>117 (</w:t>
            </w:r>
            <w:r w:rsidR="00815712" w:rsidRPr="009070C3">
              <w:rPr>
                <w:b/>
                <w:bCs/>
              </w:rPr>
              <w:t>24.6</w:t>
            </w:r>
            <w:r>
              <w:rPr>
                <w:b/>
                <w:bCs/>
              </w:rPr>
              <w:t>%)</w:t>
            </w:r>
          </w:p>
        </w:tc>
        <w:tc>
          <w:tcPr>
            <w:tcW w:w="1400" w:type="dxa"/>
            <w:shd w:val="clear" w:color="auto" w:fill="FFFFFF" w:themeFill="background1"/>
            <w:tcMar>
              <w:top w:w="15" w:type="dxa"/>
              <w:left w:w="12" w:type="dxa"/>
              <w:bottom w:w="0" w:type="dxa"/>
              <w:right w:w="12" w:type="dxa"/>
            </w:tcMar>
            <w:vAlign w:val="center"/>
            <w:hideMark/>
          </w:tcPr>
          <w:p w14:paraId="0E334EF6" w14:textId="707397D5" w:rsidR="00815712" w:rsidRPr="009070C3" w:rsidRDefault="00495872" w:rsidP="00573046">
            <w:pPr>
              <w:spacing w:after="0" w:line="240" w:lineRule="auto"/>
              <w:rPr>
                <w:lang w:val="en-US"/>
              </w:rPr>
            </w:pPr>
            <w:r>
              <w:rPr>
                <w:b/>
                <w:bCs/>
              </w:rPr>
              <w:t>47 (</w:t>
            </w:r>
            <w:r w:rsidR="00815712" w:rsidRPr="009070C3">
              <w:rPr>
                <w:b/>
                <w:bCs/>
              </w:rPr>
              <w:t>23.6</w:t>
            </w:r>
            <w:r>
              <w:rPr>
                <w:b/>
                <w:bCs/>
              </w:rPr>
              <w:t>%)</w:t>
            </w:r>
          </w:p>
        </w:tc>
        <w:tc>
          <w:tcPr>
            <w:tcW w:w="1480" w:type="dxa"/>
            <w:shd w:val="clear" w:color="auto" w:fill="FFFFFF" w:themeFill="background1"/>
            <w:tcMar>
              <w:top w:w="15" w:type="dxa"/>
              <w:left w:w="12" w:type="dxa"/>
              <w:bottom w:w="0" w:type="dxa"/>
              <w:right w:w="12" w:type="dxa"/>
            </w:tcMar>
            <w:vAlign w:val="center"/>
            <w:hideMark/>
          </w:tcPr>
          <w:p w14:paraId="6168F228" w14:textId="77777777" w:rsidR="00815712" w:rsidRPr="009070C3" w:rsidRDefault="00815712" w:rsidP="00573046">
            <w:pPr>
              <w:spacing w:after="0" w:line="240" w:lineRule="auto"/>
              <w:rPr>
                <w:lang w:val="en-US"/>
              </w:rPr>
            </w:pPr>
            <w:r w:rsidRPr="009070C3">
              <w:rPr>
                <w:b/>
                <w:bCs/>
              </w:rPr>
              <w:t>0.822</w:t>
            </w:r>
          </w:p>
        </w:tc>
      </w:tr>
      <w:tr w:rsidR="00815712" w:rsidRPr="009070C3" w14:paraId="0106C484" w14:textId="77777777" w:rsidTr="00E6238E">
        <w:trPr>
          <w:trHeight w:val="385"/>
        </w:trPr>
        <w:tc>
          <w:tcPr>
            <w:tcW w:w="3860" w:type="dxa"/>
            <w:shd w:val="clear" w:color="auto" w:fill="FFFFFF" w:themeFill="background1"/>
            <w:tcMar>
              <w:top w:w="15" w:type="dxa"/>
              <w:left w:w="12" w:type="dxa"/>
              <w:bottom w:w="0" w:type="dxa"/>
              <w:right w:w="12" w:type="dxa"/>
            </w:tcMar>
            <w:hideMark/>
          </w:tcPr>
          <w:p w14:paraId="424FB9F5" w14:textId="77777777" w:rsidR="00815712" w:rsidRPr="009070C3" w:rsidRDefault="00815712" w:rsidP="00573046">
            <w:pPr>
              <w:spacing w:after="0" w:line="240" w:lineRule="auto"/>
              <w:rPr>
                <w:lang w:val="en-US"/>
              </w:rPr>
            </w:pPr>
            <w:r w:rsidRPr="009070C3">
              <w:rPr>
                <w:b/>
                <w:bCs/>
              </w:rPr>
              <w:t>High Intermediate</w:t>
            </w:r>
          </w:p>
        </w:tc>
        <w:tc>
          <w:tcPr>
            <w:tcW w:w="1400" w:type="dxa"/>
            <w:shd w:val="clear" w:color="auto" w:fill="FFFFFF" w:themeFill="background1"/>
            <w:tcMar>
              <w:top w:w="15" w:type="dxa"/>
              <w:left w:w="12" w:type="dxa"/>
              <w:bottom w:w="0" w:type="dxa"/>
              <w:right w:w="12" w:type="dxa"/>
            </w:tcMar>
            <w:vAlign w:val="center"/>
            <w:hideMark/>
          </w:tcPr>
          <w:p w14:paraId="079DCC71" w14:textId="1D94AAA3" w:rsidR="00815712" w:rsidRPr="009070C3" w:rsidRDefault="00495872" w:rsidP="00573046">
            <w:pPr>
              <w:spacing w:after="0" w:line="240" w:lineRule="auto"/>
              <w:rPr>
                <w:lang w:val="en-US"/>
              </w:rPr>
            </w:pPr>
            <w:r>
              <w:rPr>
                <w:b/>
                <w:bCs/>
              </w:rPr>
              <w:t>69 (</w:t>
            </w:r>
            <w:r w:rsidR="00815712" w:rsidRPr="009070C3">
              <w:rPr>
                <w:b/>
                <w:bCs/>
              </w:rPr>
              <w:t>28.3</w:t>
            </w:r>
            <w:r>
              <w:rPr>
                <w:b/>
                <w:bCs/>
              </w:rPr>
              <w:t>%)</w:t>
            </w:r>
          </w:p>
        </w:tc>
        <w:tc>
          <w:tcPr>
            <w:tcW w:w="1400" w:type="dxa"/>
            <w:shd w:val="clear" w:color="auto" w:fill="FFFFFF" w:themeFill="background1"/>
            <w:tcMar>
              <w:top w:w="15" w:type="dxa"/>
              <w:left w:w="12" w:type="dxa"/>
              <w:bottom w:w="0" w:type="dxa"/>
              <w:right w:w="12" w:type="dxa"/>
            </w:tcMar>
            <w:vAlign w:val="center"/>
            <w:hideMark/>
          </w:tcPr>
          <w:p w14:paraId="4BB8B5C2" w14:textId="6B62E430" w:rsidR="00815712" w:rsidRPr="009070C3" w:rsidRDefault="00495872" w:rsidP="00573046">
            <w:pPr>
              <w:spacing w:after="0" w:line="240" w:lineRule="auto"/>
              <w:rPr>
                <w:lang w:val="en-US"/>
              </w:rPr>
            </w:pPr>
            <w:r>
              <w:rPr>
                <w:b/>
                <w:bCs/>
              </w:rPr>
              <w:t>144 (</w:t>
            </w:r>
            <w:r w:rsidR="00815712" w:rsidRPr="009070C3">
              <w:rPr>
                <w:b/>
                <w:bCs/>
              </w:rPr>
              <w:t>30.3</w:t>
            </w:r>
            <w:r>
              <w:rPr>
                <w:b/>
                <w:bCs/>
              </w:rPr>
              <w:t>%)</w:t>
            </w:r>
          </w:p>
        </w:tc>
        <w:tc>
          <w:tcPr>
            <w:tcW w:w="1400" w:type="dxa"/>
            <w:shd w:val="clear" w:color="auto" w:fill="FFFFFF" w:themeFill="background1"/>
            <w:tcMar>
              <w:top w:w="15" w:type="dxa"/>
              <w:left w:w="12" w:type="dxa"/>
              <w:bottom w:w="0" w:type="dxa"/>
              <w:right w:w="12" w:type="dxa"/>
            </w:tcMar>
            <w:vAlign w:val="center"/>
            <w:hideMark/>
          </w:tcPr>
          <w:p w14:paraId="0821C1DA" w14:textId="4BD8EF63" w:rsidR="00815712" w:rsidRPr="009070C3" w:rsidRDefault="00495872" w:rsidP="00573046">
            <w:pPr>
              <w:spacing w:after="0" w:line="240" w:lineRule="auto"/>
              <w:rPr>
                <w:lang w:val="en-US"/>
              </w:rPr>
            </w:pPr>
            <w:r>
              <w:rPr>
                <w:b/>
                <w:bCs/>
              </w:rPr>
              <w:t>65 (</w:t>
            </w:r>
            <w:r w:rsidR="00815712" w:rsidRPr="009070C3">
              <w:rPr>
                <w:b/>
                <w:bCs/>
              </w:rPr>
              <w:t>32.7</w:t>
            </w:r>
            <w:r>
              <w:rPr>
                <w:b/>
                <w:bCs/>
              </w:rPr>
              <w:t>%)</w:t>
            </w:r>
          </w:p>
        </w:tc>
        <w:tc>
          <w:tcPr>
            <w:tcW w:w="1480" w:type="dxa"/>
            <w:shd w:val="clear" w:color="auto" w:fill="FFFFFF" w:themeFill="background1"/>
            <w:tcMar>
              <w:top w:w="15" w:type="dxa"/>
              <w:left w:w="12" w:type="dxa"/>
              <w:bottom w:w="0" w:type="dxa"/>
              <w:right w:w="12" w:type="dxa"/>
            </w:tcMar>
            <w:vAlign w:val="center"/>
            <w:hideMark/>
          </w:tcPr>
          <w:p w14:paraId="12166AAA" w14:textId="77777777" w:rsidR="00815712" w:rsidRPr="009070C3" w:rsidRDefault="00815712" w:rsidP="00573046">
            <w:pPr>
              <w:spacing w:after="0" w:line="240" w:lineRule="auto"/>
              <w:rPr>
                <w:lang w:val="en-US"/>
              </w:rPr>
            </w:pPr>
          </w:p>
        </w:tc>
      </w:tr>
      <w:tr w:rsidR="00815712" w:rsidRPr="009070C3" w14:paraId="18466025" w14:textId="77777777" w:rsidTr="00E6238E">
        <w:trPr>
          <w:trHeight w:val="385"/>
        </w:trPr>
        <w:tc>
          <w:tcPr>
            <w:tcW w:w="3860" w:type="dxa"/>
            <w:shd w:val="clear" w:color="auto" w:fill="FFFFFF" w:themeFill="background1"/>
            <w:tcMar>
              <w:top w:w="15" w:type="dxa"/>
              <w:left w:w="12" w:type="dxa"/>
              <w:bottom w:w="0" w:type="dxa"/>
              <w:right w:w="12" w:type="dxa"/>
            </w:tcMar>
            <w:hideMark/>
          </w:tcPr>
          <w:p w14:paraId="7BADBDBD" w14:textId="77777777" w:rsidR="00815712" w:rsidRPr="009070C3" w:rsidRDefault="00815712" w:rsidP="00573046">
            <w:pPr>
              <w:spacing w:after="0" w:line="240" w:lineRule="auto"/>
              <w:rPr>
                <w:lang w:val="en-US"/>
              </w:rPr>
            </w:pPr>
            <w:r w:rsidRPr="009070C3">
              <w:rPr>
                <w:b/>
                <w:bCs/>
              </w:rPr>
              <w:t>High</w:t>
            </w:r>
          </w:p>
        </w:tc>
        <w:tc>
          <w:tcPr>
            <w:tcW w:w="1400" w:type="dxa"/>
            <w:shd w:val="clear" w:color="auto" w:fill="FFFFFF" w:themeFill="background1"/>
            <w:tcMar>
              <w:top w:w="15" w:type="dxa"/>
              <w:left w:w="12" w:type="dxa"/>
              <w:bottom w:w="0" w:type="dxa"/>
              <w:right w:w="12" w:type="dxa"/>
            </w:tcMar>
            <w:vAlign w:val="center"/>
            <w:hideMark/>
          </w:tcPr>
          <w:p w14:paraId="5354E7EF" w14:textId="5C647CCF" w:rsidR="00815712" w:rsidRPr="009070C3" w:rsidRDefault="00495872" w:rsidP="00573046">
            <w:pPr>
              <w:spacing w:after="0" w:line="240" w:lineRule="auto"/>
              <w:rPr>
                <w:lang w:val="en-US"/>
              </w:rPr>
            </w:pPr>
            <w:r>
              <w:rPr>
                <w:b/>
                <w:bCs/>
              </w:rPr>
              <w:t>39 (</w:t>
            </w:r>
            <w:r w:rsidR="00815712" w:rsidRPr="009070C3">
              <w:rPr>
                <w:b/>
                <w:bCs/>
              </w:rPr>
              <w:t>16.0</w:t>
            </w:r>
            <w:r>
              <w:rPr>
                <w:b/>
                <w:bCs/>
              </w:rPr>
              <w:t>%)</w:t>
            </w:r>
          </w:p>
        </w:tc>
        <w:tc>
          <w:tcPr>
            <w:tcW w:w="1400" w:type="dxa"/>
            <w:shd w:val="clear" w:color="auto" w:fill="FFFFFF" w:themeFill="background1"/>
            <w:tcMar>
              <w:top w:w="15" w:type="dxa"/>
              <w:left w:w="12" w:type="dxa"/>
              <w:bottom w:w="0" w:type="dxa"/>
              <w:right w:w="12" w:type="dxa"/>
            </w:tcMar>
            <w:vAlign w:val="center"/>
            <w:hideMark/>
          </w:tcPr>
          <w:p w14:paraId="7B528CF8" w14:textId="1614F4DB" w:rsidR="00815712" w:rsidRPr="009070C3" w:rsidRDefault="00495872" w:rsidP="00573046">
            <w:pPr>
              <w:spacing w:after="0" w:line="240" w:lineRule="auto"/>
              <w:rPr>
                <w:lang w:val="en-US"/>
              </w:rPr>
            </w:pPr>
            <w:r>
              <w:rPr>
                <w:b/>
                <w:bCs/>
              </w:rPr>
              <w:t>87 (</w:t>
            </w:r>
            <w:r w:rsidR="00815712" w:rsidRPr="009070C3">
              <w:rPr>
                <w:b/>
                <w:bCs/>
              </w:rPr>
              <w:t>18.3</w:t>
            </w:r>
            <w:r>
              <w:rPr>
                <w:b/>
                <w:bCs/>
              </w:rPr>
              <w:t>%)</w:t>
            </w:r>
          </w:p>
        </w:tc>
        <w:tc>
          <w:tcPr>
            <w:tcW w:w="1400" w:type="dxa"/>
            <w:shd w:val="clear" w:color="auto" w:fill="FFFFFF" w:themeFill="background1"/>
            <w:tcMar>
              <w:top w:w="15" w:type="dxa"/>
              <w:left w:w="12" w:type="dxa"/>
              <w:bottom w:w="0" w:type="dxa"/>
              <w:right w:w="12" w:type="dxa"/>
            </w:tcMar>
            <w:vAlign w:val="center"/>
            <w:hideMark/>
          </w:tcPr>
          <w:p w14:paraId="28F6FB6F" w14:textId="3D023F5D" w:rsidR="00815712" w:rsidRPr="009070C3" w:rsidRDefault="00495872" w:rsidP="00573046">
            <w:pPr>
              <w:spacing w:after="0" w:line="240" w:lineRule="auto"/>
              <w:rPr>
                <w:lang w:val="en-US"/>
              </w:rPr>
            </w:pPr>
            <w:r>
              <w:rPr>
                <w:b/>
                <w:bCs/>
              </w:rPr>
              <w:t>37 (</w:t>
            </w:r>
            <w:r w:rsidR="00815712" w:rsidRPr="009070C3">
              <w:rPr>
                <w:b/>
                <w:bCs/>
              </w:rPr>
              <w:t>18.6</w:t>
            </w:r>
            <w:r>
              <w:rPr>
                <w:b/>
                <w:bCs/>
              </w:rPr>
              <w:t>%)</w:t>
            </w:r>
          </w:p>
        </w:tc>
        <w:tc>
          <w:tcPr>
            <w:tcW w:w="1480" w:type="dxa"/>
            <w:shd w:val="clear" w:color="auto" w:fill="FFFFFF" w:themeFill="background1"/>
            <w:tcMar>
              <w:top w:w="15" w:type="dxa"/>
              <w:left w:w="12" w:type="dxa"/>
              <w:bottom w:w="0" w:type="dxa"/>
              <w:right w:w="12" w:type="dxa"/>
            </w:tcMar>
            <w:vAlign w:val="center"/>
            <w:hideMark/>
          </w:tcPr>
          <w:p w14:paraId="2618962F" w14:textId="77777777" w:rsidR="00815712" w:rsidRPr="009070C3" w:rsidRDefault="00815712" w:rsidP="00573046">
            <w:pPr>
              <w:spacing w:after="0" w:line="240" w:lineRule="auto"/>
              <w:rPr>
                <w:lang w:val="en-US"/>
              </w:rPr>
            </w:pPr>
          </w:p>
        </w:tc>
      </w:tr>
      <w:tr w:rsidR="00E6238E" w:rsidRPr="009070C3" w14:paraId="4CA30B62" w14:textId="77777777" w:rsidTr="00AC4A94">
        <w:trPr>
          <w:trHeight w:val="385"/>
        </w:trPr>
        <w:tc>
          <w:tcPr>
            <w:tcW w:w="9540" w:type="dxa"/>
            <w:gridSpan w:val="5"/>
            <w:shd w:val="clear" w:color="auto" w:fill="FFFFFF" w:themeFill="background1"/>
            <w:tcMar>
              <w:top w:w="15" w:type="dxa"/>
              <w:left w:w="12" w:type="dxa"/>
              <w:bottom w:w="0" w:type="dxa"/>
              <w:right w:w="12" w:type="dxa"/>
            </w:tcMar>
            <w:hideMark/>
          </w:tcPr>
          <w:p w14:paraId="356DB41A" w14:textId="61E972AC" w:rsidR="00E6238E" w:rsidRPr="009070C3" w:rsidRDefault="00E6238E" w:rsidP="00573046">
            <w:pPr>
              <w:spacing w:after="0" w:line="240" w:lineRule="auto"/>
              <w:rPr>
                <w:lang w:val="en-US"/>
              </w:rPr>
            </w:pPr>
            <w:r w:rsidRPr="009070C3">
              <w:rPr>
                <w:b/>
                <w:bCs/>
              </w:rPr>
              <w:t>Stage – n (%)</w:t>
            </w:r>
          </w:p>
        </w:tc>
      </w:tr>
      <w:tr w:rsidR="00815712" w:rsidRPr="009070C3" w14:paraId="567E592D" w14:textId="77777777" w:rsidTr="00E6238E">
        <w:trPr>
          <w:trHeight w:val="385"/>
        </w:trPr>
        <w:tc>
          <w:tcPr>
            <w:tcW w:w="3860" w:type="dxa"/>
            <w:shd w:val="clear" w:color="auto" w:fill="FFFFFF" w:themeFill="background1"/>
            <w:tcMar>
              <w:top w:w="15" w:type="dxa"/>
              <w:left w:w="12" w:type="dxa"/>
              <w:bottom w:w="0" w:type="dxa"/>
              <w:right w:w="12" w:type="dxa"/>
            </w:tcMar>
            <w:hideMark/>
          </w:tcPr>
          <w:p w14:paraId="25F88273" w14:textId="77777777" w:rsidR="00815712" w:rsidRPr="009070C3" w:rsidRDefault="00815712" w:rsidP="00573046">
            <w:pPr>
              <w:spacing w:after="0" w:line="240" w:lineRule="auto"/>
              <w:rPr>
                <w:lang w:val="en-US"/>
              </w:rPr>
            </w:pPr>
            <w:r w:rsidRPr="009070C3">
              <w:rPr>
                <w:b/>
                <w:bCs/>
              </w:rPr>
              <w:t>I</w:t>
            </w:r>
          </w:p>
        </w:tc>
        <w:tc>
          <w:tcPr>
            <w:tcW w:w="1400" w:type="dxa"/>
            <w:shd w:val="clear" w:color="auto" w:fill="FFFFFF" w:themeFill="background1"/>
            <w:tcMar>
              <w:top w:w="15" w:type="dxa"/>
              <w:left w:w="12" w:type="dxa"/>
              <w:bottom w:w="0" w:type="dxa"/>
              <w:right w:w="12" w:type="dxa"/>
            </w:tcMar>
            <w:vAlign w:val="center"/>
            <w:hideMark/>
          </w:tcPr>
          <w:p w14:paraId="49B13312" w14:textId="1A45A968" w:rsidR="00815712" w:rsidRPr="009070C3" w:rsidRDefault="00495872" w:rsidP="00573046">
            <w:pPr>
              <w:spacing w:after="0" w:line="240" w:lineRule="auto"/>
              <w:rPr>
                <w:lang w:val="en-US"/>
              </w:rPr>
            </w:pPr>
            <w:r>
              <w:rPr>
                <w:b/>
                <w:bCs/>
              </w:rPr>
              <w:t>8 (</w:t>
            </w:r>
            <w:r w:rsidR="00815712" w:rsidRPr="009070C3">
              <w:rPr>
                <w:b/>
                <w:bCs/>
              </w:rPr>
              <w:t>3.3</w:t>
            </w:r>
            <w:r>
              <w:rPr>
                <w:b/>
                <w:bCs/>
              </w:rPr>
              <w:t>%)</w:t>
            </w:r>
          </w:p>
        </w:tc>
        <w:tc>
          <w:tcPr>
            <w:tcW w:w="1400" w:type="dxa"/>
            <w:shd w:val="clear" w:color="auto" w:fill="FFFFFF" w:themeFill="background1"/>
            <w:tcMar>
              <w:top w:w="15" w:type="dxa"/>
              <w:left w:w="12" w:type="dxa"/>
              <w:bottom w:w="0" w:type="dxa"/>
              <w:right w:w="12" w:type="dxa"/>
            </w:tcMar>
            <w:vAlign w:val="center"/>
            <w:hideMark/>
          </w:tcPr>
          <w:p w14:paraId="2E010358" w14:textId="7D80AD5B" w:rsidR="00815712" w:rsidRPr="009070C3" w:rsidRDefault="00495872" w:rsidP="00573046">
            <w:pPr>
              <w:spacing w:after="0" w:line="240" w:lineRule="auto"/>
              <w:rPr>
                <w:lang w:val="en-US"/>
              </w:rPr>
            </w:pPr>
            <w:r>
              <w:rPr>
                <w:b/>
                <w:bCs/>
              </w:rPr>
              <w:t>12 (</w:t>
            </w:r>
            <w:r w:rsidR="00815712" w:rsidRPr="009070C3">
              <w:rPr>
                <w:b/>
                <w:bCs/>
              </w:rPr>
              <w:t>2.5</w:t>
            </w:r>
            <w:r>
              <w:rPr>
                <w:b/>
                <w:bCs/>
              </w:rPr>
              <w:t>%)</w:t>
            </w:r>
          </w:p>
        </w:tc>
        <w:tc>
          <w:tcPr>
            <w:tcW w:w="1400" w:type="dxa"/>
            <w:shd w:val="clear" w:color="auto" w:fill="FFFFFF" w:themeFill="background1"/>
            <w:tcMar>
              <w:top w:w="15" w:type="dxa"/>
              <w:left w:w="12" w:type="dxa"/>
              <w:bottom w:w="0" w:type="dxa"/>
              <w:right w:w="12" w:type="dxa"/>
            </w:tcMar>
            <w:vAlign w:val="center"/>
            <w:hideMark/>
          </w:tcPr>
          <w:p w14:paraId="77EA1D95" w14:textId="4C876D33" w:rsidR="00815712" w:rsidRPr="009070C3" w:rsidRDefault="00495872" w:rsidP="00573046">
            <w:pPr>
              <w:spacing w:after="0" w:line="240" w:lineRule="auto"/>
              <w:rPr>
                <w:lang w:val="en-US"/>
              </w:rPr>
            </w:pPr>
            <w:r>
              <w:rPr>
                <w:b/>
                <w:bCs/>
              </w:rPr>
              <w:t>6 (</w:t>
            </w:r>
            <w:r w:rsidR="00815712" w:rsidRPr="009070C3">
              <w:rPr>
                <w:b/>
                <w:bCs/>
              </w:rPr>
              <w:t>3.0</w:t>
            </w:r>
            <w:r>
              <w:rPr>
                <w:b/>
                <w:bCs/>
              </w:rPr>
              <w:t>%)</w:t>
            </w:r>
          </w:p>
        </w:tc>
        <w:tc>
          <w:tcPr>
            <w:tcW w:w="1480" w:type="dxa"/>
            <w:shd w:val="clear" w:color="auto" w:fill="FFFFFF" w:themeFill="background1"/>
            <w:tcMar>
              <w:top w:w="15" w:type="dxa"/>
              <w:left w:w="12" w:type="dxa"/>
              <w:bottom w:w="0" w:type="dxa"/>
              <w:right w:w="12" w:type="dxa"/>
            </w:tcMar>
            <w:vAlign w:val="center"/>
            <w:hideMark/>
          </w:tcPr>
          <w:p w14:paraId="6B7DDC6E" w14:textId="77777777" w:rsidR="00815712" w:rsidRPr="009070C3" w:rsidRDefault="00815712" w:rsidP="00573046">
            <w:pPr>
              <w:spacing w:after="0" w:line="240" w:lineRule="auto"/>
              <w:rPr>
                <w:lang w:val="en-US"/>
              </w:rPr>
            </w:pPr>
          </w:p>
        </w:tc>
      </w:tr>
      <w:tr w:rsidR="00815712" w:rsidRPr="009070C3" w14:paraId="7718C232" w14:textId="77777777" w:rsidTr="00E6238E">
        <w:trPr>
          <w:trHeight w:val="385"/>
        </w:trPr>
        <w:tc>
          <w:tcPr>
            <w:tcW w:w="3860" w:type="dxa"/>
            <w:shd w:val="clear" w:color="auto" w:fill="FFFFFF" w:themeFill="background1"/>
            <w:tcMar>
              <w:top w:w="15" w:type="dxa"/>
              <w:left w:w="12" w:type="dxa"/>
              <w:bottom w:w="0" w:type="dxa"/>
              <w:right w:w="12" w:type="dxa"/>
            </w:tcMar>
            <w:hideMark/>
          </w:tcPr>
          <w:p w14:paraId="482FFEDF" w14:textId="77777777" w:rsidR="00815712" w:rsidRPr="009070C3" w:rsidRDefault="00815712" w:rsidP="00573046">
            <w:pPr>
              <w:spacing w:after="0" w:line="240" w:lineRule="auto"/>
              <w:rPr>
                <w:lang w:val="en-US"/>
              </w:rPr>
            </w:pPr>
            <w:r w:rsidRPr="009070C3">
              <w:rPr>
                <w:b/>
                <w:bCs/>
              </w:rPr>
              <w:t>II</w:t>
            </w:r>
          </w:p>
        </w:tc>
        <w:tc>
          <w:tcPr>
            <w:tcW w:w="1400" w:type="dxa"/>
            <w:shd w:val="clear" w:color="auto" w:fill="FFFFFF" w:themeFill="background1"/>
            <w:tcMar>
              <w:top w:w="15" w:type="dxa"/>
              <w:left w:w="12" w:type="dxa"/>
              <w:bottom w:w="0" w:type="dxa"/>
              <w:right w:w="12" w:type="dxa"/>
            </w:tcMar>
            <w:vAlign w:val="center"/>
            <w:hideMark/>
          </w:tcPr>
          <w:p w14:paraId="74517D96" w14:textId="02752229" w:rsidR="00815712" w:rsidRPr="009070C3" w:rsidRDefault="00495872" w:rsidP="00573046">
            <w:pPr>
              <w:spacing w:after="0" w:line="240" w:lineRule="auto"/>
              <w:rPr>
                <w:lang w:val="en-US"/>
              </w:rPr>
            </w:pPr>
            <w:r>
              <w:rPr>
                <w:b/>
                <w:bCs/>
              </w:rPr>
              <w:t>76 (</w:t>
            </w:r>
            <w:r w:rsidR="00815712" w:rsidRPr="009070C3">
              <w:rPr>
                <w:b/>
                <w:bCs/>
              </w:rPr>
              <w:t>31.1</w:t>
            </w:r>
            <w:r>
              <w:rPr>
                <w:b/>
                <w:bCs/>
              </w:rPr>
              <w:t>%)</w:t>
            </w:r>
          </w:p>
        </w:tc>
        <w:tc>
          <w:tcPr>
            <w:tcW w:w="1400" w:type="dxa"/>
            <w:shd w:val="clear" w:color="auto" w:fill="FFFFFF" w:themeFill="background1"/>
            <w:tcMar>
              <w:top w:w="15" w:type="dxa"/>
              <w:left w:w="12" w:type="dxa"/>
              <w:bottom w:w="0" w:type="dxa"/>
              <w:right w:w="12" w:type="dxa"/>
            </w:tcMar>
            <w:vAlign w:val="center"/>
            <w:hideMark/>
          </w:tcPr>
          <w:p w14:paraId="754BD5C1" w14:textId="62AC3032" w:rsidR="00815712" w:rsidRPr="009070C3" w:rsidRDefault="00495872" w:rsidP="00573046">
            <w:pPr>
              <w:spacing w:after="0" w:line="240" w:lineRule="auto"/>
              <w:rPr>
                <w:lang w:val="en-US"/>
              </w:rPr>
            </w:pPr>
            <w:r>
              <w:rPr>
                <w:b/>
                <w:bCs/>
              </w:rPr>
              <w:t>134 (</w:t>
            </w:r>
            <w:r w:rsidR="00815712" w:rsidRPr="009070C3">
              <w:rPr>
                <w:b/>
                <w:bCs/>
              </w:rPr>
              <w:t>28.5</w:t>
            </w:r>
            <w:r>
              <w:rPr>
                <w:b/>
                <w:bCs/>
              </w:rPr>
              <w:t>%)</w:t>
            </w:r>
          </w:p>
        </w:tc>
        <w:tc>
          <w:tcPr>
            <w:tcW w:w="1400" w:type="dxa"/>
            <w:shd w:val="clear" w:color="auto" w:fill="FFFFFF" w:themeFill="background1"/>
            <w:tcMar>
              <w:top w:w="15" w:type="dxa"/>
              <w:left w:w="12" w:type="dxa"/>
              <w:bottom w:w="0" w:type="dxa"/>
              <w:right w:w="12" w:type="dxa"/>
            </w:tcMar>
            <w:vAlign w:val="center"/>
            <w:hideMark/>
          </w:tcPr>
          <w:p w14:paraId="79544D76" w14:textId="02C1DBF1" w:rsidR="00815712" w:rsidRPr="009070C3" w:rsidRDefault="00495872" w:rsidP="00573046">
            <w:pPr>
              <w:spacing w:after="0" w:line="240" w:lineRule="auto"/>
              <w:rPr>
                <w:lang w:val="en-US"/>
              </w:rPr>
            </w:pPr>
            <w:r>
              <w:rPr>
                <w:b/>
                <w:bCs/>
              </w:rPr>
              <w:t>47 (</w:t>
            </w:r>
            <w:r w:rsidR="00815712" w:rsidRPr="009070C3">
              <w:rPr>
                <w:b/>
                <w:bCs/>
              </w:rPr>
              <w:t>23.6</w:t>
            </w:r>
            <w:r>
              <w:rPr>
                <w:b/>
                <w:bCs/>
              </w:rPr>
              <w:t>%)</w:t>
            </w:r>
          </w:p>
        </w:tc>
        <w:tc>
          <w:tcPr>
            <w:tcW w:w="1480" w:type="dxa"/>
            <w:shd w:val="clear" w:color="auto" w:fill="FFFFFF" w:themeFill="background1"/>
            <w:tcMar>
              <w:top w:w="15" w:type="dxa"/>
              <w:left w:w="12" w:type="dxa"/>
              <w:bottom w:w="0" w:type="dxa"/>
              <w:right w:w="12" w:type="dxa"/>
            </w:tcMar>
            <w:vAlign w:val="center"/>
            <w:hideMark/>
          </w:tcPr>
          <w:p w14:paraId="322CADEA" w14:textId="29772B72" w:rsidR="00815712" w:rsidRPr="009070C3" w:rsidRDefault="00815712" w:rsidP="00573046">
            <w:pPr>
              <w:spacing w:after="0" w:line="240" w:lineRule="auto"/>
              <w:rPr>
                <w:lang w:val="en-US"/>
              </w:rPr>
            </w:pPr>
            <w:r w:rsidRPr="009070C3">
              <w:rPr>
                <w:b/>
                <w:bCs/>
              </w:rPr>
              <w:t>0.7</w:t>
            </w:r>
            <w:r w:rsidR="003C66C3">
              <w:rPr>
                <w:b/>
                <w:bCs/>
              </w:rPr>
              <w:t>4</w:t>
            </w:r>
          </w:p>
        </w:tc>
      </w:tr>
      <w:tr w:rsidR="00815712" w:rsidRPr="009070C3" w14:paraId="07C56D57" w14:textId="77777777" w:rsidTr="00E6238E">
        <w:trPr>
          <w:trHeight w:val="385"/>
        </w:trPr>
        <w:tc>
          <w:tcPr>
            <w:tcW w:w="3860" w:type="dxa"/>
            <w:shd w:val="clear" w:color="auto" w:fill="FFFFFF" w:themeFill="background1"/>
            <w:tcMar>
              <w:top w:w="15" w:type="dxa"/>
              <w:left w:w="12" w:type="dxa"/>
              <w:bottom w:w="0" w:type="dxa"/>
              <w:right w:w="12" w:type="dxa"/>
            </w:tcMar>
            <w:hideMark/>
          </w:tcPr>
          <w:p w14:paraId="0BDEF05A" w14:textId="77777777" w:rsidR="00815712" w:rsidRPr="009070C3" w:rsidRDefault="00815712" w:rsidP="00573046">
            <w:pPr>
              <w:spacing w:after="0" w:line="240" w:lineRule="auto"/>
              <w:rPr>
                <w:lang w:val="en-US"/>
              </w:rPr>
            </w:pPr>
            <w:r w:rsidRPr="009070C3">
              <w:rPr>
                <w:b/>
                <w:bCs/>
              </w:rPr>
              <w:t>III</w:t>
            </w:r>
          </w:p>
        </w:tc>
        <w:tc>
          <w:tcPr>
            <w:tcW w:w="1400" w:type="dxa"/>
            <w:shd w:val="clear" w:color="auto" w:fill="FFFFFF" w:themeFill="background1"/>
            <w:tcMar>
              <w:top w:w="15" w:type="dxa"/>
              <w:left w:w="12" w:type="dxa"/>
              <w:bottom w:w="0" w:type="dxa"/>
              <w:right w:w="12" w:type="dxa"/>
            </w:tcMar>
            <w:vAlign w:val="center"/>
            <w:hideMark/>
          </w:tcPr>
          <w:p w14:paraId="02B76DAA" w14:textId="621F54A3" w:rsidR="00815712" w:rsidRPr="009070C3" w:rsidRDefault="00495872" w:rsidP="00573046">
            <w:pPr>
              <w:spacing w:after="0" w:line="240" w:lineRule="auto"/>
              <w:rPr>
                <w:lang w:val="en-US"/>
              </w:rPr>
            </w:pPr>
            <w:r>
              <w:rPr>
                <w:b/>
                <w:bCs/>
              </w:rPr>
              <w:t>73 (</w:t>
            </w:r>
            <w:r w:rsidR="00815712" w:rsidRPr="009070C3">
              <w:rPr>
                <w:b/>
                <w:bCs/>
              </w:rPr>
              <w:t>29.9</w:t>
            </w:r>
            <w:r>
              <w:rPr>
                <w:b/>
                <w:bCs/>
              </w:rPr>
              <w:t>%)</w:t>
            </w:r>
          </w:p>
        </w:tc>
        <w:tc>
          <w:tcPr>
            <w:tcW w:w="1400" w:type="dxa"/>
            <w:shd w:val="clear" w:color="auto" w:fill="FFFFFF" w:themeFill="background1"/>
            <w:tcMar>
              <w:top w:w="15" w:type="dxa"/>
              <w:left w:w="12" w:type="dxa"/>
              <w:bottom w:w="0" w:type="dxa"/>
              <w:right w:w="12" w:type="dxa"/>
            </w:tcMar>
            <w:vAlign w:val="center"/>
            <w:hideMark/>
          </w:tcPr>
          <w:p w14:paraId="51F6B260" w14:textId="66FED1DF" w:rsidR="00815712" w:rsidRPr="009070C3" w:rsidRDefault="00495872" w:rsidP="00573046">
            <w:pPr>
              <w:spacing w:after="0" w:line="240" w:lineRule="auto"/>
              <w:rPr>
                <w:lang w:val="en-US"/>
              </w:rPr>
            </w:pPr>
            <w:r>
              <w:rPr>
                <w:b/>
                <w:bCs/>
              </w:rPr>
              <w:t>148 (</w:t>
            </w:r>
            <w:r w:rsidR="00815712" w:rsidRPr="009070C3">
              <w:rPr>
                <w:b/>
                <w:bCs/>
              </w:rPr>
              <w:t>31.4</w:t>
            </w:r>
            <w:r>
              <w:rPr>
                <w:b/>
                <w:bCs/>
              </w:rPr>
              <w:t>%)</w:t>
            </w:r>
          </w:p>
        </w:tc>
        <w:tc>
          <w:tcPr>
            <w:tcW w:w="1400" w:type="dxa"/>
            <w:shd w:val="clear" w:color="auto" w:fill="FFFFFF" w:themeFill="background1"/>
            <w:tcMar>
              <w:top w:w="15" w:type="dxa"/>
              <w:left w:w="12" w:type="dxa"/>
              <w:bottom w:w="0" w:type="dxa"/>
              <w:right w:w="12" w:type="dxa"/>
            </w:tcMar>
            <w:vAlign w:val="center"/>
            <w:hideMark/>
          </w:tcPr>
          <w:p w14:paraId="0025FFBF" w14:textId="58C654FE" w:rsidR="00815712" w:rsidRPr="009070C3" w:rsidRDefault="00495872" w:rsidP="00573046">
            <w:pPr>
              <w:spacing w:after="0" w:line="240" w:lineRule="auto"/>
              <w:rPr>
                <w:lang w:val="en-US"/>
              </w:rPr>
            </w:pPr>
            <w:r>
              <w:rPr>
                <w:b/>
                <w:bCs/>
              </w:rPr>
              <w:t>61 (</w:t>
            </w:r>
            <w:r w:rsidR="00815712" w:rsidRPr="009070C3">
              <w:rPr>
                <w:b/>
                <w:bCs/>
              </w:rPr>
              <w:t>30.7</w:t>
            </w:r>
            <w:r>
              <w:rPr>
                <w:b/>
                <w:bCs/>
              </w:rPr>
              <w:t>%)</w:t>
            </w:r>
          </w:p>
        </w:tc>
        <w:tc>
          <w:tcPr>
            <w:tcW w:w="1480" w:type="dxa"/>
            <w:shd w:val="clear" w:color="auto" w:fill="FFFFFF" w:themeFill="background1"/>
            <w:tcMar>
              <w:top w:w="15" w:type="dxa"/>
              <w:left w:w="12" w:type="dxa"/>
              <w:bottom w:w="0" w:type="dxa"/>
              <w:right w:w="12" w:type="dxa"/>
            </w:tcMar>
            <w:vAlign w:val="center"/>
            <w:hideMark/>
          </w:tcPr>
          <w:p w14:paraId="4CD0F7F6" w14:textId="77777777" w:rsidR="00815712" w:rsidRPr="009070C3" w:rsidRDefault="00815712" w:rsidP="00573046">
            <w:pPr>
              <w:spacing w:after="0" w:line="240" w:lineRule="auto"/>
              <w:rPr>
                <w:lang w:val="en-US"/>
              </w:rPr>
            </w:pPr>
          </w:p>
        </w:tc>
      </w:tr>
      <w:tr w:rsidR="00815712" w:rsidRPr="009070C3" w14:paraId="67230D4F" w14:textId="77777777" w:rsidTr="00E6238E">
        <w:trPr>
          <w:trHeight w:val="385"/>
        </w:trPr>
        <w:tc>
          <w:tcPr>
            <w:tcW w:w="3860" w:type="dxa"/>
            <w:shd w:val="clear" w:color="auto" w:fill="FFFFFF" w:themeFill="background1"/>
            <w:tcMar>
              <w:top w:w="15" w:type="dxa"/>
              <w:left w:w="12" w:type="dxa"/>
              <w:bottom w:w="0" w:type="dxa"/>
              <w:right w:w="12" w:type="dxa"/>
            </w:tcMar>
            <w:hideMark/>
          </w:tcPr>
          <w:p w14:paraId="3C0063B8" w14:textId="77777777" w:rsidR="00815712" w:rsidRPr="009070C3" w:rsidRDefault="00815712" w:rsidP="00573046">
            <w:pPr>
              <w:spacing w:after="0" w:line="240" w:lineRule="auto"/>
              <w:rPr>
                <w:lang w:val="en-US"/>
              </w:rPr>
            </w:pPr>
            <w:r w:rsidRPr="009070C3">
              <w:rPr>
                <w:b/>
                <w:bCs/>
              </w:rPr>
              <w:t>IV</w:t>
            </w:r>
          </w:p>
        </w:tc>
        <w:tc>
          <w:tcPr>
            <w:tcW w:w="1400" w:type="dxa"/>
            <w:shd w:val="clear" w:color="auto" w:fill="FFFFFF" w:themeFill="background1"/>
            <w:tcMar>
              <w:top w:w="15" w:type="dxa"/>
              <w:left w:w="12" w:type="dxa"/>
              <w:bottom w:w="0" w:type="dxa"/>
              <w:right w:w="12" w:type="dxa"/>
            </w:tcMar>
            <w:vAlign w:val="center"/>
            <w:hideMark/>
          </w:tcPr>
          <w:p w14:paraId="75FE5DC3" w14:textId="4BB76D37" w:rsidR="00815712" w:rsidRPr="009070C3" w:rsidRDefault="00495872" w:rsidP="00573046">
            <w:pPr>
              <w:spacing w:after="0" w:line="240" w:lineRule="auto"/>
              <w:rPr>
                <w:lang w:val="en-US"/>
              </w:rPr>
            </w:pPr>
            <w:r>
              <w:rPr>
                <w:b/>
                <w:bCs/>
              </w:rPr>
              <w:t>87 (</w:t>
            </w:r>
            <w:r w:rsidR="00815712" w:rsidRPr="009070C3">
              <w:rPr>
                <w:b/>
                <w:bCs/>
              </w:rPr>
              <w:t>35.7</w:t>
            </w:r>
            <w:r>
              <w:rPr>
                <w:b/>
                <w:bCs/>
              </w:rPr>
              <w:t>%)</w:t>
            </w:r>
          </w:p>
        </w:tc>
        <w:tc>
          <w:tcPr>
            <w:tcW w:w="1400" w:type="dxa"/>
            <w:shd w:val="clear" w:color="auto" w:fill="FFFFFF" w:themeFill="background1"/>
            <w:tcMar>
              <w:top w:w="15" w:type="dxa"/>
              <w:left w:w="12" w:type="dxa"/>
              <w:bottom w:w="0" w:type="dxa"/>
              <w:right w:w="12" w:type="dxa"/>
            </w:tcMar>
            <w:vAlign w:val="center"/>
            <w:hideMark/>
          </w:tcPr>
          <w:p w14:paraId="3A5FEC77" w14:textId="56E5A1C2" w:rsidR="00815712" w:rsidRPr="009070C3" w:rsidRDefault="00495872" w:rsidP="00573046">
            <w:pPr>
              <w:spacing w:after="0" w:line="240" w:lineRule="auto"/>
              <w:rPr>
                <w:lang w:val="en-US"/>
              </w:rPr>
            </w:pPr>
            <w:r>
              <w:rPr>
                <w:b/>
                <w:bCs/>
              </w:rPr>
              <w:t>177 (</w:t>
            </w:r>
            <w:r w:rsidR="00815712" w:rsidRPr="009070C3">
              <w:rPr>
                <w:b/>
                <w:bCs/>
              </w:rPr>
              <w:t>37.6</w:t>
            </w:r>
            <w:r>
              <w:rPr>
                <w:b/>
                <w:bCs/>
              </w:rPr>
              <w:t>%)</w:t>
            </w:r>
          </w:p>
        </w:tc>
        <w:tc>
          <w:tcPr>
            <w:tcW w:w="1400" w:type="dxa"/>
            <w:shd w:val="clear" w:color="auto" w:fill="FFFFFF" w:themeFill="background1"/>
            <w:tcMar>
              <w:top w:w="15" w:type="dxa"/>
              <w:left w:w="12" w:type="dxa"/>
              <w:bottom w:w="0" w:type="dxa"/>
              <w:right w:w="12" w:type="dxa"/>
            </w:tcMar>
            <w:vAlign w:val="center"/>
            <w:hideMark/>
          </w:tcPr>
          <w:p w14:paraId="0CFF56FE" w14:textId="427B73F5" w:rsidR="00815712" w:rsidRPr="009070C3" w:rsidRDefault="00495872" w:rsidP="00573046">
            <w:pPr>
              <w:spacing w:after="0" w:line="240" w:lineRule="auto"/>
              <w:rPr>
                <w:lang w:val="en-US"/>
              </w:rPr>
            </w:pPr>
            <w:r>
              <w:rPr>
                <w:b/>
                <w:bCs/>
              </w:rPr>
              <w:t>85 (</w:t>
            </w:r>
            <w:r w:rsidR="00815712" w:rsidRPr="009070C3">
              <w:rPr>
                <w:b/>
                <w:bCs/>
              </w:rPr>
              <w:t>42.7</w:t>
            </w:r>
            <w:r>
              <w:rPr>
                <w:b/>
                <w:bCs/>
              </w:rPr>
              <w:t>%)</w:t>
            </w:r>
          </w:p>
        </w:tc>
        <w:tc>
          <w:tcPr>
            <w:tcW w:w="1480" w:type="dxa"/>
            <w:shd w:val="clear" w:color="auto" w:fill="FFFFFF" w:themeFill="background1"/>
            <w:tcMar>
              <w:top w:w="15" w:type="dxa"/>
              <w:left w:w="12" w:type="dxa"/>
              <w:bottom w:w="0" w:type="dxa"/>
              <w:right w:w="12" w:type="dxa"/>
            </w:tcMar>
            <w:vAlign w:val="center"/>
            <w:hideMark/>
          </w:tcPr>
          <w:p w14:paraId="3AB905DF" w14:textId="77777777" w:rsidR="00815712" w:rsidRPr="009070C3" w:rsidRDefault="00815712" w:rsidP="00573046">
            <w:pPr>
              <w:spacing w:after="0" w:line="240" w:lineRule="auto"/>
              <w:rPr>
                <w:lang w:val="en-US"/>
              </w:rPr>
            </w:pPr>
          </w:p>
        </w:tc>
      </w:tr>
      <w:tr w:rsidR="00815712" w:rsidRPr="009070C3" w14:paraId="0305B8EE" w14:textId="77777777" w:rsidTr="00495872">
        <w:trPr>
          <w:trHeight w:val="487"/>
        </w:trPr>
        <w:tc>
          <w:tcPr>
            <w:tcW w:w="3860" w:type="dxa"/>
            <w:shd w:val="clear" w:color="auto" w:fill="FFFFFF" w:themeFill="background1"/>
            <w:tcMar>
              <w:top w:w="15" w:type="dxa"/>
              <w:left w:w="12" w:type="dxa"/>
              <w:bottom w:w="0" w:type="dxa"/>
              <w:right w:w="12" w:type="dxa"/>
            </w:tcMar>
            <w:hideMark/>
          </w:tcPr>
          <w:p w14:paraId="46C26C9C" w14:textId="250471B5" w:rsidR="00815712" w:rsidRPr="009070C3" w:rsidRDefault="00815712" w:rsidP="00495872">
            <w:pPr>
              <w:spacing w:after="0" w:line="240" w:lineRule="auto"/>
              <w:rPr>
                <w:lang w:val="en-US"/>
              </w:rPr>
            </w:pPr>
            <w:r w:rsidRPr="009070C3">
              <w:rPr>
                <w:b/>
                <w:bCs/>
              </w:rPr>
              <w:t xml:space="preserve">Bulk greater than 10cm </w:t>
            </w:r>
            <w:r w:rsidR="00495872">
              <w:rPr>
                <w:b/>
                <w:bCs/>
              </w:rPr>
              <w:t xml:space="preserve">– n </w:t>
            </w:r>
            <w:r w:rsidRPr="009070C3">
              <w:rPr>
                <w:b/>
                <w:bCs/>
              </w:rPr>
              <w:t>(%)</w:t>
            </w:r>
          </w:p>
        </w:tc>
        <w:tc>
          <w:tcPr>
            <w:tcW w:w="1400" w:type="dxa"/>
            <w:shd w:val="clear" w:color="auto" w:fill="FFFFFF" w:themeFill="background1"/>
            <w:tcMar>
              <w:top w:w="15" w:type="dxa"/>
              <w:left w:w="12" w:type="dxa"/>
              <w:bottom w:w="0" w:type="dxa"/>
              <w:right w:w="12" w:type="dxa"/>
            </w:tcMar>
            <w:hideMark/>
          </w:tcPr>
          <w:p w14:paraId="2BCD7F81" w14:textId="151C47BC" w:rsidR="00815712" w:rsidRPr="009070C3" w:rsidRDefault="00495872" w:rsidP="00495872">
            <w:pPr>
              <w:spacing w:after="0" w:line="240" w:lineRule="auto"/>
              <w:rPr>
                <w:lang w:val="en-US"/>
              </w:rPr>
            </w:pPr>
            <w:r>
              <w:rPr>
                <w:b/>
                <w:bCs/>
              </w:rPr>
              <w:t>50 (</w:t>
            </w:r>
            <w:r w:rsidR="00815712" w:rsidRPr="009070C3">
              <w:rPr>
                <w:b/>
                <w:bCs/>
              </w:rPr>
              <w:t>20.7</w:t>
            </w:r>
            <w:r>
              <w:rPr>
                <w:b/>
                <w:bCs/>
              </w:rPr>
              <w:t>%)</w:t>
            </w:r>
          </w:p>
        </w:tc>
        <w:tc>
          <w:tcPr>
            <w:tcW w:w="1400" w:type="dxa"/>
            <w:shd w:val="clear" w:color="auto" w:fill="FFFFFF" w:themeFill="background1"/>
            <w:tcMar>
              <w:top w:w="15" w:type="dxa"/>
              <w:left w:w="12" w:type="dxa"/>
              <w:bottom w:w="0" w:type="dxa"/>
              <w:right w:w="12" w:type="dxa"/>
            </w:tcMar>
            <w:hideMark/>
          </w:tcPr>
          <w:p w14:paraId="05A141BF" w14:textId="78F8C6F1" w:rsidR="00815712" w:rsidRPr="009070C3" w:rsidRDefault="00495872" w:rsidP="00495872">
            <w:pPr>
              <w:spacing w:after="0" w:line="240" w:lineRule="auto"/>
              <w:rPr>
                <w:lang w:val="en-US"/>
              </w:rPr>
            </w:pPr>
            <w:r>
              <w:rPr>
                <w:b/>
                <w:bCs/>
              </w:rPr>
              <w:t>158 (</w:t>
            </w:r>
            <w:r w:rsidR="00815712" w:rsidRPr="009070C3">
              <w:rPr>
                <w:b/>
                <w:bCs/>
              </w:rPr>
              <w:t>33.8</w:t>
            </w:r>
            <w:r>
              <w:rPr>
                <w:b/>
                <w:bCs/>
              </w:rPr>
              <w:t>%)</w:t>
            </w:r>
          </w:p>
        </w:tc>
        <w:tc>
          <w:tcPr>
            <w:tcW w:w="1400" w:type="dxa"/>
            <w:shd w:val="clear" w:color="auto" w:fill="FFFFFF" w:themeFill="background1"/>
            <w:tcMar>
              <w:top w:w="15" w:type="dxa"/>
              <w:left w:w="12" w:type="dxa"/>
              <w:bottom w:w="0" w:type="dxa"/>
              <w:right w:w="12" w:type="dxa"/>
            </w:tcMar>
            <w:hideMark/>
          </w:tcPr>
          <w:p w14:paraId="1663F39D" w14:textId="7AF50EF9" w:rsidR="00815712" w:rsidRPr="009070C3" w:rsidRDefault="00495872" w:rsidP="00495872">
            <w:pPr>
              <w:spacing w:after="0" w:line="240" w:lineRule="auto"/>
              <w:rPr>
                <w:lang w:val="en-US"/>
              </w:rPr>
            </w:pPr>
            <w:r>
              <w:rPr>
                <w:b/>
                <w:bCs/>
              </w:rPr>
              <w:t>55 (</w:t>
            </w:r>
            <w:r w:rsidR="00815712" w:rsidRPr="009070C3">
              <w:rPr>
                <w:b/>
                <w:bCs/>
              </w:rPr>
              <w:t>27.8</w:t>
            </w:r>
            <w:r>
              <w:rPr>
                <w:b/>
                <w:bCs/>
              </w:rPr>
              <w:t>%)</w:t>
            </w:r>
          </w:p>
        </w:tc>
        <w:tc>
          <w:tcPr>
            <w:tcW w:w="1480" w:type="dxa"/>
            <w:shd w:val="clear" w:color="auto" w:fill="FFFFFF" w:themeFill="background1"/>
            <w:tcMar>
              <w:top w:w="15" w:type="dxa"/>
              <w:left w:w="12" w:type="dxa"/>
              <w:bottom w:w="0" w:type="dxa"/>
              <w:right w:w="12" w:type="dxa"/>
            </w:tcMar>
            <w:hideMark/>
          </w:tcPr>
          <w:p w14:paraId="13857C7E" w14:textId="5721364F" w:rsidR="00815712" w:rsidRPr="009070C3" w:rsidRDefault="00815712" w:rsidP="00495872">
            <w:pPr>
              <w:spacing w:after="0" w:line="240" w:lineRule="auto"/>
              <w:rPr>
                <w:lang w:val="en-US"/>
              </w:rPr>
            </w:pPr>
            <w:r w:rsidRPr="009070C3">
              <w:rPr>
                <w:b/>
                <w:bCs/>
              </w:rPr>
              <w:t>&lt;0.00</w:t>
            </w:r>
            <w:r w:rsidR="003C66C3">
              <w:rPr>
                <w:b/>
                <w:bCs/>
              </w:rPr>
              <w:t>0</w:t>
            </w:r>
            <w:r w:rsidRPr="009070C3">
              <w:rPr>
                <w:b/>
                <w:bCs/>
              </w:rPr>
              <w:t>1</w:t>
            </w:r>
          </w:p>
        </w:tc>
      </w:tr>
    </w:tbl>
    <w:p w14:paraId="0E67D83E" w14:textId="40DF7FE4" w:rsidR="00815712" w:rsidRDefault="00815712" w:rsidP="00367E84">
      <w:pPr>
        <w:spacing w:before="120"/>
      </w:pPr>
    </w:p>
    <w:p w14:paraId="593A1E9A" w14:textId="0DDB72C4" w:rsidR="00815712" w:rsidRDefault="009C25A9" w:rsidP="0030644C">
      <w:pPr>
        <w:spacing w:before="120"/>
        <w:outlineLvl w:val="0"/>
      </w:pPr>
      <w:r>
        <w:t>Table 2.  C</w:t>
      </w:r>
      <w:r w:rsidR="007C7FA6">
        <w:t>linical c</w:t>
      </w:r>
      <w:r>
        <w:t xml:space="preserve">haracteristics of </w:t>
      </w:r>
      <w:r w:rsidR="007C7FA6">
        <w:t>COO sub</w:t>
      </w:r>
      <w:r>
        <w:t>types</w:t>
      </w:r>
      <w:r w:rsidR="002D3421">
        <w:t xml:space="preserve"> (Unc= unclassified)</w:t>
      </w:r>
      <w:r w:rsidR="001E7601">
        <w:t xml:space="preserve"> (ITT population)</w:t>
      </w:r>
    </w:p>
    <w:p w14:paraId="2413E45E" w14:textId="2A2CB168" w:rsidR="00815712" w:rsidRDefault="00815712" w:rsidP="00367E84">
      <w:pPr>
        <w:spacing w:before="120"/>
      </w:pPr>
    </w:p>
    <w:p w14:paraId="0F9EB2A8" w14:textId="5638A2A2" w:rsidR="00815712" w:rsidRDefault="00815712" w:rsidP="00367E84">
      <w:pPr>
        <w:spacing w:before="120"/>
      </w:pPr>
    </w:p>
    <w:p w14:paraId="55C40541" w14:textId="77777777" w:rsidR="00815712" w:rsidRDefault="00815712" w:rsidP="00367E84">
      <w:pPr>
        <w:spacing w:before="120"/>
      </w:pPr>
    </w:p>
    <w:p w14:paraId="015060B1" w14:textId="2D683C12" w:rsidR="00583DA9" w:rsidRDefault="00F33AFA" w:rsidP="00367E84">
      <w:pPr>
        <w:spacing w:before="120"/>
      </w:pPr>
      <w:r>
        <w:br w:type="page"/>
      </w:r>
    </w:p>
    <w:p w14:paraId="6095495A" w14:textId="77777777" w:rsidR="003C706A" w:rsidRDefault="00073A43" w:rsidP="00367E84">
      <w:pPr>
        <w:spacing w:before="120"/>
        <w:rPr>
          <w:b/>
          <w:bCs/>
          <w:szCs w:val="18"/>
        </w:rPr>
      </w:pPr>
      <w:r>
        <w:rPr>
          <w:b/>
          <w:bCs/>
          <w:szCs w:val="18"/>
        </w:rPr>
        <w:lastRenderedPageBreak/>
        <w:br w:type="textWrapping" w:clear="all"/>
      </w:r>
    </w:p>
    <w:p w14:paraId="0C9E3175" w14:textId="77777777" w:rsidR="001E77AA" w:rsidRDefault="001E77AA" w:rsidP="00367E84">
      <w:pPr>
        <w:spacing w:before="120"/>
        <w:rPr>
          <w:b/>
          <w:bCs/>
          <w:szCs w:val="18"/>
        </w:rPr>
      </w:pPr>
    </w:p>
    <w:tbl>
      <w:tblPr>
        <w:tblW w:w="12570" w:type="dxa"/>
        <w:tblInd w:w="-5" w:type="dxa"/>
        <w:tblLook w:val="04A0" w:firstRow="1" w:lastRow="0" w:firstColumn="1" w:lastColumn="0" w:noHBand="0" w:noVBand="1"/>
      </w:tblPr>
      <w:tblGrid>
        <w:gridCol w:w="2268"/>
        <w:gridCol w:w="1391"/>
        <w:gridCol w:w="1369"/>
        <w:gridCol w:w="1369"/>
        <w:gridCol w:w="1022"/>
        <w:gridCol w:w="1391"/>
        <w:gridCol w:w="1369"/>
        <w:gridCol w:w="1369"/>
        <w:gridCol w:w="1022"/>
      </w:tblGrid>
      <w:tr w:rsidR="005664F1" w:rsidRPr="005664F1" w14:paraId="064748BC" w14:textId="77777777" w:rsidTr="006355B8">
        <w:trPr>
          <w:trHeight w:val="30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31BEE" w14:textId="3E58C26A" w:rsidR="005664F1" w:rsidRPr="005664F1" w:rsidRDefault="005664F1" w:rsidP="005664F1">
            <w:pPr>
              <w:spacing w:after="0" w:line="240" w:lineRule="auto"/>
              <w:rPr>
                <w:rFonts w:ascii="Calibri" w:eastAsia="Times New Roman" w:hAnsi="Calibri" w:cs="Times New Roman"/>
                <w:color w:val="000000"/>
                <w:lang w:eastAsia="en-GB"/>
              </w:rPr>
            </w:pPr>
          </w:p>
        </w:tc>
        <w:tc>
          <w:tcPr>
            <w:tcW w:w="51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AC34345"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R-CHOP (n=447)</w:t>
            </w:r>
          </w:p>
        </w:tc>
        <w:tc>
          <w:tcPr>
            <w:tcW w:w="515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F85E52"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RB-CHOP (n=444)</w:t>
            </w:r>
          </w:p>
        </w:tc>
      </w:tr>
      <w:tr w:rsidR="005664F1" w:rsidRPr="005664F1" w14:paraId="52E5BBE3"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tcPr>
          <w:p w14:paraId="77BDF8B5" w14:textId="6E272E54" w:rsidR="005664F1" w:rsidRPr="005664F1" w:rsidRDefault="005664F1" w:rsidP="005664F1">
            <w:pPr>
              <w:spacing w:after="0" w:line="240" w:lineRule="auto"/>
              <w:rPr>
                <w:rFonts w:ascii="Calibri" w:eastAsia="Times New Roman" w:hAnsi="Calibri" w:cs="Times New Roman"/>
                <w:color w:val="000000"/>
                <w:lang w:eastAsia="en-GB"/>
              </w:rPr>
            </w:pPr>
          </w:p>
        </w:tc>
        <w:tc>
          <w:tcPr>
            <w:tcW w:w="1391" w:type="dxa"/>
            <w:tcBorders>
              <w:top w:val="nil"/>
              <w:left w:val="nil"/>
              <w:bottom w:val="single" w:sz="4" w:space="0" w:color="auto"/>
              <w:right w:val="single" w:sz="4" w:space="0" w:color="auto"/>
            </w:tcBorders>
            <w:shd w:val="clear" w:color="auto" w:fill="auto"/>
            <w:noWrap/>
            <w:vAlign w:val="center"/>
            <w:hideMark/>
          </w:tcPr>
          <w:p w14:paraId="4DFB4298"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1-2</w:t>
            </w:r>
          </w:p>
        </w:tc>
        <w:tc>
          <w:tcPr>
            <w:tcW w:w="1369" w:type="dxa"/>
            <w:tcBorders>
              <w:top w:val="nil"/>
              <w:left w:val="nil"/>
              <w:bottom w:val="single" w:sz="4" w:space="0" w:color="auto"/>
              <w:right w:val="single" w:sz="4" w:space="0" w:color="auto"/>
            </w:tcBorders>
            <w:shd w:val="clear" w:color="auto" w:fill="auto"/>
            <w:noWrap/>
            <w:vAlign w:val="center"/>
            <w:hideMark/>
          </w:tcPr>
          <w:p w14:paraId="3B36B163"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3</w:t>
            </w:r>
          </w:p>
        </w:tc>
        <w:tc>
          <w:tcPr>
            <w:tcW w:w="1369" w:type="dxa"/>
            <w:tcBorders>
              <w:top w:val="nil"/>
              <w:left w:val="nil"/>
              <w:bottom w:val="single" w:sz="4" w:space="0" w:color="auto"/>
              <w:right w:val="single" w:sz="4" w:space="0" w:color="auto"/>
            </w:tcBorders>
            <w:shd w:val="clear" w:color="auto" w:fill="auto"/>
            <w:noWrap/>
            <w:vAlign w:val="center"/>
            <w:hideMark/>
          </w:tcPr>
          <w:p w14:paraId="3C3FF995"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4</w:t>
            </w:r>
          </w:p>
        </w:tc>
        <w:tc>
          <w:tcPr>
            <w:tcW w:w="1022" w:type="dxa"/>
            <w:tcBorders>
              <w:top w:val="nil"/>
              <w:left w:val="nil"/>
              <w:bottom w:val="single" w:sz="4" w:space="0" w:color="auto"/>
              <w:right w:val="single" w:sz="4" w:space="0" w:color="auto"/>
            </w:tcBorders>
            <w:shd w:val="clear" w:color="auto" w:fill="auto"/>
            <w:noWrap/>
            <w:vAlign w:val="center"/>
            <w:hideMark/>
          </w:tcPr>
          <w:p w14:paraId="7D56A211"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5</w:t>
            </w:r>
          </w:p>
        </w:tc>
        <w:tc>
          <w:tcPr>
            <w:tcW w:w="1391" w:type="dxa"/>
            <w:tcBorders>
              <w:top w:val="nil"/>
              <w:left w:val="nil"/>
              <w:bottom w:val="single" w:sz="4" w:space="0" w:color="auto"/>
              <w:right w:val="single" w:sz="4" w:space="0" w:color="auto"/>
            </w:tcBorders>
            <w:shd w:val="clear" w:color="auto" w:fill="auto"/>
            <w:noWrap/>
            <w:vAlign w:val="center"/>
            <w:hideMark/>
          </w:tcPr>
          <w:p w14:paraId="7F945750"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1-2</w:t>
            </w:r>
          </w:p>
        </w:tc>
        <w:tc>
          <w:tcPr>
            <w:tcW w:w="1369" w:type="dxa"/>
            <w:tcBorders>
              <w:top w:val="nil"/>
              <w:left w:val="nil"/>
              <w:bottom w:val="single" w:sz="4" w:space="0" w:color="auto"/>
              <w:right w:val="single" w:sz="4" w:space="0" w:color="auto"/>
            </w:tcBorders>
            <w:shd w:val="clear" w:color="auto" w:fill="auto"/>
            <w:noWrap/>
            <w:vAlign w:val="center"/>
            <w:hideMark/>
          </w:tcPr>
          <w:p w14:paraId="78E6A30D"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3</w:t>
            </w:r>
          </w:p>
        </w:tc>
        <w:tc>
          <w:tcPr>
            <w:tcW w:w="1369" w:type="dxa"/>
            <w:tcBorders>
              <w:top w:val="nil"/>
              <w:left w:val="nil"/>
              <w:bottom w:val="single" w:sz="4" w:space="0" w:color="auto"/>
              <w:right w:val="single" w:sz="4" w:space="0" w:color="auto"/>
            </w:tcBorders>
            <w:shd w:val="clear" w:color="auto" w:fill="auto"/>
            <w:noWrap/>
            <w:vAlign w:val="center"/>
            <w:hideMark/>
          </w:tcPr>
          <w:p w14:paraId="430A27D4"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4</w:t>
            </w:r>
          </w:p>
        </w:tc>
        <w:tc>
          <w:tcPr>
            <w:tcW w:w="1022" w:type="dxa"/>
            <w:tcBorders>
              <w:top w:val="nil"/>
              <w:left w:val="nil"/>
              <w:bottom w:val="single" w:sz="4" w:space="0" w:color="auto"/>
              <w:right w:val="single" w:sz="4" w:space="0" w:color="auto"/>
            </w:tcBorders>
            <w:shd w:val="clear" w:color="auto" w:fill="auto"/>
            <w:noWrap/>
            <w:vAlign w:val="center"/>
            <w:hideMark/>
          </w:tcPr>
          <w:p w14:paraId="77A6BE76" w14:textId="77777777" w:rsidR="005664F1" w:rsidRPr="005664F1" w:rsidRDefault="005664F1" w:rsidP="005664F1">
            <w:pPr>
              <w:spacing w:after="0" w:line="240" w:lineRule="auto"/>
              <w:jc w:val="center"/>
              <w:rPr>
                <w:rFonts w:ascii="Calibri" w:eastAsia="Times New Roman" w:hAnsi="Calibri" w:cs="Times New Roman"/>
                <w:b/>
                <w:bCs/>
                <w:lang w:eastAsia="en-GB"/>
              </w:rPr>
            </w:pPr>
            <w:r w:rsidRPr="005664F1">
              <w:rPr>
                <w:rFonts w:ascii="Calibri" w:eastAsia="Times New Roman" w:hAnsi="Calibri" w:cs="Times New Roman"/>
                <w:b/>
                <w:bCs/>
                <w:lang w:eastAsia="en-GB"/>
              </w:rPr>
              <w:t>Grade 5</w:t>
            </w:r>
          </w:p>
        </w:tc>
      </w:tr>
      <w:tr w:rsidR="005664F1" w:rsidRPr="005664F1" w14:paraId="0603B91A"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265D997" w14:textId="77777777" w:rsidR="005664F1" w:rsidRPr="005664F1" w:rsidRDefault="005664F1" w:rsidP="005664F1">
            <w:pPr>
              <w:spacing w:after="0" w:line="240" w:lineRule="auto"/>
              <w:rPr>
                <w:rFonts w:ascii="Calibri" w:eastAsia="Times New Roman" w:hAnsi="Calibri" w:cs="Times New Roman"/>
                <w:lang w:eastAsia="en-GB"/>
              </w:rPr>
            </w:pPr>
            <w:r w:rsidRPr="005664F1">
              <w:rPr>
                <w:rFonts w:ascii="Calibri" w:eastAsia="Times New Roman" w:hAnsi="Calibri" w:cs="Calibri"/>
                <w:lang w:eastAsia="en-GB"/>
              </w:rPr>
              <w:t>Any Adverse event</w:t>
            </w:r>
          </w:p>
        </w:tc>
        <w:tc>
          <w:tcPr>
            <w:tcW w:w="1391" w:type="dxa"/>
            <w:tcBorders>
              <w:top w:val="nil"/>
              <w:left w:val="nil"/>
              <w:bottom w:val="single" w:sz="4" w:space="0" w:color="auto"/>
              <w:right w:val="single" w:sz="4" w:space="0" w:color="auto"/>
            </w:tcBorders>
            <w:shd w:val="clear" w:color="auto" w:fill="auto"/>
            <w:noWrap/>
            <w:vAlign w:val="center"/>
            <w:hideMark/>
          </w:tcPr>
          <w:p w14:paraId="285965C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414 (92.6%)</w:t>
            </w:r>
          </w:p>
        </w:tc>
        <w:tc>
          <w:tcPr>
            <w:tcW w:w="1369" w:type="dxa"/>
            <w:tcBorders>
              <w:top w:val="nil"/>
              <w:left w:val="nil"/>
              <w:bottom w:val="single" w:sz="4" w:space="0" w:color="auto"/>
              <w:right w:val="single" w:sz="4" w:space="0" w:color="auto"/>
            </w:tcBorders>
            <w:shd w:val="clear" w:color="auto" w:fill="auto"/>
            <w:noWrap/>
            <w:vAlign w:val="center"/>
            <w:hideMark/>
          </w:tcPr>
          <w:p w14:paraId="08A32B3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226 (50.6%)</w:t>
            </w:r>
          </w:p>
        </w:tc>
        <w:tc>
          <w:tcPr>
            <w:tcW w:w="1369" w:type="dxa"/>
            <w:tcBorders>
              <w:top w:val="nil"/>
              <w:left w:val="nil"/>
              <w:bottom w:val="single" w:sz="4" w:space="0" w:color="auto"/>
              <w:right w:val="single" w:sz="4" w:space="0" w:color="auto"/>
            </w:tcBorders>
            <w:shd w:val="clear" w:color="auto" w:fill="auto"/>
            <w:noWrap/>
            <w:vAlign w:val="center"/>
            <w:hideMark/>
          </w:tcPr>
          <w:p w14:paraId="76BC8F6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107 (23.9%)</w:t>
            </w:r>
          </w:p>
        </w:tc>
        <w:tc>
          <w:tcPr>
            <w:tcW w:w="1022" w:type="dxa"/>
            <w:tcBorders>
              <w:top w:val="nil"/>
              <w:left w:val="nil"/>
              <w:bottom w:val="single" w:sz="4" w:space="0" w:color="auto"/>
              <w:right w:val="single" w:sz="4" w:space="0" w:color="auto"/>
            </w:tcBorders>
            <w:shd w:val="clear" w:color="auto" w:fill="auto"/>
            <w:noWrap/>
            <w:vAlign w:val="center"/>
            <w:hideMark/>
          </w:tcPr>
          <w:p w14:paraId="3AD545E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 (1.3%)</w:t>
            </w:r>
          </w:p>
        </w:tc>
        <w:tc>
          <w:tcPr>
            <w:tcW w:w="1391" w:type="dxa"/>
            <w:tcBorders>
              <w:top w:val="nil"/>
              <w:left w:val="nil"/>
              <w:bottom w:val="single" w:sz="4" w:space="0" w:color="auto"/>
              <w:right w:val="single" w:sz="4" w:space="0" w:color="auto"/>
            </w:tcBorders>
            <w:shd w:val="clear" w:color="auto" w:fill="auto"/>
            <w:noWrap/>
            <w:vAlign w:val="center"/>
            <w:hideMark/>
          </w:tcPr>
          <w:p w14:paraId="22E72AF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415 (93.5%)</w:t>
            </w:r>
          </w:p>
        </w:tc>
        <w:tc>
          <w:tcPr>
            <w:tcW w:w="1369" w:type="dxa"/>
            <w:tcBorders>
              <w:top w:val="nil"/>
              <w:left w:val="nil"/>
              <w:bottom w:val="single" w:sz="4" w:space="0" w:color="auto"/>
              <w:right w:val="single" w:sz="4" w:space="0" w:color="auto"/>
            </w:tcBorders>
            <w:shd w:val="clear" w:color="auto" w:fill="auto"/>
            <w:noWrap/>
            <w:vAlign w:val="center"/>
            <w:hideMark/>
          </w:tcPr>
          <w:p w14:paraId="19676E1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253 (57.0%)</w:t>
            </w:r>
          </w:p>
        </w:tc>
        <w:tc>
          <w:tcPr>
            <w:tcW w:w="1369" w:type="dxa"/>
            <w:tcBorders>
              <w:top w:val="nil"/>
              <w:left w:val="nil"/>
              <w:bottom w:val="single" w:sz="4" w:space="0" w:color="auto"/>
              <w:right w:val="single" w:sz="4" w:space="0" w:color="auto"/>
            </w:tcBorders>
            <w:shd w:val="clear" w:color="auto" w:fill="auto"/>
            <w:noWrap/>
            <w:vAlign w:val="center"/>
            <w:hideMark/>
          </w:tcPr>
          <w:p w14:paraId="2FF6481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105 (23.6%)</w:t>
            </w:r>
          </w:p>
        </w:tc>
        <w:tc>
          <w:tcPr>
            <w:tcW w:w="1022" w:type="dxa"/>
            <w:tcBorders>
              <w:top w:val="nil"/>
              <w:left w:val="nil"/>
              <w:bottom w:val="single" w:sz="4" w:space="0" w:color="auto"/>
              <w:right w:val="single" w:sz="4" w:space="0" w:color="auto"/>
            </w:tcBorders>
            <w:shd w:val="clear" w:color="auto" w:fill="auto"/>
            <w:noWrap/>
            <w:vAlign w:val="center"/>
            <w:hideMark/>
          </w:tcPr>
          <w:p w14:paraId="1638398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 (0.9%)</w:t>
            </w:r>
          </w:p>
        </w:tc>
      </w:tr>
      <w:tr w:rsidR="005664F1" w:rsidRPr="005664F1" w14:paraId="0F610D5D"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7E0D1BE" w14:textId="77777777" w:rsidR="005664F1" w:rsidRPr="005664F1" w:rsidRDefault="005664F1" w:rsidP="005664F1">
            <w:pPr>
              <w:spacing w:after="0" w:line="240" w:lineRule="auto"/>
              <w:rPr>
                <w:rFonts w:ascii="Calibri" w:eastAsia="Times New Roman" w:hAnsi="Calibri" w:cs="Times New Roman"/>
                <w:lang w:eastAsia="en-GB"/>
              </w:rPr>
            </w:pPr>
            <w:r w:rsidRPr="005664F1">
              <w:rPr>
                <w:rFonts w:ascii="Calibri" w:eastAsia="Times New Roman" w:hAnsi="Calibri" w:cs="Calibri"/>
                <w:lang w:eastAsia="en-GB"/>
              </w:rPr>
              <w:t xml:space="preserve">Haematological </w:t>
            </w:r>
          </w:p>
        </w:tc>
        <w:tc>
          <w:tcPr>
            <w:tcW w:w="1391" w:type="dxa"/>
            <w:tcBorders>
              <w:top w:val="nil"/>
              <w:left w:val="nil"/>
              <w:bottom w:val="single" w:sz="4" w:space="0" w:color="auto"/>
              <w:right w:val="single" w:sz="4" w:space="0" w:color="auto"/>
            </w:tcBorders>
            <w:shd w:val="clear" w:color="auto" w:fill="auto"/>
            <w:noWrap/>
            <w:vAlign w:val="center"/>
            <w:hideMark/>
          </w:tcPr>
          <w:p w14:paraId="66DB41C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115 (25.7%)</w:t>
            </w:r>
          </w:p>
        </w:tc>
        <w:tc>
          <w:tcPr>
            <w:tcW w:w="1369" w:type="dxa"/>
            <w:tcBorders>
              <w:top w:val="nil"/>
              <w:left w:val="nil"/>
              <w:bottom w:val="single" w:sz="4" w:space="0" w:color="auto"/>
              <w:right w:val="single" w:sz="4" w:space="0" w:color="auto"/>
            </w:tcBorders>
            <w:shd w:val="clear" w:color="auto" w:fill="auto"/>
            <w:noWrap/>
            <w:vAlign w:val="center"/>
            <w:hideMark/>
          </w:tcPr>
          <w:p w14:paraId="04788F9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128 (28.6%)</w:t>
            </w:r>
          </w:p>
        </w:tc>
        <w:tc>
          <w:tcPr>
            <w:tcW w:w="1369" w:type="dxa"/>
            <w:tcBorders>
              <w:top w:val="nil"/>
              <w:left w:val="nil"/>
              <w:bottom w:val="single" w:sz="4" w:space="0" w:color="auto"/>
              <w:right w:val="single" w:sz="4" w:space="0" w:color="auto"/>
            </w:tcBorders>
            <w:shd w:val="clear" w:color="auto" w:fill="auto"/>
            <w:noWrap/>
            <w:vAlign w:val="center"/>
            <w:hideMark/>
          </w:tcPr>
          <w:p w14:paraId="20299B8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96 (21.5%)</w:t>
            </w:r>
          </w:p>
        </w:tc>
        <w:tc>
          <w:tcPr>
            <w:tcW w:w="1022" w:type="dxa"/>
            <w:tcBorders>
              <w:top w:val="nil"/>
              <w:left w:val="nil"/>
              <w:bottom w:val="single" w:sz="4" w:space="0" w:color="auto"/>
              <w:right w:val="single" w:sz="4" w:space="0" w:color="auto"/>
            </w:tcBorders>
            <w:shd w:val="clear" w:color="auto" w:fill="auto"/>
            <w:noWrap/>
            <w:vAlign w:val="center"/>
            <w:hideMark/>
          </w:tcPr>
          <w:p w14:paraId="7741482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91" w:type="dxa"/>
            <w:tcBorders>
              <w:top w:val="nil"/>
              <w:left w:val="nil"/>
              <w:bottom w:val="single" w:sz="4" w:space="0" w:color="auto"/>
              <w:right w:val="single" w:sz="4" w:space="0" w:color="auto"/>
            </w:tcBorders>
            <w:shd w:val="clear" w:color="auto" w:fill="auto"/>
            <w:noWrap/>
            <w:vAlign w:val="center"/>
            <w:hideMark/>
          </w:tcPr>
          <w:p w14:paraId="1E7B3CB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118 (26.6%)</w:t>
            </w:r>
          </w:p>
        </w:tc>
        <w:tc>
          <w:tcPr>
            <w:tcW w:w="1369" w:type="dxa"/>
            <w:tcBorders>
              <w:top w:val="nil"/>
              <w:left w:val="nil"/>
              <w:bottom w:val="single" w:sz="4" w:space="0" w:color="auto"/>
              <w:right w:val="single" w:sz="4" w:space="0" w:color="auto"/>
            </w:tcBorders>
            <w:shd w:val="clear" w:color="auto" w:fill="auto"/>
            <w:noWrap/>
            <w:vAlign w:val="center"/>
            <w:hideMark/>
          </w:tcPr>
          <w:p w14:paraId="78D52C3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153 (34.5%)</w:t>
            </w:r>
          </w:p>
        </w:tc>
        <w:tc>
          <w:tcPr>
            <w:tcW w:w="1369" w:type="dxa"/>
            <w:tcBorders>
              <w:top w:val="nil"/>
              <w:left w:val="nil"/>
              <w:bottom w:val="single" w:sz="4" w:space="0" w:color="auto"/>
              <w:right w:val="single" w:sz="4" w:space="0" w:color="auto"/>
            </w:tcBorders>
            <w:shd w:val="clear" w:color="auto" w:fill="auto"/>
            <w:noWrap/>
            <w:vAlign w:val="center"/>
            <w:hideMark/>
          </w:tcPr>
          <w:p w14:paraId="250F38B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89 (20.0%)</w:t>
            </w:r>
          </w:p>
        </w:tc>
        <w:tc>
          <w:tcPr>
            <w:tcW w:w="1022" w:type="dxa"/>
            <w:tcBorders>
              <w:top w:val="nil"/>
              <w:left w:val="nil"/>
              <w:bottom w:val="single" w:sz="4" w:space="0" w:color="auto"/>
              <w:right w:val="single" w:sz="4" w:space="0" w:color="auto"/>
            </w:tcBorders>
            <w:shd w:val="clear" w:color="auto" w:fill="auto"/>
            <w:noWrap/>
            <w:vAlign w:val="center"/>
            <w:hideMark/>
          </w:tcPr>
          <w:p w14:paraId="53FF976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r>
      <w:tr w:rsidR="005664F1" w:rsidRPr="005664F1" w14:paraId="71F1DBE7"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94A5751"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 xml:space="preserve">Neutropenia </w:t>
            </w:r>
          </w:p>
        </w:tc>
        <w:tc>
          <w:tcPr>
            <w:tcW w:w="1391" w:type="dxa"/>
            <w:tcBorders>
              <w:top w:val="nil"/>
              <w:left w:val="nil"/>
              <w:bottom w:val="single" w:sz="4" w:space="0" w:color="auto"/>
              <w:right w:val="single" w:sz="4" w:space="0" w:color="auto"/>
            </w:tcBorders>
            <w:shd w:val="clear" w:color="auto" w:fill="auto"/>
            <w:noWrap/>
            <w:vAlign w:val="center"/>
            <w:hideMark/>
          </w:tcPr>
          <w:p w14:paraId="5404908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51 (11.4%)</w:t>
            </w:r>
          </w:p>
        </w:tc>
        <w:tc>
          <w:tcPr>
            <w:tcW w:w="1369" w:type="dxa"/>
            <w:tcBorders>
              <w:top w:val="nil"/>
              <w:left w:val="nil"/>
              <w:bottom w:val="single" w:sz="4" w:space="0" w:color="auto"/>
              <w:right w:val="single" w:sz="4" w:space="0" w:color="auto"/>
            </w:tcBorders>
            <w:shd w:val="clear" w:color="auto" w:fill="auto"/>
            <w:noWrap/>
            <w:vAlign w:val="center"/>
            <w:hideMark/>
          </w:tcPr>
          <w:p w14:paraId="4E2A27B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107 (23.9%)</w:t>
            </w:r>
          </w:p>
        </w:tc>
        <w:tc>
          <w:tcPr>
            <w:tcW w:w="1369" w:type="dxa"/>
            <w:tcBorders>
              <w:top w:val="nil"/>
              <w:left w:val="nil"/>
              <w:bottom w:val="single" w:sz="4" w:space="0" w:color="auto"/>
              <w:right w:val="single" w:sz="4" w:space="0" w:color="auto"/>
            </w:tcBorders>
            <w:shd w:val="clear" w:color="auto" w:fill="auto"/>
            <w:noWrap/>
            <w:vAlign w:val="center"/>
            <w:hideMark/>
          </w:tcPr>
          <w:p w14:paraId="4241B38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92 (20.6%)</w:t>
            </w:r>
          </w:p>
        </w:tc>
        <w:tc>
          <w:tcPr>
            <w:tcW w:w="1022" w:type="dxa"/>
            <w:tcBorders>
              <w:top w:val="nil"/>
              <w:left w:val="nil"/>
              <w:bottom w:val="single" w:sz="4" w:space="0" w:color="auto"/>
              <w:right w:val="single" w:sz="4" w:space="0" w:color="auto"/>
            </w:tcBorders>
            <w:shd w:val="clear" w:color="auto" w:fill="auto"/>
            <w:noWrap/>
            <w:vAlign w:val="center"/>
            <w:hideMark/>
          </w:tcPr>
          <w:p w14:paraId="6D91100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91" w:type="dxa"/>
            <w:tcBorders>
              <w:top w:val="nil"/>
              <w:left w:val="nil"/>
              <w:bottom w:val="single" w:sz="4" w:space="0" w:color="auto"/>
              <w:right w:val="single" w:sz="4" w:space="0" w:color="auto"/>
            </w:tcBorders>
            <w:shd w:val="clear" w:color="auto" w:fill="auto"/>
            <w:noWrap/>
            <w:vAlign w:val="center"/>
            <w:hideMark/>
          </w:tcPr>
          <w:p w14:paraId="7121533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62 (14.0%)</w:t>
            </w:r>
          </w:p>
        </w:tc>
        <w:tc>
          <w:tcPr>
            <w:tcW w:w="1369" w:type="dxa"/>
            <w:tcBorders>
              <w:top w:val="nil"/>
              <w:left w:val="nil"/>
              <w:bottom w:val="single" w:sz="4" w:space="0" w:color="auto"/>
              <w:right w:val="single" w:sz="4" w:space="0" w:color="auto"/>
            </w:tcBorders>
            <w:shd w:val="clear" w:color="auto" w:fill="auto"/>
            <w:noWrap/>
            <w:vAlign w:val="center"/>
            <w:hideMark/>
          </w:tcPr>
          <w:p w14:paraId="2681F09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137 (30.9%)</w:t>
            </w:r>
          </w:p>
        </w:tc>
        <w:tc>
          <w:tcPr>
            <w:tcW w:w="1369" w:type="dxa"/>
            <w:tcBorders>
              <w:top w:val="nil"/>
              <w:left w:val="nil"/>
              <w:bottom w:val="single" w:sz="4" w:space="0" w:color="auto"/>
              <w:right w:val="single" w:sz="4" w:space="0" w:color="auto"/>
            </w:tcBorders>
            <w:shd w:val="clear" w:color="auto" w:fill="auto"/>
            <w:noWrap/>
            <w:vAlign w:val="center"/>
            <w:hideMark/>
          </w:tcPr>
          <w:p w14:paraId="61F7D70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81 (18.2%)</w:t>
            </w:r>
          </w:p>
        </w:tc>
        <w:tc>
          <w:tcPr>
            <w:tcW w:w="1022" w:type="dxa"/>
            <w:tcBorders>
              <w:top w:val="nil"/>
              <w:left w:val="nil"/>
              <w:bottom w:val="single" w:sz="4" w:space="0" w:color="auto"/>
              <w:right w:val="single" w:sz="4" w:space="0" w:color="auto"/>
            </w:tcBorders>
            <w:shd w:val="clear" w:color="auto" w:fill="auto"/>
            <w:noWrap/>
            <w:vAlign w:val="center"/>
            <w:hideMark/>
          </w:tcPr>
          <w:p w14:paraId="7C01F3C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r>
      <w:tr w:rsidR="005664F1" w:rsidRPr="005664F1" w14:paraId="23C67A6F"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668E1930" w14:textId="77777777" w:rsidR="005664F1" w:rsidRPr="005664F1" w:rsidRDefault="005664F1" w:rsidP="005664F1">
            <w:pPr>
              <w:spacing w:after="0" w:line="240" w:lineRule="auto"/>
              <w:rPr>
                <w:rFonts w:ascii="Calibri" w:eastAsia="Times New Roman" w:hAnsi="Calibri" w:cs="Times New Roman"/>
                <w:lang w:eastAsia="en-GB"/>
              </w:rPr>
            </w:pPr>
            <w:r w:rsidRPr="005664F1">
              <w:rPr>
                <w:rFonts w:ascii="Calibri" w:eastAsia="Times New Roman" w:hAnsi="Calibri" w:cs="Calibri"/>
                <w:lang w:eastAsia="en-GB"/>
              </w:rPr>
              <w:t xml:space="preserve">Thrombocytopenia </w:t>
            </w:r>
          </w:p>
        </w:tc>
        <w:tc>
          <w:tcPr>
            <w:tcW w:w="1391" w:type="dxa"/>
            <w:tcBorders>
              <w:top w:val="nil"/>
              <w:left w:val="nil"/>
              <w:bottom w:val="single" w:sz="4" w:space="0" w:color="auto"/>
              <w:right w:val="single" w:sz="4" w:space="0" w:color="auto"/>
            </w:tcBorders>
            <w:shd w:val="clear" w:color="auto" w:fill="auto"/>
            <w:noWrap/>
            <w:vAlign w:val="center"/>
            <w:hideMark/>
          </w:tcPr>
          <w:p w14:paraId="7469326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22 (4.9%)</w:t>
            </w:r>
          </w:p>
        </w:tc>
        <w:tc>
          <w:tcPr>
            <w:tcW w:w="1369" w:type="dxa"/>
            <w:tcBorders>
              <w:top w:val="nil"/>
              <w:left w:val="nil"/>
              <w:bottom w:val="single" w:sz="4" w:space="0" w:color="auto"/>
              <w:right w:val="single" w:sz="4" w:space="0" w:color="auto"/>
            </w:tcBorders>
            <w:shd w:val="clear" w:color="auto" w:fill="auto"/>
            <w:noWrap/>
            <w:vAlign w:val="center"/>
            <w:hideMark/>
          </w:tcPr>
          <w:p w14:paraId="02BFB62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 (1.1%)</w:t>
            </w:r>
          </w:p>
        </w:tc>
        <w:tc>
          <w:tcPr>
            <w:tcW w:w="1369" w:type="dxa"/>
            <w:tcBorders>
              <w:top w:val="nil"/>
              <w:left w:val="nil"/>
              <w:bottom w:val="single" w:sz="4" w:space="0" w:color="auto"/>
              <w:right w:val="single" w:sz="4" w:space="0" w:color="auto"/>
            </w:tcBorders>
            <w:shd w:val="clear" w:color="auto" w:fill="auto"/>
            <w:noWrap/>
            <w:vAlign w:val="center"/>
            <w:hideMark/>
          </w:tcPr>
          <w:p w14:paraId="0FBC692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 (0.4%)</w:t>
            </w:r>
          </w:p>
        </w:tc>
        <w:tc>
          <w:tcPr>
            <w:tcW w:w="1022" w:type="dxa"/>
            <w:tcBorders>
              <w:top w:val="nil"/>
              <w:left w:val="nil"/>
              <w:bottom w:val="single" w:sz="4" w:space="0" w:color="auto"/>
              <w:right w:val="single" w:sz="4" w:space="0" w:color="auto"/>
            </w:tcBorders>
            <w:shd w:val="clear" w:color="auto" w:fill="auto"/>
            <w:noWrap/>
            <w:vAlign w:val="center"/>
            <w:hideMark/>
          </w:tcPr>
          <w:p w14:paraId="4A1B260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0E8FE7F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36 (8.1%)</w:t>
            </w:r>
          </w:p>
        </w:tc>
        <w:tc>
          <w:tcPr>
            <w:tcW w:w="1369" w:type="dxa"/>
            <w:tcBorders>
              <w:top w:val="nil"/>
              <w:left w:val="nil"/>
              <w:bottom w:val="single" w:sz="4" w:space="0" w:color="auto"/>
              <w:right w:val="single" w:sz="4" w:space="0" w:color="auto"/>
            </w:tcBorders>
            <w:shd w:val="clear" w:color="auto" w:fill="auto"/>
            <w:noWrap/>
            <w:vAlign w:val="center"/>
            <w:hideMark/>
          </w:tcPr>
          <w:p w14:paraId="41C2B26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 (1.6%)</w:t>
            </w:r>
          </w:p>
        </w:tc>
        <w:tc>
          <w:tcPr>
            <w:tcW w:w="1369" w:type="dxa"/>
            <w:tcBorders>
              <w:top w:val="nil"/>
              <w:left w:val="nil"/>
              <w:bottom w:val="single" w:sz="4" w:space="0" w:color="auto"/>
              <w:right w:val="single" w:sz="4" w:space="0" w:color="auto"/>
            </w:tcBorders>
            <w:shd w:val="clear" w:color="auto" w:fill="auto"/>
            <w:noWrap/>
            <w:vAlign w:val="center"/>
            <w:hideMark/>
          </w:tcPr>
          <w:p w14:paraId="654280F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 (1.6%)</w:t>
            </w:r>
          </w:p>
        </w:tc>
        <w:tc>
          <w:tcPr>
            <w:tcW w:w="1022" w:type="dxa"/>
            <w:tcBorders>
              <w:top w:val="nil"/>
              <w:left w:val="nil"/>
              <w:bottom w:val="single" w:sz="4" w:space="0" w:color="auto"/>
              <w:right w:val="single" w:sz="4" w:space="0" w:color="auto"/>
            </w:tcBorders>
            <w:shd w:val="clear" w:color="auto" w:fill="auto"/>
            <w:noWrap/>
            <w:vAlign w:val="center"/>
            <w:hideMark/>
          </w:tcPr>
          <w:p w14:paraId="435B61D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1486A395"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053C6AC"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Anaemia</w:t>
            </w:r>
          </w:p>
        </w:tc>
        <w:tc>
          <w:tcPr>
            <w:tcW w:w="1391" w:type="dxa"/>
            <w:tcBorders>
              <w:top w:val="nil"/>
              <w:left w:val="nil"/>
              <w:bottom w:val="single" w:sz="4" w:space="0" w:color="auto"/>
              <w:right w:val="single" w:sz="4" w:space="0" w:color="auto"/>
            </w:tcBorders>
            <w:shd w:val="clear" w:color="auto" w:fill="auto"/>
            <w:noWrap/>
            <w:vAlign w:val="center"/>
            <w:hideMark/>
          </w:tcPr>
          <w:p w14:paraId="78F97FD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73 (16.3%)</w:t>
            </w:r>
          </w:p>
        </w:tc>
        <w:tc>
          <w:tcPr>
            <w:tcW w:w="1369" w:type="dxa"/>
            <w:tcBorders>
              <w:top w:val="nil"/>
              <w:left w:val="nil"/>
              <w:bottom w:val="single" w:sz="4" w:space="0" w:color="auto"/>
              <w:right w:val="single" w:sz="4" w:space="0" w:color="auto"/>
            </w:tcBorders>
            <w:shd w:val="clear" w:color="auto" w:fill="auto"/>
            <w:noWrap/>
            <w:vAlign w:val="center"/>
            <w:hideMark/>
          </w:tcPr>
          <w:p w14:paraId="16AB10C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19 (4.3%)</w:t>
            </w:r>
          </w:p>
        </w:tc>
        <w:tc>
          <w:tcPr>
            <w:tcW w:w="1369" w:type="dxa"/>
            <w:tcBorders>
              <w:top w:val="nil"/>
              <w:left w:val="nil"/>
              <w:bottom w:val="single" w:sz="4" w:space="0" w:color="auto"/>
              <w:right w:val="single" w:sz="4" w:space="0" w:color="auto"/>
            </w:tcBorders>
            <w:shd w:val="clear" w:color="auto" w:fill="auto"/>
            <w:noWrap/>
            <w:vAlign w:val="center"/>
            <w:hideMark/>
          </w:tcPr>
          <w:p w14:paraId="3BAFBE3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602143F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7738F12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82 (18.5%)</w:t>
            </w:r>
          </w:p>
        </w:tc>
        <w:tc>
          <w:tcPr>
            <w:tcW w:w="1369" w:type="dxa"/>
            <w:tcBorders>
              <w:top w:val="nil"/>
              <w:left w:val="nil"/>
              <w:bottom w:val="single" w:sz="4" w:space="0" w:color="auto"/>
              <w:right w:val="single" w:sz="4" w:space="0" w:color="auto"/>
            </w:tcBorders>
            <w:shd w:val="clear" w:color="auto" w:fill="auto"/>
            <w:noWrap/>
            <w:vAlign w:val="center"/>
            <w:hideMark/>
          </w:tcPr>
          <w:p w14:paraId="5E878B1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14 (3.2%)</w:t>
            </w:r>
          </w:p>
        </w:tc>
        <w:tc>
          <w:tcPr>
            <w:tcW w:w="1369" w:type="dxa"/>
            <w:tcBorders>
              <w:top w:val="nil"/>
              <w:left w:val="nil"/>
              <w:bottom w:val="single" w:sz="4" w:space="0" w:color="auto"/>
              <w:right w:val="single" w:sz="4" w:space="0" w:color="auto"/>
            </w:tcBorders>
            <w:shd w:val="clear" w:color="auto" w:fill="auto"/>
            <w:noWrap/>
            <w:vAlign w:val="center"/>
            <w:hideMark/>
          </w:tcPr>
          <w:p w14:paraId="10F0581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6F6F1BB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7FFABC23"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0C3E40DB" w14:textId="77777777" w:rsidR="005664F1" w:rsidRPr="005664F1" w:rsidRDefault="005664F1" w:rsidP="005664F1">
            <w:pPr>
              <w:spacing w:after="0" w:line="240" w:lineRule="auto"/>
              <w:rPr>
                <w:rFonts w:ascii="Calibri" w:eastAsia="Times New Roman" w:hAnsi="Calibri" w:cs="Times New Roman"/>
                <w:color w:val="222222"/>
                <w:lang w:eastAsia="en-GB"/>
              </w:rPr>
            </w:pPr>
            <w:r w:rsidRPr="005664F1">
              <w:rPr>
                <w:rFonts w:ascii="Calibri" w:eastAsia="Times New Roman" w:hAnsi="Calibri" w:cstheme="minorHAnsi"/>
                <w:color w:val="222222"/>
                <w:lang w:eastAsia="en-GB"/>
              </w:rPr>
              <w:t xml:space="preserve">Neuropathy </w:t>
            </w:r>
          </w:p>
        </w:tc>
        <w:tc>
          <w:tcPr>
            <w:tcW w:w="1391" w:type="dxa"/>
            <w:tcBorders>
              <w:top w:val="nil"/>
              <w:left w:val="nil"/>
              <w:bottom w:val="single" w:sz="4" w:space="0" w:color="auto"/>
              <w:right w:val="single" w:sz="4" w:space="0" w:color="auto"/>
            </w:tcBorders>
            <w:shd w:val="clear" w:color="auto" w:fill="auto"/>
            <w:noWrap/>
            <w:vAlign w:val="center"/>
            <w:hideMark/>
          </w:tcPr>
          <w:p w14:paraId="4B4ACE1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183 (40.9%)</w:t>
            </w:r>
          </w:p>
        </w:tc>
        <w:tc>
          <w:tcPr>
            <w:tcW w:w="1369" w:type="dxa"/>
            <w:tcBorders>
              <w:top w:val="nil"/>
              <w:left w:val="nil"/>
              <w:bottom w:val="single" w:sz="4" w:space="0" w:color="auto"/>
              <w:right w:val="single" w:sz="4" w:space="0" w:color="auto"/>
            </w:tcBorders>
            <w:shd w:val="clear" w:color="auto" w:fill="auto"/>
            <w:noWrap/>
            <w:vAlign w:val="center"/>
            <w:hideMark/>
          </w:tcPr>
          <w:p w14:paraId="0FD18C4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 (1.8%)</w:t>
            </w:r>
          </w:p>
        </w:tc>
        <w:tc>
          <w:tcPr>
            <w:tcW w:w="1369" w:type="dxa"/>
            <w:tcBorders>
              <w:top w:val="nil"/>
              <w:left w:val="nil"/>
              <w:bottom w:val="single" w:sz="4" w:space="0" w:color="auto"/>
              <w:right w:val="single" w:sz="4" w:space="0" w:color="auto"/>
            </w:tcBorders>
            <w:shd w:val="clear" w:color="auto" w:fill="auto"/>
            <w:noWrap/>
            <w:vAlign w:val="center"/>
            <w:hideMark/>
          </w:tcPr>
          <w:p w14:paraId="74FFF2B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A0F055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4D4B95C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249 (56.1%)</w:t>
            </w:r>
          </w:p>
        </w:tc>
        <w:tc>
          <w:tcPr>
            <w:tcW w:w="1369" w:type="dxa"/>
            <w:tcBorders>
              <w:top w:val="nil"/>
              <w:left w:val="nil"/>
              <w:bottom w:val="single" w:sz="4" w:space="0" w:color="auto"/>
              <w:right w:val="single" w:sz="4" w:space="0" w:color="auto"/>
            </w:tcBorders>
            <w:shd w:val="clear" w:color="auto" w:fill="auto"/>
            <w:noWrap/>
            <w:vAlign w:val="center"/>
            <w:hideMark/>
          </w:tcPr>
          <w:p w14:paraId="67BD79E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17 (3.8%)</w:t>
            </w:r>
          </w:p>
        </w:tc>
        <w:tc>
          <w:tcPr>
            <w:tcW w:w="1369" w:type="dxa"/>
            <w:tcBorders>
              <w:top w:val="nil"/>
              <w:left w:val="nil"/>
              <w:bottom w:val="single" w:sz="4" w:space="0" w:color="auto"/>
              <w:right w:val="single" w:sz="4" w:space="0" w:color="auto"/>
            </w:tcBorders>
            <w:shd w:val="clear" w:color="auto" w:fill="auto"/>
            <w:noWrap/>
            <w:vAlign w:val="center"/>
            <w:hideMark/>
          </w:tcPr>
          <w:p w14:paraId="6AF9D2B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0D152A0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51A88917"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51108A3E" w14:textId="77777777" w:rsidR="005664F1" w:rsidRPr="005664F1" w:rsidRDefault="005664F1" w:rsidP="005664F1">
            <w:pPr>
              <w:spacing w:after="0" w:line="240" w:lineRule="auto"/>
              <w:rPr>
                <w:rFonts w:ascii="Calibri" w:eastAsia="Times New Roman" w:hAnsi="Calibri" w:cs="Times New Roman"/>
                <w:lang w:eastAsia="en-GB"/>
              </w:rPr>
            </w:pPr>
            <w:r w:rsidRPr="005664F1">
              <w:rPr>
                <w:rFonts w:ascii="Calibri" w:eastAsia="Times New Roman" w:hAnsi="Calibri" w:cs="Calibri"/>
                <w:lang w:eastAsia="en-GB"/>
              </w:rPr>
              <w:t xml:space="preserve">Nausea or Vomiting </w:t>
            </w:r>
          </w:p>
        </w:tc>
        <w:tc>
          <w:tcPr>
            <w:tcW w:w="1391" w:type="dxa"/>
            <w:tcBorders>
              <w:top w:val="nil"/>
              <w:left w:val="nil"/>
              <w:bottom w:val="single" w:sz="4" w:space="0" w:color="auto"/>
              <w:right w:val="single" w:sz="4" w:space="0" w:color="auto"/>
            </w:tcBorders>
            <w:shd w:val="clear" w:color="auto" w:fill="auto"/>
            <w:noWrap/>
            <w:vAlign w:val="center"/>
            <w:hideMark/>
          </w:tcPr>
          <w:p w14:paraId="02944C5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160 (35.8%)</w:t>
            </w:r>
          </w:p>
        </w:tc>
        <w:tc>
          <w:tcPr>
            <w:tcW w:w="1369" w:type="dxa"/>
            <w:tcBorders>
              <w:top w:val="nil"/>
              <w:left w:val="nil"/>
              <w:bottom w:val="single" w:sz="4" w:space="0" w:color="auto"/>
              <w:right w:val="single" w:sz="4" w:space="0" w:color="auto"/>
            </w:tcBorders>
            <w:shd w:val="clear" w:color="auto" w:fill="auto"/>
            <w:noWrap/>
            <w:vAlign w:val="center"/>
            <w:hideMark/>
          </w:tcPr>
          <w:p w14:paraId="0E42251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 (1.6%)</w:t>
            </w:r>
          </w:p>
        </w:tc>
        <w:tc>
          <w:tcPr>
            <w:tcW w:w="1369" w:type="dxa"/>
            <w:tcBorders>
              <w:top w:val="nil"/>
              <w:left w:val="nil"/>
              <w:bottom w:val="single" w:sz="4" w:space="0" w:color="auto"/>
              <w:right w:val="single" w:sz="4" w:space="0" w:color="auto"/>
            </w:tcBorders>
            <w:shd w:val="clear" w:color="auto" w:fill="auto"/>
            <w:noWrap/>
            <w:vAlign w:val="center"/>
            <w:hideMark/>
          </w:tcPr>
          <w:p w14:paraId="1A968C2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C8B6AA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2B86F17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194 (43.7%)</w:t>
            </w:r>
          </w:p>
        </w:tc>
        <w:tc>
          <w:tcPr>
            <w:tcW w:w="1369" w:type="dxa"/>
            <w:tcBorders>
              <w:top w:val="nil"/>
              <w:left w:val="nil"/>
              <w:bottom w:val="single" w:sz="4" w:space="0" w:color="auto"/>
              <w:right w:val="single" w:sz="4" w:space="0" w:color="auto"/>
            </w:tcBorders>
            <w:shd w:val="clear" w:color="auto" w:fill="auto"/>
            <w:noWrap/>
            <w:vAlign w:val="center"/>
            <w:hideMark/>
          </w:tcPr>
          <w:p w14:paraId="72E94A0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15 (3.4%)</w:t>
            </w:r>
          </w:p>
        </w:tc>
        <w:tc>
          <w:tcPr>
            <w:tcW w:w="1369" w:type="dxa"/>
            <w:tcBorders>
              <w:top w:val="nil"/>
              <w:left w:val="nil"/>
              <w:bottom w:val="single" w:sz="4" w:space="0" w:color="auto"/>
              <w:right w:val="single" w:sz="4" w:space="0" w:color="auto"/>
            </w:tcBorders>
            <w:shd w:val="clear" w:color="auto" w:fill="auto"/>
            <w:noWrap/>
            <w:vAlign w:val="center"/>
            <w:hideMark/>
          </w:tcPr>
          <w:p w14:paraId="7ACAB1E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022" w:type="dxa"/>
            <w:tcBorders>
              <w:top w:val="nil"/>
              <w:left w:val="nil"/>
              <w:bottom w:val="single" w:sz="4" w:space="0" w:color="auto"/>
              <w:right w:val="single" w:sz="4" w:space="0" w:color="auto"/>
            </w:tcBorders>
            <w:shd w:val="clear" w:color="auto" w:fill="auto"/>
            <w:noWrap/>
            <w:vAlign w:val="center"/>
            <w:hideMark/>
          </w:tcPr>
          <w:p w14:paraId="4D18F62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52574A52"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9A01D68"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Febrile neutropenia</w:t>
            </w:r>
          </w:p>
        </w:tc>
        <w:tc>
          <w:tcPr>
            <w:tcW w:w="1391" w:type="dxa"/>
            <w:tcBorders>
              <w:top w:val="nil"/>
              <w:left w:val="nil"/>
              <w:bottom w:val="single" w:sz="4" w:space="0" w:color="auto"/>
              <w:right w:val="single" w:sz="4" w:space="0" w:color="auto"/>
            </w:tcBorders>
            <w:shd w:val="clear" w:color="auto" w:fill="auto"/>
            <w:noWrap/>
            <w:vAlign w:val="center"/>
            <w:hideMark/>
          </w:tcPr>
          <w:p w14:paraId="1E9507C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 (1.8%)</w:t>
            </w:r>
          </w:p>
        </w:tc>
        <w:tc>
          <w:tcPr>
            <w:tcW w:w="1369" w:type="dxa"/>
            <w:tcBorders>
              <w:top w:val="nil"/>
              <w:left w:val="nil"/>
              <w:bottom w:val="single" w:sz="4" w:space="0" w:color="auto"/>
              <w:right w:val="single" w:sz="4" w:space="0" w:color="auto"/>
            </w:tcBorders>
            <w:shd w:val="clear" w:color="auto" w:fill="auto"/>
            <w:noWrap/>
            <w:vAlign w:val="center"/>
            <w:hideMark/>
          </w:tcPr>
          <w:p w14:paraId="5657634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49 (11.0%)</w:t>
            </w:r>
          </w:p>
        </w:tc>
        <w:tc>
          <w:tcPr>
            <w:tcW w:w="1369" w:type="dxa"/>
            <w:tcBorders>
              <w:top w:val="nil"/>
              <w:left w:val="nil"/>
              <w:bottom w:val="single" w:sz="4" w:space="0" w:color="auto"/>
              <w:right w:val="single" w:sz="4" w:space="0" w:color="auto"/>
            </w:tcBorders>
            <w:shd w:val="clear" w:color="auto" w:fill="auto"/>
            <w:noWrap/>
            <w:vAlign w:val="center"/>
            <w:hideMark/>
          </w:tcPr>
          <w:p w14:paraId="7189B2A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14 (3.1%)</w:t>
            </w:r>
          </w:p>
        </w:tc>
        <w:tc>
          <w:tcPr>
            <w:tcW w:w="1022" w:type="dxa"/>
            <w:tcBorders>
              <w:top w:val="nil"/>
              <w:left w:val="nil"/>
              <w:bottom w:val="single" w:sz="4" w:space="0" w:color="auto"/>
              <w:right w:val="single" w:sz="4" w:space="0" w:color="auto"/>
            </w:tcBorders>
            <w:shd w:val="clear" w:color="auto" w:fill="auto"/>
            <w:noWrap/>
            <w:vAlign w:val="center"/>
            <w:hideMark/>
          </w:tcPr>
          <w:p w14:paraId="4A9697A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0E45323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 (1.6%)</w:t>
            </w:r>
          </w:p>
        </w:tc>
        <w:tc>
          <w:tcPr>
            <w:tcW w:w="1369" w:type="dxa"/>
            <w:tcBorders>
              <w:top w:val="nil"/>
              <w:left w:val="nil"/>
              <w:bottom w:val="single" w:sz="4" w:space="0" w:color="auto"/>
              <w:right w:val="single" w:sz="4" w:space="0" w:color="auto"/>
            </w:tcBorders>
            <w:shd w:val="clear" w:color="auto" w:fill="auto"/>
            <w:noWrap/>
            <w:vAlign w:val="center"/>
            <w:hideMark/>
          </w:tcPr>
          <w:p w14:paraId="0FA36F0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51 (11.5%)</w:t>
            </w:r>
          </w:p>
        </w:tc>
        <w:tc>
          <w:tcPr>
            <w:tcW w:w="1369" w:type="dxa"/>
            <w:tcBorders>
              <w:top w:val="nil"/>
              <w:left w:val="nil"/>
              <w:bottom w:val="single" w:sz="4" w:space="0" w:color="auto"/>
              <w:right w:val="single" w:sz="4" w:space="0" w:color="auto"/>
            </w:tcBorders>
            <w:shd w:val="clear" w:color="auto" w:fill="auto"/>
            <w:noWrap/>
            <w:vAlign w:val="center"/>
            <w:hideMark/>
          </w:tcPr>
          <w:p w14:paraId="0BE7F2C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 (2.0%)</w:t>
            </w:r>
          </w:p>
        </w:tc>
        <w:tc>
          <w:tcPr>
            <w:tcW w:w="1022" w:type="dxa"/>
            <w:tcBorders>
              <w:top w:val="nil"/>
              <w:left w:val="nil"/>
              <w:bottom w:val="single" w:sz="4" w:space="0" w:color="auto"/>
              <w:right w:val="single" w:sz="4" w:space="0" w:color="auto"/>
            </w:tcBorders>
            <w:shd w:val="clear" w:color="auto" w:fill="auto"/>
            <w:noWrap/>
            <w:vAlign w:val="center"/>
            <w:hideMark/>
          </w:tcPr>
          <w:p w14:paraId="5C58B65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0DB9CAAA"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CB0028"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Neutropenic sepsis</w:t>
            </w:r>
          </w:p>
        </w:tc>
        <w:tc>
          <w:tcPr>
            <w:tcW w:w="1391" w:type="dxa"/>
            <w:tcBorders>
              <w:top w:val="nil"/>
              <w:left w:val="nil"/>
              <w:bottom w:val="single" w:sz="4" w:space="0" w:color="auto"/>
              <w:right w:val="single" w:sz="4" w:space="0" w:color="auto"/>
            </w:tcBorders>
            <w:shd w:val="clear" w:color="auto" w:fill="auto"/>
            <w:noWrap/>
            <w:vAlign w:val="center"/>
            <w:hideMark/>
          </w:tcPr>
          <w:p w14:paraId="7BD1EC9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 (0.7%)</w:t>
            </w:r>
          </w:p>
        </w:tc>
        <w:tc>
          <w:tcPr>
            <w:tcW w:w="1369" w:type="dxa"/>
            <w:tcBorders>
              <w:top w:val="nil"/>
              <w:left w:val="nil"/>
              <w:bottom w:val="single" w:sz="4" w:space="0" w:color="auto"/>
              <w:right w:val="single" w:sz="4" w:space="0" w:color="auto"/>
            </w:tcBorders>
            <w:shd w:val="clear" w:color="auto" w:fill="auto"/>
            <w:noWrap/>
            <w:vAlign w:val="center"/>
            <w:hideMark/>
          </w:tcPr>
          <w:p w14:paraId="3F6EA35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 (2.0%)</w:t>
            </w:r>
          </w:p>
        </w:tc>
        <w:tc>
          <w:tcPr>
            <w:tcW w:w="1369" w:type="dxa"/>
            <w:tcBorders>
              <w:top w:val="nil"/>
              <w:left w:val="nil"/>
              <w:bottom w:val="single" w:sz="4" w:space="0" w:color="auto"/>
              <w:right w:val="single" w:sz="4" w:space="0" w:color="auto"/>
            </w:tcBorders>
            <w:shd w:val="clear" w:color="auto" w:fill="auto"/>
            <w:noWrap/>
            <w:vAlign w:val="center"/>
            <w:hideMark/>
          </w:tcPr>
          <w:p w14:paraId="127D20E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23 (5.1%)</w:t>
            </w:r>
          </w:p>
        </w:tc>
        <w:tc>
          <w:tcPr>
            <w:tcW w:w="1022" w:type="dxa"/>
            <w:tcBorders>
              <w:top w:val="nil"/>
              <w:left w:val="nil"/>
              <w:bottom w:val="single" w:sz="4" w:space="0" w:color="auto"/>
              <w:right w:val="single" w:sz="4" w:space="0" w:color="auto"/>
            </w:tcBorders>
            <w:shd w:val="clear" w:color="auto" w:fill="auto"/>
            <w:noWrap/>
            <w:vAlign w:val="center"/>
            <w:hideMark/>
          </w:tcPr>
          <w:p w14:paraId="65638DF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91" w:type="dxa"/>
            <w:tcBorders>
              <w:top w:val="nil"/>
              <w:left w:val="nil"/>
              <w:bottom w:val="single" w:sz="4" w:space="0" w:color="auto"/>
              <w:right w:val="single" w:sz="4" w:space="0" w:color="auto"/>
            </w:tcBorders>
            <w:shd w:val="clear" w:color="auto" w:fill="auto"/>
            <w:noWrap/>
            <w:vAlign w:val="center"/>
            <w:hideMark/>
          </w:tcPr>
          <w:p w14:paraId="374A0CF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 (0.7%)</w:t>
            </w:r>
          </w:p>
        </w:tc>
        <w:tc>
          <w:tcPr>
            <w:tcW w:w="1369" w:type="dxa"/>
            <w:tcBorders>
              <w:top w:val="nil"/>
              <w:left w:val="nil"/>
              <w:bottom w:val="single" w:sz="4" w:space="0" w:color="auto"/>
              <w:right w:val="single" w:sz="4" w:space="0" w:color="auto"/>
            </w:tcBorders>
            <w:shd w:val="clear" w:color="auto" w:fill="auto"/>
            <w:noWrap/>
            <w:vAlign w:val="center"/>
            <w:hideMark/>
          </w:tcPr>
          <w:p w14:paraId="2EE0C14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19 (4.3%)</w:t>
            </w:r>
          </w:p>
        </w:tc>
        <w:tc>
          <w:tcPr>
            <w:tcW w:w="1369" w:type="dxa"/>
            <w:tcBorders>
              <w:top w:val="nil"/>
              <w:left w:val="nil"/>
              <w:bottom w:val="single" w:sz="4" w:space="0" w:color="auto"/>
              <w:right w:val="single" w:sz="4" w:space="0" w:color="auto"/>
            </w:tcBorders>
            <w:shd w:val="clear" w:color="auto" w:fill="auto"/>
            <w:noWrap/>
            <w:vAlign w:val="center"/>
            <w:hideMark/>
          </w:tcPr>
          <w:p w14:paraId="7F631D8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 (2.5%)</w:t>
            </w:r>
          </w:p>
        </w:tc>
        <w:tc>
          <w:tcPr>
            <w:tcW w:w="1022" w:type="dxa"/>
            <w:tcBorders>
              <w:top w:val="nil"/>
              <w:left w:val="nil"/>
              <w:bottom w:val="single" w:sz="4" w:space="0" w:color="auto"/>
              <w:right w:val="single" w:sz="4" w:space="0" w:color="auto"/>
            </w:tcBorders>
            <w:shd w:val="clear" w:color="auto" w:fill="auto"/>
            <w:noWrap/>
            <w:vAlign w:val="center"/>
            <w:hideMark/>
          </w:tcPr>
          <w:p w14:paraId="186FA28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r>
      <w:tr w:rsidR="005664F1" w:rsidRPr="005664F1" w14:paraId="20FFD795" w14:textId="77777777" w:rsidTr="006355B8">
        <w:trPr>
          <w:trHeight w:val="600"/>
        </w:trPr>
        <w:tc>
          <w:tcPr>
            <w:tcW w:w="2268" w:type="dxa"/>
            <w:tcBorders>
              <w:top w:val="nil"/>
              <w:left w:val="single" w:sz="4" w:space="0" w:color="auto"/>
              <w:bottom w:val="single" w:sz="4" w:space="0" w:color="auto"/>
              <w:right w:val="single" w:sz="4" w:space="0" w:color="auto"/>
            </w:tcBorders>
            <w:shd w:val="clear" w:color="auto" w:fill="auto"/>
            <w:vAlign w:val="center"/>
            <w:hideMark/>
          </w:tcPr>
          <w:p w14:paraId="2BA09E25" w14:textId="77777777" w:rsidR="005664F1" w:rsidRPr="005664F1" w:rsidRDefault="005664F1" w:rsidP="005664F1">
            <w:pPr>
              <w:spacing w:after="0" w:line="240" w:lineRule="auto"/>
              <w:rPr>
                <w:rFonts w:ascii="Calibri" w:eastAsia="Times New Roman" w:hAnsi="Calibri" w:cs="Times New Roman"/>
                <w:lang w:eastAsia="en-GB"/>
              </w:rPr>
            </w:pPr>
            <w:r w:rsidRPr="005664F1">
              <w:rPr>
                <w:rFonts w:ascii="Calibri" w:eastAsia="Times New Roman" w:hAnsi="Calibri" w:cs="Calibri"/>
                <w:lang w:eastAsia="en-GB"/>
              </w:rPr>
              <w:t xml:space="preserve">Febrile Neutropenia or Neutropenic sepsis  </w:t>
            </w:r>
          </w:p>
        </w:tc>
        <w:tc>
          <w:tcPr>
            <w:tcW w:w="1391" w:type="dxa"/>
            <w:tcBorders>
              <w:top w:val="nil"/>
              <w:left w:val="nil"/>
              <w:bottom w:val="single" w:sz="4" w:space="0" w:color="auto"/>
              <w:right w:val="single" w:sz="4" w:space="0" w:color="auto"/>
            </w:tcBorders>
            <w:shd w:val="clear" w:color="auto" w:fill="auto"/>
            <w:noWrap/>
            <w:vAlign w:val="center"/>
            <w:hideMark/>
          </w:tcPr>
          <w:p w14:paraId="4BDFC8B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 (2.5%)</w:t>
            </w:r>
          </w:p>
        </w:tc>
        <w:tc>
          <w:tcPr>
            <w:tcW w:w="1369" w:type="dxa"/>
            <w:tcBorders>
              <w:top w:val="nil"/>
              <w:left w:val="nil"/>
              <w:bottom w:val="single" w:sz="4" w:space="0" w:color="auto"/>
              <w:right w:val="single" w:sz="4" w:space="0" w:color="auto"/>
            </w:tcBorders>
            <w:shd w:val="clear" w:color="auto" w:fill="auto"/>
            <w:noWrap/>
            <w:vAlign w:val="center"/>
            <w:hideMark/>
          </w:tcPr>
          <w:p w14:paraId="63249F3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55 (12.3%)</w:t>
            </w:r>
          </w:p>
        </w:tc>
        <w:tc>
          <w:tcPr>
            <w:tcW w:w="1369" w:type="dxa"/>
            <w:tcBorders>
              <w:top w:val="nil"/>
              <w:left w:val="nil"/>
              <w:bottom w:val="single" w:sz="4" w:space="0" w:color="auto"/>
              <w:right w:val="single" w:sz="4" w:space="0" w:color="auto"/>
            </w:tcBorders>
            <w:shd w:val="clear" w:color="auto" w:fill="auto"/>
            <w:noWrap/>
            <w:vAlign w:val="center"/>
            <w:hideMark/>
          </w:tcPr>
          <w:p w14:paraId="0EFD402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33 (7.4%)</w:t>
            </w:r>
          </w:p>
        </w:tc>
        <w:tc>
          <w:tcPr>
            <w:tcW w:w="1022" w:type="dxa"/>
            <w:tcBorders>
              <w:top w:val="nil"/>
              <w:left w:val="nil"/>
              <w:bottom w:val="single" w:sz="4" w:space="0" w:color="auto"/>
              <w:right w:val="single" w:sz="4" w:space="0" w:color="auto"/>
            </w:tcBorders>
            <w:shd w:val="clear" w:color="auto" w:fill="auto"/>
            <w:noWrap/>
            <w:vAlign w:val="center"/>
            <w:hideMark/>
          </w:tcPr>
          <w:p w14:paraId="2491CD1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91" w:type="dxa"/>
            <w:tcBorders>
              <w:top w:val="nil"/>
              <w:left w:val="nil"/>
              <w:bottom w:val="single" w:sz="4" w:space="0" w:color="auto"/>
              <w:right w:val="single" w:sz="4" w:space="0" w:color="auto"/>
            </w:tcBorders>
            <w:shd w:val="clear" w:color="auto" w:fill="auto"/>
            <w:noWrap/>
            <w:vAlign w:val="center"/>
            <w:hideMark/>
          </w:tcPr>
          <w:p w14:paraId="0876A1F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 (2.3%)</w:t>
            </w:r>
          </w:p>
        </w:tc>
        <w:tc>
          <w:tcPr>
            <w:tcW w:w="1369" w:type="dxa"/>
            <w:tcBorders>
              <w:top w:val="nil"/>
              <w:left w:val="nil"/>
              <w:bottom w:val="single" w:sz="4" w:space="0" w:color="auto"/>
              <w:right w:val="single" w:sz="4" w:space="0" w:color="auto"/>
            </w:tcBorders>
            <w:shd w:val="clear" w:color="auto" w:fill="auto"/>
            <w:noWrap/>
            <w:vAlign w:val="center"/>
            <w:hideMark/>
          </w:tcPr>
          <w:p w14:paraId="4A2F23D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67 (15.1%)</w:t>
            </w:r>
          </w:p>
        </w:tc>
        <w:tc>
          <w:tcPr>
            <w:tcW w:w="1369" w:type="dxa"/>
            <w:tcBorders>
              <w:top w:val="nil"/>
              <w:left w:val="nil"/>
              <w:bottom w:val="single" w:sz="4" w:space="0" w:color="auto"/>
              <w:right w:val="single" w:sz="4" w:space="0" w:color="auto"/>
            </w:tcBorders>
            <w:shd w:val="clear" w:color="auto" w:fill="auto"/>
            <w:noWrap/>
            <w:vAlign w:val="center"/>
            <w:hideMark/>
          </w:tcPr>
          <w:p w14:paraId="0D7EDD0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20 (4.5%)</w:t>
            </w:r>
          </w:p>
        </w:tc>
        <w:tc>
          <w:tcPr>
            <w:tcW w:w="1022" w:type="dxa"/>
            <w:tcBorders>
              <w:top w:val="nil"/>
              <w:left w:val="nil"/>
              <w:bottom w:val="single" w:sz="4" w:space="0" w:color="auto"/>
              <w:right w:val="single" w:sz="4" w:space="0" w:color="auto"/>
            </w:tcBorders>
            <w:shd w:val="clear" w:color="auto" w:fill="auto"/>
            <w:noWrap/>
            <w:vAlign w:val="center"/>
            <w:hideMark/>
          </w:tcPr>
          <w:p w14:paraId="56F21AE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r>
      <w:tr w:rsidR="005664F1" w:rsidRPr="005664F1" w14:paraId="5CE5DAE6"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1FE2EAC"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Abdominal pain</w:t>
            </w:r>
          </w:p>
        </w:tc>
        <w:tc>
          <w:tcPr>
            <w:tcW w:w="1391" w:type="dxa"/>
            <w:tcBorders>
              <w:top w:val="nil"/>
              <w:left w:val="nil"/>
              <w:bottom w:val="single" w:sz="4" w:space="0" w:color="auto"/>
              <w:right w:val="single" w:sz="4" w:space="0" w:color="auto"/>
            </w:tcBorders>
            <w:shd w:val="clear" w:color="auto" w:fill="auto"/>
            <w:noWrap/>
            <w:vAlign w:val="center"/>
            <w:hideMark/>
          </w:tcPr>
          <w:p w14:paraId="5F51312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61 (13.6%)</w:t>
            </w:r>
          </w:p>
        </w:tc>
        <w:tc>
          <w:tcPr>
            <w:tcW w:w="1369" w:type="dxa"/>
            <w:tcBorders>
              <w:top w:val="nil"/>
              <w:left w:val="nil"/>
              <w:bottom w:val="single" w:sz="4" w:space="0" w:color="auto"/>
              <w:right w:val="single" w:sz="4" w:space="0" w:color="auto"/>
            </w:tcBorders>
            <w:shd w:val="clear" w:color="auto" w:fill="auto"/>
            <w:noWrap/>
            <w:vAlign w:val="center"/>
            <w:hideMark/>
          </w:tcPr>
          <w:p w14:paraId="48D7BFF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12 (2.7%)</w:t>
            </w:r>
          </w:p>
        </w:tc>
        <w:tc>
          <w:tcPr>
            <w:tcW w:w="1369" w:type="dxa"/>
            <w:tcBorders>
              <w:top w:val="nil"/>
              <w:left w:val="nil"/>
              <w:bottom w:val="single" w:sz="4" w:space="0" w:color="auto"/>
              <w:right w:val="single" w:sz="4" w:space="0" w:color="auto"/>
            </w:tcBorders>
            <w:shd w:val="clear" w:color="auto" w:fill="auto"/>
            <w:noWrap/>
            <w:vAlign w:val="center"/>
            <w:hideMark/>
          </w:tcPr>
          <w:p w14:paraId="17EC714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022" w:type="dxa"/>
            <w:tcBorders>
              <w:top w:val="nil"/>
              <w:left w:val="nil"/>
              <w:bottom w:val="single" w:sz="4" w:space="0" w:color="auto"/>
              <w:right w:val="single" w:sz="4" w:space="0" w:color="auto"/>
            </w:tcBorders>
            <w:shd w:val="clear" w:color="auto" w:fill="auto"/>
            <w:noWrap/>
            <w:vAlign w:val="center"/>
            <w:hideMark/>
          </w:tcPr>
          <w:p w14:paraId="64C25EA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0FB5E67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64 (14.4%)</w:t>
            </w:r>
          </w:p>
        </w:tc>
        <w:tc>
          <w:tcPr>
            <w:tcW w:w="1369" w:type="dxa"/>
            <w:tcBorders>
              <w:top w:val="nil"/>
              <w:left w:val="nil"/>
              <w:bottom w:val="single" w:sz="4" w:space="0" w:color="auto"/>
              <w:right w:val="single" w:sz="4" w:space="0" w:color="auto"/>
            </w:tcBorders>
            <w:shd w:val="clear" w:color="auto" w:fill="auto"/>
            <w:noWrap/>
            <w:vAlign w:val="center"/>
            <w:hideMark/>
          </w:tcPr>
          <w:p w14:paraId="5056324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 (2.0%)</w:t>
            </w:r>
          </w:p>
        </w:tc>
        <w:tc>
          <w:tcPr>
            <w:tcW w:w="1369" w:type="dxa"/>
            <w:tcBorders>
              <w:top w:val="nil"/>
              <w:left w:val="nil"/>
              <w:bottom w:val="single" w:sz="4" w:space="0" w:color="auto"/>
              <w:right w:val="single" w:sz="4" w:space="0" w:color="auto"/>
            </w:tcBorders>
            <w:shd w:val="clear" w:color="auto" w:fill="auto"/>
            <w:noWrap/>
            <w:vAlign w:val="center"/>
            <w:hideMark/>
          </w:tcPr>
          <w:p w14:paraId="15D299B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4B60D55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7E2664D9"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90B9765"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Alopecia</w:t>
            </w:r>
          </w:p>
        </w:tc>
        <w:tc>
          <w:tcPr>
            <w:tcW w:w="1391" w:type="dxa"/>
            <w:tcBorders>
              <w:top w:val="nil"/>
              <w:left w:val="nil"/>
              <w:bottom w:val="single" w:sz="4" w:space="0" w:color="auto"/>
              <w:right w:val="single" w:sz="4" w:space="0" w:color="auto"/>
            </w:tcBorders>
            <w:shd w:val="clear" w:color="auto" w:fill="auto"/>
            <w:noWrap/>
            <w:vAlign w:val="center"/>
            <w:hideMark/>
          </w:tcPr>
          <w:p w14:paraId="4CBC08D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114 (25.5%)</w:t>
            </w:r>
          </w:p>
        </w:tc>
        <w:tc>
          <w:tcPr>
            <w:tcW w:w="1369" w:type="dxa"/>
            <w:tcBorders>
              <w:top w:val="nil"/>
              <w:left w:val="nil"/>
              <w:bottom w:val="single" w:sz="4" w:space="0" w:color="auto"/>
              <w:right w:val="single" w:sz="4" w:space="0" w:color="auto"/>
            </w:tcBorders>
            <w:shd w:val="clear" w:color="auto" w:fill="auto"/>
            <w:noWrap/>
            <w:vAlign w:val="center"/>
            <w:hideMark/>
          </w:tcPr>
          <w:p w14:paraId="64ABB90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 (2.0%)</w:t>
            </w:r>
          </w:p>
        </w:tc>
        <w:tc>
          <w:tcPr>
            <w:tcW w:w="1369" w:type="dxa"/>
            <w:tcBorders>
              <w:top w:val="nil"/>
              <w:left w:val="nil"/>
              <w:bottom w:val="single" w:sz="4" w:space="0" w:color="auto"/>
              <w:right w:val="single" w:sz="4" w:space="0" w:color="auto"/>
            </w:tcBorders>
            <w:shd w:val="clear" w:color="auto" w:fill="auto"/>
            <w:noWrap/>
            <w:vAlign w:val="center"/>
            <w:hideMark/>
          </w:tcPr>
          <w:p w14:paraId="2AE73A9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03BF409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5B1CDDB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106 (23.9%)</w:t>
            </w:r>
          </w:p>
        </w:tc>
        <w:tc>
          <w:tcPr>
            <w:tcW w:w="1369" w:type="dxa"/>
            <w:tcBorders>
              <w:top w:val="nil"/>
              <w:left w:val="nil"/>
              <w:bottom w:val="single" w:sz="4" w:space="0" w:color="auto"/>
              <w:right w:val="single" w:sz="4" w:space="0" w:color="auto"/>
            </w:tcBorders>
            <w:shd w:val="clear" w:color="auto" w:fill="auto"/>
            <w:noWrap/>
            <w:vAlign w:val="center"/>
            <w:hideMark/>
          </w:tcPr>
          <w:p w14:paraId="7D732DB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 (1.4%)</w:t>
            </w:r>
          </w:p>
        </w:tc>
        <w:tc>
          <w:tcPr>
            <w:tcW w:w="1369" w:type="dxa"/>
            <w:tcBorders>
              <w:top w:val="nil"/>
              <w:left w:val="nil"/>
              <w:bottom w:val="single" w:sz="4" w:space="0" w:color="auto"/>
              <w:right w:val="single" w:sz="4" w:space="0" w:color="auto"/>
            </w:tcBorders>
            <w:shd w:val="clear" w:color="auto" w:fill="auto"/>
            <w:noWrap/>
            <w:vAlign w:val="center"/>
            <w:hideMark/>
          </w:tcPr>
          <w:p w14:paraId="46ADBD1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23B0B1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08E72653"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1F7C8B4"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Constipation</w:t>
            </w:r>
          </w:p>
        </w:tc>
        <w:tc>
          <w:tcPr>
            <w:tcW w:w="1391" w:type="dxa"/>
            <w:tcBorders>
              <w:top w:val="nil"/>
              <w:left w:val="nil"/>
              <w:bottom w:val="single" w:sz="4" w:space="0" w:color="auto"/>
              <w:right w:val="single" w:sz="4" w:space="0" w:color="auto"/>
            </w:tcBorders>
            <w:shd w:val="clear" w:color="auto" w:fill="auto"/>
            <w:noWrap/>
            <w:vAlign w:val="center"/>
            <w:hideMark/>
          </w:tcPr>
          <w:p w14:paraId="39DB5C3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165 (36.9%)</w:t>
            </w:r>
          </w:p>
        </w:tc>
        <w:tc>
          <w:tcPr>
            <w:tcW w:w="1369" w:type="dxa"/>
            <w:tcBorders>
              <w:top w:val="nil"/>
              <w:left w:val="nil"/>
              <w:bottom w:val="single" w:sz="4" w:space="0" w:color="auto"/>
              <w:right w:val="single" w:sz="4" w:space="0" w:color="auto"/>
            </w:tcBorders>
            <w:shd w:val="clear" w:color="auto" w:fill="auto"/>
            <w:noWrap/>
            <w:vAlign w:val="center"/>
            <w:hideMark/>
          </w:tcPr>
          <w:p w14:paraId="2F6D4DA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69" w:type="dxa"/>
            <w:tcBorders>
              <w:top w:val="nil"/>
              <w:left w:val="nil"/>
              <w:bottom w:val="single" w:sz="4" w:space="0" w:color="auto"/>
              <w:right w:val="single" w:sz="4" w:space="0" w:color="auto"/>
            </w:tcBorders>
            <w:shd w:val="clear" w:color="auto" w:fill="auto"/>
            <w:noWrap/>
            <w:vAlign w:val="center"/>
            <w:hideMark/>
          </w:tcPr>
          <w:p w14:paraId="0F489E7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6FF407C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7FDC5C1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180 (40.5%)</w:t>
            </w:r>
          </w:p>
        </w:tc>
        <w:tc>
          <w:tcPr>
            <w:tcW w:w="1369" w:type="dxa"/>
            <w:tcBorders>
              <w:top w:val="nil"/>
              <w:left w:val="nil"/>
              <w:bottom w:val="single" w:sz="4" w:space="0" w:color="auto"/>
              <w:right w:val="single" w:sz="4" w:space="0" w:color="auto"/>
            </w:tcBorders>
            <w:shd w:val="clear" w:color="auto" w:fill="auto"/>
            <w:noWrap/>
            <w:vAlign w:val="center"/>
            <w:hideMark/>
          </w:tcPr>
          <w:p w14:paraId="43C62B6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 (1.1%)</w:t>
            </w:r>
          </w:p>
        </w:tc>
        <w:tc>
          <w:tcPr>
            <w:tcW w:w="1369" w:type="dxa"/>
            <w:tcBorders>
              <w:top w:val="nil"/>
              <w:left w:val="nil"/>
              <w:bottom w:val="single" w:sz="4" w:space="0" w:color="auto"/>
              <w:right w:val="single" w:sz="4" w:space="0" w:color="auto"/>
            </w:tcBorders>
            <w:shd w:val="clear" w:color="auto" w:fill="auto"/>
            <w:noWrap/>
            <w:vAlign w:val="center"/>
            <w:hideMark/>
          </w:tcPr>
          <w:p w14:paraId="247D210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6F6821D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25593FDB"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6B60350"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Cough</w:t>
            </w:r>
          </w:p>
        </w:tc>
        <w:tc>
          <w:tcPr>
            <w:tcW w:w="1391" w:type="dxa"/>
            <w:tcBorders>
              <w:top w:val="nil"/>
              <w:left w:val="nil"/>
              <w:bottom w:val="single" w:sz="4" w:space="0" w:color="auto"/>
              <w:right w:val="single" w:sz="4" w:space="0" w:color="auto"/>
            </w:tcBorders>
            <w:shd w:val="clear" w:color="auto" w:fill="auto"/>
            <w:noWrap/>
            <w:vAlign w:val="center"/>
            <w:hideMark/>
          </w:tcPr>
          <w:p w14:paraId="2FA9E0A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53 (11.9%)</w:t>
            </w:r>
          </w:p>
        </w:tc>
        <w:tc>
          <w:tcPr>
            <w:tcW w:w="1369" w:type="dxa"/>
            <w:tcBorders>
              <w:top w:val="nil"/>
              <w:left w:val="nil"/>
              <w:bottom w:val="single" w:sz="4" w:space="0" w:color="auto"/>
              <w:right w:val="single" w:sz="4" w:space="0" w:color="auto"/>
            </w:tcBorders>
            <w:shd w:val="clear" w:color="auto" w:fill="auto"/>
            <w:noWrap/>
            <w:vAlign w:val="center"/>
            <w:hideMark/>
          </w:tcPr>
          <w:p w14:paraId="231BBF7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69" w:type="dxa"/>
            <w:tcBorders>
              <w:top w:val="nil"/>
              <w:left w:val="nil"/>
              <w:bottom w:val="single" w:sz="4" w:space="0" w:color="auto"/>
              <w:right w:val="single" w:sz="4" w:space="0" w:color="auto"/>
            </w:tcBorders>
            <w:shd w:val="clear" w:color="auto" w:fill="auto"/>
            <w:noWrap/>
            <w:vAlign w:val="center"/>
            <w:hideMark/>
          </w:tcPr>
          <w:p w14:paraId="7A8DAB9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27FCE53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2BF2910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63 (14.2%)</w:t>
            </w:r>
          </w:p>
        </w:tc>
        <w:tc>
          <w:tcPr>
            <w:tcW w:w="1369" w:type="dxa"/>
            <w:tcBorders>
              <w:top w:val="nil"/>
              <w:left w:val="nil"/>
              <w:bottom w:val="single" w:sz="4" w:space="0" w:color="auto"/>
              <w:right w:val="single" w:sz="4" w:space="0" w:color="auto"/>
            </w:tcBorders>
            <w:shd w:val="clear" w:color="auto" w:fill="auto"/>
            <w:noWrap/>
            <w:vAlign w:val="center"/>
            <w:hideMark/>
          </w:tcPr>
          <w:p w14:paraId="13B3754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369" w:type="dxa"/>
            <w:tcBorders>
              <w:top w:val="nil"/>
              <w:left w:val="nil"/>
              <w:bottom w:val="single" w:sz="4" w:space="0" w:color="auto"/>
              <w:right w:val="single" w:sz="4" w:space="0" w:color="auto"/>
            </w:tcBorders>
            <w:shd w:val="clear" w:color="auto" w:fill="auto"/>
            <w:noWrap/>
            <w:vAlign w:val="center"/>
            <w:hideMark/>
          </w:tcPr>
          <w:p w14:paraId="66A7825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4340BB2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0FB32750"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BF3893A"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Diarrhoea</w:t>
            </w:r>
          </w:p>
        </w:tc>
        <w:tc>
          <w:tcPr>
            <w:tcW w:w="1391" w:type="dxa"/>
            <w:tcBorders>
              <w:top w:val="nil"/>
              <w:left w:val="nil"/>
              <w:bottom w:val="single" w:sz="4" w:space="0" w:color="auto"/>
              <w:right w:val="single" w:sz="4" w:space="0" w:color="auto"/>
            </w:tcBorders>
            <w:shd w:val="clear" w:color="auto" w:fill="auto"/>
            <w:noWrap/>
            <w:vAlign w:val="center"/>
            <w:hideMark/>
          </w:tcPr>
          <w:p w14:paraId="78E459A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95 (21.3%)</w:t>
            </w:r>
          </w:p>
        </w:tc>
        <w:tc>
          <w:tcPr>
            <w:tcW w:w="1369" w:type="dxa"/>
            <w:tcBorders>
              <w:top w:val="nil"/>
              <w:left w:val="nil"/>
              <w:bottom w:val="single" w:sz="4" w:space="0" w:color="auto"/>
              <w:right w:val="single" w:sz="4" w:space="0" w:color="auto"/>
            </w:tcBorders>
            <w:shd w:val="clear" w:color="auto" w:fill="auto"/>
            <w:noWrap/>
            <w:vAlign w:val="center"/>
            <w:hideMark/>
          </w:tcPr>
          <w:p w14:paraId="6B501E9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 (2.2%)</w:t>
            </w:r>
          </w:p>
        </w:tc>
        <w:tc>
          <w:tcPr>
            <w:tcW w:w="1369" w:type="dxa"/>
            <w:tcBorders>
              <w:top w:val="nil"/>
              <w:left w:val="nil"/>
              <w:bottom w:val="single" w:sz="4" w:space="0" w:color="auto"/>
              <w:right w:val="single" w:sz="4" w:space="0" w:color="auto"/>
            </w:tcBorders>
            <w:shd w:val="clear" w:color="auto" w:fill="auto"/>
            <w:noWrap/>
            <w:vAlign w:val="center"/>
            <w:hideMark/>
          </w:tcPr>
          <w:p w14:paraId="7BB1F58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7525D75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47C342E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133 (30.0%)</w:t>
            </w:r>
          </w:p>
        </w:tc>
        <w:tc>
          <w:tcPr>
            <w:tcW w:w="1369" w:type="dxa"/>
            <w:tcBorders>
              <w:top w:val="nil"/>
              <w:left w:val="nil"/>
              <w:bottom w:val="single" w:sz="4" w:space="0" w:color="auto"/>
              <w:right w:val="single" w:sz="4" w:space="0" w:color="auto"/>
            </w:tcBorders>
            <w:shd w:val="clear" w:color="auto" w:fill="auto"/>
            <w:noWrap/>
            <w:vAlign w:val="center"/>
            <w:hideMark/>
          </w:tcPr>
          <w:p w14:paraId="28EB76F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24 (5.4%)</w:t>
            </w:r>
          </w:p>
        </w:tc>
        <w:tc>
          <w:tcPr>
            <w:tcW w:w="1369" w:type="dxa"/>
            <w:tcBorders>
              <w:top w:val="nil"/>
              <w:left w:val="nil"/>
              <w:bottom w:val="single" w:sz="4" w:space="0" w:color="auto"/>
              <w:right w:val="single" w:sz="4" w:space="0" w:color="auto"/>
            </w:tcBorders>
            <w:shd w:val="clear" w:color="auto" w:fill="auto"/>
            <w:noWrap/>
            <w:vAlign w:val="center"/>
            <w:hideMark/>
          </w:tcPr>
          <w:p w14:paraId="6C3F6E5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5878070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59A40B54"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6F7D445"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Dyspnoea</w:t>
            </w:r>
          </w:p>
        </w:tc>
        <w:tc>
          <w:tcPr>
            <w:tcW w:w="1391" w:type="dxa"/>
            <w:tcBorders>
              <w:top w:val="nil"/>
              <w:left w:val="nil"/>
              <w:bottom w:val="single" w:sz="4" w:space="0" w:color="auto"/>
              <w:right w:val="single" w:sz="4" w:space="0" w:color="auto"/>
            </w:tcBorders>
            <w:shd w:val="clear" w:color="auto" w:fill="auto"/>
            <w:noWrap/>
            <w:vAlign w:val="center"/>
            <w:hideMark/>
          </w:tcPr>
          <w:p w14:paraId="4C973B5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56 (12.5%)</w:t>
            </w:r>
          </w:p>
        </w:tc>
        <w:tc>
          <w:tcPr>
            <w:tcW w:w="1369" w:type="dxa"/>
            <w:tcBorders>
              <w:top w:val="nil"/>
              <w:left w:val="nil"/>
              <w:bottom w:val="single" w:sz="4" w:space="0" w:color="auto"/>
              <w:right w:val="single" w:sz="4" w:space="0" w:color="auto"/>
            </w:tcBorders>
            <w:shd w:val="clear" w:color="auto" w:fill="auto"/>
            <w:noWrap/>
            <w:vAlign w:val="center"/>
            <w:hideMark/>
          </w:tcPr>
          <w:p w14:paraId="60CCAED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 (0.9%)</w:t>
            </w:r>
          </w:p>
        </w:tc>
        <w:tc>
          <w:tcPr>
            <w:tcW w:w="1369" w:type="dxa"/>
            <w:tcBorders>
              <w:top w:val="nil"/>
              <w:left w:val="nil"/>
              <w:bottom w:val="single" w:sz="4" w:space="0" w:color="auto"/>
              <w:right w:val="single" w:sz="4" w:space="0" w:color="auto"/>
            </w:tcBorders>
            <w:shd w:val="clear" w:color="auto" w:fill="auto"/>
            <w:noWrap/>
            <w:vAlign w:val="center"/>
            <w:hideMark/>
          </w:tcPr>
          <w:p w14:paraId="275BF1A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0D51759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091831D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59 (13.3%)</w:t>
            </w:r>
          </w:p>
        </w:tc>
        <w:tc>
          <w:tcPr>
            <w:tcW w:w="1369" w:type="dxa"/>
            <w:tcBorders>
              <w:top w:val="nil"/>
              <w:left w:val="nil"/>
              <w:bottom w:val="single" w:sz="4" w:space="0" w:color="auto"/>
              <w:right w:val="single" w:sz="4" w:space="0" w:color="auto"/>
            </w:tcBorders>
            <w:shd w:val="clear" w:color="auto" w:fill="auto"/>
            <w:noWrap/>
            <w:vAlign w:val="center"/>
            <w:hideMark/>
          </w:tcPr>
          <w:p w14:paraId="003CC9B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4 (0.9%)</w:t>
            </w:r>
          </w:p>
        </w:tc>
        <w:tc>
          <w:tcPr>
            <w:tcW w:w="1369" w:type="dxa"/>
            <w:tcBorders>
              <w:top w:val="nil"/>
              <w:left w:val="nil"/>
              <w:bottom w:val="single" w:sz="4" w:space="0" w:color="auto"/>
              <w:right w:val="single" w:sz="4" w:space="0" w:color="auto"/>
            </w:tcBorders>
            <w:shd w:val="clear" w:color="auto" w:fill="auto"/>
            <w:noWrap/>
            <w:vAlign w:val="center"/>
            <w:hideMark/>
          </w:tcPr>
          <w:p w14:paraId="3714403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EEF33D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39161ECC"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5538204"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Fatigue</w:t>
            </w:r>
          </w:p>
        </w:tc>
        <w:tc>
          <w:tcPr>
            <w:tcW w:w="1391" w:type="dxa"/>
            <w:tcBorders>
              <w:top w:val="nil"/>
              <w:left w:val="nil"/>
              <w:bottom w:val="single" w:sz="4" w:space="0" w:color="auto"/>
              <w:right w:val="single" w:sz="4" w:space="0" w:color="auto"/>
            </w:tcBorders>
            <w:shd w:val="clear" w:color="auto" w:fill="auto"/>
            <w:noWrap/>
            <w:vAlign w:val="center"/>
            <w:hideMark/>
          </w:tcPr>
          <w:p w14:paraId="6FAF878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201 (45.0%)</w:t>
            </w:r>
          </w:p>
        </w:tc>
        <w:tc>
          <w:tcPr>
            <w:tcW w:w="1369" w:type="dxa"/>
            <w:tcBorders>
              <w:top w:val="nil"/>
              <w:left w:val="nil"/>
              <w:bottom w:val="single" w:sz="4" w:space="0" w:color="auto"/>
              <w:right w:val="single" w:sz="4" w:space="0" w:color="auto"/>
            </w:tcBorders>
            <w:shd w:val="clear" w:color="auto" w:fill="auto"/>
            <w:noWrap/>
            <w:vAlign w:val="center"/>
            <w:hideMark/>
          </w:tcPr>
          <w:p w14:paraId="3BEF291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 (2.2%)</w:t>
            </w:r>
          </w:p>
        </w:tc>
        <w:tc>
          <w:tcPr>
            <w:tcW w:w="1369" w:type="dxa"/>
            <w:tcBorders>
              <w:top w:val="nil"/>
              <w:left w:val="nil"/>
              <w:bottom w:val="single" w:sz="4" w:space="0" w:color="auto"/>
              <w:right w:val="single" w:sz="4" w:space="0" w:color="auto"/>
            </w:tcBorders>
            <w:shd w:val="clear" w:color="auto" w:fill="auto"/>
            <w:noWrap/>
            <w:vAlign w:val="center"/>
            <w:hideMark/>
          </w:tcPr>
          <w:p w14:paraId="6108830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E970F9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243EC7B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191 (43.0%)</w:t>
            </w:r>
          </w:p>
        </w:tc>
        <w:tc>
          <w:tcPr>
            <w:tcW w:w="1369" w:type="dxa"/>
            <w:tcBorders>
              <w:top w:val="nil"/>
              <w:left w:val="nil"/>
              <w:bottom w:val="single" w:sz="4" w:space="0" w:color="auto"/>
              <w:right w:val="single" w:sz="4" w:space="0" w:color="auto"/>
            </w:tcBorders>
            <w:shd w:val="clear" w:color="auto" w:fill="auto"/>
            <w:noWrap/>
            <w:vAlign w:val="center"/>
            <w:hideMark/>
          </w:tcPr>
          <w:p w14:paraId="17815F0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 (1.8%)</w:t>
            </w:r>
          </w:p>
        </w:tc>
        <w:tc>
          <w:tcPr>
            <w:tcW w:w="1369" w:type="dxa"/>
            <w:tcBorders>
              <w:top w:val="nil"/>
              <w:left w:val="nil"/>
              <w:bottom w:val="single" w:sz="4" w:space="0" w:color="auto"/>
              <w:right w:val="single" w:sz="4" w:space="0" w:color="auto"/>
            </w:tcBorders>
            <w:shd w:val="clear" w:color="auto" w:fill="auto"/>
            <w:noWrap/>
            <w:vAlign w:val="center"/>
            <w:hideMark/>
          </w:tcPr>
          <w:p w14:paraId="5926457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2C439E2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0B2127B1"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0A8448A"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Fever</w:t>
            </w:r>
          </w:p>
        </w:tc>
        <w:tc>
          <w:tcPr>
            <w:tcW w:w="1391" w:type="dxa"/>
            <w:tcBorders>
              <w:top w:val="nil"/>
              <w:left w:val="nil"/>
              <w:bottom w:val="single" w:sz="4" w:space="0" w:color="auto"/>
              <w:right w:val="single" w:sz="4" w:space="0" w:color="auto"/>
            </w:tcBorders>
            <w:shd w:val="clear" w:color="auto" w:fill="auto"/>
            <w:noWrap/>
            <w:vAlign w:val="center"/>
            <w:hideMark/>
          </w:tcPr>
          <w:p w14:paraId="725A201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64 (14.3%)</w:t>
            </w:r>
          </w:p>
        </w:tc>
        <w:tc>
          <w:tcPr>
            <w:tcW w:w="1369" w:type="dxa"/>
            <w:tcBorders>
              <w:top w:val="nil"/>
              <w:left w:val="nil"/>
              <w:bottom w:val="single" w:sz="4" w:space="0" w:color="auto"/>
              <w:right w:val="single" w:sz="4" w:space="0" w:color="auto"/>
            </w:tcBorders>
            <w:shd w:val="clear" w:color="auto" w:fill="auto"/>
            <w:noWrap/>
            <w:vAlign w:val="center"/>
            <w:hideMark/>
          </w:tcPr>
          <w:p w14:paraId="068E413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17 (3.8%)</w:t>
            </w:r>
          </w:p>
        </w:tc>
        <w:tc>
          <w:tcPr>
            <w:tcW w:w="1369" w:type="dxa"/>
            <w:tcBorders>
              <w:top w:val="nil"/>
              <w:left w:val="nil"/>
              <w:bottom w:val="single" w:sz="4" w:space="0" w:color="auto"/>
              <w:right w:val="single" w:sz="4" w:space="0" w:color="auto"/>
            </w:tcBorders>
            <w:shd w:val="clear" w:color="auto" w:fill="auto"/>
            <w:noWrap/>
            <w:vAlign w:val="center"/>
            <w:hideMark/>
          </w:tcPr>
          <w:p w14:paraId="1A69993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022" w:type="dxa"/>
            <w:tcBorders>
              <w:top w:val="nil"/>
              <w:left w:val="nil"/>
              <w:bottom w:val="single" w:sz="4" w:space="0" w:color="auto"/>
              <w:right w:val="single" w:sz="4" w:space="0" w:color="auto"/>
            </w:tcBorders>
            <w:shd w:val="clear" w:color="auto" w:fill="auto"/>
            <w:noWrap/>
            <w:vAlign w:val="center"/>
            <w:hideMark/>
          </w:tcPr>
          <w:p w14:paraId="602723C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5894527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87 (19.6%)</w:t>
            </w:r>
          </w:p>
        </w:tc>
        <w:tc>
          <w:tcPr>
            <w:tcW w:w="1369" w:type="dxa"/>
            <w:tcBorders>
              <w:top w:val="nil"/>
              <w:left w:val="nil"/>
              <w:bottom w:val="single" w:sz="4" w:space="0" w:color="auto"/>
              <w:right w:val="single" w:sz="4" w:space="0" w:color="auto"/>
            </w:tcBorders>
            <w:shd w:val="clear" w:color="auto" w:fill="auto"/>
            <w:noWrap/>
            <w:vAlign w:val="center"/>
            <w:hideMark/>
          </w:tcPr>
          <w:p w14:paraId="4D2DBDB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14 (3.2%)</w:t>
            </w:r>
          </w:p>
        </w:tc>
        <w:tc>
          <w:tcPr>
            <w:tcW w:w="1369" w:type="dxa"/>
            <w:tcBorders>
              <w:top w:val="nil"/>
              <w:left w:val="nil"/>
              <w:bottom w:val="single" w:sz="4" w:space="0" w:color="auto"/>
              <w:right w:val="single" w:sz="4" w:space="0" w:color="auto"/>
            </w:tcBorders>
            <w:shd w:val="clear" w:color="auto" w:fill="auto"/>
            <w:noWrap/>
            <w:vAlign w:val="center"/>
            <w:hideMark/>
          </w:tcPr>
          <w:p w14:paraId="6ED4A8D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022" w:type="dxa"/>
            <w:tcBorders>
              <w:top w:val="nil"/>
              <w:left w:val="nil"/>
              <w:bottom w:val="single" w:sz="4" w:space="0" w:color="auto"/>
              <w:right w:val="single" w:sz="4" w:space="0" w:color="auto"/>
            </w:tcBorders>
            <w:shd w:val="clear" w:color="auto" w:fill="auto"/>
            <w:noWrap/>
            <w:vAlign w:val="center"/>
            <w:hideMark/>
          </w:tcPr>
          <w:p w14:paraId="6F5E2E3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57BC26AF"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1FC6E12"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Mucositis</w:t>
            </w:r>
          </w:p>
        </w:tc>
        <w:tc>
          <w:tcPr>
            <w:tcW w:w="1391" w:type="dxa"/>
            <w:tcBorders>
              <w:top w:val="nil"/>
              <w:left w:val="nil"/>
              <w:bottom w:val="single" w:sz="4" w:space="0" w:color="auto"/>
              <w:right w:val="single" w:sz="4" w:space="0" w:color="auto"/>
            </w:tcBorders>
            <w:shd w:val="clear" w:color="auto" w:fill="auto"/>
            <w:noWrap/>
            <w:vAlign w:val="center"/>
            <w:hideMark/>
          </w:tcPr>
          <w:p w14:paraId="1C1767E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73 (16.3%)</w:t>
            </w:r>
          </w:p>
        </w:tc>
        <w:tc>
          <w:tcPr>
            <w:tcW w:w="1369" w:type="dxa"/>
            <w:tcBorders>
              <w:top w:val="nil"/>
              <w:left w:val="nil"/>
              <w:bottom w:val="single" w:sz="4" w:space="0" w:color="auto"/>
              <w:right w:val="single" w:sz="4" w:space="0" w:color="auto"/>
            </w:tcBorders>
            <w:shd w:val="clear" w:color="auto" w:fill="auto"/>
            <w:noWrap/>
            <w:vAlign w:val="center"/>
            <w:hideMark/>
          </w:tcPr>
          <w:p w14:paraId="48FAE29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 (0.4%)</w:t>
            </w:r>
          </w:p>
        </w:tc>
        <w:tc>
          <w:tcPr>
            <w:tcW w:w="1369" w:type="dxa"/>
            <w:tcBorders>
              <w:top w:val="nil"/>
              <w:left w:val="nil"/>
              <w:bottom w:val="single" w:sz="4" w:space="0" w:color="auto"/>
              <w:right w:val="single" w:sz="4" w:space="0" w:color="auto"/>
            </w:tcBorders>
            <w:shd w:val="clear" w:color="auto" w:fill="auto"/>
            <w:noWrap/>
            <w:vAlign w:val="center"/>
            <w:hideMark/>
          </w:tcPr>
          <w:p w14:paraId="5BD284A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3636F7E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75D1CDA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62 (14.0%)</w:t>
            </w:r>
          </w:p>
        </w:tc>
        <w:tc>
          <w:tcPr>
            <w:tcW w:w="1369" w:type="dxa"/>
            <w:tcBorders>
              <w:top w:val="nil"/>
              <w:left w:val="nil"/>
              <w:bottom w:val="single" w:sz="4" w:space="0" w:color="auto"/>
              <w:right w:val="single" w:sz="4" w:space="0" w:color="auto"/>
            </w:tcBorders>
            <w:shd w:val="clear" w:color="auto" w:fill="auto"/>
            <w:noWrap/>
            <w:vAlign w:val="center"/>
            <w:hideMark/>
          </w:tcPr>
          <w:p w14:paraId="0CCAA2D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 (1.4%)</w:t>
            </w:r>
          </w:p>
        </w:tc>
        <w:tc>
          <w:tcPr>
            <w:tcW w:w="1369" w:type="dxa"/>
            <w:tcBorders>
              <w:top w:val="nil"/>
              <w:left w:val="nil"/>
              <w:bottom w:val="single" w:sz="4" w:space="0" w:color="auto"/>
              <w:right w:val="single" w:sz="4" w:space="0" w:color="auto"/>
            </w:tcBorders>
            <w:shd w:val="clear" w:color="auto" w:fill="auto"/>
            <w:noWrap/>
            <w:vAlign w:val="center"/>
            <w:hideMark/>
          </w:tcPr>
          <w:p w14:paraId="54D59D4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21FF3C6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12EBA55B"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824F26B"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Nausea</w:t>
            </w:r>
          </w:p>
        </w:tc>
        <w:tc>
          <w:tcPr>
            <w:tcW w:w="1391" w:type="dxa"/>
            <w:tcBorders>
              <w:top w:val="nil"/>
              <w:left w:val="nil"/>
              <w:bottom w:val="single" w:sz="4" w:space="0" w:color="auto"/>
              <w:right w:val="single" w:sz="4" w:space="0" w:color="auto"/>
            </w:tcBorders>
            <w:shd w:val="clear" w:color="auto" w:fill="auto"/>
            <w:noWrap/>
            <w:vAlign w:val="center"/>
            <w:hideMark/>
          </w:tcPr>
          <w:p w14:paraId="6C74F3D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141 (31.5%)</w:t>
            </w:r>
          </w:p>
        </w:tc>
        <w:tc>
          <w:tcPr>
            <w:tcW w:w="1369" w:type="dxa"/>
            <w:tcBorders>
              <w:top w:val="nil"/>
              <w:left w:val="nil"/>
              <w:bottom w:val="single" w:sz="4" w:space="0" w:color="auto"/>
              <w:right w:val="single" w:sz="4" w:space="0" w:color="auto"/>
            </w:tcBorders>
            <w:shd w:val="clear" w:color="auto" w:fill="auto"/>
            <w:noWrap/>
            <w:vAlign w:val="center"/>
            <w:hideMark/>
          </w:tcPr>
          <w:p w14:paraId="5DBAB04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 (0.7%)</w:t>
            </w:r>
          </w:p>
        </w:tc>
        <w:tc>
          <w:tcPr>
            <w:tcW w:w="1369" w:type="dxa"/>
            <w:tcBorders>
              <w:top w:val="nil"/>
              <w:left w:val="nil"/>
              <w:bottom w:val="single" w:sz="4" w:space="0" w:color="auto"/>
              <w:right w:val="single" w:sz="4" w:space="0" w:color="auto"/>
            </w:tcBorders>
            <w:shd w:val="clear" w:color="auto" w:fill="auto"/>
            <w:noWrap/>
            <w:vAlign w:val="center"/>
            <w:hideMark/>
          </w:tcPr>
          <w:p w14:paraId="5E0990B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3000F50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2FC3CFE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165 (37.2%)</w:t>
            </w:r>
          </w:p>
        </w:tc>
        <w:tc>
          <w:tcPr>
            <w:tcW w:w="1369" w:type="dxa"/>
            <w:tcBorders>
              <w:top w:val="nil"/>
              <w:left w:val="nil"/>
              <w:bottom w:val="single" w:sz="4" w:space="0" w:color="auto"/>
              <w:right w:val="single" w:sz="4" w:space="0" w:color="auto"/>
            </w:tcBorders>
            <w:shd w:val="clear" w:color="auto" w:fill="auto"/>
            <w:noWrap/>
            <w:vAlign w:val="center"/>
            <w:hideMark/>
          </w:tcPr>
          <w:p w14:paraId="060B8EA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 (1.8%)</w:t>
            </w:r>
          </w:p>
        </w:tc>
        <w:tc>
          <w:tcPr>
            <w:tcW w:w="1369" w:type="dxa"/>
            <w:tcBorders>
              <w:top w:val="nil"/>
              <w:left w:val="nil"/>
              <w:bottom w:val="single" w:sz="4" w:space="0" w:color="auto"/>
              <w:right w:val="single" w:sz="4" w:space="0" w:color="auto"/>
            </w:tcBorders>
            <w:shd w:val="clear" w:color="auto" w:fill="auto"/>
            <w:noWrap/>
            <w:vAlign w:val="center"/>
            <w:hideMark/>
          </w:tcPr>
          <w:p w14:paraId="046CB6A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 (0.2%)</w:t>
            </w:r>
          </w:p>
        </w:tc>
        <w:tc>
          <w:tcPr>
            <w:tcW w:w="1022" w:type="dxa"/>
            <w:tcBorders>
              <w:top w:val="nil"/>
              <w:left w:val="nil"/>
              <w:bottom w:val="single" w:sz="4" w:space="0" w:color="auto"/>
              <w:right w:val="single" w:sz="4" w:space="0" w:color="auto"/>
            </w:tcBorders>
            <w:shd w:val="clear" w:color="auto" w:fill="auto"/>
            <w:noWrap/>
            <w:vAlign w:val="center"/>
            <w:hideMark/>
          </w:tcPr>
          <w:p w14:paraId="59A7BC3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76DB48A5"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53349B4"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Pain</w:t>
            </w:r>
          </w:p>
        </w:tc>
        <w:tc>
          <w:tcPr>
            <w:tcW w:w="1391" w:type="dxa"/>
            <w:tcBorders>
              <w:top w:val="nil"/>
              <w:left w:val="nil"/>
              <w:bottom w:val="single" w:sz="4" w:space="0" w:color="auto"/>
              <w:right w:val="single" w:sz="4" w:space="0" w:color="auto"/>
            </w:tcBorders>
            <w:shd w:val="clear" w:color="auto" w:fill="auto"/>
            <w:noWrap/>
            <w:vAlign w:val="center"/>
            <w:hideMark/>
          </w:tcPr>
          <w:p w14:paraId="4B9F80B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56 (12.5%)</w:t>
            </w:r>
          </w:p>
        </w:tc>
        <w:tc>
          <w:tcPr>
            <w:tcW w:w="1369" w:type="dxa"/>
            <w:tcBorders>
              <w:top w:val="nil"/>
              <w:left w:val="nil"/>
              <w:bottom w:val="single" w:sz="4" w:space="0" w:color="auto"/>
              <w:right w:val="single" w:sz="4" w:space="0" w:color="auto"/>
            </w:tcBorders>
            <w:shd w:val="clear" w:color="auto" w:fill="auto"/>
            <w:noWrap/>
            <w:vAlign w:val="center"/>
            <w:hideMark/>
          </w:tcPr>
          <w:p w14:paraId="4118DB5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5 (1.1%)</w:t>
            </w:r>
          </w:p>
        </w:tc>
        <w:tc>
          <w:tcPr>
            <w:tcW w:w="1369" w:type="dxa"/>
            <w:tcBorders>
              <w:top w:val="nil"/>
              <w:left w:val="nil"/>
              <w:bottom w:val="single" w:sz="4" w:space="0" w:color="auto"/>
              <w:right w:val="single" w:sz="4" w:space="0" w:color="auto"/>
            </w:tcBorders>
            <w:shd w:val="clear" w:color="auto" w:fill="auto"/>
            <w:noWrap/>
            <w:vAlign w:val="center"/>
            <w:hideMark/>
          </w:tcPr>
          <w:p w14:paraId="71A39F0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2D18A42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255DAF6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69 (15.5%)</w:t>
            </w:r>
          </w:p>
        </w:tc>
        <w:tc>
          <w:tcPr>
            <w:tcW w:w="1369" w:type="dxa"/>
            <w:tcBorders>
              <w:top w:val="nil"/>
              <w:left w:val="nil"/>
              <w:bottom w:val="single" w:sz="4" w:space="0" w:color="auto"/>
              <w:right w:val="single" w:sz="4" w:space="0" w:color="auto"/>
            </w:tcBorders>
            <w:shd w:val="clear" w:color="auto" w:fill="auto"/>
            <w:noWrap/>
            <w:vAlign w:val="center"/>
            <w:hideMark/>
          </w:tcPr>
          <w:p w14:paraId="161ED05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 (1.4%)</w:t>
            </w:r>
          </w:p>
        </w:tc>
        <w:tc>
          <w:tcPr>
            <w:tcW w:w="1369" w:type="dxa"/>
            <w:tcBorders>
              <w:top w:val="nil"/>
              <w:left w:val="nil"/>
              <w:bottom w:val="single" w:sz="4" w:space="0" w:color="auto"/>
              <w:right w:val="single" w:sz="4" w:space="0" w:color="auto"/>
            </w:tcBorders>
            <w:shd w:val="clear" w:color="auto" w:fill="auto"/>
            <w:noWrap/>
            <w:vAlign w:val="center"/>
            <w:hideMark/>
          </w:tcPr>
          <w:p w14:paraId="372B9636"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1E2E7215"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0D0EAEDE"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57EEAE9"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Peripheral sensory neuropathy</w:t>
            </w:r>
          </w:p>
        </w:tc>
        <w:tc>
          <w:tcPr>
            <w:tcW w:w="1391" w:type="dxa"/>
            <w:tcBorders>
              <w:top w:val="nil"/>
              <w:left w:val="nil"/>
              <w:bottom w:val="single" w:sz="4" w:space="0" w:color="auto"/>
              <w:right w:val="single" w:sz="4" w:space="0" w:color="auto"/>
            </w:tcBorders>
            <w:shd w:val="clear" w:color="auto" w:fill="auto"/>
            <w:noWrap/>
            <w:vAlign w:val="center"/>
            <w:hideMark/>
          </w:tcPr>
          <w:p w14:paraId="0106C7F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129 (28.9%)</w:t>
            </w:r>
          </w:p>
        </w:tc>
        <w:tc>
          <w:tcPr>
            <w:tcW w:w="1369" w:type="dxa"/>
            <w:tcBorders>
              <w:top w:val="nil"/>
              <w:left w:val="nil"/>
              <w:bottom w:val="single" w:sz="4" w:space="0" w:color="auto"/>
              <w:right w:val="single" w:sz="4" w:space="0" w:color="auto"/>
            </w:tcBorders>
            <w:shd w:val="clear" w:color="auto" w:fill="auto"/>
            <w:noWrap/>
            <w:vAlign w:val="center"/>
            <w:hideMark/>
          </w:tcPr>
          <w:p w14:paraId="7C32D22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3 (0.7%)</w:t>
            </w:r>
          </w:p>
        </w:tc>
        <w:tc>
          <w:tcPr>
            <w:tcW w:w="1369" w:type="dxa"/>
            <w:tcBorders>
              <w:top w:val="nil"/>
              <w:left w:val="nil"/>
              <w:bottom w:val="single" w:sz="4" w:space="0" w:color="auto"/>
              <w:right w:val="single" w:sz="4" w:space="0" w:color="auto"/>
            </w:tcBorders>
            <w:shd w:val="clear" w:color="auto" w:fill="auto"/>
            <w:noWrap/>
            <w:vAlign w:val="center"/>
            <w:hideMark/>
          </w:tcPr>
          <w:p w14:paraId="44B4360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508A4BB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64869D44"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182 (41.0%)</w:t>
            </w:r>
          </w:p>
        </w:tc>
        <w:tc>
          <w:tcPr>
            <w:tcW w:w="1369" w:type="dxa"/>
            <w:tcBorders>
              <w:top w:val="nil"/>
              <w:left w:val="nil"/>
              <w:bottom w:val="single" w:sz="4" w:space="0" w:color="auto"/>
              <w:right w:val="single" w:sz="4" w:space="0" w:color="auto"/>
            </w:tcBorders>
            <w:shd w:val="clear" w:color="auto" w:fill="auto"/>
            <w:noWrap/>
            <w:vAlign w:val="center"/>
            <w:hideMark/>
          </w:tcPr>
          <w:p w14:paraId="1B4C1CFC"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8 (1.8%)</w:t>
            </w:r>
          </w:p>
        </w:tc>
        <w:tc>
          <w:tcPr>
            <w:tcW w:w="1369" w:type="dxa"/>
            <w:tcBorders>
              <w:top w:val="nil"/>
              <w:left w:val="nil"/>
              <w:bottom w:val="single" w:sz="4" w:space="0" w:color="auto"/>
              <w:right w:val="single" w:sz="4" w:space="0" w:color="auto"/>
            </w:tcBorders>
            <w:shd w:val="clear" w:color="auto" w:fill="auto"/>
            <w:noWrap/>
            <w:vAlign w:val="center"/>
            <w:hideMark/>
          </w:tcPr>
          <w:p w14:paraId="5200BCD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015AA23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45289666"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75730AD"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Sepsis</w:t>
            </w:r>
          </w:p>
        </w:tc>
        <w:tc>
          <w:tcPr>
            <w:tcW w:w="1391" w:type="dxa"/>
            <w:tcBorders>
              <w:top w:val="nil"/>
              <w:left w:val="nil"/>
              <w:bottom w:val="single" w:sz="4" w:space="0" w:color="auto"/>
              <w:right w:val="single" w:sz="4" w:space="0" w:color="auto"/>
            </w:tcBorders>
            <w:shd w:val="clear" w:color="auto" w:fill="auto"/>
            <w:noWrap/>
            <w:vAlign w:val="center"/>
            <w:hideMark/>
          </w:tcPr>
          <w:p w14:paraId="36F31A67"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 (0.4%)</w:t>
            </w:r>
          </w:p>
        </w:tc>
        <w:tc>
          <w:tcPr>
            <w:tcW w:w="1369" w:type="dxa"/>
            <w:tcBorders>
              <w:top w:val="nil"/>
              <w:left w:val="nil"/>
              <w:bottom w:val="single" w:sz="4" w:space="0" w:color="auto"/>
              <w:right w:val="single" w:sz="4" w:space="0" w:color="auto"/>
            </w:tcBorders>
            <w:shd w:val="clear" w:color="auto" w:fill="auto"/>
            <w:noWrap/>
            <w:vAlign w:val="center"/>
            <w:hideMark/>
          </w:tcPr>
          <w:p w14:paraId="2748B06F"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 (0.4%)</w:t>
            </w:r>
          </w:p>
        </w:tc>
        <w:tc>
          <w:tcPr>
            <w:tcW w:w="1369" w:type="dxa"/>
            <w:tcBorders>
              <w:top w:val="nil"/>
              <w:left w:val="nil"/>
              <w:bottom w:val="single" w:sz="4" w:space="0" w:color="auto"/>
              <w:right w:val="single" w:sz="4" w:space="0" w:color="auto"/>
            </w:tcBorders>
            <w:shd w:val="clear" w:color="auto" w:fill="auto"/>
            <w:noWrap/>
            <w:vAlign w:val="center"/>
            <w:hideMark/>
          </w:tcPr>
          <w:p w14:paraId="2AA5476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12 (2.7%)</w:t>
            </w:r>
          </w:p>
        </w:tc>
        <w:tc>
          <w:tcPr>
            <w:tcW w:w="1022" w:type="dxa"/>
            <w:tcBorders>
              <w:top w:val="nil"/>
              <w:left w:val="nil"/>
              <w:bottom w:val="single" w:sz="4" w:space="0" w:color="auto"/>
              <w:right w:val="single" w:sz="4" w:space="0" w:color="auto"/>
            </w:tcBorders>
            <w:shd w:val="clear" w:color="auto" w:fill="auto"/>
            <w:noWrap/>
            <w:vAlign w:val="center"/>
            <w:hideMark/>
          </w:tcPr>
          <w:p w14:paraId="21AFF86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76DA6388"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69" w:type="dxa"/>
            <w:tcBorders>
              <w:top w:val="nil"/>
              <w:left w:val="nil"/>
              <w:bottom w:val="single" w:sz="4" w:space="0" w:color="auto"/>
              <w:right w:val="single" w:sz="4" w:space="0" w:color="auto"/>
            </w:tcBorders>
            <w:shd w:val="clear" w:color="auto" w:fill="auto"/>
            <w:noWrap/>
            <w:vAlign w:val="center"/>
            <w:hideMark/>
          </w:tcPr>
          <w:p w14:paraId="332954DD"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2 (0.5%)</w:t>
            </w:r>
          </w:p>
        </w:tc>
        <w:tc>
          <w:tcPr>
            <w:tcW w:w="1369" w:type="dxa"/>
            <w:tcBorders>
              <w:top w:val="nil"/>
              <w:left w:val="nil"/>
              <w:bottom w:val="single" w:sz="4" w:space="0" w:color="auto"/>
              <w:right w:val="single" w:sz="4" w:space="0" w:color="auto"/>
            </w:tcBorders>
            <w:shd w:val="clear" w:color="auto" w:fill="auto"/>
            <w:noWrap/>
            <w:vAlign w:val="center"/>
            <w:hideMark/>
          </w:tcPr>
          <w:p w14:paraId="53A970E2"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15 (3.4%)</w:t>
            </w:r>
          </w:p>
        </w:tc>
        <w:tc>
          <w:tcPr>
            <w:tcW w:w="1022" w:type="dxa"/>
            <w:tcBorders>
              <w:top w:val="nil"/>
              <w:left w:val="nil"/>
              <w:bottom w:val="single" w:sz="4" w:space="0" w:color="auto"/>
              <w:right w:val="single" w:sz="4" w:space="0" w:color="auto"/>
            </w:tcBorders>
            <w:shd w:val="clear" w:color="auto" w:fill="auto"/>
            <w:noWrap/>
            <w:vAlign w:val="center"/>
            <w:hideMark/>
          </w:tcPr>
          <w:p w14:paraId="265C7CB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r w:rsidR="005664F1" w:rsidRPr="005664F1" w14:paraId="675DE910" w14:textId="77777777" w:rsidTr="006355B8">
        <w:trPr>
          <w:trHeight w:val="300"/>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11EA9CF" w14:textId="77777777" w:rsidR="005664F1" w:rsidRPr="005664F1" w:rsidRDefault="005664F1" w:rsidP="005664F1">
            <w:pPr>
              <w:spacing w:after="0" w:line="240" w:lineRule="auto"/>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Vomiting</w:t>
            </w:r>
          </w:p>
        </w:tc>
        <w:tc>
          <w:tcPr>
            <w:tcW w:w="1391" w:type="dxa"/>
            <w:tcBorders>
              <w:top w:val="nil"/>
              <w:left w:val="nil"/>
              <w:bottom w:val="single" w:sz="4" w:space="0" w:color="auto"/>
              <w:right w:val="single" w:sz="4" w:space="0" w:color="auto"/>
            </w:tcBorders>
            <w:shd w:val="clear" w:color="auto" w:fill="auto"/>
            <w:noWrap/>
            <w:vAlign w:val="center"/>
            <w:hideMark/>
          </w:tcPr>
          <w:p w14:paraId="50655379"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63 (14.1%)</w:t>
            </w:r>
          </w:p>
        </w:tc>
        <w:tc>
          <w:tcPr>
            <w:tcW w:w="1369" w:type="dxa"/>
            <w:tcBorders>
              <w:top w:val="nil"/>
              <w:left w:val="nil"/>
              <w:bottom w:val="single" w:sz="4" w:space="0" w:color="auto"/>
              <w:right w:val="single" w:sz="4" w:space="0" w:color="auto"/>
            </w:tcBorders>
            <w:shd w:val="clear" w:color="auto" w:fill="auto"/>
            <w:noWrap/>
            <w:vAlign w:val="center"/>
            <w:hideMark/>
          </w:tcPr>
          <w:p w14:paraId="5A402AAA"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6 (1.3%)</w:t>
            </w:r>
          </w:p>
        </w:tc>
        <w:tc>
          <w:tcPr>
            <w:tcW w:w="1369" w:type="dxa"/>
            <w:tcBorders>
              <w:top w:val="nil"/>
              <w:left w:val="nil"/>
              <w:bottom w:val="single" w:sz="4" w:space="0" w:color="auto"/>
              <w:right w:val="single" w:sz="4" w:space="0" w:color="auto"/>
            </w:tcBorders>
            <w:shd w:val="clear" w:color="auto" w:fill="auto"/>
            <w:noWrap/>
            <w:vAlign w:val="center"/>
            <w:hideMark/>
          </w:tcPr>
          <w:p w14:paraId="6AB1903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38F5E991"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391" w:type="dxa"/>
            <w:tcBorders>
              <w:top w:val="nil"/>
              <w:left w:val="nil"/>
              <w:bottom w:val="single" w:sz="4" w:space="0" w:color="auto"/>
              <w:right w:val="single" w:sz="4" w:space="0" w:color="auto"/>
            </w:tcBorders>
            <w:shd w:val="clear" w:color="auto" w:fill="auto"/>
            <w:noWrap/>
            <w:vAlign w:val="center"/>
            <w:hideMark/>
          </w:tcPr>
          <w:p w14:paraId="4D0E2EE0"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109 (24.5%)</w:t>
            </w:r>
          </w:p>
        </w:tc>
        <w:tc>
          <w:tcPr>
            <w:tcW w:w="1369" w:type="dxa"/>
            <w:tcBorders>
              <w:top w:val="nil"/>
              <w:left w:val="nil"/>
              <w:bottom w:val="single" w:sz="4" w:space="0" w:color="auto"/>
              <w:right w:val="single" w:sz="4" w:space="0" w:color="auto"/>
            </w:tcBorders>
            <w:shd w:val="clear" w:color="auto" w:fill="auto"/>
            <w:noWrap/>
            <w:vAlign w:val="center"/>
            <w:hideMark/>
          </w:tcPr>
          <w:p w14:paraId="342920FE"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11 (2.5%)</w:t>
            </w:r>
          </w:p>
        </w:tc>
        <w:tc>
          <w:tcPr>
            <w:tcW w:w="1369" w:type="dxa"/>
            <w:tcBorders>
              <w:top w:val="nil"/>
              <w:left w:val="nil"/>
              <w:bottom w:val="single" w:sz="4" w:space="0" w:color="auto"/>
              <w:right w:val="single" w:sz="4" w:space="0" w:color="auto"/>
            </w:tcBorders>
            <w:shd w:val="clear" w:color="auto" w:fill="auto"/>
            <w:noWrap/>
            <w:vAlign w:val="center"/>
            <w:hideMark/>
          </w:tcPr>
          <w:p w14:paraId="28E36D0B"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c>
          <w:tcPr>
            <w:tcW w:w="1022" w:type="dxa"/>
            <w:tcBorders>
              <w:top w:val="nil"/>
              <w:left w:val="nil"/>
              <w:bottom w:val="single" w:sz="4" w:space="0" w:color="auto"/>
              <w:right w:val="single" w:sz="4" w:space="0" w:color="auto"/>
            </w:tcBorders>
            <w:shd w:val="clear" w:color="auto" w:fill="auto"/>
            <w:noWrap/>
            <w:vAlign w:val="center"/>
            <w:hideMark/>
          </w:tcPr>
          <w:p w14:paraId="37DAFE63" w14:textId="77777777" w:rsidR="005664F1" w:rsidRPr="005664F1" w:rsidRDefault="005664F1" w:rsidP="005664F1">
            <w:pPr>
              <w:spacing w:after="0" w:line="240" w:lineRule="auto"/>
              <w:jc w:val="center"/>
              <w:rPr>
                <w:rFonts w:ascii="Calibri" w:eastAsia="Times New Roman" w:hAnsi="Calibri" w:cs="Times New Roman"/>
                <w:color w:val="000000"/>
                <w:lang w:eastAsia="en-GB"/>
              </w:rPr>
            </w:pPr>
            <w:r w:rsidRPr="005664F1">
              <w:rPr>
                <w:rFonts w:ascii="Calibri" w:eastAsia="Times New Roman" w:hAnsi="Calibri" w:cs="Times New Roman"/>
                <w:color w:val="000000"/>
                <w:lang w:eastAsia="en-GB"/>
              </w:rPr>
              <w:t>0</w:t>
            </w:r>
          </w:p>
        </w:tc>
      </w:tr>
    </w:tbl>
    <w:p w14:paraId="2E4AA2FE" w14:textId="77777777" w:rsidR="005664F1" w:rsidRDefault="005664F1" w:rsidP="00367E84">
      <w:pPr>
        <w:spacing w:before="120"/>
        <w:rPr>
          <w:b/>
          <w:bCs/>
          <w:szCs w:val="18"/>
        </w:rPr>
      </w:pPr>
    </w:p>
    <w:p w14:paraId="5CD881CE" w14:textId="327A36B2" w:rsidR="00E24C83" w:rsidRPr="000C47A7" w:rsidRDefault="00E24C83" w:rsidP="006355B8">
      <w:pPr>
        <w:spacing w:before="120"/>
        <w:rPr>
          <w:sz w:val="32"/>
        </w:rPr>
      </w:pPr>
      <w:r w:rsidRPr="000C47A7">
        <w:rPr>
          <w:b/>
          <w:bCs/>
          <w:szCs w:val="18"/>
        </w:rPr>
        <w:t xml:space="preserve">Table </w:t>
      </w:r>
      <w:r>
        <w:rPr>
          <w:b/>
          <w:bCs/>
          <w:szCs w:val="18"/>
        </w:rPr>
        <w:t>3</w:t>
      </w:r>
      <w:r w:rsidRPr="000C47A7">
        <w:rPr>
          <w:b/>
          <w:bCs/>
          <w:szCs w:val="18"/>
        </w:rPr>
        <w:t xml:space="preserve">: </w:t>
      </w:r>
      <w:r w:rsidR="006355B8">
        <w:rPr>
          <w:b/>
          <w:bCs/>
          <w:szCs w:val="18"/>
        </w:rPr>
        <w:t>A</w:t>
      </w:r>
      <w:r w:rsidRPr="000C47A7">
        <w:rPr>
          <w:rFonts w:hint="eastAsia"/>
          <w:szCs w:val="18"/>
        </w:rPr>
        <w:t xml:space="preserve">dverse </w:t>
      </w:r>
      <w:r w:rsidRPr="000C47A7">
        <w:rPr>
          <w:szCs w:val="18"/>
        </w:rPr>
        <w:t xml:space="preserve">events </w:t>
      </w:r>
      <w:r w:rsidR="001C19EA">
        <w:rPr>
          <w:szCs w:val="18"/>
        </w:rPr>
        <w:t>(safety population)</w:t>
      </w:r>
      <w:r w:rsidRPr="000C47A7">
        <w:rPr>
          <w:szCs w:val="18"/>
        </w:rPr>
        <w:t>.</w:t>
      </w:r>
      <w:r w:rsidR="00D6200B">
        <w:rPr>
          <w:szCs w:val="18"/>
        </w:rPr>
        <w:t xml:space="preserve"> </w:t>
      </w:r>
      <w:r w:rsidR="006355B8" w:rsidRPr="006355B8">
        <w:rPr>
          <w:szCs w:val="18"/>
        </w:rPr>
        <w:t>Adverse events for which grade 1 or 2 events were reported in 10% or more of patients</w:t>
      </w:r>
      <w:r w:rsidR="006355B8">
        <w:rPr>
          <w:szCs w:val="18"/>
        </w:rPr>
        <w:t xml:space="preserve">, </w:t>
      </w:r>
      <w:r w:rsidR="006355B8" w:rsidRPr="006355B8">
        <w:rPr>
          <w:szCs w:val="18"/>
        </w:rPr>
        <w:t>adverse events for which grade 3, 4, or 5 events were reported in 2% or more of patients</w:t>
      </w:r>
      <w:r w:rsidR="006355B8">
        <w:rPr>
          <w:szCs w:val="18"/>
        </w:rPr>
        <w:t xml:space="preserve">, and any other haematological and neutropenia related adverse events reported. </w:t>
      </w:r>
    </w:p>
    <w:p w14:paraId="14162BBB" w14:textId="65B96035" w:rsidR="00517F3E" w:rsidRDefault="00517F3E" w:rsidP="00367E84">
      <w:pPr>
        <w:spacing w:before="120"/>
      </w:pPr>
    </w:p>
    <w:sectPr w:rsidR="00517F3E" w:rsidSect="000C47A7">
      <w:type w:val="continuous"/>
      <w:pgSz w:w="11906" w:h="16838"/>
      <w:pgMar w:top="1440" w:right="1440" w:bottom="1440" w:left="144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CDB647" w16cid:durableId="1E1F5A5F"/>
  <w16cid:commentId w16cid:paraId="3D5EB9D2" w16cid:durableId="1E1F5A60"/>
  <w16cid:commentId w16cid:paraId="1289A4A8" w16cid:durableId="1E1F5A61"/>
  <w16cid:commentId w16cid:paraId="60FB36FB" w16cid:durableId="1E1F5A62"/>
  <w16cid:commentId w16cid:paraId="2EC293D6" w16cid:durableId="1E1F5A63"/>
  <w16cid:commentId w16cid:paraId="2C2D6261" w16cid:durableId="1E1F5A64"/>
  <w16cid:commentId w16cid:paraId="0FB1C08F" w16cid:durableId="1E1F5A65"/>
  <w16cid:commentId w16cid:paraId="47BB57DC" w16cid:durableId="1E1F5A66"/>
  <w16cid:commentId w16cid:paraId="540228A9" w16cid:durableId="1E1F5A67"/>
  <w16cid:commentId w16cid:paraId="7B7A34F4" w16cid:durableId="1E1F5A68"/>
  <w16cid:commentId w16cid:paraId="2D098854" w16cid:durableId="1E1F5A69"/>
  <w16cid:commentId w16cid:paraId="766BDDBC" w16cid:durableId="1E1F5A6A"/>
  <w16cid:commentId w16cid:paraId="479F2E1D" w16cid:durableId="1E1F5A6B"/>
  <w16cid:commentId w16cid:paraId="5CCC49EA" w16cid:durableId="1E1F5A6C"/>
  <w16cid:commentId w16cid:paraId="40A7FA56" w16cid:durableId="1E1F5A6D"/>
  <w16cid:commentId w16cid:paraId="7C0ED13B" w16cid:durableId="1E1F5A6E"/>
  <w16cid:commentId w16cid:paraId="0B88FCE2" w16cid:durableId="1E1F5A6F"/>
  <w16cid:commentId w16cid:paraId="02DB806C" w16cid:durableId="1E1F5A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F8E6" w14:textId="77777777" w:rsidR="005664F1" w:rsidRDefault="005664F1" w:rsidP="00DE4809">
      <w:pPr>
        <w:spacing w:after="0" w:line="240" w:lineRule="auto"/>
      </w:pPr>
      <w:r>
        <w:separator/>
      </w:r>
    </w:p>
  </w:endnote>
  <w:endnote w:type="continuationSeparator" w:id="0">
    <w:p w14:paraId="01B1BD10" w14:textId="77777777" w:rsidR="005664F1" w:rsidRDefault="005664F1" w:rsidP="00DE4809">
      <w:pPr>
        <w:spacing w:after="0" w:line="240" w:lineRule="auto"/>
      </w:pPr>
      <w:r>
        <w:continuationSeparator/>
      </w:r>
    </w:p>
  </w:endnote>
  <w:endnote w:type="continuationNotice" w:id="1">
    <w:p w14:paraId="3B49BA9D" w14:textId="77777777" w:rsidR="005664F1" w:rsidRDefault="00566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EB4C4" w14:textId="77777777" w:rsidR="005664F1" w:rsidRDefault="005664F1" w:rsidP="00DE4809">
      <w:pPr>
        <w:spacing w:after="0" w:line="240" w:lineRule="auto"/>
      </w:pPr>
      <w:r>
        <w:separator/>
      </w:r>
    </w:p>
  </w:footnote>
  <w:footnote w:type="continuationSeparator" w:id="0">
    <w:p w14:paraId="44578197" w14:textId="77777777" w:rsidR="005664F1" w:rsidRDefault="005664F1" w:rsidP="00DE4809">
      <w:pPr>
        <w:spacing w:after="0" w:line="240" w:lineRule="auto"/>
      </w:pPr>
      <w:r>
        <w:continuationSeparator/>
      </w:r>
    </w:p>
  </w:footnote>
  <w:footnote w:type="continuationNotice" w:id="1">
    <w:p w14:paraId="3C999F07" w14:textId="77777777" w:rsidR="005664F1" w:rsidRDefault="005664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75D0"/>
    <w:multiLevelType w:val="hybridMultilevel"/>
    <w:tmpl w:val="E622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51F88"/>
    <w:multiLevelType w:val="hybridMultilevel"/>
    <w:tmpl w:val="61985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95B78"/>
    <w:multiLevelType w:val="hybridMultilevel"/>
    <w:tmpl w:val="BB064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1D6EB4"/>
    <w:multiLevelType w:val="hybridMultilevel"/>
    <w:tmpl w:val="E622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12754"/>
    <w:multiLevelType w:val="hybridMultilevel"/>
    <w:tmpl w:val="4F0CE6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DC44DF"/>
    <w:multiLevelType w:val="hybridMultilevel"/>
    <w:tmpl w:val="E5C2E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C2F80"/>
    <w:multiLevelType w:val="hybridMultilevel"/>
    <w:tmpl w:val="E622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C5264"/>
    <w:multiLevelType w:val="multilevel"/>
    <w:tmpl w:val="15CC8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5A28EA"/>
    <w:multiLevelType w:val="hybridMultilevel"/>
    <w:tmpl w:val="4918938A"/>
    <w:lvl w:ilvl="0" w:tplc="08090001">
      <w:start w:val="1"/>
      <w:numFmt w:val="bullet"/>
      <w:lvlText w:val=""/>
      <w:lvlJc w:val="left"/>
      <w:pPr>
        <w:ind w:left="643" w:hanging="360"/>
      </w:pPr>
      <w:rPr>
        <w:rFonts w:ascii="Symbol" w:hAnsi="Symbol" w:hint="default"/>
      </w:rPr>
    </w:lvl>
    <w:lvl w:ilvl="1" w:tplc="C3566F24">
      <w:numFmt w:val="bullet"/>
      <w:lvlText w:val="•"/>
      <w:lvlJc w:val="left"/>
      <w:pPr>
        <w:ind w:left="1363" w:hanging="360"/>
      </w:pPr>
      <w:rPr>
        <w:rFonts w:ascii="Times New Roman" w:eastAsia="Times New Roman" w:hAnsi="Times New Roman" w:cs="Times New Roman" w:hint="default"/>
        <w:w w:val="131"/>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9" w15:restartNumberingAfterBreak="0">
    <w:nsid w:val="40EE1CF1"/>
    <w:multiLevelType w:val="hybridMultilevel"/>
    <w:tmpl w:val="54ACA260"/>
    <w:lvl w:ilvl="0" w:tplc="6658D906">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A152B4"/>
    <w:multiLevelType w:val="hybridMultilevel"/>
    <w:tmpl w:val="0016C8A6"/>
    <w:lvl w:ilvl="0" w:tplc="309E67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302AE5"/>
    <w:multiLevelType w:val="hybridMultilevel"/>
    <w:tmpl w:val="E6223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F447E0"/>
    <w:multiLevelType w:val="hybridMultilevel"/>
    <w:tmpl w:val="510C9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656970"/>
    <w:multiLevelType w:val="hybridMultilevel"/>
    <w:tmpl w:val="CD00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BA78EB"/>
    <w:multiLevelType w:val="hybridMultilevel"/>
    <w:tmpl w:val="BF9E8144"/>
    <w:lvl w:ilvl="0" w:tplc="08090001">
      <w:start w:val="1"/>
      <w:numFmt w:val="bullet"/>
      <w:lvlText w:val=""/>
      <w:lvlJc w:val="left"/>
      <w:pPr>
        <w:ind w:left="820" w:hanging="360"/>
      </w:pPr>
      <w:rPr>
        <w:rFonts w:ascii="Symbol" w:hAnsi="Symbol" w:hint="default"/>
      </w:rPr>
    </w:lvl>
    <w:lvl w:ilvl="1" w:tplc="21AAD3B0">
      <w:numFmt w:val="bullet"/>
      <w:lvlText w:val="•"/>
      <w:lvlJc w:val="left"/>
      <w:pPr>
        <w:ind w:left="1540" w:hanging="360"/>
      </w:pPr>
      <w:rPr>
        <w:rFonts w:ascii="Times New Roman" w:eastAsia="Times New Roman" w:hAnsi="Times New Roman" w:cs="Times New Roman" w:hint="default"/>
        <w:w w:val="131"/>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63A570A4"/>
    <w:multiLevelType w:val="hybridMultilevel"/>
    <w:tmpl w:val="2798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8E6CA5"/>
    <w:multiLevelType w:val="hybridMultilevel"/>
    <w:tmpl w:val="CD00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2C0F99"/>
    <w:multiLevelType w:val="hybridMultilevel"/>
    <w:tmpl w:val="8D64D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11CA3"/>
    <w:multiLevelType w:val="hybridMultilevel"/>
    <w:tmpl w:val="4F0CE68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8"/>
  </w:num>
  <w:num w:numId="3">
    <w:abstractNumId w:val="9"/>
  </w:num>
  <w:num w:numId="4">
    <w:abstractNumId w:val="17"/>
  </w:num>
  <w:num w:numId="5">
    <w:abstractNumId w:val="16"/>
  </w:num>
  <w:num w:numId="6">
    <w:abstractNumId w:val="13"/>
  </w:num>
  <w:num w:numId="7">
    <w:abstractNumId w:val="12"/>
  </w:num>
  <w:num w:numId="8">
    <w:abstractNumId w:val="11"/>
  </w:num>
  <w:num w:numId="9">
    <w:abstractNumId w:val="0"/>
  </w:num>
  <w:num w:numId="10">
    <w:abstractNumId w:val="3"/>
  </w:num>
  <w:num w:numId="11">
    <w:abstractNumId w:val="18"/>
  </w:num>
  <w:num w:numId="12">
    <w:abstractNumId w:val="4"/>
  </w:num>
  <w:num w:numId="13">
    <w:abstractNumId w:val="6"/>
  </w:num>
  <w:num w:numId="14">
    <w:abstractNumId w:val="10"/>
  </w:num>
  <w:num w:numId="15">
    <w:abstractNumId w:val="1"/>
  </w:num>
  <w:num w:numId="16">
    <w:abstractNumId w:val="7"/>
  </w:num>
  <w:num w:numId="17">
    <w:abstractNumId w:val="2"/>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tsapa0jsa2f9ezwf6pvxtjvzssazwe5d5e&quot;&gt;REMoDL-B&lt;record-ids&gt;&lt;item&gt;1&lt;/item&gt;&lt;item&gt;2&lt;/item&gt;&lt;item&gt;4&lt;/item&gt;&lt;item&gt;8&lt;/item&gt;&lt;item&gt;9&lt;/item&gt;&lt;item&gt;10&lt;/item&gt;&lt;item&gt;11&lt;/item&gt;&lt;item&gt;12&lt;/item&gt;&lt;item&gt;14&lt;/item&gt;&lt;item&gt;15&lt;/item&gt;&lt;item&gt;16&lt;/item&gt;&lt;item&gt;18&lt;/item&gt;&lt;item&gt;20&lt;/item&gt;&lt;item&gt;21&lt;/item&gt;&lt;item&gt;25&lt;/item&gt;&lt;item&gt;27&lt;/item&gt;&lt;item&gt;30&lt;/item&gt;&lt;item&gt;31&lt;/item&gt;&lt;item&gt;33&lt;/item&gt;&lt;item&gt;34&lt;/item&gt;&lt;item&gt;35&lt;/item&gt;&lt;item&gt;36&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record-ids&gt;&lt;/item&gt;&lt;/Libraries&gt;"/>
  </w:docVars>
  <w:rsids>
    <w:rsidRoot w:val="008676CA"/>
    <w:rsid w:val="00002637"/>
    <w:rsid w:val="00002664"/>
    <w:rsid w:val="000035BD"/>
    <w:rsid w:val="000035CE"/>
    <w:rsid w:val="00003E3E"/>
    <w:rsid w:val="00004075"/>
    <w:rsid w:val="00004C1C"/>
    <w:rsid w:val="00004CE1"/>
    <w:rsid w:val="000136B3"/>
    <w:rsid w:val="0001420D"/>
    <w:rsid w:val="00016900"/>
    <w:rsid w:val="00016DE0"/>
    <w:rsid w:val="00020ECF"/>
    <w:rsid w:val="0002104D"/>
    <w:rsid w:val="00024430"/>
    <w:rsid w:val="00024F37"/>
    <w:rsid w:val="00030C91"/>
    <w:rsid w:val="00032FF6"/>
    <w:rsid w:val="000331CE"/>
    <w:rsid w:val="0003384F"/>
    <w:rsid w:val="00034EA4"/>
    <w:rsid w:val="000352B5"/>
    <w:rsid w:val="00035610"/>
    <w:rsid w:val="0003579E"/>
    <w:rsid w:val="00036805"/>
    <w:rsid w:val="000405FF"/>
    <w:rsid w:val="0004162C"/>
    <w:rsid w:val="00046381"/>
    <w:rsid w:val="0004769B"/>
    <w:rsid w:val="000478E2"/>
    <w:rsid w:val="000479F5"/>
    <w:rsid w:val="00051612"/>
    <w:rsid w:val="0005215E"/>
    <w:rsid w:val="000532F7"/>
    <w:rsid w:val="000552D3"/>
    <w:rsid w:val="00057848"/>
    <w:rsid w:val="00057E22"/>
    <w:rsid w:val="000625E5"/>
    <w:rsid w:val="00064BCF"/>
    <w:rsid w:val="00066076"/>
    <w:rsid w:val="00066412"/>
    <w:rsid w:val="0006687F"/>
    <w:rsid w:val="00067602"/>
    <w:rsid w:val="00067629"/>
    <w:rsid w:val="000721C7"/>
    <w:rsid w:val="000730E0"/>
    <w:rsid w:val="00073A43"/>
    <w:rsid w:val="00073AB1"/>
    <w:rsid w:val="00073EC7"/>
    <w:rsid w:val="00074248"/>
    <w:rsid w:val="0007515F"/>
    <w:rsid w:val="0007568D"/>
    <w:rsid w:val="000757C5"/>
    <w:rsid w:val="000763C6"/>
    <w:rsid w:val="000772CB"/>
    <w:rsid w:val="00080C0D"/>
    <w:rsid w:val="00080F14"/>
    <w:rsid w:val="00081737"/>
    <w:rsid w:val="00082D61"/>
    <w:rsid w:val="00082DD1"/>
    <w:rsid w:val="00087A4B"/>
    <w:rsid w:val="00090895"/>
    <w:rsid w:val="00090B70"/>
    <w:rsid w:val="000921F7"/>
    <w:rsid w:val="000923DE"/>
    <w:rsid w:val="00092707"/>
    <w:rsid w:val="00092B6F"/>
    <w:rsid w:val="000947AE"/>
    <w:rsid w:val="00094F60"/>
    <w:rsid w:val="00095911"/>
    <w:rsid w:val="00095D9A"/>
    <w:rsid w:val="0009604D"/>
    <w:rsid w:val="00097883"/>
    <w:rsid w:val="000978A4"/>
    <w:rsid w:val="000A0F0B"/>
    <w:rsid w:val="000A0FBD"/>
    <w:rsid w:val="000A11EB"/>
    <w:rsid w:val="000A23D4"/>
    <w:rsid w:val="000A3A3E"/>
    <w:rsid w:val="000A42D3"/>
    <w:rsid w:val="000A48D2"/>
    <w:rsid w:val="000A4CC5"/>
    <w:rsid w:val="000A64BD"/>
    <w:rsid w:val="000A68DD"/>
    <w:rsid w:val="000A7B68"/>
    <w:rsid w:val="000B0D9A"/>
    <w:rsid w:val="000B20C2"/>
    <w:rsid w:val="000B2C30"/>
    <w:rsid w:val="000B3324"/>
    <w:rsid w:val="000B3B81"/>
    <w:rsid w:val="000B4277"/>
    <w:rsid w:val="000B51DE"/>
    <w:rsid w:val="000B5530"/>
    <w:rsid w:val="000B6426"/>
    <w:rsid w:val="000B6DF2"/>
    <w:rsid w:val="000C14F7"/>
    <w:rsid w:val="000C2C2E"/>
    <w:rsid w:val="000C322A"/>
    <w:rsid w:val="000C325A"/>
    <w:rsid w:val="000C3564"/>
    <w:rsid w:val="000C40AD"/>
    <w:rsid w:val="000C47A7"/>
    <w:rsid w:val="000C6100"/>
    <w:rsid w:val="000D0039"/>
    <w:rsid w:val="000D1C62"/>
    <w:rsid w:val="000D3C6B"/>
    <w:rsid w:val="000D4748"/>
    <w:rsid w:val="000D5155"/>
    <w:rsid w:val="000D5514"/>
    <w:rsid w:val="000D61ED"/>
    <w:rsid w:val="000E0B1C"/>
    <w:rsid w:val="000E0CFD"/>
    <w:rsid w:val="000E13D9"/>
    <w:rsid w:val="000E1848"/>
    <w:rsid w:val="000E3BDF"/>
    <w:rsid w:val="000E50A5"/>
    <w:rsid w:val="000E658C"/>
    <w:rsid w:val="000E6B98"/>
    <w:rsid w:val="000E7D7D"/>
    <w:rsid w:val="000F031D"/>
    <w:rsid w:val="000F0D4B"/>
    <w:rsid w:val="000F100C"/>
    <w:rsid w:val="000F11A4"/>
    <w:rsid w:val="000F1515"/>
    <w:rsid w:val="000F1C24"/>
    <w:rsid w:val="000F30B5"/>
    <w:rsid w:val="000F321B"/>
    <w:rsid w:val="000F40AE"/>
    <w:rsid w:val="000F4316"/>
    <w:rsid w:val="000F43F2"/>
    <w:rsid w:val="000F5B9F"/>
    <w:rsid w:val="000F656F"/>
    <w:rsid w:val="000F6F5B"/>
    <w:rsid w:val="000F7A6D"/>
    <w:rsid w:val="001005C3"/>
    <w:rsid w:val="00101011"/>
    <w:rsid w:val="001013EA"/>
    <w:rsid w:val="00101C56"/>
    <w:rsid w:val="00101E5A"/>
    <w:rsid w:val="001021A7"/>
    <w:rsid w:val="00103E00"/>
    <w:rsid w:val="00104955"/>
    <w:rsid w:val="0010497E"/>
    <w:rsid w:val="00104C8D"/>
    <w:rsid w:val="001053CA"/>
    <w:rsid w:val="00106E96"/>
    <w:rsid w:val="001076CA"/>
    <w:rsid w:val="00107C7A"/>
    <w:rsid w:val="001112D6"/>
    <w:rsid w:val="0011241D"/>
    <w:rsid w:val="00114BD9"/>
    <w:rsid w:val="00115CFF"/>
    <w:rsid w:val="00117911"/>
    <w:rsid w:val="00120382"/>
    <w:rsid w:val="00120432"/>
    <w:rsid w:val="00120A9C"/>
    <w:rsid w:val="001214BC"/>
    <w:rsid w:val="0012185B"/>
    <w:rsid w:val="00121A1A"/>
    <w:rsid w:val="001228CF"/>
    <w:rsid w:val="0012326B"/>
    <w:rsid w:val="001269D6"/>
    <w:rsid w:val="00130145"/>
    <w:rsid w:val="00131182"/>
    <w:rsid w:val="00133061"/>
    <w:rsid w:val="00135776"/>
    <w:rsid w:val="00135B80"/>
    <w:rsid w:val="001372AA"/>
    <w:rsid w:val="001376B6"/>
    <w:rsid w:val="001378BB"/>
    <w:rsid w:val="00143261"/>
    <w:rsid w:val="0014365B"/>
    <w:rsid w:val="00144543"/>
    <w:rsid w:val="00145874"/>
    <w:rsid w:val="0014662D"/>
    <w:rsid w:val="00146C6C"/>
    <w:rsid w:val="00147268"/>
    <w:rsid w:val="001509FC"/>
    <w:rsid w:val="00151049"/>
    <w:rsid w:val="00152841"/>
    <w:rsid w:val="00152A4C"/>
    <w:rsid w:val="00154C8E"/>
    <w:rsid w:val="0015591C"/>
    <w:rsid w:val="00155A46"/>
    <w:rsid w:val="00157DC4"/>
    <w:rsid w:val="001607C9"/>
    <w:rsid w:val="00165665"/>
    <w:rsid w:val="0016605B"/>
    <w:rsid w:val="00170BCF"/>
    <w:rsid w:val="0017119C"/>
    <w:rsid w:val="001720B8"/>
    <w:rsid w:val="001733A4"/>
    <w:rsid w:val="001740D2"/>
    <w:rsid w:val="00174801"/>
    <w:rsid w:val="00174F26"/>
    <w:rsid w:val="001769B4"/>
    <w:rsid w:val="0018058C"/>
    <w:rsid w:val="001817D2"/>
    <w:rsid w:val="0018588A"/>
    <w:rsid w:val="00185C03"/>
    <w:rsid w:val="001874C2"/>
    <w:rsid w:val="001879A3"/>
    <w:rsid w:val="00187D47"/>
    <w:rsid w:val="0019111C"/>
    <w:rsid w:val="001925DB"/>
    <w:rsid w:val="00193A0F"/>
    <w:rsid w:val="00195223"/>
    <w:rsid w:val="00196D1E"/>
    <w:rsid w:val="001970B0"/>
    <w:rsid w:val="00197D42"/>
    <w:rsid w:val="00197ED7"/>
    <w:rsid w:val="001A0826"/>
    <w:rsid w:val="001A105A"/>
    <w:rsid w:val="001A3037"/>
    <w:rsid w:val="001A4987"/>
    <w:rsid w:val="001A70EA"/>
    <w:rsid w:val="001A7891"/>
    <w:rsid w:val="001A78E6"/>
    <w:rsid w:val="001B075C"/>
    <w:rsid w:val="001B0CE4"/>
    <w:rsid w:val="001B0E6F"/>
    <w:rsid w:val="001B1FD9"/>
    <w:rsid w:val="001B3E05"/>
    <w:rsid w:val="001B42B2"/>
    <w:rsid w:val="001B5453"/>
    <w:rsid w:val="001B63D0"/>
    <w:rsid w:val="001B69CB"/>
    <w:rsid w:val="001B741A"/>
    <w:rsid w:val="001B7443"/>
    <w:rsid w:val="001B7A29"/>
    <w:rsid w:val="001C1147"/>
    <w:rsid w:val="001C1582"/>
    <w:rsid w:val="001C169F"/>
    <w:rsid w:val="001C19EA"/>
    <w:rsid w:val="001C2751"/>
    <w:rsid w:val="001C3022"/>
    <w:rsid w:val="001C5C9F"/>
    <w:rsid w:val="001C7F1E"/>
    <w:rsid w:val="001D15B9"/>
    <w:rsid w:val="001D1984"/>
    <w:rsid w:val="001D2AA9"/>
    <w:rsid w:val="001D3077"/>
    <w:rsid w:val="001D35A7"/>
    <w:rsid w:val="001D4861"/>
    <w:rsid w:val="001D4B6C"/>
    <w:rsid w:val="001D7757"/>
    <w:rsid w:val="001E35B5"/>
    <w:rsid w:val="001E3879"/>
    <w:rsid w:val="001E4513"/>
    <w:rsid w:val="001E608C"/>
    <w:rsid w:val="001E60FE"/>
    <w:rsid w:val="001E7062"/>
    <w:rsid w:val="001E7601"/>
    <w:rsid w:val="001E77AA"/>
    <w:rsid w:val="001F1480"/>
    <w:rsid w:val="001F1638"/>
    <w:rsid w:val="001F4C1C"/>
    <w:rsid w:val="001F571F"/>
    <w:rsid w:val="001F5880"/>
    <w:rsid w:val="00200F0C"/>
    <w:rsid w:val="002020BB"/>
    <w:rsid w:val="002022F5"/>
    <w:rsid w:val="00203B59"/>
    <w:rsid w:val="002108B0"/>
    <w:rsid w:val="00210ABB"/>
    <w:rsid w:val="002115D1"/>
    <w:rsid w:val="00211B2F"/>
    <w:rsid w:val="00213EB0"/>
    <w:rsid w:val="0021415C"/>
    <w:rsid w:val="00214C5A"/>
    <w:rsid w:val="0021511F"/>
    <w:rsid w:val="0021737D"/>
    <w:rsid w:val="002173A5"/>
    <w:rsid w:val="00223DA7"/>
    <w:rsid w:val="002248AC"/>
    <w:rsid w:val="00227D2E"/>
    <w:rsid w:val="00230377"/>
    <w:rsid w:val="00232344"/>
    <w:rsid w:val="00232748"/>
    <w:rsid w:val="00234526"/>
    <w:rsid w:val="00234650"/>
    <w:rsid w:val="00234AF2"/>
    <w:rsid w:val="00234BCD"/>
    <w:rsid w:val="0023502F"/>
    <w:rsid w:val="00235A4D"/>
    <w:rsid w:val="00236096"/>
    <w:rsid w:val="00236327"/>
    <w:rsid w:val="0023647F"/>
    <w:rsid w:val="002373E1"/>
    <w:rsid w:val="0024002B"/>
    <w:rsid w:val="002407E8"/>
    <w:rsid w:val="0024123C"/>
    <w:rsid w:val="00241264"/>
    <w:rsid w:val="002461D6"/>
    <w:rsid w:val="00246FC5"/>
    <w:rsid w:val="00247D39"/>
    <w:rsid w:val="0025055C"/>
    <w:rsid w:val="00250ADF"/>
    <w:rsid w:val="002512C6"/>
    <w:rsid w:val="00252AFA"/>
    <w:rsid w:val="00252FDD"/>
    <w:rsid w:val="00253286"/>
    <w:rsid w:val="002534BB"/>
    <w:rsid w:val="00253BD2"/>
    <w:rsid w:val="002545CE"/>
    <w:rsid w:val="002545EC"/>
    <w:rsid w:val="00255CE2"/>
    <w:rsid w:val="002569EF"/>
    <w:rsid w:val="0025706D"/>
    <w:rsid w:val="00260880"/>
    <w:rsid w:val="002611AB"/>
    <w:rsid w:val="00261E7C"/>
    <w:rsid w:val="00265A4D"/>
    <w:rsid w:val="00265EA8"/>
    <w:rsid w:val="002701C7"/>
    <w:rsid w:val="00270A5A"/>
    <w:rsid w:val="00271284"/>
    <w:rsid w:val="00271707"/>
    <w:rsid w:val="00272405"/>
    <w:rsid w:val="00274842"/>
    <w:rsid w:val="00274E68"/>
    <w:rsid w:val="00275287"/>
    <w:rsid w:val="00275AEB"/>
    <w:rsid w:val="0027624F"/>
    <w:rsid w:val="002769F7"/>
    <w:rsid w:val="002776AC"/>
    <w:rsid w:val="00277D3F"/>
    <w:rsid w:val="00280E84"/>
    <w:rsid w:val="00280E91"/>
    <w:rsid w:val="00281327"/>
    <w:rsid w:val="002817E4"/>
    <w:rsid w:val="00282F62"/>
    <w:rsid w:val="00284D1C"/>
    <w:rsid w:val="00285FED"/>
    <w:rsid w:val="0028774C"/>
    <w:rsid w:val="00287797"/>
    <w:rsid w:val="002917F5"/>
    <w:rsid w:val="00291C9F"/>
    <w:rsid w:val="00292DD7"/>
    <w:rsid w:val="002937FF"/>
    <w:rsid w:val="002939B2"/>
    <w:rsid w:val="00295294"/>
    <w:rsid w:val="00295EAD"/>
    <w:rsid w:val="00295F62"/>
    <w:rsid w:val="00297540"/>
    <w:rsid w:val="00297A13"/>
    <w:rsid w:val="00297AE7"/>
    <w:rsid w:val="002A15E8"/>
    <w:rsid w:val="002A2897"/>
    <w:rsid w:val="002A387B"/>
    <w:rsid w:val="002A4D34"/>
    <w:rsid w:val="002A4E86"/>
    <w:rsid w:val="002A50E5"/>
    <w:rsid w:val="002A5B76"/>
    <w:rsid w:val="002A62E2"/>
    <w:rsid w:val="002A6D9C"/>
    <w:rsid w:val="002A7595"/>
    <w:rsid w:val="002B108C"/>
    <w:rsid w:val="002B1232"/>
    <w:rsid w:val="002B1CD8"/>
    <w:rsid w:val="002B3278"/>
    <w:rsid w:val="002B5758"/>
    <w:rsid w:val="002B62DA"/>
    <w:rsid w:val="002B6404"/>
    <w:rsid w:val="002C036E"/>
    <w:rsid w:val="002C0433"/>
    <w:rsid w:val="002C0843"/>
    <w:rsid w:val="002C1F9A"/>
    <w:rsid w:val="002C2E9C"/>
    <w:rsid w:val="002C3210"/>
    <w:rsid w:val="002C38E8"/>
    <w:rsid w:val="002C3E30"/>
    <w:rsid w:val="002C4382"/>
    <w:rsid w:val="002C4D1A"/>
    <w:rsid w:val="002C54AD"/>
    <w:rsid w:val="002C54D0"/>
    <w:rsid w:val="002C5B25"/>
    <w:rsid w:val="002C5C4B"/>
    <w:rsid w:val="002C7551"/>
    <w:rsid w:val="002D1364"/>
    <w:rsid w:val="002D1B9B"/>
    <w:rsid w:val="002D2776"/>
    <w:rsid w:val="002D3421"/>
    <w:rsid w:val="002D375E"/>
    <w:rsid w:val="002D3C3B"/>
    <w:rsid w:val="002D482F"/>
    <w:rsid w:val="002D69AD"/>
    <w:rsid w:val="002D6C27"/>
    <w:rsid w:val="002D719C"/>
    <w:rsid w:val="002D7F49"/>
    <w:rsid w:val="002E0DA7"/>
    <w:rsid w:val="002E1961"/>
    <w:rsid w:val="002E2BEF"/>
    <w:rsid w:val="002E2F7A"/>
    <w:rsid w:val="002E355D"/>
    <w:rsid w:val="002E3ABF"/>
    <w:rsid w:val="002E4141"/>
    <w:rsid w:val="002E4394"/>
    <w:rsid w:val="002E47B8"/>
    <w:rsid w:val="002E532F"/>
    <w:rsid w:val="002E5DE8"/>
    <w:rsid w:val="002E74CF"/>
    <w:rsid w:val="002E7547"/>
    <w:rsid w:val="002E762A"/>
    <w:rsid w:val="002F03C0"/>
    <w:rsid w:val="002F04D3"/>
    <w:rsid w:val="002F4C3C"/>
    <w:rsid w:val="002F4E5C"/>
    <w:rsid w:val="002F5012"/>
    <w:rsid w:val="002F68D0"/>
    <w:rsid w:val="002F6910"/>
    <w:rsid w:val="0030049F"/>
    <w:rsid w:val="0030115B"/>
    <w:rsid w:val="0030457C"/>
    <w:rsid w:val="003047F4"/>
    <w:rsid w:val="00304AC4"/>
    <w:rsid w:val="00305B26"/>
    <w:rsid w:val="00305FF3"/>
    <w:rsid w:val="0030644C"/>
    <w:rsid w:val="003071E4"/>
    <w:rsid w:val="00307DCC"/>
    <w:rsid w:val="003103E9"/>
    <w:rsid w:val="0031087D"/>
    <w:rsid w:val="00310E09"/>
    <w:rsid w:val="00311CB8"/>
    <w:rsid w:val="003128DA"/>
    <w:rsid w:val="0031317A"/>
    <w:rsid w:val="00313B11"/>
    <w:rsid w:val="0031624D"/>
    <w:rsid w:val="00316378"/>
    <w:rsid w:val="003165E3"/>
    <w:rsid w:val="00316E81"/>
    <w:rsid w:val="00320EB3"/>
    <w:rsid w:val="00322209"/>
    <w:rsid w:val="00322D2D"/>
    <w:rsid w:val="00324EDD"/>
    <w:rsid w:val="00324F29"/>
    <w:rsid w:val="00325DDC"/>
    <w:rsid w:val="00325FB6"/>
    <w:rsid w:val="00326A6B"/>
    <w:rsid w:val="00326FF1"/>
    <w:rsid w:val="0032739A"/>
    <w:rsid w:val="0033168E"/>
    <w:rsid w:val="00331B07"/>
    <w:rsid w:val="00331EB8"/>
    <w:rsid w:val="00331FDD"/>
    <w:rsid w:val="00332EF9"/>
    <w:rsid w:val="00333FDE"/>
    <w:rsid w:val="00334B11"/>
    <w:rsid w:val="00336DEE"/>
    <w:rsid w:val="00336E2D"/>
    <w:rsid w:val="00336FCD"/>
    <w:rsid w:val="00337878"/>
    <w:rsid w:val="00337C84"/>
    <w:rsid w:val="003406F9"/>
    <w:rsid w:val="00341674"/>
    <w:rsid w:val="003417C5"/>
    <w:rsid w:val="0034242A"/>
    <w:rsid w:val="00342512"/>
    <w:rsid w:val="00342812"/>
    <w:rsid w:val="003430C5"/>
    <w:rsid w:val="00343B08"/>
    <w:rsid w:val="00346BEB"/>
    <w:rsid w:val="003502F7"/>
    <w:rsid w:val="00350B4E"/>
    <w:rsid w:val="00350D3E"/>
    <w:rsid w:val="003511BF"/>
    <w:rsid w:val="003513F7"/>
    <w:rsid w:val="00352538"/>
    <w:rsid w:val="00353E1D"/>
    <w:rsid w:val="003541BD"/>
    <w:rsid w:val="003551CA"/>
    <w:rsid w:val="0035543E"/>
    <w:rsid w:val="00356AA1"/>
    <w:rsid w:val="00356EC0"/>
    <w:rsid w:val="00357EC2"/>
    <w:rsid w:val="00360C67"/>
    <w:rsid w:val="003612D3"/>
    <w:rsid w:val="00361715"/>
    <w:rsid w:val="0036217E"/>
    <w:rsid w:val="00362700"/>
    <w:rsid w:val="003634FC"/>
    <w:rsid w:val="003640F4"/>
    <w:rsid w:val="003646B4"/>
    <w:rsid w:val="0036561F"/>
    <w:rsid w:val="00365809"/>
    <w:rsid w:val="003668FE"/>
    <w:rsid w:val="00367E84"/>
    <w:rsid w:val="00370521"/>
    <w:rsid w:val="00370A9D"/>
    <w:rsid w:val="00370DEC"/>
    <w:rsid w:val="0037216A"/>
    <w:rsid w:val="003728F7"/>
    <w:rsid w:val="00373A24"/>
    <w:rsid w:val="00373CE1"/>
    <w:rsid w:val="00375A77"/>
    <w:rsid w:val="00375D86"/>
    <w:rsid w:val="00375EAE"/>
    <w:rsid w:val="003766A0"/>
    <w:rsid w:val="00376DA9"/>
    <w:rsid w:val="003774EA"/>
    <w:rsid w:val="00380B27"/>
    <w:rsid w:val="00380F0E"/>
    <w:rsid w:val="00381088"/>
    <w:rsid w:val="00381162"/>
    <w:rsid w:val="00382694"/>
    <w:rsid w:val="00383F95"/>
    <w:rsid w:val="003845E9"/>
    <w:rsid w:val="003851EF"/>
    <w:rsid w:val="00385BD2"/>
    <w:rsid w:val="003871CE"/>
    <w:rsid w:val="003875C9"/>
    <w:rsid w:val="00387ABD"/>
    <w:rsid w:val="00391097"/>
    <w:rsid w:val="00391580"/>
    <w:rsid w:val="00392536"/>
    <w:rsid w:val="0039289D"/>
    <w:rsid w:val="00393C1F"/>
    <w:rsid w:val="00394F24"/>
    <w:rsid w:val="003954B7"/>
    <w:rsid w:val="00395F20"/>
    <w:rsid w:val="003973ED"/>
    <w:rsid w:val="003A225F"/>
    <w:rsid w:val="003A2458"/>
    <w:rsid w:val="003A25B4"/>
    <w:rsid w:val="003A2860"/>
    <w:rsid w:val="003A3ADB"/>
    <w:rsid w:val="003A3FBB"/>
    <w:rsid w:val="003A4487"/>
    <w:rsid w:val="003A5BB5"/>
    <w:rsid w:val="003A5E49"/>
    <w:rsid w:val="003A6CDE"/>
    <w:rsid w:val="003B10B8"/>
    <w:rsid w:val="003B1D1F"/>
    <w:rsid w:val="003B46F5"/>
    <w:rsid w:val="003B5403"/>
    <w:rsid w:val="003B5B0B"/>
    <w:rsid w:val="003B687E"/>
    <w:rsid w:val="003B68A5"/>
    <w:rsid w:val="003B6998"/>
    <w:rsid w:val="003B790C"/>
    <w:rsid w:val="003C04AB"/>
    <w:rsid w:val="003C161D"/>
    <w:rsid w:val="003C277C"/>
    <w:rsid w:val="003C2AD6"/>
    <w:rsid w:val="003C4674"/>
    <w:rsid w:val="003C66C3"/>
    <w:rsid w:val="003C6F52"/>
    <w:rsid w:val="003C6FC3"/>
    <w:rsid w:val="003C706A"/>
    <w:rsid w:val="003C7945"/>
    <w:rsid w:val="003C7E86"/>
    <w:rsid w:val="003D1B4B"/>
    <w:rsid w:val="003D2438"/>
    <w:rsid w:val="003D53DA"/>
    <w:rsid w:val="003D5B3D"/>
    <w:rsid w:val="003D5D69"/>
    <w:rsid w:val="003D6301"/>
    <w:rsid w:val="003D7AD9"/>
    <w:rsid w:val="003D7EA2"/>
    <w:rsid w:val="003E10D5"/>
    <w:rsid w:val="003E452E"/>
    <w:rsid w:val="003E46E9"/>
    <w:rsid w:val="003E5F90"/>
    <w:rsid w:val="003E6145"/>
    <w:rsid w:val="003E64BF"/>
    <w:rsid w:val="003E6DD5"/>
    <w:rsid w:val="003E7E40"/>
    <w:rsid w:val="003F007E"/>
    <w:rsid w:val="003F312E"/>
    <w:rsid w:val="003F3D3C"/>
    <w:rsid w:val="003F47DA"/>
    <w:rsid w:val="003F4879"/>
    <w:rsid w:val="003F4DFA"/>
    <w:rsid w:val="003F5499"/>
    <w:rsid w:val="003F552F"/>
    <w:rsid w:val="003F5BAE"/>
    <w:rsid w:val="003F5F98"/>
    <w:rsid w:val="003F6C37"/>
    <w:rsid w:val="004003A6"/>
    <w:rsid w:val="00400EDA"/>
    <w:rsid w:val="00402AFE"/>
    <w:rsid w:val="0040364A"/>
    <w:rsid w:val="004052BA"/>
    <w:rsid w:val="00406579"/>
    <w:rsid w:val="00406D12"/>
    <w:rsid w:val="00407B64"/>
    <w:rsid w:val="00407F0E"/>
    <w:rsid w:val="00411BB4"/>
    <w:rsid w:val="00414DD4"/>
    <w:rsid w:val="004155F3"/>
    <w:rsid w:val="004162C4"/>
    <w:rsid w:val="00417C40"/>
    <w:rsid w:val="00417DFA"/>
    <w:rsid w:val="00421D06"/>
    <w:rsid w:val="004226C7"/>
    <w:rsid w:val="00422D25"/>
    <w:rsid w:val="004230CD"/>
    <w:rsid w:val="00424740"/>
    <w:rsid w:val="004252C7"/>
    <w:rsid w:val="00425528"/>
    <w:rsid w:val="00425D02"/>
    <w:rsid w:val="00426356"/>
    <w:rsid w:val="00426E26"/>
    <w:rsid w:val="00427892"/>
    <w:rsid w:val="00427B4C"/>
    <w:rsid w:val="00427F74"/>
    <w:rsid w:val="0043053A"/>
    <w:rsid w:val="00431B62"/>
    <w:rsid w:val="00433217"/>
    <w:rsid w:val="00437689"/>
    <w:rsid w:val="004412AC"/>
    <w:rsid w:val="0044306F"/>
    <w:rsid w:val="00443B08"/>
    <w:rsid w:val="00443F14"/>
    <w:rsid w:val="004458B7"/>
    <w:rsid w:val="00445CBA"/>
    <w:rsid w:val="00450913"/>
    <w:rsid w:val="00451DC8"/>
    <w:rsid w:val="0045206B"/>
    <w:rsid w:val="0045209D"/>
    <w:rsid w:val="004537B7"/>
    <w:rsid w:val="00453EC0"/>
    <w:rsid w:val="00453F98"/>
    <w:rsid w:val="0045489D"/>
    <w:rsid w:val="004549FB"/>
    <w:rsid w:val="00454E5D"/>
    <w:rsid w:val="0045527B"/>
    <w:rsid w:val="00457B16"/>
    <w:rsid w:val="00461AEB"/>
    <w:rsid w:val="00461BDB"/>
    <w:rsid w:val="004629FD"/>
    <w:rsid w:val="00463B49"/>
    <w:rsid w:val="0046556F"/>
    <w:rsid w:val="00466537"/>
    <w:rsid w:val="00466D98"/>
    <w:rsid w:val="0047004F"/>
    <w:rsid w:val="00470611"/>
    <w:rsid w:val="004710FD"/>
    <w:rsid w:val="00471961"/>
    <w:rsid w:val="00471F9E"/>
    <w:rsid w:val="00472A1C"/>
    <w:rsid w:val="00472B35"/>
    <w:rsid w:val="004751A7"/>
    <w:rsid w:val="004758FE"/>
    <w:rsid w:val="00480B6E"/>
    <w:rsid w:val="004814E1"/>
    <w:rsid w:val="00481F1A"/>
    <w:rsid w:val="004822F1"/>
    <w:rsid w:val="0048312C"/>
    <w:rsid w:val="004835F9"/>
    <w:rsid w:val="00483E5C"/>
    <w:rsid w:val="004849BF"/>
    <w:rsid w:val="00484F9C"/>
    <w:rsid w:val="0048671B"/>
    <w:rsid w:val="00486825"/>
    <w:rsid w:val="00491507"/>
    <w:rsid w:val="004921FA"/>
    <w:rsid w:val="0049240D"/>
    <w:rsid w:val="004950AB"/>
    <w:rsid w:val="00495872"/>
    <w:rsid w:val="004960D6"/>
    <w:rsid w:val="0049610F"/>
    <w:rsid w:val="00497020"/>
    <w:rsid w:val="004A35DB"/>
    <w:rsid w:val="004A4944"/>
    <w:rsid w:val="004A4FEE"/>
    <w:rsid w:val="004A5379"/>
    <w:rsid w:val="004A5DBC"/>
    <w:rsid w:val="004B0CCD"/>
    <w:rsid w:val="004B2CA7"/>
    <w:rsid w:val="004B2CD0"/>
    <w:rsid w:val="004B2FF3"/>
    <w:rsid w:val="004B32F4"/>
    <w:rsid w:val="004B35EF"/>
    <w:rsid w:val="004B43A0"/>
    <w:rsid w:val="004B50BB"/>
    <w:rsid w:val="004B59F6"/>
    <w:rsid w:val="004B6066"/>
    <w:rsid w:val="004B682E"/>
    <w:rsid w:val="004B6DEA"/>
    <w:rsid w:val="004B6DFF"/>
    <w:rsid w:val="004B766F"/>
    <w:rsid w:val="004B79B9"/>
    <w:rsid w:val="004C01A8"/>
    <w:rsid w:val="004C0E3A"/>
    <w:rsid w:val="004C1341"/>
    <w:rsid w:val="004C15D8"/>
    <w:rsid w:val="004C3D35"/>
    <w:rsid w:val="004C4268"/>
    <w:rsid w:val="004C6190"/>
    <w:rsid w:val="004C714D"/>
    <w:rsid w:val="004C7BD0"/>
    <w:rsid w:val="004C7C15"/>
    <w:rsid w:val="004D0292"/>
    <w:rsid w:val="004D0834"/>
    <w:rsid w:val="004D1E90"/>
    <w:rsid w:val="004D2089"/>
    <w:rsid w:val="004D22A6"/>
    <w:rsid w:val="004D22CF"/>
    <w:rsid w:val="004D3592"/>
    <w:rsid w:val="004D3964"/>
    <w:rsid w:val="004D4405"/>
    <w:rsid w:val="004D4B64"/>
    <w:rsid w:val="004D5BEC"/>
    <w:rsid w:val="004D5BF5"/>
    <w:rsid w:val="004D6379"/>
    <w:rsid w:val="004D70B9"/>
    <w:rsid w:val="004D78D1"/>
    <w:rsid w:val="004E0F53"/>
    <w:rsid w:val="004E30A8"/>
    <w:rsid w:val="004E3308"/>
    <w:rsid w:val="004E3429"/>
    <w:rsid w:val="004E3A21"/>
    <w:rsid w:val="004E7377"/>
    <w:rsid w:val="004F18B1"/>
    <w:rsid w:val="004F23D6"/>
    <w:rsid w:val="004F3373"/>
    <w:rsid w:val="004F4E92"/>
    <w:rsid w:val="0050044A"/>
    <w:rsid w:val="0050112D"/>
    <w:rsid w:val="00501948"/>
    <w:rsid w:val="00502404"/>
    <w:rsid w:val="005043BC"/>
    <w:rsid w:val="00504C89"/>
    <w:rsid w:val="00505AC6"/>
    <w:rsid w:val="00507395"/>
    <w:rsid w:val="00512A9A"/>
    <w:rsid w:val="00512F18"/>
    <w:rsid w:val="00513527"/>
    <w:rsid w:val="00513BC4"/>
    <w:rsid w:val="005142B6"/>
    <w:rsid w:val="00514E68"/>
    <w:rsid w:val="005165FB"/>
    <w:rsid w:val="00517838"/>
    <w:rsid w:val="00517F3E"/>
    <w:rsid w:val="005210A7"/>
    <w:rsid w:val="00521A6C"/>
    <w:rsid w:val="005228F7"/>
    <w:rsid w:val="0052322F"/>
    <w:rsid w:val="00523E72"/>
    <w:rsid w:val="00524B00"/>
    <w:rsid w:val="005250A3"/>
    <w:rsid w:val="00525808"/>
    <w:rsid w:val="00525EC8"/>
    <w:rsid w:val="00526F88"/>
    <w:rsid w:val="00527153"/>
    <w:rsid w:val="005276E5"/>
    <w:rsid w:val="00527E06"/>
    <w:rsid w:val="00530806"/>
    <w:rsid w:val="005309CC"/>
    <w:rsid w:val="00533733"/>
    <w:rsid w:val="00535565"/>
    <w:rsid w:val="00535FA2"/>
    <w:rsid w:val="00536B57"/>
    <w:rsid w:val="00536D72"/>
    <w:rsid w:val="005422CE"/>
    <w:rsid w:val="005431FF"/>
    <w:rsid w:val="0054471C"/>
    <w:rsid w:val="0054478F"/>
    <w:rsid w:val="00544861"/>
    <w:rsid w:val="00544C59"/>
    <w:rsid w:val="00544DAF"/>
    <w:rsid w:val="0054510B"/>
    <w:rsid w:val="00546571"/>
    <w:rsid w:val="0054677F"/>
    <w:rsid w:val="005468F1"/>
    <w:rsid w:val="00547C14"/>
    <w:rsid w:val="00550999"/>
    <w:rsid w:val="00551FEA"/>
    <w:rsid w:val="00552D04"/>
    <w:rsid w:val="00554040"/>
    <w:rsid w:val="00554874"/>
    <w:rsid w:val="00555E4E"/>
    <w:rsid w:val="005564B9"/>
    <w:rsid w:val="00556B6A"/>
    <w:rsid w:val="00561DC4"/>
    <w:rsid w:val="005645E8"/>
    <w:rsid w:val="005662D1"/>
    <w:rsid w:val="005664F1"/>
    <w:rsid w:val="00566716"/>
    <w:rsid w:val="00566CD8"/>
    <w:rsid w:val="005702A7"/>
    <w:rsid w:val="005709B7"/>
    <w:rsid w:val="00570A2E"/>
    <w:rsid w:val="00570D4D"/>
    <w:rsid w:val="0057139A"/>
    <w:rsid w:val="0057168F"/>
    <w:rsid w:val="00571E49"/>
    <w:rsid w:val="00571FE9"/>
    <w:rsid w:val="00573046"/>
    <w:rsid w:val="00573B6F"/>
    <w:rsid w:val="005740C2"/>
    <w:rsid w:val="0057628E"/>
    <w:rsid w:val="005770AB"/>
    <w:rsid w:val="00577A39"/>
    <w:rsid w:val="00577E68"/>
    <w:rsid w:val="00577F4B"/>
    <w:rsid w:val="00583DA9"/>
    <w:rsid w:val="00584B6C"/>
    <w:rsid w:val="00585906"/>
    <w:rsid w:val="00586A7D"/>
    <w:rsid w:val="00586DCE"/>
    <w:rsid w:val="005879BC"/>
    <w:rsid w:val="00593FE9"/>
    <w:rsid w:val="00594674"/>
    <w:rsid w:val="00594B9B"/>
    <w:rsid w:val="00594CDA"/>
    <w:rsid w:val="005962CF"/>
    <w:rsid w:val="00596EF8"/>
    <w:rsid w:val="005978EC"/>
    <w:rsid w:val="00597D69"/>
    <w:rsid w:val="005A1F76"/>
    <w:rsid w:val="005A20F6"/>
    <w:rsid w:val="005A37EB"/>
    <w:rsid w:val="005A5438"/>
    <w:rsid w:val="005A6958"/>
    <w:rsid w:val="005A6EE0"/>
    <w:rsid w:val="005A6F94"/>
    <w:rsid w:val="005A7DFC"/>
    <w:rsid w:val="005B0A68"/>
    <w:rsid w:val="005B1542"/>
    <w:rsid w:val="005B1CEF"/>
    <w:rsid w:val="005B4456"/>
    <w:rsid w:val="005B4EAE"/>
    <w:rsid w:val="005B50DF"/>
    <w:rsid w:val="005B60D8"/>
    <w:rsid w:val="005C00CA"/>
    <w:rsid w:val="005C0BA5"/>
    <w:rsid w:val="005C3062"/>
    <w:rsid w:val="005C44AC"/>
    <w:rsid w:val="005C6236"/>
    <w:rsid w:val="005D019D"/>
    <w:rsid w:val="005D064A"/>
    <w:rsid w:val="005D0743"/>
    <w:rsid w:val="005D0F27"/>
    <w:rsid w:val="005D18AD"/>
    <w:rsid w:val="005D481E"/>
    <w:rsid w:val="005D5029"/>
    <w:rsid w:val="005D5FAD"/>
    <w:rsid w:val="005D6378"/>
    <w:rsid w:val="005D63F4"/>
    <w:rsid w:val="005E0CDB"/>
    <w:rsid w:val="005E1B55"/>
    <w:rsid w:val="005E1DDB"/>
    <w:rsid w:val="005E4FBF"/>
    <w:rsid w:val="005E53FF"/>
    <w:rsid w:val="005E7133"/>
    <w:rsid w:val="005E7659"/>
    <w:rsid w:val="005E76AA"/>
    <w:rsid w:val="005F0B5B"/>
    <w:rsid w:val="005F335E"/>
    <w:rsid w:val="005F351D"/>
    <w:rsid w:val="005F3AAD"/>
    <w:rsid w:val="005F592C"/>
    <w:rsid w:val="005F66CD"/>
    <w:rsid w:val="005F73CF"/>
    <w:rsid w:val="006006B4"/>
    <w:rsid w:val="00600C8B"/>
    <w:rsid w:val="00600DFA"/>
    <w:rsid w:val="006025A9"/>
    <w:rsid w:val="00603B36"/>
    <w:rsid w:val="00603BBD"/>
    <w:rsid w:val="00603F48"/>
    <w:rsid w:val="00604398"/>
    <w:rsid w:val="00604E90"/>
    <w:rsid w:val="006070B3"/>
    <w:rsid w:val="006073B7"/>
    <w:rsid w:val="00610694"/>
    <w:rsid w:val="006116B9"/>
    <w:rsid w:val="006127C7"/>
    <w:rsid w:val="0061285C"/>
    <w:rsid w:val="006135D0"/>
    <w:rsid w:val="006136EA"/>
    <w:rsid w:val="00613BEA"/>
    <w:rsid w:val="00614909"/>
    <w:rsid w:val="006152B4"/>
    <w:rsid w:val="00615C55"/>
    <w:rsid w:val="00616498"/>
    <w:rsid w:val="0061752C"/>
    <w:rsid w:val="00617AD7"/>
    <w:rsid w:val="00620046"/>
    <w:rsid w:val="0062029B"/>
    <w:rsid w:val="00622824"/>
    <w:rsid w:val="00622C33"/>
    <w:rsid w:val="00623E4A"/>
    <w:rsid w:val="00624D80"/>
    <w:rsid w:val="00624E06"/>
    <w:rsid w:val="006250FB"/>
    <w:rsid w:val="00626B98"/>
    <w:rsid w:val="006305FB"/>
    <w:rsid w:val="00630C14"/>
    <w:rsid w:val="00630C1B"/>
    <w:rsid w:val="00632215"/>
    <w:rsid w:val="00633EA1"/>
    <w:rsid w:val="00634709"/>
    <w:rsid w:val="00635250"/>
    <w:rsid w:val="006355B8"/>
    <w:rsid w:val="006357A5"/>
    <w:rsid w:val="00635939"/>
    <w:rsid w:val="0063604F"/>
    <w:rsid w:val="00636A2A"/>
    <w:rsid w:val="0063741C"/>
    <w:rsid w:val="00640907"/>
    <w:rsid w:val="00640D9C"/>
    <w:rsid w:val="00640E93"/>
    <w:rsid w:val="00640F2A"/>
    <w:rsid w:val="006442EA"/>
    <w:rsid w:val="00644BF7"/>
    <w:rsid w:val="006450B0"/>
    <w:rsid w:val="006451F1"/>
    <w:rsid w:val="00647982"/>
    <w:rsid w:val="006479B5"/>
    <w:rsid w:val="0065095E"/>
    <w:rsid w:val="0065114A"/>
    <w:rsid w:val="00653019"/>
    <w:rsid w:val="0065458F"/>
    <w:rsid w:val="0065713C"/>
    <w:rsid w:val="00661139"/>
    <w:rsid w:val="0066142C"/>
    <w:rsid w:val="00666AF8"/>
    <w:rsid w:val="00667382"/>
    <w:rsid w:val="00667912"/>
    <w:rsid w:val="00670028"/>
    <w:rsid w:val="00670594"/>
    <w:rsid w:val="00670CD5"/>
    <w:rsid w:val="00670EC0"/>
    <w:rsid w:val="006722DC"/>
    <w:rsid w:val="00672629"/>
    <w:rsid w:val="006731E2"/>
    <w:rsid w:val="00674778"/>
    <w:rsid w:val="00674C17"/>
    <w:rsid w:val="00674FC2"/>
    <w:rsid w:val="006753F6"/>
    <w:rsid w:val="00675887"/>
    <w:rsid w:val="00680C73"/>
    <w:rsid w:val="0068122E"/>
    <w:rsid w:val="00682A1B"/>
    <w:rsid w:val="0068516D"/>
    <w:rsid w:val="00685E86"/>
    <w:rsid w:val="006863B3"/>
    <w:rsid w:val="006865D8"/>
    <w:rsid w:val="006874F4"/>
    <w:rsid w:val="00690F14"/>
    <w:rsid w:val="00690F5F"/>
    <w:rsid w:val="00691D7A"/>
    <w:rsid w:val="00692206"/>
    <w:rsid w:val="0069302F"/>
    <w:rsid w:val="00695B73"/>
    <w:rsid w:val="006960E5"/>
    <w:rsid w:val="00697395"/>
    <w:rsid w:val="00697D39"/>
    <w:rsid w:val="006A1096"/>
    <w:rsid w:val="006A1C65"/>
    <w:rsid w:val="006A3294"/>
    <w:rsid w:val="006A3C50"/>
    <w:rsid w:val="006A4AFD"/>
    <w:rsid w:val="006A4C0C"/>
    <w:rsid w:val="006A54A6"/>
    <w:rsid w:val="006A5856"/>
    <w:rsid w:val="006B37A5"/>
    <w:rsid w:val="006B4AC9"/>
    <w:rsid w:val="006B4EE1"/>
    <w:rsid w:val="006B600F"/>
    <w:rsid w:val="006B66F1"/>
    <w:rsid w:val="006C0420"/>
    <w:rsid w:val="006C05B6"/>
    <w:rsid w:val="006C1144"/>
    <w:rsid w:val="006C2D2A"/>
    <w:rsid w:val="006C2F8C"/>
    <w:rsid w:val="006C35FD"/>
    <w:rsid w:val="006C5EF5"/>
    <w:rsid w:val="006D1376"/>
    <w:rsid w:val="006D27B5"/>
    <w:rsid w:val="006D5D78"/>
    <w:rsid w:val="006D6193"/>
    <w:rsid w:val="006D653D"/>
    <w:rsid w:val="006D6C70"/>
    <w:rsid w:val="006D710F"/>
    <w:rsid w:val="006E01ED"/>
    <w:rsid w:val="006E1459"/>
    <w:rsid w:val="006E21BD"/>
    <w:rsid w:val="006E2C21"/>
    <w:rsid w:val="006E4C31"/>
    <w:rsid w:val="006E52DA"/>
    <w:rsid w:val="006E52FF"/>
    <w:rsid w:val="006E56BA"/>
    <w:rsid w:val="006E5D44"/>
    <w:rsid w:val="006E5EBA"/>
    <w:rsid w:val="006E5FD9"/>
    <w:rsid w:val="006E652D"/>
    <w:rsid w:val="006E67C8"/>
    <w:rsid w:val="006E6FEF"/>
    <w:rsid w:val="006E72F4"/>
    <w:rsid w:val="006F055A"/>
    <w:rsid w:val="006F17DF"/>
    <w:rsid w:val="006F2AE2"/>
    <w:rsid w:val="006F3246"/>
    <w:rsid w:val="006F3510"/>
    <w:rsid w:val="006F3A9E"/>
    <w:rsid w:val="006F419E"/>
    <w:rsid w:val="006F5313"/>
    <w:rsid w:val="006F590D"/>
    <w:rsid w:val="006F5DC1"/>
    <w:rsid w:val="006F732A"/>
    <w:rsid w:val="00700240"/>
    <w:rsid w:val="0070038E"/>
    <w:rsid w:val="00700792"/>
    <w:rsid w:val="00700B15"/>
    <w:rsid w:val="00701C32"/>
    <w:rsid w:val="00701ED2"/>
    <w:rsid w:val="007026C9"/>
    <w:rsid w:val="00703931"/>
    <w:rsid w:val="00704388"/>
    <w:rsid w:val="0070595D"/>
    <w:rsid w:val="0070661C"/>
    <w:rsid w:val="00706B56"/>
    <w:rsid w:val="00710127"/>
    <w:rsid w:val="00710B94"/>
    <w:rsid w:val="00710D86"/>
    <w:rsid w:val="0071410A"/>
    <w:rsid w:val="007145DC"/>
    <w:rsid w:val="00714684"/>
    <w:rsid w:val="00715A9E"/>
    <w:rsid w:val="00720C48"/>
    <w:rsid w:val="007228EB"/>
    <w:rsid w:val="0072333A"/>
    <w:rsid w:val="00724154"/>
    <w:rsid w:val="0072426E"/>
    <w:rsid w:val="00724513"/>
    <w:rsid w:val="007257A9"/>
    <w:rsid w:val="007276E4"/>
    <w:rsid w:val="007277D8"/>
    <w:rsid w:val="00731235"/>
    <w:rsid w:val="00732901"/>
    <w:rsid w:val="00732B8D"/>
    <w:rsid w:val="0073394E"/>
    <w:rsid w:val="007339D5"/>
    <w:rsid w:val="00734829"/>
    <w:rsid w:val="00735313"/>
    <w:rsid w:val="007355FF"/>
    <w:rsid w:val="0073624B"/>
    <w:rsid w:val="00736A22"/>
    <w:rsid w:val="00737542"/>
    <w:rsid w:val="00737E23"/>
    <w:rsid w:val="007401F4"/>
    <w:rsid w:val="007402F3"/>
    <w:rsid w:val="007412DC"/>
    <w:rsid w:val="007422FB"/>
    <w:rsid w:val="007451CB"/>
    <w:rsid w:val="00745721"/>
    <w:rsid w:val="00745786"/>
    <w:rsid w:val="00747060"/>
    <w:rsid w:val="00750303"/>
    <w:rsid w:val="00750678"/>
    <w:rsid w:val="00750758"/>
    <w:rsid w:val="0075143B"/>
    <w:rsid w:val="00751F16"/>
    <w:rsid w:val="0075241C"/>
    <w:rsid w:val="00752561"/>
    <w:rsid w:val="007541C9"/>
    <w:rsid w:val="007543D7"/>
    <w:rsid w:val="00754681"/>
    <w:rsid w:val="00754DCC"/>
    <w:rsid w:val="007566D4"/>
    <w:rsid w:val="00756946"/>
    <w:rsid w:val="00757732"/>
    <w:rsid w:val="00757BC8"/>
    <w:rsid w:val="00760C48"/>
    <w:rsid w:val="00762B20"/>
    <w:rsid w:val="00763697"/>
    <w:rsid w:val="00766C04"/>
    <w:rsid w:val="00770B1B"/>
    <w:rsid w:val="00770DF8"/>
    <w:rsid w:val="00770E6B"/>
    <w:rsid w:val="00772EC9"/>
    <w:rsid w:val="007736E8"/>
    <w:rsid w:val="0077398F"/>
    <w:rsid w:val="00776535"/>
    <w:rsid w:val="007766E5"/>
    <w:rsid w:val="0077699B"/>
    <w:rsid w:val="00777A70"/>
    <w:rsid w:val="00780474"/>
    <w:rsid w:val="00780A1F"/>
    <w:rsid w:val="00780B4F"/>
    <w:rsid w:val="007812EC"/>
    <w:rsid w:val="007814A2"/>
    <w:rsid w:val="0078152A"/>
    <w:rsid w:val="00782611"/>
    <w:rsid w:val="00782BA2"/>
    <w:rsid w:val="00782DF1"/>
    <w:rsid w:val="00785095"/>
    <w:rsid w:val="007857AD"/>
    <w:rsid w:val="007859E5"/>
    <w:rsid w:val="00786CBB"/>
    <w:rsid w:val="0079042F"/>
    <w:rsid w:val="00791DA3"/>
    <w:rsid w:val="007924CD"/>
    <w:rsid w:val="0079351C"/>
    <w:rsid w:val="00793C10"/>
    <w:rsid w:val="00794871"/>
    <w:rsid w:val="007953B2"/>
    <w:rsid w:val="0079615A"/>
    <w:rsid w:val="00797931"/>
    <w:rsid w:val="00797FCD"/>
    <w:rsid w:val="007A31AA"/>
    <w:rsid w:val="007A3C60"/>
    <w:rsid w:val="007A4407"/>
    <w:rsid w:val="007A66A5"/>
    <w:rsid w:val="007A6819"/>
    <w:rsid w:val="007B0BA5"/>
    <w:rsid w:val="007B0FEA"/>
    <w:rsid w:val="007B2371"/>
    <w:rsid w:val="007B251D"/>
    <w:rsid w:val="007B5A5B"/>
    <w:rsid w:val="007B78A4"/>
    <w:rsid w:val="007B7BE6"/>
    <w:rsid w:val="007C1C26"/>
    <w:rsid w:val="007C1CF4"/>
    <w:rsid w:val="007C338F"/>
    <w:rsid w:val="007C3804"/>
    <w:rsid w:val="007C5F83"/>
    <w:rsid w:val="007C68E4"/>
    <w:rsid w:val="007C7FA6"/>
    <w:rsid w:val="007D2C00"/>
    <w:rsid w:val="007D2F97"/>
    <w:rsid w:val="007D34B8"/>
    <w:rsid w:val="007D4CD1"/>
    <w:rsid w:val="007D4FBE"/>
    <w:rsid w:val="007D5690"/>
    <w:rsid w:val="007D5794"/>
    <w:rsid w:val="007D5869"/>
    <w:rsid w:val="007D6CD5"/>
    <w:rsid w:val="007E1372"/>
    <w:rsid w:val="007E1EA0"/>
    <w:rsid w:val="007E5137"/>
    <w:rsid w:val="007E58C7"/>
    <w:rsid w:val="007E646B"/>
    <w:rsid w:val="007E65FB"/>
    <w:rsid w:val="007E699F"/>
    <w:rsid w:val="007F0934"/>
    <w:rsid w:val="007F0ECA"/>
    <w:rsid w:val="007F1BC2"/>
    <w:rsid w:val="007F21B9"/>
    <w:rsid w:val="007F3C1B"/>
    <w:rsid w:val="007F5AB6"/>
    <w:rsid w:val="00800102"/>
    <w:rsid w:val="008010F6"/>
    <w:rsid w:val="00801F88"/>
    <w:rsid w:val="00802907"/>
    <w:rsid w:val="008033D0"/>
    <w:rsid w:val="0080353E"/>
    <w:rsid w:val="00806707"/>
    <w:rsid w:val="00806957"/>
    <w:rsid w:val="00806C26"/>
    <w:rsid w:val="00806DCC"/>
    <w:rsid w:val="00806FD4"/>
    <w:rsid w:val="008079BC"/>
    <w:rsid w:val="00807A23"/>
    <w:rsid w:val="00810F86"/>
    <w:rsid w:val="00811268"/>
    <w:rsid w:val="00811FA0"/>
    <w:rsid w:val="00814600"/>
    <w:rsid w:val="00815300"/>
    <w:rsid w:val="00815712"/>
    <w:rsid w:val="00815A3E"/>
    <w:rsid w:val="00815E61"/>
    <w:rsid w:val="008164AB"/>
    <w:rsid w:val="008171B9"/>
    <w:rsid w:val="0081722E"/>
    <w:rsid w:val="00817996"/>
    <w:rsid w:val="0082153F"/>
    <w:rsid w:val="00822936"/>
    <w:rsid w:val="00822AA4"/>
    <w:rsid w:val="00823FA1"/>
    <w:rsid w:val="008259B4"/>
    <w:rsid w:val="00826109"/>
    <w:rsid w:val="00826E97"/>
    <w:rsid w:val="008300D4"/>
    <w:rsid w:val="0083019E"/>
    <w:rsid w:val="0083186D"/>
    <w:rsid w:val="00832EAF"/>
    <w:rsid w:val="00834686"/>
    <w:rsid w:val="00834D75"/>
    <w:rsid w:val="008357D7"/>
    <w:rsid w:val="00836BAA"/>
    <w:rsid w:val="008374DB"/>
    <w:rsid w:val="008425BE"/>
    <w:rsid w:val="00842D5E"/>
    <w:rsid w:val="0084554F"/>
    <w:rsid w:val="00845E79"/>
    <w:rsid w:val="00850DF2"/>
    <w:rsid w:val="00851575"/>
    <w:rsid w:val="0085241F"/>
    <w:rsid w:val="0085344D"/>
    <w:rsid w:val="008540A5"/>
    <w:rsid w:val="00854681"/>
    <w:rsid w:val="00854D39"/>
    <w:rsid w:val="00854DC2"/>
    <w:rsid w:val="00855442"/>
    <w:rsid w:val="0085564B"/>
    <w:rsid w:val="00856BF9"/>
    <w:rsid w:val="00857136"/>
    <w:rsid w:val="008575DD"/>
    <w:rsid w:val="00862FF7"/>
    <w:rsid w:val="00863186"/>
    <w:rsid w:val="008647F1"/>
    <w:rsid w:val="00864F4C"/>
    <w:rsid w:val="0086589C"/>
    <w:rsid w:val="00865B18"/>
    <w:rsid w:val="0086631A"/>
    <w:rsid w:val="008664C3"/>
    <w:rsid w:val="008673FC"/>
    <w:rsid w:val="008676CA"/>
    <w:rsid w:val="008703D5"/>
    <w:rsid w:val="00870430"/>
    <w:rsid w:val="008704CE"/>
    <w:rsid w:val="00871F9E"/>
    <w:rsid w:val="00872080"/>
    <w:rsid w:val="00872350"/>
    <w:rsid w:val="0087491F"/>
    <w:rsid w:val="00876C27"/>
    <w:rsid w:val="00880326"/>
    <w:rsid w:val="00880A65"/>
    <w:rsid w:val="00881845"/>
    <w:rsid w:val="00881FA1"/>
    <w:rsid w:val="0088233D"/>
    <w:rsid w:val="00882CFA"/>
    <w:rsid w:val="00884B74"/>
    <w:rsid w:val="008866BA"/>
    <w:rsid w:val="008866CE"/>
    <w:rsid w:val="00886B43"/>
    <w:rsid w:val="00887C65"/>
    <w:rsid w:val="0089011A"/>
    <w:rsid w:val="00890367"/>
    <w:rsid w:val="0089040A"/>
    <w:rsid w:val="00890E9B"/>
    <w:rsid w:val="00891470"/>
    <w:rsid w:val="008920BE"/>
    <w:rsid w:val="00892107"/>
    <w:rsid w:val="00892746"/>
    <w:rsid w:val="008929C1"/>
    <w:rsid w:val="00892CEE"/>
    <w:rsid w:val="008932BB"/>
    <w:rsid w:val="00894454"/>
    <w:rsid w:val="00896A0E"/>
    <w:rsid w:val="00897021"/>
    <w:rsid w:val="0089702E"/>
    <w:rsid w:val="0089731C"/>
    <w:rsid w:val="0089739B"/>
    <w:rsid w:val="008A0440"/>
    <w:rsid w:val="008A19DE"/>
    <w:rsid w:val="008A2F36"/>
    <w:rsid w:val="008A32E8"/>
    <w:rsid w:val="008A6E63"/>
    <w:rsid w:val="008A7374"/>
    <w:rsid w:val="008B2CFD"/>
    <w:rsid w:val="008B4DD8"/>
    <w:rsid w:val="008B4E98"/>
    <w:rsid w:val="008B635C"/>
    <w:rsid w:val="008B64BB"/>
    <w:rsid w:val="008B75DF"/>
    <w:rsid w:val="008C1084"/>
    <w:rsid w:val="008C3001"/>
    <w:rsid w:val="008C500F"/>
    <w:rsid w:val="008C613C"/>
    <w:rsid w:val="008C665F"/>
    <w:rsid w:val="008C68E0"/>
    <w:rsid w:val="008C72EE"/>
    <w:rsid w:val="008C74C8"/>
    <w:rsid w:val="008C7D4E"/>
    <w:rsid w:val="008D01CD"/>
    <w:rsid w:val="008D0FD2"/>
    <w:rsid w:val="008D283A"/>
    <w:rsid w:val="008D2E0C"/>
    <w:rsid w:val="008D3B4E"/>
    <w:rsid w:val="008D56E2"/>
    <w:rsid w:val="008D588E"/>
    <w:rsid w:val="008D6CA8"/>
    <w:rsid w:val="008E05F9"/>
    <w:rsid w:val="008E0F7C"/>
    <w:rsid w:val="008E1F99"/>
    <w:rsid w:val="008E2F37"/>
    <w:rsid w:val="008E3F2E"/>
    <w:rsid w:val="008E4350"/>
    <w:rsid w:val="008E4CDE"/>
    <w:rsid w:val="008E5487"/>
    <w:rsid w:val="008E5C3D"/>
    <w:rsid w:val="008E7C30"/>
    <w:rsid w:val="008F6944"/>
    <w:rsid w:val="008F7080"/>
    <w:rsid w:val="008F7FC8"/>
    <w:rsid w:val="00901A1E"/>
    <w:rsid w:val="00901F77"/>
    <w:rsid w:val="009022AE"/>
    <w:rsid w:val="00902B68"/>
    <w:rsid w:val="00902E63"/>
    <w:rsid w:val="0090488A"/>
    <w:rsid w:val="00904D42"/>
    <w:rsid w:val="009057DE"/>
    <w:rsid w:val="0090689D"/>
    <w:rsid w:val="009070C3"/>
    <w:rsid w:val="00910DA9"/>
    <w:rsid w:val="009161E8"/>
    <w:rsid w:val="00916E6E"/>
    <w:rsid w:val="00917450"/>
    <w:rsid w:val="009174F7"/>
    <w:rsid w:val="009176E7"/>
    <w:rsid w:val="00917A8E"/>
    <w:rsid w:val="00920C73"/>
    <w:rsid w:val="0092211F"/>
    <w:rsid w:val="00922661"/>
    <w:rsid w:val="00923F96"/>
    <w:rsid w:val="0092593D"/>
    <w:rsid w:val="009259FE"/>
    <w:rsid w:val="00925E5D"/>
    <w:rsid w:val="009322A2"/>
    <w:rsid w:val="00932838"/>
    <w:rsid w:val="00933B9E"/>
    <w:rsid w:val="00933E91"/>
    <w:rsid w:val="00935A01"/>
    <w:rsid w:val="009360DA"/>
    <w:rsid w:val="00940597"/>
    <w:rsid w:val="00941450"/>
    <w:rsid w:val="0094148E"/>
    <w:rsid w:val="00942A67"/>
    <w:rsid w:val="0094344B"/>
    <w:rsid w:val="009439C2"/>
    <w:rsid w:val="00943F7B"/>
    <w:rsid w:val="00944A23"/>
    <w:rsid w:val="00950240"/>
    <w:rsid w:val="009527D5"/>
    <w:rsid w:val="00953619"/>
    <w:rsid w:val="009537FE"/>
    <w:rsid w:val="00953DAB"/>
    <w:rsid w:val="0095596A"/>
    <w:rsid w:val="009562EA"/>
    <w:rsid w:val="0096103D"/>
    <w:rsid w:val="009634F3"/>
    <w:rsid w:val="00963AC5"/>
    <w:rsid w:val="009641FB"/>
    <w:rsid w:val="00964C35"/>
    <w:rsid w:val="00964F19"/>
    <w:rsid w:val="009670AE"/>
    <w:rsid w:val="00967956"/>
    <w:rsid w:val="00967B78"/>
    <w:rsid w:val="00967BB4"/>
    <w:rsid w:val="00971771"/>
    <w:rsid w:val="00972381"/>
    <w:rsid w:val="0097254A"/>
    <w:rsid w:val="0097394F"/>
    <w:rsid w:val="00973FF6"/>
    <w:rsid w:val="009752F7"/>
    <w:rsid w:val="00975A79"/>
    <w:rsid w:val="009762EE"/>
    <w:rsid w:val="009774BD"/>
    <w:rsid w:val="00980AB7"/>
    <w:rsid w:val="00981448"/>
    <w:rsid w:val="00982ACC"/>
    <w:rsid w:val="00982DC9"/>
    <w:rsid w:val="009835DA"/>
    <w:rsid w:val="00983F4C"/>
    <w:rsid w:val="009847A6"/>
    <w:rsid w:val="009869B6"/>
    <w:rsid w:val="009871CC"/>
    <w:rsid w:val="00987845"/>
    <w:rsid w:val="00991491"/>
    <w:rsid w:val="00992A7F"/>
    <w:rsid w:val="00993E94"/>
    <w:rsid w:val="00993F38"/>
    <w:rsid w:val="00994D5A"/>
    <w:rsid w:val="0099757D"/>
    <w:rsid w:val="009A05CD"/>
    <w:rsid w:val="009A070E"/>
    <w:rsid w:val="009A1637"/>
    <w:rsid w:val="009A18BF"/>
    <w:rsid w:val="009A1C73"/>
    <w:rsid w:val="009A2B0C"/>
    <w:rsid w:val="009A2BB8"/>
    <w:rsid w:val="009A3E4B"/>
    <w:rsid w:val="009A407A"/>
    <w:rsid w:val="009A4386"/>
    <w:rsid w:val="009A54D1"/>
    <w:rsid w:val="009A5A0B"/>
    <w:rsid w:val="009A7169"/>
    <w:rsid w:val="009A7444"/>
    <w:rsid w:val="009A78D6"/>
    <w:rsid w:val="009B0624"/>
    <w:rsid w:val="009B15F2"/>
    <w:rsid w:val="009B20E4"/>
    <w:rsid w:val="009B3E8E"/>
    <w:rsid w:val="009B6288"/>
    <w:rsid w:val="009B6A50"/>
    <w:rsid w:val="009C0CA5"/>
    <w:rsid w:val="009C25A9"/>
    <w:rsid w:val="009C2671"/>
    <w:rsid w:val="009C37CF"/>
    <w:rsid w:val="009C7D2D"/>
    <w:rsid w:val="009C7E28"/>
    <w:rsid w:val="009D13BE"/>
    <w:rsid w:val="009D2659"/>
    <w:rsid w:val="009D49A0"/>
    <w:rsid w:val="009D585A"/>
    <w:rsid w:val="009D756C"/>
    <w:rsid w:val="009D7CD4"/>
    <w:rsid w:val="009E07B2"/>
    <w:rsid w:val="009E088D"/>
    <w:rsid w:val="009E0BDB"/>
    <w:rsid w:val="009E22EB"/>
    <w:rsid w:val="009E40EB"/>
    <w:rsid w:val="009E432F"/>
    <w:rsid w:val="009E56E6"/>
    <w:rsid w:val="009E6050"/>
    <w:rsid w:val="009E607F"/>
    <w:rsid w:val="009E64B2"/>
    <w:rsid w:val="009E6A07"/>
    <w:rsid w:val="009F0178"/>
    <w:rsid w:val="009F2881"/>
    <w:rsid w:val="009F2FE0"/>
    <w:rsid w:val="009F3261"/>
    <w:rsid w:val="009F3B34"/>
    <w:rsid w:val="009F4AE6"/>
    <w:rsid w:val="009F4E30"/>
    <w:rsid w:val="009F7E03"/>
    <w:rsid w:val="00A00582"/>
    <w:rsid w:val="00A04530"/>
    <w:rsid w:val="00A04C46"/>
    <w:rsid w:val="00A06B2A"/>
    <w:rsid w:val="00A1181E"/>
    <w:rsid w:val="00A11C52"/>
    <w:rsid w:val="00A12901"/>
    <w:rsid w:val="00A13117"/>
    <w:rsid w:val="00A14A9E"/>
    <w:rsid w:val="00A14E70"/>
    <w:rsid w:val="00A15B6F"/>
    <w:rsid w:val="00A17225"/>
    <w:rsid w:val="00A175F2"/>
    <w:rsid w:val="00A22277"/>
    <w:rsid w:val="00A229EC"/>
    <w:rsid w:val="00A22F20"/>
    <w:rsid w:val="00A2332C"/>
    <w:rsid w:val="00A24947"/>
    <w:rsid w:val="00A25652"/>
    <w:rsid w:val="00A27C5C"/>
    <w:rsid w:val="00A34E73"/>
    <w:rsid w:val="00A3576B"/>
    <w:rsid w:val="00A35FCB"/>
    <w:rsid w:val="00A363C3"/>
    <w:rsid w:val="00A36541"/>
    <w:rsid w:val="00A374C9"/>
    <w:rsid w:val="00A37571"/>
    <w:rsid w:val="00A4099B"/>
    <w:rsid w:val="00A40EC5"/>
    <w:rsid w:val="00A418DA"/>
    <w:rsid w:val="00A41AFF"/>
    <w:rsid w:val="00A42811"/>
    <w:rsid w:val="00A4399A"/>
    <w:rsid w:val="00A45717"/>
    <w:rsid w:val="00A45FAA"/>
    <w:rsid w:val="00A506F6"/>
    <w:rsid w:val="00A50F1C"/>
    <w:rsid w:val="00A511FA"/>
    <w:rsid w:val="00A51A46"/>
    <w:rsid w:val="00A51EAF"/>
    <w:rsid w:val="00A53411"/>
    <w:rsid w:val="00A55C41"/>
    <w:rsid w:val="00A578BC"/>
    <w:rsid w:val="00A60568"/>
    <w:rsid w:val="00A6133F"/>
    <w:rsid w:val="00A6168E"/>
    <w:rsid w:val="00A62BBC"/>
    <w:rsid w:val="00A65274"/>
    <w:rsid w:val="00A65545"/>
    <w:rsid w:val="00A66780"/>
    <w:rsid w:val="00A70FFE"/>
    <w:rsid w:val="00A716E1"/>
    <w:rsid w:val="00A739C3"/>
    <w:rsid w:val="00A73BCE"/>
    <w:rsid w:val="00A81E9B"/>
    <w:rsid w:val="00A83AF4"/>
    <w:rsid w:val="00A856ED"/>
    <w:rsid w:val="00A85D5E"/>
    <w:rsid w:val="00A87065"/>
    <w:rsid w:val="00A8726B"/>
    <w:rsid w:val="00A91ACB"/>
    <w:rsid w:val="00A91F77"/>
    <w:rsid w:val="00A9257B"/>
    <w:rsid w:val="00A92AB3"/>
    <w:rsid w:val="00A92EED"/>
    <w:rsid w:val="00A93496"/>
    <w:rsid w:val="00A935C9"/>
    <w:rsid w:val="00A941EB"/>
    <w:rsid w:val="00A94507"/>
    <w:rsid w:val="00A94A09"/>
    <w:rsid w:val="00A961A0"/>
    <w:rsid w:val="00AA0E53"/>
    <w:rsid w:val="00AA37EF"/>
    <w:rsid w:val="00AA38B0"/>
    <w:rsid w:val="00AA3DC7"/>
    <w:rsid w:val="00AA4FB1"/>
    <w:rsid w:val="00AA624C"/>
    <w:rsid w:val="00AA6DE0"/>
    <w:rsid w:val="00AB09D9"/>
    <w:rsid w:val="00AB0B85"/>
    <w:rsid w:val="00AB2BCD"/>
    <w:rsid w:val="00AB35C0"/>
    <w:rsid w:val="00AB7565"/>
    <w:rsid w:val="00AC0619"/>
    <w:rsid w:val="00AC297E"/>
    <w:rsid w:val="00AC2F36"/>
    <w:rsid w:val="00AC3A8A"/>
    <w:rsid w:val="00AC3C61"/>
    <w:rsid w:val="00AC44A4"/>
    <w:rsid w:val="00AC4A94"/>
    <w:rsid w:val="00AC4E71"/>
    <w:rsid w:val="00AC698A"/>
    <w:rsid w:val="00AD0C70"/>
    <w:rsid w:val="00AD5F0A"/>
    <w:rsid w:val="00AD72A1"/>
    <w:rsid w:val="00AE18AB"/>
    <w:rsid w:val="00AE1CB7"/>
    <w:rsid w:val="00AE1D72"/>
    <w:rsid w:val="00AE21BD"/>
    <w:rsid w:val="00AE3FBA"/>
    <w:rsid w:val="00AE5B35"/>
    <w:rsid w:val="00AE6725"/>
    <w:rsid w:val="00AE7757"/>
    <w:rsid w:val="00AE7E76"/>
    <w:rsid w:val="00AF1BA4"/>
    <w:rsid w:val="00AF2663"/>
    <w:rsid w:val="00AF4FC2"/>
    <w:rsid w:val="00AF60F6"/>
    <w:rsid w:val="00AF6714"/>
    <w:rsid w:val="00AF6DBD"/>
    <w:rsid w:val="00AF7FC7"/>
    <w:rsid w:val="00B00041"/>
    <w:rsid w:val="00B001FA"/>
    <w:rsid w:val="00B00A00"/>
    <w:rsid w:val="00B0208E"/>
    <w:rsid w:val="00B02BE2"/>
    <w:rsid w:val="00B02F3C"/>
    <w:rsid w:val="00B02F92"/>
    <w:rsid w:val="00B04EED"/>
    <w:rsid w:val="00B056CF"/>
    <w:rsid w:val="00B074A8"/>
    <w:rsid w:val="00B12E3E"/>
    <w:rsid w:val="00B155FB"/>
    <w:rsid w:val="00B15F5A"/>
    <w:rsid w:val="00B16927"/>
    <w:rsid w:val="00B16E59"/>
    <w:rsid w:val="00B17486"/>
    <w:rsid w:val="00B17BC2"/>
    <w:rsid w:val="00B2109B"/>
    <w:rsid w:val="00B21680"/>
    <w:rsid w:val="00B234AB"/>
    <w:rsid w:val="00B23598"/>
    <w:rsid w:val="00B23DBA"/>
    <w:rsid w:val="00B244E2"/>
    <w:rsid w:val="00B256D1"/>
    <w:rsid w:val="00B2722D"/>
    <w:rsid w:val="00B3062D"/>
    <w:rsid w:val="00B308E8"/>
    <w:rsid w:val="00B31271"/>
    <w:rsid w:val="00B3190A"/>
    <w:rsid w:val="00B32483"/>
    <w:rsid w:val="00B329E8"/>
    <w:rsid w:val="00B32BDD"/>
    <w:rsid w:val="00B33F4E"/>
    <w:rsid w:val="00B340B8"/>
    <w:rsid w:val="00B3662A"/>
    <w:rsid w:val="00B371F1"/>
    <w:rsid w:val="00B37552"/>
    <w:rsid w:val="00B414C1"/>
    <w:rsid w:val="00B4173C"/>
    <w:rsid w:val="00B41C3E"/>
    <w:rsid w:val="00B433BE"/>
    <w:rsid w:val="00B4346E"/>
    <w:rsid w:val="00B4352B"/>
    <w:rsid w:val="00B438F6"/>
    <w:rsid w:val="00B43ED3"/>
    <w:rsid w:val="00B447C4"/>
    <w:rsid w:val="00B4490C"/>
    <w:rsid w:val="00B45BC2"/>
    <w:rsid w:val="00B463DC"/>
    <w:rsid w:val="00B47409"/>
    <w:rsid w:val="00B5014D"/>
    <w:rsid w:val="00B508A5"/>
    <w:rsid w:val="00B51704"/>
    <w:rsid w:val="00B5326B"/>
    <w:rsid w:val="00B53889"/>
    <w:rsid w:val="00B54836"/>
    <w:rsid w:val="00B54B55"/>
    <w:rsid w:val="00B54BD1"/>
    <w:rsid w:val="00B55076"/>
    <w:rsid w:val="00B55ACA"/>
    <w:rsid w:val="00B566BA"/>
    <w:rsid w:val="00B60919"/>
    <w:rsid w:val="00B6190E"/>
    <w:rsid w:val="00B61AFA"/>
    <w:rsid w:val="00B61CA7"/>
    <w:rsid w:val="00B6341D"/>
    <w:rsid w:val="00B63568"/>
    <w:rsid w:val="00B64527"/>
    <w:rsid w:val="00B65105"/>
    <w:rsid w:val="00B66871"/>
    <w:rsid w:val="00B66E38"/>
    <w:rsid w:val="00B67118"/>
    <w:rsid w:val="00B67CBB"/>
    <w:rsid w:val="00B72C04"/>
    <w:rsid w:val="00B735F5"/>
    <w:rsid w:val="00B7669F"/>
    <w:rsid w:val="00B77096"/>
    <w:rsid w:val="00B8097B"/>
    <w:rsid w:val="00B813F4"/>
    <w:rsid w:val="00B8188E"/>
    <w:rsid w:val="00B81CFE"/>
    <w:rsid w:val="00B834B0"/>
    <w:rsid w:val="00B83E9D"/>
    <w:rsid w:val="00B85462"/>
    <w:rsid w:val="00B85F75"/>
    <w:rsid w:val="00B870FB"/>
    <w:rsid w:val="00B90844"/>
    <w:rsid w:val="00B90D38"/>
    <w:rsid w:val="00B92DC2"/>
    <w:rsid w:val="00B933FE"/>
    <w:rsid w:val="00B940CC"/>
    <w:rsid w:val="00B945D0"/>
    <w:rsid w:val="00B96634"/>
    <w:rsid w:val="00B96E96"/>
    <w:rsid w:val="00B97709"/>
    <w:rsid w:val="00BA0160"/>
    <w:rsid w:val="00BA03E4"/>
    <w:rsid w:val="00BA0FEB"/>
    <w:rsid w:val="00BA1F02"/>
    <w:rsid w:val="00BA27DE"/>
    <w:rsid w:val="00BA2991"/>
    <w:rsid w:val="00BA2A06"/>
    <w:rsid w:val="00BA2BDD"/>
    <w:rsid w:val="00BA5061"/>
    <w:rsid w:val="00BA6AEB"/>
    <w:rsid w:val="00BA6EE0"/>
    <w:rsid w:val="00BA6FDE"/>
    <w:rsid w:val="00BB0523"/>
    <w:rsid w:val="00BB1423"/>
    <w:rsid w:val="00BB27BA"/>
    <w:rsid w:val="00BB39C9"/>
    <w:rsid w:val="00BB4BDD"/>
    <w:rsid w:val="00BB5213"/>
    <w:rsid w:val="00BB600E"/>
    <w:rsid w:val="00BB657D"/>
    <w:rsid w:val="00BB6BFC"/>
    <w:rsid w:val="00BC0119"/>
    <w:rsid w:val="00BC0684"/>
    <w:rsid w:val="00BC14A2"/>
    <w:rsid w:val="00BC2D1A"/>
    <w:rsid w:val="00BC32BD"/>
    <w:rsid w:val="00BC4A6D"/>
    <w:rsid w:val="00BC54C8"/>
    <w:rsid w:val="00BC5802"/>
    <w:rsid w:val="00BC6CBC"/>
    <w:rsid w:val="00BC70EC"/>
    <w:rsid w:val="00BD0DA0"/>
    <w:rsid w:val="00BD1048"/>
    <w:rsid w:val="00BD2752"/>
    <w:rsid w:val="00BD3D88"/>
    <w:rsid w:val="00BD4245"/>
    <w:rsid w:val="00BD4FB7"/>
    <w:rsid w:val="00BD6308"/>
    <w:rsid w:val="00BD6E37"/>
    <w:rsid w:val="00BD7139"/>
    <w:rsid w:val="00BE22DD"/>
    <w:rsid w:val="00BE2E26"/>
    <w:rsid w:val="00BE4077"/>
    <w:rsid w:val="00BE4BF9"/>
    <w:rsid w:val="00BE72FA"/>
    <w:rsid w:val="00BE7B28"/>
    <w:rsid w:val="00BF07D7"/>
    <w:rsid w:val="00BF0BD6"/>
    <w:rsid w:val="00BF1765"/>
    <w:rsid w:val="00BF32AE"/>
    <w:rsid w:val="00BF599C"/>
    <w:rsid w:val="00BF653C"/>
    <w:rsid w:val="00BF7E34"/>
    <w:rsid w:val="00C00D95"/>
    <w:rsid w:val="00C01F9F"/>
    <w:rsid w:val="00C02808"/>
    <w:rsid w:val="00C02D07"/>
    <w:rsid w:val="00C03E1C"/>
    <w:rsid w:val="00C053C1"/>
    <w:rsid w:val="00C05978"/>
    <w:rsid w:val="00C0715A"/>
    <w:rsid w:val="00C1004C"/>
    <w:rsid w:val="00C10060"/>
    <w:rsid w:val="00C102C0"/>
    <w:rsid w:val="00C11496"/>
    <w:rsid w:val="00C120BF"/>
    <w:rsid w:val="00C1365F"/>
    <w:rsid w:val="00C138AF"/>
    <w:rsid w:val="00C1459D"/>
    <w:rsid w:val="00C146DD"/>
    <w:rsid w:val="00C168FD"/>
    <w:rsid w:val="00C16B98"/>
    <w:rsid w:val="00C1735E"/>
    <w:rsid w:val="00C17488"/>
    <w:rsid w:val="00C20B42"/>
    <w:rsid w:val="00C20B43"/>
    <w:rsid w:val="00C215DC"/>
    <w:rsid w:val="00C21FC9"/>
    <w:rsid w:val="00C2330A"/>
    <w:rsid w:val="00C23AC6"/>
    <w:rsid w:val="00C25DE0"/>
    <w:rsid w:val="00C265E8"/>
    <w:rsid w:val="00C26879"/>
    <w:rsid w:val="00C26D30"/>
    <w:rsid w:val="00C27025"/>
    <w:rsid w:val="00C27D79"/>
    <w:rsid w:val="00C30136"/>
    <w:rsid w:val="00C316CF"/>
    <w:rsid w:val="00C35804"/>
    <w:rsid w:val="00C3701A"/>
    <w:rsid w:val="00C37DD1"/>
    <w:rsid w:val="00C403C6"/>
    <w:rsid w:val="00C40D4C"/>
    <w:rsid w:val="00C40E05"/>
    <w:rsid w:val="00C41B43"/>
    <w:rsid w:val="00C42A2B"/>
    <w:rsid w:val="00C42B4C"/>
    <w:rsid w:val="00C438AF"/>
    <w:rsid w:val="00C4777D"/>
    <w:rsid w:val="00C504A4"/>
    <w:rsid w:val="00C50ED2"/>
    <w:rsid w:val="00C526B4"/>
    <w:rsid w:val="00C52CAC"/>
    <w:rsid w:val="00C552C1"/>
    <w:rsid w:val="00C558BA"/>
    <w:rsid w:val="00C6036F"/>
    <w:rsid w:val="00C61A8D"/>
    <w:rsid w:val="00C61DBA"/>
    <w:rsid w:val="00C62376"/>
    <w:rsid w:val="00C625E9"/>
    <w:rsid w:val="00C63CB6"/>
    <w:rsid w:val="00C64085"/>
    <w:rsid w:val="00C64BFE"/>
    <w:rsid w:val="00C65B01"/>
    <w:rsid w:val="00C65BEF"/>
    <w:rsid w:val="00C65D9F"/>
    <w:rsid w:val="00C664BB"/>
    <w:rsid w:val="00C67006"/>
    <w:rsid w:val="00C674E9"/>
    <w:rsid w:val="00C70025"/>
    <w:rsid w:val="00C701F2"/>
    <w:rsid w:val="00C70326"/>
    <w:rsid w:val="00C7105D"/>
    <w:rsid w:val="00C710EE"/>
    <w:rsid w:val="00C71958"/>
    <w:rsid w:val="00C71C4A"/>
    <w:rsid w:val="00C728D1"/>
    <w:rsid w:val="00C72C65"/>
    <w:rsid w:val="00C73665"/>
    <w:rsid w:val="00C74B15"/>
    <w:rsid w:val="00C77507"/>
    <w:rsid w:val="00C8068C"/>
    <w:rsid w:val="00C81525"/>
    <w:rsid w:val="00C82D9E"/>
    <w:rsid w:val="00C82EC1"/>
    <w:rsid w:val="00C84BAA"/>
    <w:rsid w:val="00C84DC9"/>
    <w:rsid w:val="00C85A90"/>
    <w:rsid w:val="00C85DAD"/>
    <w:rsid w:val="00C87D8F"/>
    <w:rsid w:val="00C90508"/>
    <w:rsid w:val="00C906A4"/>
    <w:rsid w:val="00C90FD8"/>
    <w:rsid w:val="00C92286"/>
    <w:rsid w:val="00C933DD"/>
    <w:rsid w:val="00C943D5"/>
    <w:rsid w:val="00C95380"/>
    <w:rsid w:val="00C96DA4"/>
    <w:rsid w:val="00C97EFC"/>
    <w:rsid w:val="00CA0531"/>
    <w:rsid w:val="00CA07A5"/>
    <w:rsid w:val="00CA08F7"/>
    <w:rsid w:val="00CA0D69"/>
    <w:rsid w:val="00CA11C3"/>
    <w:rsid w:val="00CA19F5"/>
    <w:rsid w:val="00CA537A"/>
    <w:rsid w:val="00CA5F03"/>
    <w:rsid w:val="00CA7AA3"/>
    <w:rsid w:val="00CB0151"/>
    <w:rsid w:val="00CB1985"/>
    <w:rsid w:val="00CB1A43"/>
    <w:rsid w:val="00CB255C"/>
    <w:rsid w:val="00CB4549"/>
    <w:rsid w:val="00CB571D"/>
    <w:rsid w:val="00CB6A16"/>
    <w:rsid w:val="00CB769C"/>
    <w:rsid w:val="00CB790B"/>
    <w:rsid w:val="00CB79AA"/>
    <w:rsid w:val="00CC210F"/>
    <w:rsid w:val="00CC28EB"/>
    <w:rsid w:val="00CC3586"/>
    <w:rsid w:val="00CC3F06"/>
    <w:rsid w:val="00CC63F6"/>
    <w:rsid w:val="00CC66CE"/>
    <w:rsid w:val="00CD0424"/>
    <w:rsid w:val="00CD118B"/>
    <w:rsid w:val="00CD382C"/>
    <w:rsid w:val="00CD47B5"/>
    <w:rsid w:val="00CD65F6"/>
    <w:rsid w:val="00CD6694"/>
    <w:rsid w:val="00CD7ABF"/>
    <w:rsid w:val="00CE18E6"/>
    <w:rsid w:val="00CE2D32"/>
    <w:rsid w:val="00CE437C"/>
    <w:rsid w:val="00CE4695"/>
    <w:rsid w:val="00CE68FE"/>
    <w:rsid w:val="00CE6A78"/>
    <w:rsid w:val="00CE7336"/>
    <w:rsid w:val="00CF1DAE"/>
    <w:rsid w:val="00CF2DF6"/>
    <w:rsid w:val="00CF2E68"/>
    <w:rsid w:val="00CF4C0E"/>
    <w:rsid w:val="00CF5518"/>
    <w:rsid w:val="00CF573E"/>
    <w:rsid w:val="00CF6403"/>
    <w:rsid w:val="00CF7806"/>
    <w:rsid w:val="00CF7CD9"/>
    <w:rsid w:val="00D00235"/>
    <w:rsid w:val="00D02316"/>
    <w:rsid w:val="00D0356B"/>
    <w:rsid w:val="00D07520"/>
    <w:rsid w:val="00D07C27"/>
    <w:rsid w:val="00D12720"/>
    <w:rsid w:val="00D15138"/>
    <w:rsid w:val="00D173A7"/>
    <w:rsid w:val="00D213B4"/>
    <w:rsid w:val="00D21B47"/>
    <w:rsid w:val="00D21CC0"/>
    <w:rsid w:val="00D23340"/>
    <w:rsid w:val="00D251CE"/>
    <w:rsid w:val="00D25C52"/>
    <w:rsid w:val="00D27698"/>
    <w:rsid w:val="00D30BC5"/>
    <w:rsid w:val="00D32704"/>
    <w:rsid w:val="00D32A82"/>
    <w:rsid w:val="00D33F1F"/>
    <w:rsid w:val="00D3455D"/>
    <w:rsid w:val="00D346FB"/>
    <w:rsid w:val="00D35622"/>
    <w:rsid w:val="00D369B6"/>
    <w:rsid w:val="00D372DA"/>
    <w:rsid w:val="00D37C2C"/>
    <w:rsid w:val="00D37DFC"/>
    <w:rsid w:val="00D43206"/>
    <w:rsid w:val="00D44862"/>
    <w:rsid w:val="00D45B98"/>
    <w:rsid w:val="00D475B6"/>
    <w:rsid w:val="00D50A37"/>
    <w:rsid w:val="00D5109D"/>
    <w:rsid w:val="00D51336"/>
    <w:rsid w:val="00D51D5E"/>
    <w:rsid w:val="00D53515"/>
    <w:rsid w:val="00D5523B"/>
    <w:rsid w:val="00D5551F"/>
    <w:rsid w:val="00D55DF5"/>
    <w:rsid w:val="00D57790"/>
    <w:rsid w:val="00D57BC1"/>
    <w:rsid w:val="00D57F7B"/>
    <w:rsid w:val="00D614FD"/>
    <w:rsid w:val="00D6200B"/>
    <w:rsid w:val="00D623A8"/>
    <w:rsid w:val="00D62EE5"/>
    <w:rsid w:val="00D63118"/>
    <w:rsid w:val="00D63CDA"/>
    <w:rsid w:val="00D64C9D"/>
    <w:rsid w:val="00D663EA"/>
    <w:rsid w:val="00D669E9"/>
    <w:rsid w:val="00D6721A"/>
    <w:rsid w:val="00D70238"/>
    <w:rsid w:val="00D70656"/>
    <w:rsid w:val="00D70CDC"/>
    <w:rsid w:val="00D756CE"/>
    <w:rsid w:val="00D7586B"/>
    <w:rsid w:val="00D76C9B"/>
    <w:rsid w:val="00D770E6"/>
    <w:rsid w:val="00D775C1"/>
    <w:rsid w:val="00D77B0C"/>
    <w:rsid w:val="00D80660"/>
    <w:rsid w:val="00D8073D"/>
    <w:rsid w:val="00D80E13"/>
    <w:rsid w:val="00D80EF5"/>
    <w:rsid w:val="00D811F5"/>
    <w:rsid w:val="00D82616"/>
    <w:rsid w:val="00D827D9"/>
    <w:rsid w:val="00D8725E"/>
    <w:rsid w:val="00D914C6"/>
    <w:rsid w:val="00D91E6D"/>
    <w:rsid w:val="00D91F3C"/>
    <w:rsid w:val="00D92194"/>
    <w:rsid w:val="00D923B6"/>
    <w:rsid w:val="00D93A80"/>
    <w:rsid w:val="00D93EF7"/>
    <w:rsid w:val="00D945BA"/>
    <w:rsid w:val="00D954ED"/>
    <w:rsid w:val="00D96B6C"/>
    <w:rsid w:val="00D97399"/>
    <w:rsid w:val="00DA09BC"/>
    <w:rsid w:val="00DA25EC"/>
    <w:rsid w:val="00DA359B"/>
    <w:rsid w:val="00DA4822"/>
    <w:rsid w:val="00DA4CE7"/>
    <w:rsid w:val="00DA5441"/>
    <w:rsid w:val="00DA5F31"/>
    <w:rsid w:val="00DA6C3E"/>
    <w:rsid w:val="00DA75A2"/>
    <w:rsid w:val="00DA76D2"/>
    <w:rsid w:val="00DB07E8"/>
    <w:rsid w:val="00DB0FE5"/>
    <w:rsid w:val="00DB22E1"/>
    <w:rsid w:val="00DB2B3F"/>
    <w:rsid w:val="00DB4CD1"/>
    <w:rsid w:val="00DB4E3C"/>
    <w:rsid w:val="00DB5B68"/>
    <w:rsid w:val="00DB5F17"/>
    <w:rsid w:val="00DB62A7"/>
    <w:rsid w:val="00DB7CA2"/>
    <w:rsid w:val="00DC02F9"/>
    <w:rsid w:val="00DC0A07"/>
    <w:rsid w:val="00DC128C"/>
    <w:rsid w:val="00DC2D39"/>
    <w:rsid w:val="00DC386B"/>
    <w:rsid w:val="00DC3D62"/>
    <w:rsid w:val="00DC45E2"/>
    <w:rsid w:val="00DC496A"/>
    <w:rsid w:val="00DC53CC"/>
    <w:rsid w:val="00DC5FA6"/>
    <w:rsid w:val="00DC6E6F"/>
    <w:rsid w:val="00DC7B7F"/>
    <w:rsid w:val="00DD1629"/>
    <w:rsid w:val="00DD188F"/>
    <w:rsid w:val="00DD2C1E"/>
    <w:rsid w:val="00DD3075"/>
    <w:rsid w:val="00DD3471"/>
    <w:rsid w:val="00DD4E62"/>
    <w:rsid w:val="00DD71B2"/>
    <w:rsid w:val="00DE0666"/>
    <w:rsid w:val="00DE1684"/>
    <w:rsid w:val="00DE1A69"/>
    <w:rsid w:val="00DE1CE8"/>
    <w:rsid w:val="00DE28AC"/>
    <w:rsid w:val="00DE2AB3"/>
    <w:rsid w:val="00DE3384"/>
    <w:rsid w:val="00DE3FD0"/>
    <w:rsid w:val="00DE4809"/>
    <w:rsid w:val="00DE5825"/>
    <w:rsid w:val="00DE71CF"/>
    <w:rsid w:val="00DF14F3"/>
    <w:rsid w:val="00DF1BE3"/>
    <w:rsid w:val="00DF2138"/>
    <w:rsid w:val="00DF35CB"/>
    <w:rsid w:val="00DF3986"/>
    <w:rsid w:val="00DF42C9"/>
    <w:rsid w:val="00DF4B46"/>
    <w:rsid w:val="00DF7287"/>
    <w:rsid w:val="00DF7412"/>
    <w:rsid w:val="00DF760F"/>
    <w:rsid w:val="00DF7EF9"/>
    <w:rsid w:val="00DF7F87"/>
    <w:rsid w:val="00E01C82"/>
    <w:rsid w:val="00E02871"/>
    <w:rsid w:val="00E03D4C"/>
    <w:rsid w:val="00E04F59"/>
    <w:rsid w:val="00E05A2E"/>
    <w:rsid w:val="00E0783D"/>
    <w:rsid w:val="00E078CE"/>
    <w:rsid w:val="00E07B37"/>
    <w:rsid w:val="00E10493"/>
    <w:rsid w:val="00E11815"/>
    <w:rsid w:val="00E12A1E"/>
    <w:rsid w:val="00E133CD"/>
    <w:rsid w:val="00E14EF4"/>
    <w:rsid w:val="00E1521A"/>
    <w:rsid w:val="00E15539"/>
    <w:rsid w:val="00E175BD"/>
    <w:rsid w:val="00E17D41"/>
    <w:rsid w:val="00E204B7"/>
    <w:rsid w:val="00E20FDA"/>
    <w:rsid w:val="00E23C70"/>
    <w:rsid w:val="00E24069"/>
    <w:rsid w:val="00E240ED"/>
    <w:rsid w:val="00E244D2"/>
    <w:rsid w:val="00E24B3A"/>
    <w:rsid w:val="00E24C83"/>
    <w:rsid w:val="00E260EE"/>
    <w:rsid w:val="00E3022D"/>
    <w:rsid w:val="00E3101F"/>
    <w:rsid w:val="00E33AC0"/>
    <w:rsid w:val="00E36153"/>
    <w:rsid w:val="00E36B5F"/>
    <w:rsid w:val="00E36C31"/>
    <w:rsid w:val="00E377EC"/>
    <w:rsid w:val="00E377F2"/>
    <w:rsid w:val="00E40539"/>
    <w:rsid w:val="00E40EE6"/>
    <w:rsid w:val="00E4127D"/>
    <w:rsid w:val="00E41A35"/>
    <w:rsid w:val="00E42BF1"/>
    <w:rsid w:val="00E43D0C"/>
    <w:rsid w:val="00E43F58"/>
    <w:rsid w:val="00E46D32"/>
    <w:rsid w:val="00E47DBC"/>
    <w:rsid w:val="00E529DC"/>
    <w:rsid w:val="00E52CE1"/>
    <w:rsid w:val="00E540AF"/>
    <w:rsid w:val="00E5540C"/>
    <w:rsid w:val="00E56672"/>
    <w:rsid w:val="00E57333"/>
    <w:rsid w:val="00E60641"/>
    <w:rsid w:val="00E60882"/>
    <w:rsid w:val="00E6172A"/>
    <w:rsid w:val="00E620A4"/>
    <w:rsid w:val="00E6238E"/>
    <w:rsid w:val="00E625A0"/>
    <w:rsid w:val="00E63A03"/>
    <w:rsid w:val="00E63CA0"/>
    <w:rsid w:val="00E65EF1"/>
    <w:rsid w:val="00E663F5"/>
    <w:rsid w:val="00E674A1"/>
    <w:rsid w:val="00E679FE"/>
    <w:rsid w:val="00E721FE"/>
    <w:rsid w:val="00E723A8"/>
    <w:rsid w:val="00E72C75"/>
    <w:rsid w:val="00E7320C"/>
    <w:rsid w:val="00E80563"/>
    <w:rsid w:val="00E844EB"/>
    <w:rsid w:val="00E84634"/>
    <w:rsid w:val="00E864EF"/>
    <w:rsid w:val="00E868DA"/>
    <w:rsid w:val="00E877FE"/>
    <w:rsid w:val="00E9209F"/>
    <w:rsid w:val="00E93001"/>
    <w:rsid w:val="00E9304F"/>
    <w:rsid w:val="00E93E52"/>
    <w:rsid w:val="00E96281"/>
    <w:rsid w:val="00E97AAF"/>
    <w:rsid w:val="00EA1FA7"/>
    <w:rsid w:val="00EA3EA9"/>
    <w:rsid w:val="00EA56B1"/>
    <w:rsid w:val="00EA6B81"/>
    <w:rsid w:val="00EA6FBF"/>
    <w:rsid w:val="00EA723D"/>
    <w:rsid w:val="00EA7C05"/>
    <w:rsid w:val="00EB08F2"/>
    <w:rsid w:val="00EB0F69"/>
    <w:rsid w:val="00EB12F2"/>
    <w:rsid w:val="00EB2AE5"/>
    <w:rsid w:val="00EB35C3"/>
    <w:rsid w:val="00EB3946"/>
    <w:rsid w:val="00EB57A8"/>
    <w:rsid w:val="00EB70FA"/>
    <w:rsid w:val="00EB73F6"/>
    <w:rsid w:val="00EB7D65"/>
    <w:rsid w:val="00EC07AC"/>
    <w:rsid w:val="00EC12A4"/>
    <w:rsid w:val="00EC2A3E"/>
    <w:rsid w:val="00EC3481"/>
    <w:rsid w:val="00EC374D"/>
    <w:rsid w:val="00EC45E5"/>
    <w:rsid w:val="00EC4756"/>
    <w:rsid w:val="00EC4E4D"/>
    <w:rsid w:val="00ED00CF"/>
    <w:rsid w:val="00ED1B00"/>
    <w:rsid w:val="00ED1DF1"/>
    <w:rsid w:val="00ED27C2"/>
    <w:rsid w:val="00ED291B"/>
    <w:rsid w:val="00ED2D1F"/>
    <w:rsid w:val="00ED43EA"/>
    <w:rsid w:val="00ED4B35"/>
    <w:rsid w:val="00ED5472"/>
    <w:rsid w:val="00ED5F3F"/>
    <w:rsid w:val="00ED6D1F"/>
    <w:rsid w:val="00ED7662"/>
    <w:rsid w:val="00EE00D6"/>
    <w:rsid w:val="00EE31D6"/>
    <w:rsid w:val="00EE3AE9"/>
    <w:rsid w:val="00EE4762"/>
    <w:rsid w:val="00EE56AE"/>
    <w:rsid w:val="00EE5A2D"/>
    <w:rsid w:val="00EE5C12"/>
    <w:rsid w:val="00EE65AD"/>
    <w:rsid w:val="00EE75F3"/>
    <w:rsid w:val="00EF112B"/>
    <w:rsid w:val="00EF1693"/>
    <w:rsid w:val="00EF200B"/>
    <w:rsid w:val="00EF2544"/>
    <w:rsid w:val="00EF256F"/>
    <w:rsid w:val="00EF2709"/>
    <w:rsid w:val="00EF3FE5"/>
    <w:rsid w:val="00EF4932"/>
    <w:rsid w:val="00EF5BA5"/>
    <w:rsid w:val="00EF5C50"/>
    <w:rsid w:val="00F009FE"/>
    <w:rsid w:val="00F011FD"/>
    <w:rsid w:val="00F01398"/>
    <w:rsid w:val="00F01D5D"/>
    <w:rsid w:val="00F0314F"/>
    <w:rsid w:val="00F05594"/>
    <w:rsid w:val="00F06EC0"/>
    <w:rsid w:val="00F101F6"/>
    <w:rsid w:val="00F10383"/>
    <w:rsid w:val="00F107F5"/>
    <w:rsid w:val="00F117FD"/>
    <w:rsid w:val="00F11C70"/>
    <w:rsid w:val="00F1263E"/>
    <w:rsid w:val="00F133B2"/>
    <w:rsid w:val="00F13404"/>
    <w:rsid w:val="00F13F34"/>
    <w:rsid w:val="00F14FF1"/>
    <w:rsid w:val="00F151F9"/>
    <w:rsid w:val="00F16C16"/>
    <w:rsid w:val="00F176BE"/>
    <w:rsid w:val="00F20504"/>
    <w:rsid w:val="00F222AC"/>
    <w:rsid w:val="00F22E50"/>
    <w:rsid w:val="00F2348E"/>
    <w:rsid w:val="00F2416F"/>
    <w:rsid w:val="00F245EE"/>
    <w:rsid w:val="00F24BD2"/>
    <w:rsid w:val="00F2738D"/>
    <w:rsid w:val="00F27CA9"/>
    <w:rsid w:val="00F31D4C"/>
    <w:rsid w:val="00F32001"/>
    <w:rsid w:val="00F337DF"/>
    <w:rsid w:val="00F33AFA"/>
    <w:rsid w:val="00F34135"/>
    <w:rsid w:val="00F34CFE"/>
    <w:rsid w:val="00F35160"/>
    <w:rsid w:val="00F351BA"/>
    <w:rsid w:val="00F35C36"/>
    <w:rsid w:val="00F36587"/>
    <w:rsid w:val="00F372F5"/>
    <w:rsid w:val="00F40D3A"/>
    <w:rsid w:val="00F41068"/>
    <w:rsid w:val="00F41E85"/>
    <w:rsid w:val="00F431A7"/>
    <w:rsid w:val="00F4465E"/>
    <w:rsid w:val="00F44CC9"/>
    <w:rsid w:val="00F46C5B"/>
    <w:rsid w:val="00F46FB1"/>
    <w:rsid w:val="00F47675"/>
    <w:rsid w:val="00F4791C"/>
    <w:rsid w:val="00F50765"/>
    <w:rsid w:val="00F50C0A"/>
    <w:rsid w:val="00F51456"/>
    <w:rsid w:val="00F51548"/>
    <w:rsid w:val="00F51DA1"/>
    <w:rsid w:val="00F520D6"/>
    <w:rsid w:val="00F5299D"/>
    <w:rsid w:val="00F530C6"/>
    <w:rsid w:val="00F56293"/>
    <w:rsid w:val="00F56E27"/>
    <w:rsid w:val="00F573B4"/>
    <w:rsid w:val="00F5797C"/>
    <w:rsid w:val="00F604DC"/>
    <w:rsid w:val="00F62D4D"/>
    <w:rsid w:val="00F63972"/>
    <w:rsid w:val="00F63C0A"/>
    <w:rsid w:val="00F64C23"/>
    <w:rsid w:val="00F659DD"/>
    <w:rsid w:val="00F66622"/>
    <w:rsid w:val="00F66F47"/>
    <w:rsid w:val="00F671A6"/>
    <w:rsid w:val="00F702EF"/>
    <w:rsid w:val="00F70F42"/>
    <w:rsid w:val="00F720D2"/>
    <w:rsid w:val="00F738CC"/>
    <w:rsid w:val="00F74583"/>
    <w:rsid w:val="00F748B2"/>
    <w:rsid w:val="00F74A69"/>
    <w:rsid w:val="00F74FF4"/>
    <w:rsid w:val="00F755E9"/>
    <w:rsid w:val="00F75B73"/>
    <w:rsid w:val="00F7666E"/>
    <w:rsid w:val="00F8154B"/>
    <w:rsid w:val="00F81DE3"/>
    <w:rsid w:val="00F835DD"/>
    <w:rsid w:val="00F84C15"/>
    <w:rsid w:val="00F85F5A"/>
    <w:rsid w:val="00F85F7A"/>
    <w:rsid w:val="00F87704"/>
    <w:rsid w:val="00F879F3"/>
    <w:rsid w:val="00F904EF"/>
    <w:rsid w:val="00F90631"/>
    <w:rsid w:val="00F913C1"/>
    <w:rsid w:val="00F92CC7"/>
    <w:rsid w:val="00F9574F"/>
    <w:rsid w:val="00F95C99"/>
    <w:rsid w:val="00F9604C"/>
    <w:rsid w:val="00F972F7"/>
    <w:rsid w:val="00FA3138"/>
    <w:rsid w:val="00FA397D"/>
    <w:rsid w:val="00FA3A5F"/>
    <w:rsid w:val="00FA4A31"/>
    <w:rsid w:val="00FA4F3B"/>
    <w:rsid w:val="00FA59C0"/>
    <w:rsid w:val="00FA7470"/>
    <w:rsid w:val="00FB048F"/>
    <w:rsid w:val="00FB09E9"/>
    <w:rsid w:val="00FB0A65"/>
    <w:rsid w:val="00FB0E5D"/>
    <w:rsid w:val="00FB1FA2"/>
    <w:rsid w:val="00FB3AAA"/>
    <w:rsid w:val="00FB510D"/>
    <w:rsid w:val="00FB6499"/>
    <w:rsid w:val="00FB6F55"/>
    <w:rsid w:val="00FB7C10"/>
    <w:rsid w:val="00FC08F6"/>
    <w:rsid w:val="00FC233C"/>
    <w:rsid w:val="00FC295F"/>
    <w:rsid w:val="00FC300E"/>
    <w:rsid w:val="00FC31EB"/>
    <w:rsid w:val="00FC41C2"/>
    <w:rsid w:val="00FC4280"/>
    <w:rsid w:val="00FC4688"/>
    <w:rsid w:val="00FC6EB1"/>
    <w:rsid w:val="00FD1419"/>
    <w:rsid w:val="00FD1B24"/>
    <w:rsid w:val="00FD429C"/>
    <w:rsid w:val="00FD488B"/>
    <w:rsid w:val="00FD5C60"/>
    <w:rsid w:val="00FD6FE2"/>
    <w:rsid w:val="00FD76B2"/>
    <w:rsid w:val="00FD7B68"/>
    <w:rsid w:val="00FE074D"/>
    <w:rsid w:val="00FE0EEB"/>
    <w:rsid w:val="00FE6602"/>
    <w:rsid w:val="00FE6F37"/>
    <w:rsid w:val="00FF192E"/>
    <w:rsid w:val="00FF258F"/>
    <w:rsid w:val="00FF3882"/>
    <w:rsid w:val="00FF3A29"/>
    <w:rsid w:val="00FF50F1"/>
    <w:rsid w:val="00FF5C35"/>
    <w:rsid w:val="00FF60B3"/>
    <w:rsid w:val="00FF73EC"/>
    <w:rsid w:val="00FF77D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DB6D6"/>
  <w15:docId w15:val="{0BE0EFF6-4B39-4B94-8AE9-707C72F2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D1DF1"/>
    <w:pPr>
      <w:keepNext/>
      <w:keepLines/>
      <w:spacing w:after="120" w:line="259" w:lineRule="auto"/>
      <w:outlineLvl w:val="2"/>
    </w:pPr>
    <w:rPr>
      <w:rFonts w:asciiTheme="majorHAnsi" w:eastAsiaTheme="majorEastAsia" w:hAnsiTheme="majorHAnsi" w:cstheme="majorBidi"/>
      <w:color w:val="000000" w:themeColor="text1"/>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6C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67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6CA"/>
    <w:rPr>
      <w:rFonts w:ascii="Tahoma" w:hAnsi="Tahoma" w:cs="Tahoma"/>
      <w:sz w:val="16"/>
      <w:szCs w:val="16"/>
    </w:rPr>
  </w:style>
  <w:style w:type="paragraph" w:customStyle="1" w:styleId="EndNoteBibliographyTitle">
    <w:name w:val="EndNote Bibliography Title"/>
    <w:basedOn w:val="Normal"/>
    <w:link w:val="EndNoteBibliographyTitleChar"/>
    <w:rsid w:val="00ED6D1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D6D1F"/>
    <w:rPr>
      <w:rFonts w:ascii="Calibri" w:hAnsi="Calibri" w:cs="Calibri"/>
      <w:noProof/>
    </w:rPr>
  </w:style>
  <w:style w:type="paragraph" w:customStyle="1" w:styleId="EndNoteBibliography">
    <w:name w:val="EndNote Bibliography"/>
    <w:basedOn w:val="Normal"/>
    <w:link w:val="EndNoteBibliographyChar"/>
    <w:rsid w:val="00ED6D1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D6D1F"/>
    <w:rPr>
      <w:rFonts w:ascii="Calibri" w:hAnsi="Calibri" w:cs="Calibri"/>
      <w:noProof/>
    </w:rPr>
  </w:style>
  <w:style w:type="paragraph" w:customStyle="1" w:styleId="Default">
    <w:name w:val="Default"/>
    <w:rsid w:val="00454E5D"/>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54E5D"/>
    <w:rPr>
      <w:sz w:val="16"/>
      <w:szCs w:val="16"/>
    </w:rPr>
  </w:style>
  <w:style w:type="paragraph" w:styleId="CommentText">
    <w:name w:val="annotation text"/>
    <w:basedOn w:val="Normal"/>
    <w:link w:val="CommentTextChar"/>
    <w:uiPriority w:val="99"/>
    <w:unhideWhenUsed/>
    <w:rsid w:val="00454E5D"/>
    <w:pPr>
      <w:spacing w:line="240" w:lineRule="auto"/>
    </w:pPr>
    <w:rPr>
      <w:sz w:val="20"/>
      <w:szCs w:val="20"/>
    </w:rPr>
  </w:style>
  <w:style w:type="character" w:customStyle="1" w:styleId="CommentTextChar">
    <w:name w:val="Comment Text Char"/>
    <w:basedOn w:val="DefaultParagraphFont"/>
    <w:link w:val="CommentText"/>
    <w:uiPriority w:val="99"/>
    <w:rsid w:val="00454E5D"/>
    <w:rPr>
      <w:sz w:val="20"/>
      <w:szCs w:val="20"/>
    </w:rPr>
  </w:style>
  <w:style w:type="paragraph" w:styleId="CommentSubject">
    <w:name w:val="annotation subject"/>
    <w:basedOn w:val="CommentText"/>
    <w:next w:val="CommentText"/>
    <w:link w:val="CommentSubjectChar"/>
    <w:uiPriority w:val="99"/>
    <w:semiHidden/>
    <w:unhideWhenUsed/>
    <w:rsid w:val="00454E5D"/>
    <w:rPr>
      <w:b/>
      <w:bCs/>
    </w:rPr>
  </w:style>
  <w:style w:type="character" w:customStyle="1" w:styleId="CommentSubjectChar">
    <w:name w:val="Comment Subject Char"/>
    <w:basedOn w:val="CommentTextChar"/>
    <w:link w:val="CommentSubject"/>
    <w:uiPriority w:val="99"/>
    <w:semiHidden/>
    <w:rsid w:val="00454E5D"/>
    <w:rPr>
      <w:b/>
      <w:bCs/>
      <w:sz w:val="20"/>
      <w:szCs w:val="20"/>
    </w:rPr>
  </w:style>
  <w:style w:type="paragraph" w:styleId="ListParagraph">
    <w:name w:val="List Paragraph"/>
    <w:basedOn w:val="Normal"/>
    <w:uiPriority w:val="34"/>
    <w:qFormat/>
    <w:rsid w:val="0021415C"/>
    <w:pPr>
      <w:widowControl w:val="0"/>
      <w:ind w:left="720"/>
      <w:contextualSpacing/>
    </w:pPr>
    <w:rPr>
      <w:rFonts w:eastAsiaTheme="minorHAnsi"/>
      <w:lang w:val="en-US" w:eastAsia="en-US"/>
    </w:rPr>
  </w:style>
  <w:style w:type="table" w:styleId="TableGrid">
    <w:name w:val="Table Grid"/>
    <w:basedOn w:val="TableNormal"/>
    <w:uiPriority w:val="59"/>
    <w:rsid w:val="00B3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21FA"/>
    <w:pPr>
      <w:spacing w:after="0" w:line="240" w:lineRule="auto"/>
    </w:pPr>
  </w:style>
  <w:style w:type="character" w:styleId="Emphasis">
    <w:name w:val="Emphasis"/>
    <w:basedOn w:val="DefaultParagraphFont"/>
    <w:uiPriority w:val="20"/>
    <w:qFormat/>
    <w:rsid w:val="00203B59"/>
    <w:rPr>
      <w:i/>
      <w:iCs/>
    </w:rPr>
  </w:style>
  <w:style w:type="paragraph" w:customStyle="1" w:styleId="p1">
    <w:name w:val="p1"/>
    <w:basedOn w:val="Normal"/>
    <w:rsid w:val="007C3804"/>
    <w:pPr>
      <w:spacing w:after="0" w:line="240" w:lineRule="auto"/>
    </w:pPr>
    <w:rPr>
      <w:rFonts w:ascii="Arial" w:hAnsi="Arial" w:cs="Arial"/>
      <w:sz w:val="17"/>
      <w:szCs w:val="17"/>
      <w:lang w:val="en-US" w:eastAsia="en-US"/>
    </w:rPr>
  </w:style>
  <w:style w:type="character" w:customStyle="1" w:styleId="s1">
    <w:name w:val="s1"/>
    <w:basedOn w:val="DefaultParagraphFont"/>
    <w:rsid w:val="007C3804"/>
  </w:style>
  <w:style w:type="paragraph" w:styleId="Header">
    <w:name w:val="header"/>
    <w:basedOn w:val="Normal"/>
    <w:link w:val="HeaderChar"/>
    <w:uiPriority w:val="99"/>
    <w:unhideWhenUsed/>
    <w:rsid w:val="00DE4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809"/>
  </w:style>
  <w:style w:type="paragraph" w:styleId="Footer">
    <w:name w:val="footer"/>
    <w:basedOn w:val="Normal"/>
    <w:link w:val="FooterChar"/>
    <w:uiPriority w:val="99"/>
    <w:unhideWhenUsed/>
    <w:rsid w:val="00DE4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809"/>
  </w:style>
  <w:style w:type="character" w:customStyle="1" w:styleId="y0nh2b">
    <w:name w:val="y0nh2b"/>
    <w:basedOn w:val="DefaultParagraphFont"/>
    <w:rsid w:val="00894454"/>
  </w:style>
  <w:style w:type="character" w:styleId="Hyperlink">
    <w:name w:val="Hyperlink"/>
    <w:basedOn w:val="DefaultParagraphFont"/>
    <w:uiPriority w:val="99"/>
    <w:unhideWhenUsed/>
    <w:rsid w:val="00FC41C2"/>
    <w:rPr>
      <w:color w:val="0000FF" w:themeColor="hyperlink"/>
      <w:u w:val="single"/>
    </w:rPr>
  </w:style>
  <w:style w:type="character" w:styleId="FollowedHyperlink">
    <w:name w:val="FollowedHyperlink"/>
    <w:basedOn w:val="DefaultParagraphFont"/>
    <w:uiPriority w:val="99"/>
    <w:semiHidden/>
    <w:unhideWhenUsed/>
    <w:rsid w:val="003A5E49"/>
    <w:rPr>
      <w:color w:val="800080" w:themeColor="followedHyperlink"/>
      <w:u w:val="single"/>
    </w:rPr>
  </w:style>
  <w:style w:type="character" w:customStyle="1" w:styleId="s2">
    <w:name w:val="s2"/>
    <w:basedOn w:val="DefaultParagraphFont"/>
    <w:rsid w:val="00387ABD"/>
  </w:style>
  <w:style w:type="character" w:customStyle="1" w:styleId="ilfuvd">
    <w:name w:val="ilfuvd"/>
    <w:basedOn w:val="DefaultParagraphFont"/>
    <w:rsid w:val="005E1B55"/>
  </w:style>
  <w:style w:type="character" w:customStyle="1" w:styleId="Heading3Char">
    <w:name w:val="Heading 3 Char"/>
    <w:basedOn w:val="DefaultParagraphFont"/>
    <w:link w:val="Heading3"/>
    <w:uiPriority w:val="9"/>
    <w:rsid w:val="00ED1DF1"/>
    <w:rPr>
      <w:rFonts w:asciiTheme="majorHAnsi" w:eastAsiaTheme="majorEastAsia" w:hAnsiTheme="majorHAnsi" w:cstheme="majorBidi"/>
      <w:color w:val="000000" w:themeColor="text1"/>
      <w:sz w:val="24"/>
      <w:szCs w:val="24"/>
      <w:lang w:eastAsia="en-US"/>
    </w:rPr>
  </w:style>
  <w:style w:type="character" w:customStyle="1" w:styleId="s3">
    <w:name w:val="s3"/>
    <w:basedOn w:val="DefaultParagraphFont"/>
    <w:rsid w:val="007857AD"/>
    <w:rPr>
      <w:color w:val="0463C1"/>
      <w:u w:val="single"/>
    </w:rPr>
  </w:style>
  <w:style w:type="paragraph" w:styleId="DocumentMap">
    <w:name w:val="Document Map"/>
    <w:basedOn w:val="Normal"/>
    <w:link w:val="DocumentMapChar"/>
    <w:uiPriority w:val="99"/>
    <w:semiHidden/>
    <w:unhideWhenUsed/>
    <w:rsid w:val="0030644C"/>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0644C"/>
    <w:rPr>
      <w:rFonts w:ascii="Times New Roman" w:hAnsi="Times New Roman" w:cs="Times New Roman"/>
      <w:sz w:val="24"/>
      <w:szCs w:val="24"/>
    </w:rPr>
  </w:style>
  <w:style w:type="character" w:customStyle="1" w:styleId="apple-converted-space">
    <w:name w:val="apple-converted-space"/>
    <w:basedOn w:val="DefaultParagraphFont"/>
    <w:rsid w:val="0057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447">
      <w:bodyDiv w:val="1"/>
      <w:marLeft w:val="0"/>
      <w:marRight w:val="0"/>
      <w:marTop w:val="0"/>
      <w:marBottom w:val="0"/>
      <w:divBdr>
        <w:top w:val="none" w:sz="0" w:space="0" w:color="auto"/>
        <w:left w:val="none" w:sz="0" w:space="0" w:color="auto"/>
        <w:bottom w:val="none" w:sz="0" w:space="0" w:color="auto"/>
        <w:right w:val="none" w:sz="0" w:space="0" w:color="auto"/>
      </w:divBdr>
    </w:div>
    <w:div w:id="52169288">
      <w:bodyDiv w:val="1"/>
      <w:marLeft w:val="0"/>
      <w:marRight w:val="0"/>
      <w:marTop w:val="0"/>
      <w:marBottom w:val="0"/>
      <w:divBdr>
        <w:top w:val="none" w:sz="0" w:space="0" w:color="auto"/>
        <w:left w:val="none" w:sz="0" w:space="0" w:color="auto"/>
        <w:bottom w:val="none" w:sz="0" w:space="0" w:color="auto"/>
        <w:right w:val="none" w:sz="0" w:space="0" w:color="auto"/>
      </w:divBdr>
    </w:div>
    <w:div w:id="77529818">
      <w:bodyDiv w:val="1"/>
      <w:marLeft w:val="0"/>
      <w:marRight w:val="0"/>
      <w:marTop w:val="0"/>
      <w:marBottom w:val="0"/>
      <w:divBdr>
        <w:top w:val="none" w:sz="0" w:space="0" w:color="auto"/>
        <w:left w:val="none" w:sz="0" w:space="0" w:color="auto"/>
        <w:bottom w:val="none" w:sz="0" w:space="0" w:color="auto"/>
        <w:right w:val="none" w:sz="0" w:space="0" w:color="auto"/>
      </w:divBdr>
    </w:div>
    <w:div w:id="83456480">
      <w:bodyDiv w:val="1"/>
      <w:marLeft w:val="0"/>
      <w:marRight w:val="0"/>
      <w:marTop w:val="0"/>
      <w:marBottom w:val="0"/>
      <w:divBdr>
        <w:top w:val="none" w:sz="0" w:space="0" w:color="auto"/>
        <w:left w:val="none" w:sz="0" w:space="0" w:color="auto"/>
        <w:bottom w:val="none" w:sz="0" w:space="0" w:color="auto"/>
        <w:right w:val="none" w:sz="0" w:space="0" w:color="auto"/>
      </w:divBdr>
    </w:div>
    <w:div w:id="126247444">
      <w:bodyDiv w:val="1"/>
      <w:marLeft w:val="0"/>
      <w:marRight w:val="0"/>
      <w:marTop w:val="0"/>
      <w:marBottom w:val="0"/>
      <w:divBdr>
        <w:top w:val="none" w:sz="0" w:space="0" w:color="auto"/>
        <w:left w:val="none" w:sz="0" w:space="0" w:color="auto"/>
        <w:bottom w:val="none" w:sz="0" w:space="0" w:color="auto"/>
        <w:right w:val="none" w:sz="0" w:space="0" w:color="auto"/>
      </w:divBdr>
    </w:div>
    <w:div w:id="176387029">
      <w:bodyDiv w:val="1"/>
      <w:marLeft w:val="0"/>
      <w:marRight w:val="0"/>
      <w:marTop w:val="0"/>
      <w:marBottom w:val="0"/>
      <w:divBdr>
        <w:top w:val="none" w:sz="0" w:space="0" w:color="auto"/>
        <w:left w:val="none" w:sz="0" w:space="0" w:color="auto"/>
        <w:bottom w:val="none" w:sz="0" w:space="0" w:color="auto"/>
        <w:right w:val="none" w:sz="0" w:space="0" w:color="auto"/>
      </w:divBdr>
    </w:div>
    <w:div w:id="178587476">
      <w:bodyDiv w:val="1"/>
      <w:marLeft w:val="0"/>
      <w:marRight w:val="0"/>
      <w:marTop w:val="0"/>
      <w:marBottom w:val="0"/>
      <w:divBdr>
        <w:top w:val="none" w:sz="0" w:space="0" w:color="auto"/>
        <w:left w:val="none" w:sz="0" w:space="0" w:color="auto"/>
        <w:bottom w:val="none" w:sz="0" w:space="0" w:color="auto"/>
        <w:right w:val="none" w:sz="0" w:space="0" w:color="auto"/>
      </w:divBdr>
    </w:div>
    <w:div w:id="186211571">
      <w:bodyDiv w:val="1"/>
      <w:marLeft w:val="0"/>
      <w:marRight w:val="0"/>
      <w:marTop w:val="0"/>
      <w:marBottom w:val="0"/>
      <w:divBdr>
        <w:top w:val="none" w:sz="0" w:space="0" w:color="auto"/>
        <w:left w:val="none" w:sz="0" w:space="0" w:color="auto"/>
        <w:bottom w:val="none" w:sz="0" w:space="0" w:color="auto"/>
        <w:right w:val="none" w:sz="0" w:space="0" w:color="auto"/>
      </w:divBdr>
    </w:div>
    <w:div w:id="249898931">
      <w:bodyDiv w:val="1"/>
      <w:marLeft w:val="0"/>
      <w:marRight w:val="0"/>
      <w:marTop w:val="0"/>
      <w:marBottom w:val="0"/>
      <w:divBdr>
        <w:top w:val="none" w:sz="0" w:space="0" w:color="auto"/>
        <w:left w:val="none" w:sz="0" w:space="0" w:color="auto"/>
        <w:bottom w:val="none" w:sz="0" w:space="0" w:color="auto"/>
        <w:right w:val="none" w:sz="0" w:space="0" w:color="auto"/>
      </w:divBdr>
    </w:div>
    <w:div w:id="342173173">
      <w:bodyDiv w:val="1"/>
      <w:marLeft w:val="0"/>
      <w:marRight w:val="0"/>
      <w:marTop w:val="0"/>
      <w:marBottom w:val="0"/>
      <w:divBdr>
        <w:top w:val="none" w:sz="0" w:space="0" w:color="auto"/>
        <w:left w:val="none" w:sz="0" w:space="0" w:color="auto"/>
        <w:bottom w:val="none" w:sz="0" w:space="0" w:color="auto"/>
        <w:right w:val="none" w:sz="0" w:space="0" w:color="auto"/>
      </w:divBdr>
    </w:div>
    <w:div w:id="348605934">
      <w:bodyDiv w:val="1"/>
      <w:marLeft w:val="0"/>
      <w:marRight w:val="0"/>
      <w:marTop w:val="0"/>
      <w:marBottom w:val="0"/>
      <w:divBdr>
        <w:top w:val="none" w:sz="0" w:space="0" w:color="auto"/>
        <w:left w:val="none" w:sz="0" w:space="0" w:color="auto"/>
        <w:bottom w:val="none" w:sz="0" w:space="0" w:color="auto"/>
        <w:right w:val="none" w:sz="0" w:space="0" w:color="auto"/>
      </w:divBdr>
    </w:div>
    <w:div w:id="354620623">
      <w:bodyDiv w:val="1"/>
      <w:marLeft w:val="0"/>
      <w:marRight w:val="0"/>
      <w:marTop w:val="0"/>
      <w:marBottom w:val="0"/>
      <w:divBdr>
        <w:top w:val="none" w:sz="0" w:space="0" w:color="auto"/>
        <w:left w:val="none" w:sz="0" w:space="0" w:color="auto"/>
        <w:bottom w:val="none" w:sz="0" w:space="0" w:color="auto"/>
        <w:right w:val="none" w:sz="0" w:space="0" w:color="auto"/>
      </w:divBdr>
    </w:div>
    <w:div w:id="354769366">
      <w:bodyDiv w:val="1"/>
      <w:marLeft w:val="0"/>
      <w:marRight w:val="0"/>
      <w:marTop w:val="0"/>
      <w:marBottom w:val="0"/>
      <w:divBdr>
        <w:top w:val="none" w:sz="0" w:space="0" w:color="auto"/>
        <w:left w:val="none" w:sz="0" w:space="0" w:color="auto"/>
        <w:bottom w:val="none" w:sz="0" w:space="0" w:color="auto"/>
        <w:right w:val="none" w:sz="0" w:space="0" w:color="auto"/>
      </w:divBdr>
    </w:div>
    <w:div w:id="382826933">
      <w:bodyDiv w:val="1"/>
      <w:marLeft w:val="0"/>
      <w:marRight w:val="0"/>
      <w:marTop w:val="0"/>
      <w:marBottom w:val="0"/>
      <w:divBdr>
        <w:top w:val="none" w:sz="0" w:space="0" w:color="auto"/>
        <w:left w:val="none" w:sz="0" w:space="0" w:color="auto"/>
        <w:bottom w:val="none" w:sz="0" w:space="0" w:color="auto"/>
        <w:right w:val="none" w:sz="0" w:space="0" w:color="auto"/>
      </w:divBdr>
    </w:div>
    <w:div w:id="398408025">
      <w:bodyDiv w:val="1"/>
      <w:marLeft w:val="0"/>
      <w:marRight w:val="0"/>
      <w:marTop w:val="0"/>
      <w:marBottom w:val="0"/>
      <w:divBdr>
        <w:top w:val="none" w:sz="0" w:space="0" w:color="auto"/>
        <w:left w:val="none" w:sz="0" w:space="0" w:color="auto"/>
        <w:bottom w:val="none" w:sz="0" w:space="0" w:color="auto"/>
        <w:right w:val="none" w:sz="0" w:space="0" w:color="auto"/>
      </w:divBdr>
    </w:div>
    <w:div w:id="421267899">
      <w:bodyDiv w:val="1"/>
      <w:marLeft w:val="0"/>
      <w:marRight w:val="0"/>
      <w:marTop w:val="0"/>
      <w:marBottom w:val="0"/>
      <w:divBdr>
        <w:top w:val="none" w:sz="0" w:space="0" w:color="auto"/>
        <w:left w:val="none" w:sz="0" w:space="0" w:color="auto"/>
        <w:bottom w:val="none" w:sz="0" w:space="0" w:color="auto"/>
        <w:right w:val="none" w:sz="0" w:space="0" w:color="auto"/>
      </w:divBdr>
    </w:div>
    <w:div w:id="499348253">
      <w:bodyDiv w:val="1"/>
      <w:marLeft w:val="0"/>
      <w:marRight w:val="0"/>
      <w:marTop w:val="0"/>
      <w:marBottom w:val="0"/>
      <w:divBdr>
        <w:top w:val="none" w:sz="0" w:space="0" w:color="auto"/>
        <w:left w:val="none" w:sz="0" w:space="0" w:color="auto"/>
        <w:bottom w:val="none" w:sz="0" w:space="0" w:color="auto"/>
        <w:right w:val="none" w:sz="0" w:space="0" w:color="auto"/>
      </w:divBdr>
    </w:div>
    <w:div w:id="541677071">
      <w:bodyDiv w:val="1"/>
      <w:marLeft w:val="0"/>
      <w:marRight w:val="0"/>
      <w:marTop w:val="0"/>
      <w:marBottom w:val="0"/>
      <w:divBdr>
        <w:top w:val="none" w:sz="0" w:space="0" w:color="auto"/>
        <w:left w:val="none" w:sz="0" w:space="0" w:color="auto"/>
        <w:bottom w:val="none" w:sz="0" w:space="0" w:color="auto"/>
        <w:right w:val="none" w:sz="0" w:space="0" w:color="auto"/>
      </w:divBdr>
    </w:div>
    <w:div w:id="580528823">
      <w:bodyDiv w:val="1"/>
      <w:marLeft w:val="0"/>
      <w:marRight w:val="0"/>
      <w:marTop w:val="0"/>
      <w:marBottom w:val="0"/>
      <w:divBdr>
        <w:top w:val="none" w:sz="0" w:space="0" w:color="auto"/>
        <w:left w:val="none" w:sz="0" w:space="0" w:color="auto"/>
        <w:bottom w:val="none" w:sz="0" w:space="0" w:color="auto"/>
        <w:right w:val="none" w:sz="0" w:space="0" w:color="auto"/>
      </w:divBdr>
      <w:divsChild>
        <w:div w:id="1742950286">
          <w:marLeft w:val="0"/>
          <w:marRight w:val="0"/>
          <w:marTop w:val="0"/>
          <w:marBottom w:val="0"/>
          <w:divBdr>
            <w:top w:val="none" w:sz="0" w:space="0" w:color="auto"/>
            <w:left w:val="none" w:sz="0" w:space="0" w:color="auto"/>
            <w:bottom w:val="none" w:sz="0" w:space="0" w:color="auto"/>
            <w:right w:val="none" w:sz="0" w:space="0" w:color="auto"/>
          </w:divBdr>
        </w:div>
        <w:div w:id="325132861">
          <w:marLeft w:val="0"/>
          <w:marRight w:val="0"/>
          <w:marTop w:val="0"/>
          <w:marBottom w:val="0"/>
          <w:divBdr>
            <w:top w:val="none" w:sz="0" w:space="0" w:color="auto"/>
            <w:left w:val="none" w:sz="0" w:space="0" w:color="auto"/>
            <w:bottom w:val="none" w:sz="0" w:space="0" w:color="auto"/>
            <w:right w:val="none" w:sz="0" w:space="0" w:color="auto"/>
          </w:divBdr>
        </w:div>
        <w:div w:id="72700873">
          <w:marLeft w:val="0"/>
          <w:marRight w:val="0"/>
          <w:marTop w:val="0"/>
          <w:marBottom w:val="0"/>
          <w:divBdr>
            <w:top w:val="none" w:sz="0" w:space="0" w:color="auto"/>
            <w:left w:val="none" w:sz="0" w:space="0" w:color="auto"/>
            <w:bottom w:val="none" w:sz="0" w:space="0" w:color="auto"/>
            <w:right w:val="none" w:sz="0" w:space="0" w:color="auto"/>
          </w:divBdr>
        </w:div>
        <w:div w:id="1438326676">
          <w:marLeft w:val="0"/>
          <w:marRight w:val="0"/>
          <w:marTop w:val="0"/>
          <w:marBottom w:val="0"/>
          <w:divBdr>
            <w:top w:val="none" w:sz="0" w:space="0" w:color="auto"/>
            <w:left w:val="none" w:sz="0" w:space="0" w:color="auto"/>
            <w:bottom w:val="none" w:sz="0" w:space="0" w:color="auto"/>
            <w:right w:val="none" w:sz="0" w:space="0" w:color="auto"/>
          </w:divBdr>
        </w:div>
        <w:div w:id="2085566724">
          <w:marLeft w:val="0"/>
          <w:marRight w:val="0"/>
          <w:marTop w:val="0"/>
          <w:marBottom w:val="0"/>
          <w:divBdr>
            <w:top w:val="none" w:sz="0" w:space="0" w:color="auto"/>
            <w:left w:val="none" w:sz="0" w:space="0" w:color="auto"/>
            <w:bottom w:val="none" w:sz="0" w:space="0" w:color="auto"/>
            <w:right w:val="none" w:sz="0" w:space="0" w:color="auto"/>
          </w:divBdr>
        </w:div>
        <w:div w:id="1543402906">
          <w:marLeft w:val="0"/>
          <w:marRight w:val="0"/>
          <w:marTop w:val="0"/>
          <w:marBottom w:val="0"/>
          <w:divBdr>
            <w:top w:val="none" w:sz="0" w:space="0" w:color="auto"/>
            <w:left w:val="none" w:sz="0" w:space="0" w:color="auto"/>
            <w:bottom w:val="none" w:sz="0" w:space="0" w:color="auto"/>
            <w:right w:val="none" w:sz="0" w:space="0" w:color="auto"/>
          </w:divBdr>
        </w:div>
        <w:div w:id="910580720">
          <w:marLeft w:val="0"/>
          <w:marRight w:val="0"/>
          <w:marTop w:val="0"/>
          <w:marBottom w:val="0"/>
          <w:divBdr>
            <w:top w:val="none" w:sz="0" w:space="0" w:color="auto"/>
            <w:left w:val="none" w:sz="0" w:space="0" w:color="auto"/>
            <w:bottom w:val="none" w:sz="0" w:space="0" w:color="auto"/>
            <w:right w:val="none" w:sz="0" w:space="0" w:color="auto"/>
          </w:divBdr>
        </w:div>
        <w:div w:id="559898522">
          <w:marLeft w:val="0"/>
          <w:marRight w:val="0"/>
          <w:marTop w:val="0"/>
          <w:marBottom w:val="0"/>
          <w:divBdr>
            <w:top w:val="none" w:sz="0" w:space="0" w:color="auto"/>
            <w:left w:val="none" w:sz="0" w:space="0" w:color="auto"/>
            <w:bottom w:val="none" w:sz="0" w:space="0" w:color="auto"/>
            <w:right w:val="none" w:sz="0" w:space="0" w:color="auto"/>
          </w:divBdr>
        </w:div>
        <w:div w:id="1036546859">
          <w:marLeft w:val="0"/>
          <w:marRight w:val="0"/>
          <w:marTop w:val="0"/>
          <w:marBottom w:val="0"/>
          <w:divBdr>
            <w:top w:val="none" w:sz="0" w:space="0" w:color="auto"/>
            <w:left w:val="none" w:sz="0" w:space="0" w:color="auto"/>
            <w:bottom w:val="none" w:sz="0" w:space="0" w:color="auto"/>
            <w:right w:val="none" w:sz="0" w:space="0" w:color="auto"/>
          </w:divBdr>
        </w:div>
        <w:div w:id="1699551458">
          <w:marLeft w:val="0"/>
          <w:marRight w:val="0"/>
          <w:marTop w:val="0"/>
          <w:marBottom w:val="0"/>
          <w:divBdr>
            <w:top w:val="none" w:sz="0" w:space="0" w:color="auto"/>
            <w:left w:val="none" w:sz="0" w:space="0" w:color="auto"/>
            <w:bottom w:val="none" w:sz="0" w:space="0" w:color="auto"/>
            <w:right w:val="none" w:sz="0" w:space="0" w:color="auto"/>
          </w:divBdr>
        </w:div>
        <w:div w:id="543370514">
          <w:marLeft w:val="0"/>
          <w:marRight w:val="0"/>
          <w:marTop w:val="0"/>
          <w:marBottom w:val="0"/>
          <w:divBdr>
            <w:top w:val="none" w:sz="0" w:space="0" w:color="auto"/>
            <w:left w:val="none" w:sz="0" w:space="0" w:color="auto"/>
            <w:bottom w:val="none" w:sz="0" w:space="0" w:color="auto"/>
            <w:right w:val="none" w:sz="0" w:space="0" w:color="auto"/>
          </w:divBdr>
        </w:div>
        <w:div w:id="291908773">
          <w:marLeft w:val="0"/>
          <w:marRight w:val="0"/>
          <w:marTop w:val="0"/>
          <w:marBottom w:val="0"/>
          <w:divBdr>
            <w:top w:val="none" w:sz="0" w:space="0" w:color="auto"/>
            <w:left w:val="none" w:sz="0" w:space="0" w:color="auto"/>
            <w:bottom w:val="none" w:sz="0" w:space="0" w:color="auto"/>
            <w:right w:val="none" w:sz="0" w:space="0" w:color="auto"/>
          </w:divBdr>
        </w:div>
        <w:div w:id="1213032778">
          <w:marLeft w:val="0"/>
          <w:marRight w:val="0"/>
          <w:marTop w:val="0"/>
          <w:marBottom w:val="0"/>
          <w:divBdr>
            <w:top w:val="none" w:sz="0" w:space="0" w:color="auto"/>
            <w:left w:val="none" w:sz="0" w:space="0" w:color="auto"/>
            <w:bottom w:val="none" w:sz="0" w:space="0" w:color="auto"/>
            <w:right w:val="none" w:sz="0" w:space="0" w:color="auto"/>
          </w:divBdr>
        </w:div>
        <w:div w:id="1655184614">
          <w:marLeft w:val="0"/>
          <w:marRight w:val="0"/>
          <w:marTop w:val="0"/>
          <w:marBottom w:val="0"/>
          <w:divBdr>
            <w:top w:val="none" w:sz="0" w:space="0" w:color="auto"/>
            <w:left w:val="none" w:sz="0" w:space="0" w:color="auto"/>
            <w:bottom w:val="none" w:sz="0" w:space="0" w:color="auto"/>
            <w:right w:val="none" w:sz="0" w:space="0" w:color="auto"/>
          </w:divBdr>
        </w:div>
        <w:div w:id="812059485">
          <w:marLeft w:val="0"/>
          <w:marRight w:val="0"/>
          <w:marTop w:val="0"/>
          <w:marBottom w:val="0"/>
          <w:divBdr>
            <w:top w:val="none" w:sz="0" w:space="0" w:color="auto"/>
            <w:left w:val="none" w:sz="0" w:space="0" w:color="auto"/>
            <w:bottom w:val="none" w:sz="0" w:space="0" w:color="auto"/>
            <w:right w:val="none" w:sz="0" w:space="0" w:color="auto"/>
          </w:divBdr>
        </w:div>
        <w:div w:id="2117287284">
          <w:marLeft w:val="0"/>
          <w:marRight w:val="0"/>
          <w:marTop w:val="0"/>
          <w:marBottom w:val="0"/>
          <w:divBdr>
            <w:top w:val="none" w:sz="0" w:space="0" w:color="auto"/>
            <w:left w:val="none" w:sz="0" w:space="0" w:color="auto"/>
            <w:bottom w:val="none" w:sz="0" w:space="0" w:color="auto"/>
            <w:right w:val="none" w:sz="0" w:space="0" w:color="auto"/>
          </w:divBdr>
        </w:div>
        <w:div w:id="456722118">
          <w:marLeft w:val="0"/>
          <w:marRight w:val="0"/>
          <w:marTop w:val="0"/>
          <w:marBottom w:val="0"/>
          <w:divBdr>
            <w:top w:val="none" w:sz="0" w:space="0" w:color="auto"/>
            <w:left w:val="none" w:sz="0" w:space="0" w:color="auto"/>
            <w:bottom w:val="none" w:sz="0" w:space="0" w:color="auto"/>
            <w:right w:val="none" w:sz="0" w:space="0" w:color="auto"/>
          </w:divBdr>
        </w:div>
        <w:div w:id="1896356171">
          <w:marLeft w:val="0"/>
          <w:marRight w:val="0"/>
          <w:marTop w:val="0"/>
          <w:marBottom w:val="0"/>
          <w:divBdr>
            <w:top w:val="none" w:sz="0" w:space="0" w:color="auto"/>
            <w:left w:val="none" w:sz="0" w:space="0" w:color="auto"/>
            <w:bottom w:val="none" w:sz="0" w:space="0" w:color="auto"/>
            <w:right w:val="none" w:sz="0" w:space="0" w:color="auto"/>
          </w:divBdr>
        </w:div>
        <w:div w:id="1859150451">
          <w:marLeft w:val="0"/>
          <w:marRight w:val="0"/>
          <w:marTop w:val="0"/>
          <w:marBottom w:val="0"/>
          <w:divBdr>
            <w:top w:val="none" w:sz="0" w:space="0" w:color="auto"/>
            <w:left w:val="none" w:sz="0" w:space="0" w:color="auto"/>
            <w:bottom w:val="none" w:sz="0" w:space="0" w:color="auto"/>
            <w:right w:val="none" w:sz="0" w:space="0" w:color="auto"/>
          </w:divBdr>
        </w:div>
        <w:div w:id="2037273443">
          <w:marLeft w:val="0"/>
          <w:marRight w:val="0"/>
          <w:marTop w:val="0"/>
          <w:marBottom w:val="0"/>
          <w:divBdr>
            <w:top w:val="none" w:sz="0" w:space="0" w:color="auto"/>
            <w:left w:val="none" w:sz="0" w:space="0" w:color="auto"/>
            <w:bottom w:val="none" w:sz="0" w:space="0" w:color="auto"/>
            <w:right w:val="none" w:sz="0" w:space="0" w:color="auto"/>
          </w:divBdr>
        </w:div>
        <w:div w:id="570195521">
          <w:marLeft w:val="0"/>
          <w:marRight w:val="0"/>
          <w:marTop w:val="0"/>
          <w:marBottom w:val="0"/>
          <w:divBdr>
            <w:top w:val="none" w:sz="0" w:space="0" w:color="auto"/>
            <w:left w:val="none" w:sz="0" w:space="0" w:color="auto"/>
            <w:bottom w:val="none" w:sz="0" w:space="0" w:color="auto"/>
            <w:right w:val="none" w:sz="0" w:space="0" w:color="auto"/>
          </w:divBdr>
        </w:div>
        <w:div w:id="716274920">
          <w:marLeft w:val="0"/>
          <w:marRight w:val="0"/>
          <w:marTop w:val="0"/>
          <w:marBottom w:val="0"/>
          <w:divBdr>
            <w:top w:val="none" w:sz="0" w:space="0" w:color="auto"/>
            <w:left w:val="none" w:sz="0" w:space="0" w:color="auto"/>
            <w:bottom w:val="none" w:sz="0" w:space="0" w:color="auto"/>
            <w:right w:val="none" w:sz="0" w:space="0" w:color="auto"/>
          </w:divBdr>
        </w:div>
        <w:div w:id="215555625">
          <w:marLeft w:val="0"/>
          <w:marRight w:val="0"/>
          <w:marTop w:val="0"/>
          <w:marBottom w:val="0"/>
          <w:divBdr>
            <w:top w:val="none" w:sz="0" w:space="0" w:color="auto"/>
            <w:left w:val="none" w:sz="0" w:space="0" w:color="auto"/>
            <w:bottom w:val="none" w:sz="0" w:space="0" w:color="auto"/>
            <w:right w:val="none" w:sz="0" w:space="0" w:color="auto"/>
          </w:divBdr>
        </w:div>
        <w:div w:id="576020141">
          <w:marLeft w:val="0"/>
          <w:marRight w:val="0"/>
          <w:marTop w:val="0"/>
          <w:marBottom w:val="0"/>
          <w:divBdr>
            <w:top w:val="none" w:sz="0" w:space="0" w:color="auto"/>
            <w:left w:val="none" w:sz="0" w:space="0" w:color="auto"/>
            <w:bottom w:val="none" w:sz="0" w:space="0" w:color="auto"/>
            <w:right w:val="none" w:sz="0" w:space="0" w:color="auto"/>
          </w:divBdr>
        </w:div>
        <w:div w:id="622268654">
          <w:marLeft w:val="0"/>
          <w:marRight w:val="0"/>
          <w:marTop w:val="0"/>
          <w:marBottom w:val="0"/>
          <w:divBdr>
            <w:top w:val="none" w:sz="0" w:space="0" w:color="auto"/>
            <w:left w:val="none" w:sz="0" w:space="0" w:color="auto"/>
            <w:bottom w:val="none" w:sz="0" w:space="0" w:color="auto"/>
            <w:right w:val="none" w:sz="0" w:space="0" w:color="auto"/>
          </w:divBdr>
        </w:div>
        <w:div w:id="2041085477">
          <w:marLeft w:val="0"/>
          <w:marRight w:val="0"/>
          <w:marTop w:val="0"/>
          <w:marBottom w:val="0"/>
          <w:divBdr>
            <w:top w:val="none" w:sz="0" w:space="0" w:color="auto"/>
            <w:left w:val="none" w:sz="0" w:space="0" w:color="auto"/>
            <w:bottom w:val="none" w:sz="0" w:space="0" w:color="auto"/>
            <w:right w:val="none" w:sz="0" w:space="0" w:color="auto"/>
          </w:divBdr>
        </w:div>
        <w:div w:id="241136572">
          <w:marLeft w:val="0"/>
          <w:marRight w:val="0"/>
          <w:marTop w:val="0"/>
          <w:marBottom w:val="0"/>
          <w:divBdr>
            <w:top w:val="none" w:sz="0" w:space="0" w:color="auto"/>
            <w:left w:val="none" w:sz="0" w:space="0" w:color="auto"/>
            <w:bottom w:val="none" w:sz="0" w:space="0" w:color="auto"/>
            <w:right w:val="none" w:sz="0" w:space="0" w:color="auto"/>
          </w:divBdr>
        </w:div>
      </w:divsChild>
    </w:div>
    <w:div w:id="598218805">
      <w:bodyDiv w:val="1"/>
      <w:marLeft w:val="0"/>
      <w:marRight w:val="0"/>
      <w:marTop w:val="0"/>
      <w:marBottom w:val="0"/>
      <w:divBdr>
        <w:top w:val="none" w:sz="0" w:space="0" w:color="auto"/>
        <w:left w:val="none" w:sz="0" w:space="0" w:color="auto"/>
        <w:bottom w:val="none" w:sz="0" w:space="0" w:color="auto"/>
        <w:right w:val="none" w:sz="0" w:space="0" w:color="auto"/>
      </w:divBdr>
    </w:div>
    <w:div w:id="653485984">
      <w:bodyDiv w:val="1"/>
      <w:marLeft w:val="0"/>
      <w:marRight w:val="0"/>
      <w:marTop w:val="0"/>
      <w:marBottom w:val="0"/>
      <w:divBdr>
        <w:top w:val="none" w:sz="0" w:space="0" w:color="auto"/>
        <w:left w:val="none" w:sz="0" w:space="0" w:color="auto"/>
        <w:bottom w:val="none" w:sz="0" w:space="0" w:color="auto"/>
        <w:right w:val="none" w:sz="0" w:space="0" w:color="auto"/>
      </w:divBdr>
    </w:div>
    <w:div w:id="739449992">
      <w:bodyDiv w:val="1"/>
      <w:marLeft w:val="0"/>
      <w:marRight w:val="0"/>
      <w:marTop w:val="0"/>
      <w:marBottom w:val="0"/>
      <w:divBdr>
        <w:top w:val="none" w:sz="0" w:space="0" w:color="auto"/>
        <w:left w:val="none" w:sz="0" w:space="0" w:color="auto"/>
        <w:bottom w:val="none" w:sz="0" w:space="0" w:color="auto"/>
        <w:right w:val="none" w:sz="0" w:space="0" w:color="auto"/>
      </w:divBdr>
    </w:div>
    <w:div w:id="747387874">
      <w:bodyDiv w:val="1"/>
      <w:marLeft w:val="0"/>
      <w:marRight w:val="0"/>
      <w:marTop w:val="0"/>
      <w:marBottom w:val="0"/>
      <w:divBdr>
        <w:top w:val="none" w:sz="0" w:space="0" w:color="auto"/>
        <w:left w:val="none" w:sz="0" w:space="0" w:color="auto"/>
        <w:bottom w:val="none" w:sz="0" w:space="0" w:color="auto"/>
        <w:right w:val="none" w:sz="0" w:space="0" w:color="auto"/>
      </w:divBdr>
    </w:div>
    <w:div w:id="758137999">
      <w:bodyDiv w:val="1"/>
      <w:marLeft w:val="0"/>
      <w:marRight w:val="0"/>
      <w:marTop w:val="0"/>
      <w:marBottom w:val="0"/>
      <w:divBdr>
        <w:top w:val="none" w:sz="0" w:space="0" w:color="auto"/>
        <w:left w:val="none" w:sz="0" w:space="0" w:color="auto"/>
        <w:bottom w:val="none" w:sz="0" w:space="0" w:color="auto"/>
        <w:right w:val="none" w:sz="0" w:space="0" w:color="auto"/>
      </w:divBdr>
    </w:div>
    <w:div w:id="794833891">
      <w:bodyDiv w:val="1"/>
      <w:marLeft w:val="0"/>
      <w:marRight w:val="0"/>
      <w:marTop w:val="0"/>
      <w:marBottom w:val="0"/>
      <w:divBdr>
        <w:top w:val="none" w:sz="0" w:space="0" w:color="auto"/>
        <w:left w:val="none" w:sz="0" w:space="0" w:color="auto"/>
        <w:bottom w:val="none" w:sz="0" w:space="0" w:color="auto"/>
        <w:right w:val="none" w:sz="0" w:space="0" w:color="auto"/>
      </w:divBdr>
    </w:div>
    <w:div w:id="819926081">
      <w:bodyDiv w:val="1"/>
      <w:marLeft w:val="0"/>
      <w:marRight w:val="0"/>
      <w:marTop w:val="0"/>
      <w:marBottom w:val="0"/>
      <w:divBdr>
        <w:top w:val="none" w:sz="0" w:space="0" w:color="auto"/>
        <w:left w:val="none" w:sz="0" w:space="0" w:color="auto"/>
        <w:bottom w:val="none" w:sz="0" w:space="0" w:color="auto"/>
        <w:right w:val="none" w:sz="0" w:space="0" w:color="auto"/>
      </w:divBdr>
    </w:div>
    <w:div w:id="820969781">
      <w:bodyDiv w:val="1"/>
      <w:marLeft w:val="0"/>
      <w:marRight w:val="0"/>
      <w:marTop w:val="0"/>
      <w:marBottom w:val="0"/>
      <w:divBdr>
        <w:top w:val="none" w:sz="0" w:space="0" w:color="auto"/>
        <w:left w:val="none" w:sz="0" w:space="0" w:color="auto"/>
        <w:bottom w:val="none" w:sz="0" w:space="0" w:color="auto"/>
        <w:right w:val="none" w:sz="0" w:space="0" w:color="auto"/>
      </w:divBdr>
    </w:div>
    <w:div w:id="882138591">
      <w:bodyDiv w:val="1"/>
      <w:marLeft w:val="0"/>
      <w:marRight w:val="0"/>
      <w:marTop w:val="0"/>
      <w:marBottom w:val="0"/>
      <w:divBdr>
        <w:top w:val="none" w:sz="0" w:space="0" w:color="auto"/>
        <w:left w:val="none" w:sz="0" w:space="0" w:color="auto"/>
        <w:bottom w:val="none" w:sz="0" w:space="0" w:color="auto"/>
        <w:right w:val="none" w:sz="0" w:space="0" w:color="auto"/>
      </w:divBdr>
    </w:div>
    <w:div w:id="926160122">
      <w:bodyDiv w:val="1"/>
      <w:marLeft w:val="0"/>
      <w:marRight w:val="0"/>
      <w:marTop w:val="0"/>
      <w:marBottom w:val="0"/>
      <w:divBdr>
        <w:top w:val="none" w:sz="0" w:space="0" w:color="auto"/>
        <w:left w:val="none" w:sz="0" w:space="0" w:color="auto"/>
        <w:bottom w:val="none" w:sz="0" w:space="0" w:color="auto"/>
        <w:right w:val="none" w:sz="0" w:space="0" w:color="auto"/>
      </w:divBdr>
    </w:div>
    <w:div w:id="958683010">
      <w:bodyDiv w:val="1"/>
      <w:marLeft w:val="0"/>
      <w:marRight w:val="0"/>
      <w:marTop w:val="0"/>
      <w:marBottom w:val="0"/>
      <w:divBdr>
        <w:top w:val="none" w:sz="0" w:space="0" w:color="auto"/>
        <w:left w:val="none" w:sz="0" w:space="0" w:color="auto"/>
        <w:bottom w:val="none" w:sz="0" w:space="0" w:color="auto"/>
        <w:right w:val="none" w:sz="0" w:space="0" w:color="auto"/>
      </w:divBdr>
    </w:div>
    <w:div w:id="996150232">
      <w:bodyDiv w:val="1"/>
      <w:marLeft w:val="0"/>
      <w:marRight w:val="0"/>
      <w:marTop w:val="0"/>
      <w:marBottom w:val="0"/>
      <w:divBdr>
        <w:top w:val="none" w:sz="0" w:space="0" w:color="auto"/>
        <w:left w:val="none" w:sz="0" w:space="0" w:color="auto"/>
        <w:bottom w:val="none" w:sz="0" w:space="0" w:color="auto"/>
        <w:right w:val="none" w:sz="0" w:space="0" w:color="auto"/>
      </w:divBdr>
    </w:div>
    <w:div w:id="1031489594">
      <w:bodyDiv w:val="1"/>
      <w:marLeft w:val="0"/>
      <w:marRight w:val="0"/>
      <w:marTop w:val="0"/>
      <w:marBottom w:val="0"/>
      <w:divBdr>
        <w:top w:val="none" w:sz="0" w:space="0" w:color="auto"/>
        <w:left w:val="none" w:sz="0" w:space="0" w:color="auto"/>
        <w:bottom w:val="none" w:sz="0" w:space="0" w:color="auto"/>
        <w:right w:val="none" w:sz="0" w:space="0" w:color="auto"/>
      </w:divBdr>
    </w:div>
    <w:div w:id="1033380457">
      <w:bodyDiv w:val="1"/>
      <w:marLeft w:val="0"/>
      <w:marRight w:val="0"/>
      <w:marTop w:val="0"/>
      <w:marBottom w:val="0"/>
      <w:divBdr>
        <w:top w:val="none" w:sz="0" w:space="0" w:color="auto"/>
        <w:left w:val="none" w:sz="0" w:space="0" w:color="auto"/>
        <w:bottom w:val="none" w:sz="0" w:space="0" w:color="auto"/>
        <w:right w:val="none" w:sz="0" w:space="0" w:color="auto"/>
      </w:divBdr>
    </w:div>
    <w:div w:id="1037465210">
      <w:bodyDiv w:val="1"/>
      <w:marLeft w:val="0"/>
      <w:marRight w:val="0"/>
      <w:marTop w:val="0"/>
      <w:marBottom w:val="0"/>
      <w:divBdr>
        <w:top w:val="none" w:sz="0" w:space="0" w:color="auto"/>
        <w:left w:val="none" w:sz="0" w:space="0" w:color="auto"/>
        <w:bottom w:val="none" w:sz="0" w:space="0" w:color="auto"/>
        <w:right w:val="none" w:sz="0" w:space="0" w:color="auto"/>
      </w:divBdr>
    </w:div>
    <w:div w:id="1051656946">
      <w:bodyDiv w:val="1"/>
      <w:marLeft w:val="0"/>
      <w:marRight w:val="0"/>
      <w:marTop w:val="0"/>
      <w:marBottom w:val="0"/>
      <w:divBdr>
        <w:top w:val="none" w:sz="0" w:space="0" w:color="auto"/>
        <w:left w:val="none" w:sz="0" w:space="0" w:color="auto"/>
        <w:bottom w:val="none" w:sz="0" w:space="0" w:color="auto"/>
        <w:right w:val="none" w:sz="0" w:space="0" w:color="auto"/>
      </w:divBdr>
    </w:div>
    <w:div w:id="1074277751">
      <w:bodyDiv w:val="1"/>
      <w:marLeft w:val="0"/>
      <w:marRight w:val="0"/>
      <w:marTop w:val="0"/>
      <w:marBottom w:val="0"/>
      <w:divBdr>
        <w:top w:val="none" w:sz="0" w:space="0" w:color="auto"/>
        <w:left w:val="none" w:sz="0" w:space="0" w:color="auto"/>
        <w:bottom w:val="none" w:sz="0" w:space="0" w:color="auto"/>
        <w:right w:val="none" w:sz="0" w:space="0" w:color="auto"/>
      </w:divBdr>
    </w:div>
    <w:div w:id="1182014282">
      <w:bodyDiv w:val="1"/>
      <w:marLeft w:val="0"/>
      <w:marRight w:val="0"/>
      <w:marTop w:val="0"/>
      <w:marBottom w:val="0"/>
      <w:divBdr>
        <w:top w:val="none" w:sz="0" w:space="0" w:color="auto"/>
        <w:left w:val="none" w:sz="0" w:space="0" w:color="auto"/>
        <w:bottom w:val="none" w:sz="0" w:space="0" w:color="auto"/>
        <w:right w:val="none" w:sz="0" w:space="0" w:color="auto"/>
      </w:divBdr>
      <w:divsChild>
        <w:div w:id="778794988">
          <w:marLeft w:val="0"/>
          <w:marRight w:val="0"/>
          <w:marTop w:val="0"/>
          <w:marBottom w:val="0"/>
          <w:divBdr>
            <w:top w:val="none" w:sz="0" w:space="0" w:color="auto"/>
            <w:left w:val="none" w:sz="0" w:space="0" w:color="auto"/>
            <w:bottom w:val="none" w:sz="0" w:space="0" w:color="auto"/>
            <w:right w:val="none" w:sz="0" w:space="0" w:color="auto"/>
          </w:divBdr>
          <w:divsChild>
            <w:div w:id="1098408681">
              <w:marLeft w:val="0"/>
              <w:marRight w:val="0"/>
              <w:marTop w:val="0"/>
              <w:marBottom w:val="0"/>
              <w:divBdr>
                <w:top w:val="none" w:sz="0" w:space="0" w:color="auto"/>
                <w:left w:val="none" w:sz="0" w:space="0" w:color="auto"/>
                <w:bottom w:val="none" w:sz="0" w:space="0" w:color="auto"/>
                <w:right w:val="none" w:sz="0" w:space="0" w:color="auto"/>
              </w:divBdr>
              <w:divsChild>
                <w:div w:id="1259563290">
                  <w:marLeft w:val="0"/>
                  <w:marRight w:val="0"/>
                  <w:marTop w:val="0"/>
                  <w:marBottom w:val="0"/>
                  <w:divBdr>
                    <w:top w:val="none" w:sz="0" w:space="0" w:color="auto"/>
                    <w:left w:val="none" w:sz="0" w:space="0" w:color="auto"/>
                    <w:bottom w:val="none" w:sz="0" w:space="0" w:color="auto"/>
                    <w:right w:val="none" w:sz="0" w:space="0" w:color="auto"/>
                  </w:divBdr>
                  <w:divsChild>
                    <w:div w:id="1975672123">
                      <w:marLeft w:val="0"/>
                      <w:marRight w:val="0"/>
                      <w:marTop w:val="0"/>
                      <w:marBottom w:val="0"/>
                      <w:divBdr>
                        <w:top w:val="none" w:sz="0" w:space="0" w:color="auto"/>
                        <w:left w:val="none" w:sz="0" w:space="0" w:color="auto"/>
                        <w:bottom w:val="none" w:sz="0" w:space="0" w:color="auto"/>
                        <w:right w:val="none" w:sz="0" w:space="0" w:color="auto"/>
                      </w:divBdr>
                      <w:divsChild>
                        <w:div w:id="608390025">
                          <w:marLeft w:val="0"/>
                          <w:marRight w:val="0"/>
                          <w:marTop w:val="0"/>
                          <w:marBottom w:val="0"/>
                          <w:divBdr>
                            <w:top w:val="none" w:sz="0" w:space="0" w:color="auto"/>
                            <w:left w:val="none" w:sz="0" w:space="0" w:color="auto"/>
                            <w:bottom w:val="none" w:sz="0" w:space="0" w:color="auto"/>
                            <w:right w:val="none" w:sz="0" w:space="0" w:color="auto"/>
                          </w:divBdr>
                          <w:divsChild>
                            <w:div w:id="1672443937">
                              <w:marLeft w:val="0"/>
                              <w:marRight w:val="0"/>
                              <w:marTop w:val="0"/>
                              <w:marBottom w:val="0"/>
                              <w:divBdr>
                                <w:top w:val="none" w:sz="0" w:space="0" w:color="auto"/>
                                <w:left w:val="none" w:sz="0" w:space="0" w:color="auto"/>
                                <w:bottom w:val="none" w:sz="0" w:space="0" w:color="auto"/>
                                <w:right w:val="none" w:sz="0" w:space="0" w:color="auto"/>
                              </w:divBdr>
                              <w:divsChild>
                                <w:div w:id="1190265328">
                                  <w:marLeft w:val="0"/>
                                  <w:marRight w:val="0"/>
                                  <w:marTop w:val="0"/>
                                  <w:marBottom w:val="0"/>
                                  <w:divBdr>
                                    <w:top w:val="none" w:sz="0" w:space="0" w:color="auto"/>
                                    <w:left w:val="none" w:sz="0" w:space="0" w:color="auto"/>
                                    <w:bottom w:val="none" w:sz="0" w:space="0" w:color="auto"/>
                                    <w:right w:val="none" w:sz="0" w:space="0" w:color="auto"/>
                                  </w:divBdr>
                                  <w:divsChild>
                                    <w:div w:id="1539931350">
                                      <w:marLeft w:val="0"/>
                                      <w:marRight w:val="0"/>
                                      <w:marTop w:val="0"/>
                                      <w:marBottom w:val="0"/>
                                      <w:divBdr>
                                        <w:top w:val="none" w:sz="0" w:space="0" w:color="auto"/>
                                        <w:left w:val="none" w:sz="0" w:space="0" w:color="auto"/>
                                        <w:bottom w:val="none" w:sz="0" w:space="0" w:color="auto"/>
                                        <w:right w:val="none" w:sz="0" w:space="0" w:color="auto"/>
                                      </w:divBdr>
                                      <w:divsChild>
                                        <w:div w:id="1689256178">
                                          <w:marLeft w:val="0"/>
                                          <w:marRight w:val="0"/>
                                          <w:marTop w:val="0"/>
                                          <w:marBottom w:val="0"/>
                                          <w:divBdr>
                                            <w:top w:val="none" w:sz="0" w:space="0" w:color="auto"/>
                                            <w:left w:val="none" w:sz="0" w:space="0" w:color="auto"/>
                                            <w:bottom w:val="none" w:sz="0" w:space="0" w:color="auto"/>
                                            <w:right w:val="none" w:sz="0" w:space="0" w:color="auto"/>
                                          </w:divBdr>
                                          <w:divsChild>
                                            <w:div w:id="11731327">
                                              <w:marLeft w:val="0"/>
                                              <w:marRight w:val="0"/>
                                              <w:marTop w:val="0"/>
                                              <w:marBottom w:val="0"/>
                                              <w:divBdr>
                                                <w:top w:val="none" w:sz="0" w:space="0" w:color="auto"/>
                                                <w:left w:val="none" w:sz="0" w:space="0" w:color="auto"/>
                                                <w:bottom w:val="none" w:sz="0" w:space="0" w:color="auto"/>
                                                <w:right w:val="none" w:sz="0" w:space="0" w:color="auto"/>
                                              </w:divBdr>
                                              <w:divsChild>
                                                <w:div w:id="1702704642">
                                                  <w:marLeft w:val="0"/>
                                                  <w:marRight w:val="0"/>
                                                  <w:marTop w:val="0"/>
                                                  <w:marBottom w:val="0"/>
                                                  <w:divBdr>
                                                    <w:top w:val="none" w:sz="0" w:space="0" w:color="auto"/>
                                                    <w:left w:val="none" w:sz="0" w:space="0" w:color="auto"/>
                                                    <w:bottom w:val="none" w:sz="0" w:space="0" w:color="auto"/>
                                                    <w:right w:val="none" w:sz="0" w:space="0" w:color="auto"/>
                                                  </w:divBdr>
                                                  <w:divsChild>
                                                    <w:div w:id="439568862">
                                                      <w:marLeft w:val="0"/>
                                                      <w:marRight w:val="0"/>
                                                      <w:marTop w:val="0"/>
                                                      <w:marBottom w:val="0"/>
                                                      <w:divBdr>
                                                        <w:top w:val="none" w:sz="0" w:space="0" w:color="auto"/>
                                                        <w:left w:val="none" w:sz="0" w:space="0" w:color="auto"/>
                                                        <w:bottom w:val="none" w:sz="0" w:space="0" w:color="auto"/>
                                                        <w:right w:val="none" w:sz="0" w:space="0" w:color="auto"/>
                                                      </w:divBdr>
                                                      <w:divsChild>
                                                        <w:div w:id="1386485549">
                                                          <w:marLeft w:val="0"/>
                                                          <w:marRight w:val="0"/>
                                                          <w:marTop w:val="0"/>
                                                          <w:marBottom w:val="0"/>
                                                          <w:divBdr>
                                                            <w:top w:val="none" w:sz="0" w:space="0" w:color="auto"/>
                                                            <w:left w:val="none" w:sz="0" w:space="0" w:color="auto"/>
                                                            <w:bottom w:val="none" w:sz="0" w:space="0" w:color="auto"/>
                                                            <w:right w:val="none" w:sz="0" w:space="0" w:color="auto"/>
                                                          </w:divBdr>
                                                          <w:divsChild>
                                                            <w:div w:id="1836603610">
                                                              <w:marLeft w:val="0"/>
                                                              <w:marRight w:val="150"/>
                                                              <w:marTop w:val="0"/>
                                                              <w:marBottom w:val="150"/>
                                                              <w:divBdr>
                                                                <w:top w:val="none" w:sz="0" w:space="0" w:color="auto"/>
                                                                <w:left w:val="none" w:sz="0" w:space="0" w:color="auto"/>
                                                                <w:bottom w:val="none" w:sz="0" w:space="0" w:color="auto"/>
                                                                <w:right w:val="none" w:sz="0" w:space="0" w:color="auto"/>
                                                              </w:divBdr>
                                                              <w:divsChild>
                                                                <w:div w:id="2106414282">
                                                                  <w:marLeft w:val="0"/>
                                                                  <w:marRight w:val="0"/>
                                                                  <w:marTop w:val="0"/>
                                                                  <w:marBottom w:val="0"/>
                                                                  <w:divBdr>
                                                                    <w:top w:val="none" w:sz="0" w:space="0" w:color="auto"/>
                                                                    <w:left w:val="none" w:sz="0" w:space="0" w:color="auto"/>
                                                                    <w:bottom w:val="none" w:sz="0" w:space="0" w:color="auto"/>
                                                                    <w:right w:val="none" w:sz="0" w:space="0" w:color="auto"/>
                                                                  </w:divBdr>
                                                                  <w:divsChild>
                                                                    <w:div w:id="283847493">
                                                                      <w:marLeft w:val="0"/>
                                                                      <w:marRight w:val="0"/>
                                                                      <w:marTop w:val="0"/>
                                                                      <w:marBottom w:val="0"/>
                                                                      <w:divBdr>
                                                                        <w:top w:val="none" w:sz="0" w:space="0" w:color="auto"/>
                                                                        <w:left w:val="none" w:sz="0" w:space="0" w:color="auto"/>
                                                                        <w:bottom w:val="none" w:sz="0" w:space="0" w:color="auto"/>
                                                                        <w:right w:val="none" w:sz="0" w:space="0" w:color="auto"/>
                                                                      </w:divBdr>
                                                                      <w:divsChild>
                                                                        <w:div w:id="1885485164">
                                                                          <w:marLeft w:val="0"/>
                                                                          <w:marRight w:val="0"/>
                                                                          <w:marTop w:val="0"/>
                                                                          <w:marBottom w:val="0"/>
                                                                          <w:divBdr>
                                                                            <w:top w:val="none" w:sz="0" w:space="0" w:color="auto"/>
                                                                            <w:left w:val="none" w:sz="0" w:space="0" w:color="auto"/>
                                                                            <w:bottom w:val="none" w:sz="0" w:space="0" w:color="auto"/>
                                                                            <w:right w:val="none" w:sz="0" w:space="0" w:color="auto"/>
                                                                          </w:divBdr>
                                                                          <w:divsChild>
                                                                            <w:div w:id="304355206">
                                                                              <w:marLeft w:val="0"/>
                                                                              <w:marRight w:val="0"/>
                                                                              <w:marTop w:val="0"/>
                                                                              <w:marBottom w:val="0"/>
                                                                              <w:divBdr>
                                                                                <w:top w:val="none" w:sz="0" w:space="0" w:color="auto"/>
                                                                                <w:left w:val="none" w:sz="0" w:space="0" w:color="auto"/>
                                                                                <w:bottom w:val="none" w:sz="0" w:space="0" w:color="auto"/>
                                                                                <w:right w:val="none" w:sz="0" w:space="0" w:color="auto"/>
                                                                              </w:divBdr>
                                                                              <w:divsChild>
                                                                                <w:div w:id="1470247082">
                                                                                  <w:marLeft w:val="0"/>
                                                                                  <w:marRight w:val="0"/>
                                                                                  <w:marTop w:val="0"/>
                                                                                  <w:marBottom w:val="0"/>
                                                                                  <w:divBdr>
                                                                                    <w:top w:val="none" w:sz="0" w:space="0" w:color="auto"/>
                                                                                    <w:left w:val="none" w:sz="0" w:space="0" w:color="auto"/>
                                                                                    <w:bottom w:val="none" w:sz="0" w:space="0" w:color="auto"/>
                                                                                    <w:right w:val="none" w:sz="0" w:space="0" w:color="auto"/>
                                                                                  </w:divBdr>
                                                                                  <w:divsChild>
                                                                                    <w:div w:id="1530990382">
                                                                                      <w:marLeft w:val="0"/>
                                                                                      <w:marRight w:val="0"/>
                                                                                      <w:marTop w:val="0"/>
                                                                                      <w:marBottom w:val="0"/>
                                                                                      <w:divBdr>
                                                                                        <w:top w:val="none" w:sz="0" w:space="0" w:color="auto"/>
                                                                                        <w:left w:val="none" w:sz="0" w:space="0" w:color="auto"/>
                                                                                        <w:bottom w:val="none" w:sz="0" w:space="0" w:color="auto"/>
                                                                                        <w:right w:val="none" w:sz="0" w:space="0" w:color="auto"/>
                                                                                      </w:divBdr>
                                                                                    </w:div>
                                                                                    <w:div w:id="1903559214">
                                                                                      <w:marLeft w:val="0"/>
                                                                                      <w:marRight w:val="0"/>
                                                                                      <w:marTop w:val="0"/>
                                                                                      <w:marBottom w:val="0"/>
                                                                                      <w:divBdr>
                                                                                        <w:top w:val="none" w:sz="0" w:space="0" w:color="auto"/>
                                                                                        <w:left w:val="none" w:sz="0" w:space="0" w:color="auto"/>
                                                                                        <w:bottom w:val="none" w:sz="0" w:space="0" w:color="auto"/>
                                                                                        <w:right w:val="none" w:sz="0" w:space="0" w:color="auto"/>
                                                                                      </w:divBdr>
                                                                                    </w:div>
                                                                                    <w:div w:id="436800854">
                                                                                      <w:marLeft w:val="0"/>
                                                                                      <w:marRight w:val="0"/>
                                                                                      <w:marTop w:val="0"/>
                                                                                      <w:marBottom w:val="0"/>
                                                                                      <w:divBdr>
                                                                                        <w:top w:val="none" w:sz="0" w:space="0" w:color="auto"/>
                                                                                        <w:left w:val="none" w:sz="0" w:space="0" w:color="auto"/>
                                                                                        <w:bottom w:val="none" w:sz="0" w:space="0" w:color="auto"/>
                                                                                        <w:right w:val="none" w:sz="0" w:space="0" w:color="auto"/>
                                                                                      </w:divBdr>
                                                                                    </w:div>
                                                                                    <w:div w:id="857813433">
                                                                                      <w:marLeft w:val="0"/>
                                                                                      <w:marRight w:val="0"/>
                                                                                      <w:marTop w:val="0"/>
                                                                                      <w:marBottom w:val="0"/>
                                                                                      <w:divBdr>
                                                                                        <w:top w:val="none" w:sz="0" w:space="0" w:color="auto"/>
                                                                                        <w:left w:val="none" w:sz="0" w:space="0" w:color="auto"/>
                                                                                        <w:bottom w:val="none" w:sz="0" w:space="0" w:color="auto"/>
                                                                                        <w:right w:val="none" w:sz="0" w:space="0" w:color="auto"/>
                                                                                      </w:divBdr>
                                                                                    </w:div>
                                                                                    <w:div w:id="598756224">
                                                                                      <w:marLeft w:val="0"/>
                                                                                      <w:marRight w:val="0"/>
                                                                                      <w:marTop w:val="0"/>
                                                                                      <w:marBottom w:val="0"/>
                                                                                      <w:divBdr>
                                                                                        <w:top w:val="none" w:sz="0" w:space="0" w:color="auto"/>
                                                                                        <w:left w:val="none" w:sz="0" w:space="0" w:color="auto"/>
                                                                                        <w:bottom w:val="none" w:sz="0" w:space="0" w:color="auto"/>
                                                                                        <w:right w:val="none" w:sz="0" w:space="0" w:color="auto"/>
                                                                                      </w:divBdr>
                                                                                    </w:div>
                                                                                    <w:div w:id="478695008">
                                                                                      <w:marLeft w:val="0"/>
                                                                                      <w:marRight w:val="0"/>
                                                                                      <w:marTop w:val="0"/>
                                                                                      <w:marBottom w:val="0"/>
                                                                                      <w:divBdr>
                                                                                        <w:top w:val="none" w:sz="0" w:space="0" w:color="auto"/>
                                                                                        <w:left w:val="none" w:sz="0" w:space="0" w:color="auto"/>
                                                                                        <w:bottom w:val="none" w:sz="0" w:space="0" w:color="auto"/>
                                                                                        <w:right w:val="none" w:sz="0" w:space="0" w:color="auto"/>
                                                                                      </w:divBdr>
                                                                                    </w:div>
                                                                                    <w:div w:id="1289510088">
                                                                                      <w:marLeft w:val="0"/>
                                                                                      <w:marRight w:val="0"/>
                                                                                      <w:marTop w:val="0"/>
                                                                                      <w:marBottom w:val="0"/>
                                                                                      <w:divBdr>
                                                                                        <w:top w:val="none" w:sz="0" w:space="0" w:color="auto"/>
                                                                                        <w:left w:val="none" w:sz="0" w:space="0" w:color="auto"/>
                                                                                        <w:bottom w:val="none" w:sz="0" w:space="0" w:color="auto"/>
                                                                                        <w:right w:val="none" w:sz="0" w:space="0" w:color="auto"/>
                                                                                      </w:divBdr>
                                                                                    </w:div>
                                                                                    <w:div w:id="2144107213">
                                                                                      <w:marLeft w:val="0"/>
                                                                                      <w:marRight w:val="0"/>
                                                                                      <w:marTop w:val="0"/>
                                                                                      <w:marBottom w:val="0"/>
                                                                                      <w:divBdr>
                                                                                        <w:top w:val="none" w:sz="0" w:space="0" w:color="auto"/>
                                                                                        <w:left w:val="none" w:sz="0" w:space="0" w:color="auto"/>
                                                                                        <w:bottom w:val="none" w:sz="0" w:space="0" w:color="auto"/>
                                                                                        <w:right w:val="none" w:sz="0" w:space="0" w:color="auto"/>
                                                                                      </w:divBdr>
                                                                                    </w:div>
                                                                                    <w:div w:id="1190338362">
                                                                                      <w:marLeft w:val="0"/>
                                                                                      <w:marRight w:val="0"/>
                                                                                      <w:marTop w:val="0"/>
                                                                                      <w:marBottom w:val="0"/>
                                                                                      <w:divBdr>
                                                                                        <w:top w:val="none" w:sz="0" w:space="0" w:color="auto"/>
                                                                                        <w:left w:val="none" w:sz="0" w:space="0" w:color="auto"/>
                                                                                        <w:bottom w:val="none" w:sz="0" w:space="0" w:color="auto"/>
                                                                                        <w:right w:val="none" w:sz="0" w:space="0" w:color="auto"/>
                                                                                      </w:divBdr>
                                                                                    </w:div>
                                                                                    <w:div w:id="122576685">
                                                                                      <w:marLeft w:val="0"/>
                                                                                      <w:marRight w:val="0"/>
                                                                                      <w:marTop w:val="0"/>
                                                                                      <w:marBottom w:val="0"/>
                                                                                      <w:divBdr>
                                                                                        <w:top w:val="none" w:sz="0" w:space="0" w:color="auto"/>
                                                                                        <w:left w:val="none" w:sz="0" w:space="0" w:color="auto"/>
                                                                                        <w:bottom w:val="none" w:sz="0" w:space="0" w:color="auto"/>
                                                                                        <w:right w:val="none" w:sz="0" w:space="0" w:color="auto"/>
                                                                                      </w:divBdr>
                                                                                    </w:div>
                                                                                    <w:div w:id="1909916420">
                                                                                      <w:marLeft w:val="0"/>
                                                                                      <w:marRight w:val="0"/>
                                                                                      <w:marTop w:val="0"/>
                                                                                      <w:marBottom w:val="0"/>
                                                                                      <w:divBdr>
                                                                                        <w:top w:val="none" w:sz="0" w:space="0" w:color="auto"/>
                                                                                        <w:left w:val="none" w:sz="0" w:space="0" w:color="auto"/>
                                                                                        <w:bottom w:val="none" w:sz="0" w:space="0" w:color="auto"/>
                                                                                        <w:right w:val="none" w:sz="0" w:space="0" w:color="auto"/>
                                                                                      </w:divBdr>
                                                                                    </w:div>
                                                                                    <w:div w:id="900679674">
                                                                                      <w:marLeft w:val="0"/>
                                                                                      <w:marRight w:val="0"/>
                                                                                      <w:marTop w:val="0"/>
                                                                                      <w:marBottom w:val="0"/>
                                                                                      <w:divBdr>
                                                                                        <w:top w:val="none" w:sz="0" w:space="0" w:color="auto"/>
                                                                                        <w:left w:val="none" w:sz="0" w:space="0" w:color="auto"/>
                                                                                        <w:bottom w:val="none" w:sz="0" w:space="0" w:color="auto"/>
                                                                                        <w:right w:val="none" w:sz="0" w:space="0" w:color="auto"/>
                                                                                      </w:divBdr>
                                                                                    </w:div>
                                                                                    <w:div w:id="1401974770">
                                                                                      <w:marLeft w:val="0"/>
                                                                                      <w:marRight w:val="0"/>
                                                                                      <w:marTop w:val="0"/>
                                                                                      <w:marBottom w:val="0"/>
                                                                                      <w:divBdr>
                                                                                        <w:top w:val="none" w:sz="0" w:space="0" w:color="auto"/>
                                                                                        <w:left w:val="none" w:sz="0" w:space="0" w:color="auto"/>
                                                                                        <w:bottom w:val="none" w:sz="0" w:space="0" w:color="auto"/>
                                                                                        <w:right w:val="none" w:sz="0" w:space="0" w:color="auto"/>
                                                                                      </w:divBdr>
                                                                                    </w:div>
                                                                                    <w:div w:id="763455093">
                                                                                      <w:marLeft w:val="0"/>
                                                                                      <w:marRight w:val="0"/>
                                                                                      <w:marTop w:val="0"/>
                                                                                      <w:marBottom w:val="0"/>
                                                                                      <w:divBdr>
                                                                                        <w:top w:val="none" w:sz="0" w:space="0" w:color="auto"/>
                                                                                        <w:left w:val="none" w:sz="0" w:space="0" w:color="auto"/>
                                                                                        <w:bottom w:val="none" w:sz="0" w:space="0" w:color="auto"/>
                                                                                        <w:right w:val="none" w:sz="0" w:space="0" w:color="auto"/>
                                                                                      </w:divBdr>
                                                                                    </w:div>
                                                                                    <w:div w:id="1150516967">
                                                                                      <w:marLeft w:val="0"/>
                                                                                      <w:marRight w:val="0"/>
                                                                                      <w:marTop w:val="0"/>
                                                                                      <w:marBottom w:val="0"/>
                                                                                      <w:divBdr>
                                                                                        <w:top w:val="none" w:sz="0" w:space="0" w:color="auto"/>
                                                                                        <w:left w:val="none" w:sz="0" w:space="0" w:color="auto"/>
                                                                                        <w:bottom w:val="none" w:sz="0" w:space="0" w:color="auto"/>
                                                                                        <w:right w:val="none" w:sz="0" w:space="0" w:color="auto"/>
                                                                                      </w:divBdr>
                                                                                    </w:div>
                                                                                    <w:div w:id="334576615">
                                                                                      <w:marLeft w:val="0"/>
                                                                                      <w:marRight w:val="0"/>
                                                                                      <w:marTop w:val="0"/>
                                                                                      <w:marBottom w:val="0"/>
                                                                                      <w:divBdr>
                                                                                        <w:top w:val="none" w:sz="0" w:space="0" w:color="auto"/>
                                                                                        <w:left w:val="none" w:sz="0" w:space="0" w:color="auto"/>
                                                                                        <w:bottom w:val="none" w:sz="0" w:space="0" w:color="auto"/>
                                                                                        <w:right w:val="none" w:sz="0" w:space="0" w:color="auto"/>
                                                                                      </w:divBdr>
                                                                                    </w:div>
                                                                                    <w:div w:id="571309210">
                                                                                      <w:marLeft w:val="0"/>
                                                                                      <w:marRight w:val="0"/>
                                                                                      <w:marTop w:val="0"/>
                                                                                      <w:marBottom w:val="0"/>
                                                                                      <w:divBdr>
                                                                                        <w:top w:val="none" w:sz="0" w:space="0" w:color="auto"/>
                                                                                        <w:left w:val="none" w:sz="0" w:space="0" w:color="auto"/>
                                                                                        <w:bottom w:val="none" w:sz="0" w:space="0" w:color="auto"/>
                                                                                        <w:right w:val="none" w:sz="0" w:space="0" w:color="auto"/>
                                                                                      </w:divBdr>
                                                                                    </w:div>
                                                                                    <w:div w:id="1429764691">
                                                                                      <w:marLeft w:val="0"/>
                                                                                      <w:marRight w:val="0"/>
                                                                                      <w:marTop w:val="0"/>
                                                                                      <w:marBottom w:val="0"/>
                                                                                      <w:divBdr>
                                                                                        <w:top w:val="none" w:sz="0" w:space="0" w:color="auto"/>
                                                                                        <w:left w:val="none" w:sz="0" w:space="0" w:color="auto"/>
                                                                                        <w:bottom w:val="none" w:sz="0" w:space="0" w:color="auto"/>
                                                                                        <w:right w:val="none" w:sz="0" w:space="0" w:color="auto"/>
                                                                                      </w:divBdr>
                                                                                    </w:div>
                                                                                    <w:div w:id="2023581948">
                                                                                      <w:marLeft w:val="0"/>
                                                                                      <w:marRight w:val="0"/>
                                                                                      <w:marTop w:val="0"/>
                                                                                      <w:marBottom w:val="0"/>
                                                                                      <w:divBdr>
                                                                                        <w:top w:val="none" w:sz="0" w:space="0" w:color="auto"/>
                                                                                        <w:left w:val="none" w:sz="0" w:space="0" w:color="auto"/>
                                                                                        <w:bottom w:val="none" w:sz="0" w:space="0" w:color="auto"/>
                                                                                        <w:right w:val="none" w:sz="0" w:space="0" w:color="auto"/>
                                                                                      </w:divBdr>
                                                                                    </w:div>
                                                                                    <w:div w:id="1174765198">
                                                                                      <w:marLeft w:val="0"/>
                                                                                      <w:marRight w:val="0"/>
                                                                                      <w:marTop w:val="0"/>
                                                                                      <w:marBottom w:val="0"/>
                                                                                      <w:divBdr>
                                                                                        <w:top w:val="none" w:sz="0" w:space="0" w:color="auto"/>
                                                                                        <w:left w:val="none" w:sz="0" w:space="0" w:color="auto"/>
                                                                                        <w:bottom w:val="none" w:sz="0" w:space="0" w:color="auto"/>
                                                                                        <w:right w:val="none" w:sz="0" w:space="0" w:color="auto"/>
                                                                                      </w:divBdr>
                                                                                    </w:div>
                                                                                    <w:div w:id="869102511">
                                                                                      <w:marLeft w:val="0"/>
                                                                                      <w:marRight w:val="0"/>
                                                                                      <w:marTop w:val="0"/>
                                                                                      <w:marBottom w:val="0"/>
                                                                                      <w:divBdr>
                                                                                        <w:top w:val="none" w:sz="0" w:space="0" w:color="auto"/>
                                                                                        <w:left w:val="none" w:sz="0" w:space="0" w:color="auto"/>
                                                                                        <w:bottom w:val="none" w:sz="0" w:space="0" w:color="auto"/>
                                                                                        <w:right w:val="none" w:sz="0" w:space="0" w:color="auto"/>
                                                                                      </w:divBdr>
                                                                                    </w:div>
                                                                                    <w:div w:id="680013934">
                                                                                      <w:marLeft w:val="0"/>
                                                                                      <w:marRight w:val="0"/>
                                                                                      <w:marTop w:val="0"/>
                                                                                      <w:marBottom w:val="0"/>
                                                                                      <w:divBdr>
                                                                                        <w:top w:val="none" w:sz="0" w:space="0" w:color="auto"/>
                                                                                        <w:left w:val="none" w:sz="0" w:space="0" w:color="auto"/>
                                                                                        <w:bottom w:val="none" w:sz="0" w:space="0" w:color="auto"/>
                                                                                        <w:right w:val="none" w:sz="0" w:space="0" w:color="auto"/>
                                                                                      </w:divBdr>
                                                                                    </w:div>
                                                                                    <w:div w:id="2438541">
                                                                                      <w:marLeft w:val="0"/>
                                                                                      <w:marRight w:val="0"/>
                                                                                      <w:marTop w:val="0"/>
                                                                                      <w:marBottom w:val="0"/>
                                                                                      <w:divBdr>
                                                                                        <w:top w:val="none" w:sz="0" w:space="0" w:color="auto"/>
                                                                                        <w:left w:val="none" w:sz="0" w:space="0" w:color="auto"/>
                                                                                        <w:bottom w:val="none" w:sz="0" w:space="0" w:color="auto"/>
                                                                                        <w:right w:val="none" w:sz="0" w:space="0" w:color="auto"/>
                                                                                      </w:divBdr>
                                                                                    </w:div>
                                                                                    <w:div w:id="2011643024">
                                                                                      <w:marLeft w:val="0"/>
                                                                                      <w:marRight w:val="0"/>
                                                                                      <w:marTop w:val="0"/>
                                                                                      <w:marBottom w:val="0"/>
                                                                                      <w:divBdr>
                                                                                        <w:top w:val="none" w:sz="0" w:space="0" w:color="auto"/>
                                                                                        <w:left w:val="none" w:sz="0" w:space="0" w:color="auto"/>
                                                                                        <w:bottom w:val="none" w:sz="0" w:space="0" w:color="auto"/>
                                                                                        <w:right w:val="none" w:sz="0" w:space="0" w:color="auto"/>
                                                                                      </w:divBdr>
                                                                                    </w:div>
                                                                                    <w:div w:id="2083521976">
                                                                                      <w:marLeft w:val="0"/>
                                                                                      <w:marRight w:val="0"/>
                                                                                      <w:marTop w:val="0"/>
                                                                                      <w:marBottom w:val="0"/>
                                                                                      <w:divBdr>
                                                                                        <w:top w:val="none" w:sz="0" w:space="0" w:color="auto"/>
                                                                                        <w:left w:val="none" w:sz="0" w:space="0" w:color="auto"/>
                                                                                        <w:bottom w:val="none" w:sz="0" w:space="0" w:color="auto"/>
                                                                                        <w:right w:val="none" w:sz="0" w:space="0" w:color="auto"/>
                                                                                      </w:divBdr>
                                                                                    </w:div>
                                                                                    <w:div w:id="1738237490">
                                                                                      <w:marLeft w:val="0"/>
                                                                                      <w:marRight w:val="0"/>
                                                                                      <w:marTop w:val="0"/>
                                                                                      <w:marBottom w:val="0"/>
                                                                                      <w:divBdr>
                                                                                        <w:top w:val="none" w:sz="0" w:space="0" w:color="auto"/>
                                                                                        <w:left w:val="none" w:sz="0" w:space="0" w:color="auto"/>
                                                                                        <w:bottom w:val="none" w:sz="0" w:space="0" w:color="auto"/>
                                                                                        <w:right w:val="none" w:sz="0" w:space="0" w:color="auto"/>
                                                                                      </w:divBdr>
                                                                                    </w:div>
                                                                                    <w:div w:id="1169254178">
                                                                                      <w:marLeft w:val="0"/>
                                                                                      <w:marRight w:val="0"/>
                                                                                      <w:marTop w:val="0"/>
                                                                                      <w:marBottom w:val="0"/>
                                                                                      <w:divBdr>
                                                                                        <w:top w:val="none" w:sz="0" w:space="0" w:color="auto"/>
                                                                                        <w:left w:val="none" w:sz="0" w:space="0" w:color="auto"/>
                                                                                        <w:bottom w:val="none" w:sz="0" w:space="0" w:color="auto"/>
                                                                                        <w:right w:val="none" w:sz="0" w:space="0" w:color="auto"/>
                                                                                      </w:divBdr>
                                                                                    </w:div>
                                                                                    <w:div w:id="685592441">
                                                                                      <w:marLeft w:val="0"/>
                                                                                      <w:marRight w:val="0"/>
                                                                                      <w:marTop w:val="0"/>
                                                                                      <w:marBottom w:val="0"/>
                                                                                      <w:divBdr>
                                                                                        <w:top w:val="none" w:sz="0" w:space="0" w:color="auto"/>
                                                                                        <w:left w:val="none" w:sz="0" w:space="0" w:color="auto"/>
                                                                                        <w:bottom w:val="none" w:sz="0" w:space="0" w:color="auto"/>
                                                                                        <w:right w:val="none" w:sz="0" w:space="0" w:color="auto"/>
                                                                                      </w:divBdr>
                                                                                    </w:div>
                                                                                    <w:div w:id="1725564177">
                                                                                      <w:marLeft w:val="0"/>
                                                                                      <w:marRight w:val="0"/>
                                                                                      <w:marTop w:val="0"/>
                                                                                      <w:marBottom w:val="0"/>
                                                                                      <w:divBdr>
                                                                                        <w:top w:val="none" w:sz="0" w:space="0" w:color="auto"/>
                                                                                        <w:left w:val="none" w:sz="0" w:space="0" w:color="auto"/>
                                                                                        <w:bottom w:val="none" w:sz="0" w:space="0" w:color="auto"/>
                                                                                        <w:right w:val="none" w:sz="0" w:space="0" w:color="auto"/>
                                                                                      </w:divBdr>
                                                                                    </w:div>
                                                                                    <w:div w:id="1952280314">
                                                                                      <w:marLeft w:val="0"/>
                                                                                      <w:marRight w:val="0"/>
                                                                                      <w:marTop w:val="0"/>
                                                                                      <w:marBottom w:val="0"/>
                                                                                      <w:divBdr>
                                                                                        <w:top w:val="none" w:sz="0" w:space="0" w:color="auto"/>
                                                                                        <w:left w:val="none" w:sz="0" w:space="0" w:color="auto"/>
                                                                                        <w:bottom w:val="none" w:sz="0" w:space="0" w:color="auto"/>
                                                                                        <w:right w:val="none" w:sz="0" w:space="0" w:color="auto"/>
                                                                                      </w:divBdr>
                                                                                    </w:div>
                                                                                    <w:div w:id="284236619">
                                                                                      <w:marLeft w:val="0"/>
                                                                                      <w:marRight w:val="0"/>
                                                                                      <w:marTop w:val="0"/>
                                                                                      <w:marBottom w:val="0"/>
                                                                                      <w:divBdr>
                                                                                        <w:top w:val="none" w:sz="0" w:space="0" w:color="auto"/>
                                                                                        <w:left w:val="none" w:sz="0" w:space="0" w:color="auto"/>
                                                                                        <w:bottom w:val="none" w:sz="0" w:space="0" w:color="auto"/>
                                                                                        <w:right w:val="none" w:sz="0" w:space="0" w:color="auto"/>
                                                                                      </w:divBdr>
                                                                                    </w:div>
                                                                                    <w:div w:id="666371883">
                                                                                      <w:marLeft w:val="0"/>
                                                                                      <w:marRight w:val="0"/>
                                                                                      <w:marTop w:val="0"/>
                                                                                      <w:marBottom w:val="0"/>
                                                                                      <w:divBdr>
                                                                                        <w:top w:val="none" w:sz="0" w:space="0" w:color="auto"/>
                                                                                        <w:left w:val="none" w:sz="0" w:space="0" w:color="auto"/>
                                                                                        <w:bottom w:val="none" w:sz="0" w:space="0" w:color="auto"/>
                                                                                        <w:right w:val="none" w:sz="0" w:space="0" w:color="auto"/>
                                                                                      </w:divBdr>
                                                                                    </w:div>
                                                                                    <w:div w:id="2061005470">
                                                                                      <w:marLeft w:val="0"/>
                                                                                      <w:marRight w:val="0"/>
                                                                                      <w:marTop w:val="0"/>
                                                                                      <w:marBottom w:val="0"/>
                                                                                      <w:divBdr>
                                                                                        <w:top w:val="none" w:sz="0" w:space="0" w:color="auto"/>
                                                                                        <w:left w:val="none" w:sz="0" w:space="0" w:color="auto"/>
                                                                                        <w:bottom w:val="none" w:sz="0" w:space="0" w:color="auto"/>
                                                                                        <w:right w:val="none" w:sz="0" w:space="0" w:color="auto"/>
                                                                                      </w:divBdr>
                                                                                    </w:div>
                                                                                    <w:div w:id="1215893645">
                                                                                      <w:marLeft w:val="0"/>
                                                                                      <w:marRight w:val="0"/>
                                                                                      <w:marTop w:val="0"/>
                                                                                      <w:marBottom w:val="0"/>
                                                                                      <w:divBdr>
                                                                                        <w:top w:val="none" w:sz="0" w:space="0" w:color="auto"/>
                                                                                        <w:left w:val="none" w:sz="0" w:space="0" w:color="auto"/>
                                                                                        <w:bottom w:val="none" w:sz="0" w:space="0" w:color="auto"/>
                                                                                        <w:right w:val="none" w:sz="0" w:space="0" w:color="auto"/>
                                                                                      </w:divBdr>
                                                                                    </w:div>
                                                                                    <w:div w:id="201065030">
                                                                                      <w:marLeft w:val="0"/>
                                                                                      <w:marRight w:val="0"/>
                                                                                      <w:marTop w:val="0"/>
                                                                                      <w:marBottom w:val="0"/>
                                                                                      <w:divBdr>
                                                                                        <w:top w:val="none" w:sz="0" w:space="0" w:color="auto"/>
                                                                                        <w:left w:val="none" w:sz="0" w:space="0" w:color="auto"/>
                                                                                        <w:bottom w:val="none" w:sz="0" w:space="0" w:color="auto"/>
                                                                                        <w:right w:val="none" w:sz="0" w:space="0" w:color="auto"/>
                                                                                      </w:divBdr>
                                                                                    </w:div>
                                                                                    <w:div w:id="940649609">
                                                                                      <w:marLeft w:val="0"/>
                                                                                      <w:marRight w:val="0"/>
                                                                                      <w:marTop w:val="0"/>
                                                                                      <w:marBottom w:val="0"/>
                                                                                      <w:divBdr>
                                                                                        <w:top w:val="none" w:sz="0" w:space="0" w:color="auto"/>
                                                                                        <w:left w:val="none" w:sz="0" w:space="0" w:color="auto"/>
                                                                                        <w:bottom w:val="none" w:sz="0" w:space="0" w:color="auto"/>
                                                                                        <w:right w:val="none" w:sz="0" w:space="0" w:color="auto"/>
                                                                                      </w:divBdr>
                                                                                    </w:div>
                                                                                    <w:div w:id="600533572">
                                                                                      <w:marLeft w:val="0"/>
                                                                                      <w:marRight w:val="0"/>
                                                                                      <w:marTop w:val="0"/>
                                                                                      <w:marBottom w:val="0"/>
                                                                                      <w:divBdr>
                                                                                        <w:top w:val="none" w:sz="0" w:space="0" w:color="auto"/>
                                                                                        <w:left w:val="none" w:sz="0" w:space="0" w:color="auto"/>
                                                                                        <w:bottom w:val="none" w:sz="0" w:space="0" w:color="auto"/>
                                                                                        <w:right w:val="none" w:sz="0" w:space="0" w:color="auto"/>
                                                                                      </w:divBdr>
                                                                                    </w:div>
                                                                                    <w:div w:id="1413965775">
                                                                                      <w:marLeft w:val="0"/>
                                                                                      <w:marRight w:val="0"/>
                                                                                      <w:marTop w:val="0"/>
                                                                                      <w:marBottom w:val="0"/>
                                                                                      <w:divBdr>
                                                                                        <w:top w:val="none" w:sz="0" w:space="0" w:color="auto"/>
                                                                                        <w:left w:val="none" w:sz="0" w:space="0" w:color="auto"/>
                                                                                        <w:bottom w:val="none" w:sz="0" w:space="0" w:color="auto"/>
                                                                                        <w:right w:val="none" w:sz="0" w:space="0" w:color="auto"/>
                                                                                      </w:divBdr>
                                                                                    </w:div>
                                                                                    <w:div w:id="212931475">
                                                                                      <w:marLeft w:val="0"/>
                                                                                      <w:marRight w:val="0"/>
                                                                                      <w:marTop w:val="0"/>
                                                                                      <w:marBottom w:val="0"/>
                                                                                      <w:divBdr>
                                                                                        <w:top w:val="none" w:sz="0" w:space="0" w:color="auto"/>
                                                                                        <w:left w:val="none" w:sz="0" w:space="0" w:color="auto"/>
                                                                                        <w:bottom w:val="none" w:sz="0" w:space="0" w:color="auto"/>
                                                                                        <w:right w:val="none" w:sz="0" w:space="0" w:color="auto"/>
                                                                                      </w:divBdr>
                                                                                    </w:div>
                                                                                    <w:div w:id="139808100">
                                                                                      <w:marLeft w:val="0"/>
                                                                                      <w:marRight w:val="0"/>
                                                                                      <w:marTop w:val="0"/>
                                                                                      <w:marBottom w:val="0"/>
                                                                                      <w:divBdr>
                                                                                        <w:top w:val="none" w:sz="0" w:space="0" w:color="auto"/>
                                                                                        <w:left w:val="none" w:sz="0" w:space="0" w:color="auto"/>
                                                                                        <w:bottom w:val="none" w:sz="0" w:space="0" w:color="auto"/>
                                                                                        <w:right w:val="none" w:sz="0" w:space="0" w:color="auto"/>
                                                                                      </w:divBdr>
                                                                                    </w:div>
                                                                                    <w:div w:id="511532041">
                                                                                      <w:marLeft w:val="0"/>
                                                                                      <w:marRight w:val="0"/>
                                                                                      <w:marTop w:val="0"/>
                                                                                      <w:marBottom w:val="0"/>
                                                                                      <w:divBdr>
                                                                                        <w:top w:val="none" w:sz="0" w:space="0" w:color="auto"/>
                                                                                        <w:left w:val="none" w:sz="0" w:space="0" w:color="auto"/>
                                                                                        <w:bottom w:val="none" w:sz="0" w:space="0" w:color="auto"/>
                                                                                        <w:right w:val="none" w:sz="0" w:space="0" w:color="auto"/>
                                                                                      </w:divBdr>
                                                                                    </w:div>
                                                                                    <w:div w:id="2032415861">
                                                                                      <w:marLeft w:val="0"/>
                                                                                      <w:marRight w:val="0"/>
                                                                                      <w:marTop w:val="0"/>
                                                                                      <w:marBottom w:val="0"/>
                                                                                      <w:divBdr>
                                                                                        <w:top w:val="none" w:sz="0" w:space="0" w:color="auto"/>
                                                                                        <w:left w:val="none" w:sz="0" w:space="0" w:color="auto"/>
                                                                                        <w:bottom w:val="none" w:sz="0" w:space="0" w:color="auto"/>
                                                                                        <w:right w:val="none" w:sz="0" w:space="0" w:color="auto"/>
                                                                                      </w:divBdr>
                                                                                    </w:div>
                                                                                    <w:div w:id="313024905">
                                                                                      <w:marLeft w:val="0"/>
                                                                                      <w:marRight w:val="0"/>
                                                                                      <w:marTop w:val="0"/>
                                                                                      <w:marBottom w:val="0"/>
                                                                                      <w:divBdr>
                                                                                        <w:top w:val="none" w:sz="0" w:space="0" w:color="auto"/>
                                                                                        <w:left w:val="none" w:sz="0" w:space="0" w:color="auto"/>
                                                                                        <w:bottom w:val="none" w:sz="0" w:space="0" w:color="auto"/>
                                                                                        <w:right w:val="none" w:sz="0" w:space="0" w:color="auto"/>
                                                                                      </w:divBdr>
                                                                                    </w:div>
                                                                                    <w:div w:id="2018725201">
                                                                                      <w:marLeft w:val="0"/>
                                                                                      <w:marRight w:val="0"/>
                                                                                      <w:marTop w:val="0"/>
                                                                                      <w:marBottom w:val="0"/>
                                                                                      <w:divBdr>
                                                                                        <w:top w:val="none" w:sz="0" w:space="0" w:color="auto"/>
                                                                                        <w:left w:val="none" w:sz="0" w:space="0" w:color="auto"/>
                                                                                        <w:bottom w:val="none" w:sz="0" w:space="0" w:color="auto"/>
                                                                                        <w:right w:val="none" w:sz="0" w:space="0" w:color="auto"/>
                                                                                      </w:divBdr>
                                                                                    </w:div>
                                                                                    <w:div w:id="1123429518">
                                                                                      <w:marLeft w:val="0"/>
                                                                                      <w:marRight w:val="0"/>
                                                                                      <w:marTop w:val="0"/>
                                                                                      <w:marBottom w:val="0"/>
                                                                                      <w:divBdr>
                                                                                        <w:top w:val="none" w:sz="0" w:space="0" w:color="auto"/>
                                                                                        <w:left w:val="none" w:sz="0" w:space="0" w:color="auto"/>
                                                                                        <w:bottom w:val="none" w:sz="0" w:space="0" w:color="auto"/>
                                                                                        <w:right w:val="none" w:sz="0" w:space="0" w:color="auto"/>
                                                                                      </w:divBdr>
                                                                                    </w:div>
                                                                                    <w:div w:id="1633368455">
                                                                                      <w:marLeft w:val="0"/>
                                                                                      <w:marRight w:val="0"/>
                                                                                      <w:marTop w:val="0"/>
                                                                                      <w:marBottom w:val="0"/>
                                                                                      <w:divBdr>
                                                                                        <w:top w:val="none" w:sz="0" w:space="0" w:color="auto"/>
                                                                                        <w:left w:val="none" w:sz="0" w:space="0" w:color="auto"/>
                                                                                        <w:bottom w:val="none" w:sz="0" w:space="0" w:color="auto"/>
                                                                                        <w:right w:val="none" w:sz="0" w:space="0" w:color="auto"/>
                                                                                      </w:divBdr>
                                                                                    </w:div>
                                                                                    <w:div w:id="32923095">
                                                                                      <w:marLeft w:val="0"/>
                                                                                      <w:marRight w:val="0"/>
                                                                                      <w:marTop w:val="0"/>
                                                                                      <w:marBottom w:val="0"/>
                                                                                      <w:divBdr>
                                                                                        <w:top w:val="none" w:sz="0" w:space="0" w:color="auto"/>
                                                                                        <w:left w:val="none" w:sz="0" w:space="0" w:color="auto"/>
                                                                                        <w:bottom w:val="none" w:sz="0" w:space="0" w:color="auto"/>
                                                                                        <w:right w:val="none" w:sz="0" w:space="0" w:color="auto"/>
                                                                                      </w:divBdr>
                                                                                    </w:div>
                                                                                    <w:div w:id="865560287">
                                                                                      <w:marLeft w:val="0"/>
                                                                                      <w:marRight w:val="0"/>
                                                                                      <w:marTop w:val="0"/>
                                                                                      <w:marBottom w:val="0"/>
                                                                                      <w:divBdr>
                                                                                        <w:top w:val="none" w:sz="0" w:space="0" w:color="auto"/>
                                                                                        <w:left w:val="none" w:sz="0" w:space="0" w:color="auto"/>
                                                                                        <w:bottom w:val="none" w:sz="0" w:space="0" w:color="auto"/>
                                                                                        <w:right w:val="none" w:sz="0" w:space="0" w:color="auto"/>
                                                                                      </w:divBdr>
                                                                                    </w:div>
                                                                                    <w:div w:id="715465914">
                                                                                      <w:marLeft w:val="0"/>
                                                                                      <w:marRight w:val="0"/>
                                                                                      <w:marTop w:val="0"/>
                                                                                      <w:marBottom w:val="0"/>
                                                                                      <w:divBdr>
                                                                                        <w:top w:val="none" w:sz="0" w:space="0" w:color="auto"/>
                                                                                        <w:left w:val="none" w:sz="0" w:space="0" w:color="auto"/>
                                                                                        <w:bottom w:val="none" w:sz="0" w:space="0" w:color="auto"/>
                                                                                        <w:right w:val="none" w:sz="0" w:space="0" w:color="auto"/>
                                                                                      </w:divBdr>
                                                                                    </w:div>
                                                                                    <w:div w:id="14308590">
                                                                                      <w:marLeft w:val="0"/>
                                                                                      <w:marRight w:val="0"/>
                                                                                      <w:marTop w:val="0"/>
                                                                                      <w:marBottom w:val="0"/>
                                                                                      <w:divBdr>
                                                                                        <w:top w:val="none" w:sz="0" w:space="0" w:color="auto"/>
                                                                                        <w:left w:val="none" w:sz="0" w:space="0" w:color="auto"/>
                                                                                        <w:bottom w:val="none" w:sz="0" w:space="0" w:color="auto"/>
                                                                                        <w:right w:val="none" w:sz="0" w:space="0" w:color="auto"/>
                                                                                      </w:divBdr>
                                                                                    </w:div>
                                                                                    <w:div w:id="1529757872">
                                                                                      <w:marLeft w:val="0"/>
                                                                                      <w:marRight w:val="0"/>
                                                                                      <w:marTop w:val="0"/>
                                                                                      <w:marBottom w:val="0"/>
                                                                                      <w:divBdr>
                                                                                        <w:top w:val="none" w:sz="0" w:space="0" w:color="auto"/>
                                                                                        <w:left w:val="none" w:sz="0" w:space="0" w:color="auto"/>
                                                                                        <w:bottom w:val="none" w:sz="0" w:space="0" w:color="auto"/>
                                                                                        <w:right w:val="none" w:sz="0" w:space="0" w:color="auto"/>
                                                                                      </w:divBdr>
                                                                                    </w:div>
                                                                                    <w:div w:id="899291050">
                                                                                      <w:marLeft w:val="0"/>
                                                                                      <w:marRight w:val="0"/>
                                                                                      <w:marTop w:val="0"/>
                                                                                      <w:marBottom w:val="0"/>
                                                                                      <w:divBdr>
                                                                                        <w:top w:val="none" w:sz="0" w:space="0" w:color="auto"/>
                                                                                        <w:left w:val="none" w:sz="0" w:space="0" w:color="auto"/>
                                                                                        <w:bottom w:val="none" w:sz="0" w:space="0" w:color="auto"/>
                                                                                        <w:right w:val="none" w:sz="0" w:space="0" w:color="auto"/>
                                                                                      </w:divBdr>
                                                                                    </w:div>
                                                                                    <w:div w:id="1377510484">
                                                                                      <w:marLeft w:val="0"/>
                                                                                      <w:marRight w:val="0"/>
                                                                                      <w:marTop w:val="0"/>
                                                                                      <w:marBottom w:val="0"/>
                                                                                      <w:divBdr>
                                                                                        <w:top w:val="none" w:sz="0" w:space="0" w:color="auto"/>
                                                                                        <w:left w:val="none" w:sz="0" w:space="0" w:color="auto"/>
                                                                                        <w:bottom w:val="none" w:sz="0" w:space="0" w:color="auto"/>
                                                                                        <w:right w:val="none" w:sz="0" w:space="0" w:color="auto"/>
                                                                                      </w:divBdr>
                                                                                    </w:div>
                                                                                    <w:div w:id="1016271374">
                                                                                      <w:marLeft w:val="0"/>
                                                                                      <w:marRight w:val="0"/>
                                                                                      <w:marTop w:val="0"/>
                                                                                      <w:marBottom w:val="0"/>
                                                                                      <w:divBdr>
                                                                                        <w:top w:val="none" w:sz="0" w:space="0" w:color="auto"/>
                                                                                        <w:left w:val="none" w:sz="0" w:space="0" w:color="auto"/>
                                                                                        <w:bottom w:val="none" w:sz="0" w:space="0" w:color="auto"/>
                                                                                        <w:right w:val="none" w:sz="0" w:space="0" w:color="auto"/>
                                                                                      </w:divBdr>
                                                                                    </w:div>
                                                                                    <w:div w:id="1043946545">
                                                                                      <w:marLeft w:val="0"/>
                                                                                      <w:marRight w:val="0"/>
                                                                                      <w:marTop w:val="0"/>
                                                                                      <w:marBottom w:val="0"/>
                                                                                      <w:divBdr>
                                                                                        <w:top w:val="none" w:sz="0" w:space="0" w:color="auto"/>
                                                                                        <w:left w:val="none" w:sz="0" w:space="0" w:color="auto"/>
                                                                                        <w:bottom w:val="none" w:sz="0" w:space="0" w:color="auto"/>
                                                                                        <w:right w:val="none" w:sz="0" w:space="0" w:color="auto"/>
                                                                                      </w:divBdr>
                                                                                    </w:div>
                                                                                    <w:div w:id="1566795668">
                                                                                      <w:marLeft w:val="0"/>
                                                                                      <w:marRight w:val="0"/>
                                                                                      <w:marTop w:val="0"/>
                                                                                      <w:marBottom w:val="0"/>
                                                                                      <w:divBdr>
                                                                                        <w:top w:val="none" w:sz="0" w:space="0" w:color="auto"/>
                                                                                        <w:left w:val="none" w:sz="0" w:space="0" w:color="auto"/>
                                                                                        <w:bottom w:val="none" w:sz="0" w:space="0" w:color="auto"/>
                                                                                        <w:right w:val="none" w:sz="0" w:space="0" w:color="auto"/>
                                                                                      </w:divBdr>
                                                                                    </w:div>
                                                                                    <w:div w:id="908661405">
                                                                                      <w:marLeft w:val="0"/>
                                                                                      <w:marRight w:val="0"/>
                                                                                      <w:marTop w:val="0"/>
                                                                                      <w:marBottom w:val="0"/>
                                                                                      <w:divBdr>
                                                                                        <w:top w:val="none" w:sz="0" w:space="0" w:color="auto"/>
                                                                                        <w:left w:val="none" w:sz="0" w:space="0" w:color="auto"/>
                                                                                        <w:bottom w:val="none" w:sz="0" w:space="0" w:color="auto"/>
                                                                                        <w:right w:val="none" w:sz="0" w:space="0" w:color="auto"/>
                                                                                      </w:divBdr>
                                                                                    </w:div>
                                                                                    <w:div w:id="511913056">
                                                                                      <w:marLeft w:val="0"/>
                                                                                      <w:marRight w:val="0"/>
                                                                                      <w:marTop w:val="0"/>
                                                                                      <w:marBottom w:val="0"/>
                                                                                      <w:divBdr>
                                                                                        <w:top w:val="none" w:sz="0" w:space="0" w:color="auto"/>
                                                                                        <w:left w:val="none" w:sz="0" w:space="0" w:color="auto"/>
                                                                                        <w:bottom w:val="none" w:sz="0" w:space="0" w:color="auto"/>
                                                                                        <w:right w:val="none" w:sz="0" w:space="0" w:color="auto"/>
                                                                                      </w:divBdr>
                                                                                    </w:div>
                                                                                    <w:div w:id="1890218948">
                                                                                      <w:marLeft w:val="0"/>
                                                                                      <w:marRight w:val="0"/>
                                                                                      <w:marTop w:val="0"/>
                                                                                      <w:marBottom w:val="0"/>
                                                                                      <w:divBdr>
                                                                                        <w:top w:val="none" w:sz="0" w:space="0" w:color="auto"/>
                                                                                        <w:left w:val="none" w:sz="0" w:space="0" w:color="auto"/>
                                                                                        <w:bottom w:val="none" w:sz="0" w:space="0" w:color="auto"/>
                                                                                        <w:right w:val="none" w:sz="0" w:space="0" w:color="auto"/>
                                                                                      </w:divBdr>
                                                                                    </w:div>
                                                                                    <w:div w:id="1310401047">
                                                                                      <w:marLeft w:val="0"/>
                                                                                      <w:marRight w:val="0"/>
                                                                                      <w:marTop w:val="0"/>
                                                                                      <w:marBottom w:val="0"/>
                                                                                      <w:divBdr>
                                                                                        <w:top w:val="none" w:sz="0" w:space="0" w:color="auto"/>
                                                                                        <w:left w:val="none" w:sz="0" w:space="0" w:color="auto"/>
                                                                                        <w:bottom w:val="none" w:sz="0" w:space="0" w:color="auto"/>
                                                                                        <w:right w:val="none" w:sz="0" w:space="0" w:color="auto"/>
                                                                                      </w:divBdr>
                                                                                    </w:div>
                                                                                    <w:div w:id="1357459239">
                                                                                      <w:marLeft w:val="0"/>
                                                                                      <w:marRight w:val="0"/>
                                                                                      <w:marTop w:val="0"/>
                                                                                      <w:marBottom w:val="0"/>
                                                                                      <w:divBdr>
                                                                                        <w:top w:val="none" w:sz="0" w:space="0" w:color="auto"/>
                                                                                        <w:left w:val="none" w:sz="0" w:space="0" w:color="auto"/>
                                                                                        <w:bottom w:val="none" w:sz="0" w:space="0" w:color="auto"/>
                                                                                        <w:right w:val="none" w:sz="0" w:space="0" w:color="auto"/>
                                                                                      </w:divBdr>
                                                                                    </w:div>
                                                                                    <w:div w:id="1994095173">
                                                                                      <w:marLeft w:val="0"/>
                                                                                      <w:marRight w:val="0"/>
                                                                                      <w:marTop w:val="0"/>
                                                                                      <w:marBottom w:val="0"/>
                                                                                      <w:divBdr>
                                                                                        <w:top w:val="none" w:sz="0" w:space="0" w:color="auto"/>
                                                                                        <w:left w:val="none" w:sz="0" w:space="0" w:color="auto"/>
                                                                                        <w:bottom w:val="none" w:sz="0" w:space="0" w:color="auto"/>
                                                                                        <w:right w:val="none" w:sz="0" w:space="0" w:color="auto"/>
                                                                                      </w:divBdr>
                                                                                    </w:div>
                                                                                    <w:div w:id="1582375047">
                                                                                      <w:marLeft w:val="0"/>
                                                                                      <w:marRight w:val="0"/>
                                                                                      <w:marTop w:val="0"/>
                                                                                      <w:marBottom w:val="0"/>
                                                                                      <w:divBdr>
                                                                                        <w:top w:val="none" w:sz="0" w:space="0" w:color="auto"/>
                                                                                        <w:left w:val="none" w:sz="0" w:space="0" w:color="auto"/>
                                                                                        <w:bottom w:val="none" w:sz="0" w:space="0" w:color="auto"/>
                                                                                        <w:right w:val="none" w:sz="0" w:space="0" w:color="auto"/>
                                                                                      </w:divBdr>
                                                                                    </w:div>
                                                                                    <w:div w:id="2084718788">
                                                                                      <w:marLeft w:val="0"/>
                                                                                      <w:marRight w:val="0"/>
                                                                                      <w:marTop w:val="0"/>
                                                                                      <w:marBottom w:val="0"/>
                                                                                      <w:divBdr>
                                                                                        <w:top w:val="none" w:sz="0" w:space="0" w:color="auto"/>
                                                                                        <w:left w:val="none" w:sz="0" w:space="0" w:color="auto"/>
                                                                                        <w:bottom w:val="none" w:sz="0" w:space="0" w:color="auto"/>
                                                                                        <w:right w:val="none" w:sz="0" w:space="0" w:color="auto"/>
                                                                                      </w:divBdr>
                                                                                    </w:div>
                                                                                    <w:div w:id="471480164">
                                                                                      <w:marLeft w:val="0"/>
                                                                                      <w:marRight w:val="0"/>
                                                                                      <w:marTop w:val="0"/>
                                                                                      <w:marBottom w:val="0"/>
                                                                                      <w:divBdr>
                                                                                        <w:top w:val="none" w:sz="0" w:space="0" w:color="auto"/>
                                                                                        <w:left w:val="none" w:sz="0" w:space="0" w:color="auto"/>
                                                                                        <w:bottom w:val="none" w:sz="0" w:space="0" w:color="auto"/>
                                                                                        <w:right w:val="none" w:sz="0" w:space="0" w:color="auto"/>
                                                                                      </w:divBdr>
                                                                                    </w:div>
                                                                                    <w:div w:id="189496799">
                                                                                      <w:marLeft w:val="0"/>
                                                                                      <w:marRight w:val="0"/>
                                                                                      <w:marTop w:val="0"/>
                                                                                      <w:marBottom w:val="0"/>
                                                                                      <w:divBdr>
                                                                                        <w:top w:val="none" w:sz="0" w:space="0" w:color="auto"/>
                                                                                        <w:left w:val="none" w:sz="0" w:space="0" w:color="auto"/>
                                                                                        <w:bottom w:val="none" w:sz="0" w:space="0" w:color="auto"/>
                                                                                        <w:right w:val="none" w:sz="0" w:space="0" w:color="auto"/>
                                                                                      </w:divBdr>
                                                                                    </w:div>
                                                                                    <w:div w:id="251818412">
                                                                                      <w:marLeft w:val="0"/>
                                                                                      <w:marRight w:val="0"/>
                                                                                      <w:marTop w:val="0"/>
                                                                                      <w:marBottom w:val="0"/>
                                                                                      <w:divBdr>
                                                                                        <w:top w:val="none" w:sz="0" w:space="0" w:color="auto"/>
                                                                                        <w:left w:val="none" w:sz="0" w:space="0" w:color="auto"/>
                                                                                        <w:bottom w:val="none" w:sz="0" w:space="0" w:color="auto"/>
                                                                                        <w:right w:val="none" w:sz="0" w:space="0" w:color="auto"/>
                                                                                      </w:divBdr>
                                                                                    </w:div>
                                                                                    <w:div w:id="1946693038">
                                                                                      <w:marLeft w:val="0"/>
                                                                                      <w:marRight w:val="0"/>
                                                                                      <w:marTop w:val="0"/>
                                                                                      <w:marBottom w:val="0"/>
                                                                                      <w:divBdr>
                                                                                        <w:top w:val="none" w:sz="0" w:space="0" w:color="auto"/>
                                                                                        <w:left w:val="none" w:sz="0" w:space="0" w:color="auto"/>
                                                                                        <w:bottom w:val="none" w:sz="0" w:space="0" w:color="auto"/>
                                                                                        <w:right w:val="none" w:sz="0" w:space="0" w:color="auto"/>
                                                                                      </w:divBdr>
                                                                                    </w:div>
                                                                                    <w:div w:id="331296075">
                                                                                      <w:marLeft w:val="0"/>
                                                                                      <w:marRight w:val="0"/>
                                                                                      <w:marTop w:val="0"/>
                                                                                      <w:marBottom w:val="0"/>
                                                                                      <w:divBdr>
                                                                                        <w:top w:val="none" w:sz="0" w:space="0" w:color="auto"/>
                                                                                        <w:left w:val="none" w:sz="0" w:space="0" w:color="auto"/>
                                                                                        <w:bottom w:val="none" w:sz="0" w:space="0" w:color="auto"/>
                                                                                        <w:right w:val="none" w:sz="0" w:space="0" w:color="auto"/>
                                                                                      </w:divBdr>
                                                                                    </w:div>
                                                                                    <w:div w:id="1019117517">
                                                                                      <w:marLeft w:val="0"/>
                                                                                      <w:marRight w:val="0"/>
                                                                                      <w:marTop w:val="0"/>
                                                                                      <w:marBottom w:val="0"/>
                                                                                      <w:divBdr>
                                                                                        <w:top w:val="none" w:sz="0" w:space="0" w:color="auto"/>
                                                                                        <w:left w:val="none" w:sz="0" w:space="0" w:color="auto"/>
                                                                                        <w:bottom w:val="none" w:sz="0" w:space="0" w:color="auto"/>
                                                                                        <w:right w:val="none" w:sz="0" w:space="0" w:color="auto"/>
                                                                                      </w:divBdr>
                                                                                    </w:div>
                                                                                    <w:div w:id="14234280">
                                                                                      <w:marLeft w:val="0"/>
                                                                                      <w:marRight w:val="0"/>
                                                                                      <w:marTop w:val="0"/>
                                                                                      <w:marBottom w:val="0"/>
                                                                                      <w:divBdr>
                                                                                        <w:top w:val="none" w:sz="0" w:space="0" w:color="auto"/>
                                                                                        <w:left w:val="none" w:sz="0" w:space="0" w:color="auto"/>
                                                                                        <w:bottom w:val="none" w:sz="0" w:space="0" w:color="auto"/>
                                                                                        <w:right w:val="none" w:sz="0" w:space="0" w:color="auto"/>
                                                                                      </w:divBdr>
                                                                                    </w:div>
                                                                                    <w:div w:id="1890066460">
                                                                                      <w:marLeft w:val="0"/>
                                                                                      <w:marRight w:val="0"/>
                                                                                      <w:marTop w:val="0"/>
                                                                                      <w:marBottom w:val="0"/>
                                                                                      <w:divBdr>
                                                                                        <w:top w:val="none" w:sz="0" w:space="0" w:color="auto"/>
                                                                                        <w:left w:val="none" w:sz="0" w:space="0" w:color="auto"/>
                                                                                        <w:bottom w:val="none" w:sz="0" w:space="0" w:color="auto"/>
                                                                                        <w:right w:val="none" w:sz="0" w:space="0" w:color="auto"/>
                                                                                      </w:divBdr>
                                                                                    </w:div>
                                                                                    <w:div w:id="1813281505">
                                                                                      <w:marLeft w:val="0"/>
                                                                                      <w:marRight w:val="0"/>
                                                                                      <w:marTop w:val="0"/>
                                                                                      <w:marBottom w:val="0"/>
                                                                                      <w:divBdr>
                                                                                        <w:top w:val="none" w:sz="0" w:space="0" w:color="auto"/>
                                                                                        <w:left w:val="none" w:sz="0" w:space="0" w:color="auto"/>
                                                                                        <w:bottom w:val="none" w:sz="0" w:space="0" w:color="auto"/>
                                                                                        <w:right w:val="none" w:sz="0" w:space="0" w:color="auto"/>
                                                                                      </w:divBdr>
                                                                                    </w:div>
                                                                                    <w:div w:id="1218518873">
                                                                                      <w:marLeft w:val="0"/>
                                                                                      <w:marRight w:val="0"/>
                                                                                      <w:marTop w:val="0"/>
                                                                                      <w:marBottom w:val="0"/>
                                                                                      <w:divBdr>
                                                                                        <w:top w:val="none" w:sz="0" w:space="0" w:color="auto"/>
                                                                                        <w:left w:val="none" w:sz="0" w:space="0" w:color="auto"/>
                                                                                        <w:bottom w:val="none" w:sz="0" w:space="0" w:color="auto"/>
                                                                                        <w:right w:val="none" w:sz="0" w:space="0" w:color="auto"/>
                                                                                      </w:divBdr>
                                                                                    </w:div>
                                                                                    <w:div w:id="824317261">
                                                                                      <w:marLeft w:val="0"/>
                                                                                      <w:marRight w:val="0"/>
                                                                                      <w:marTop w:val="0"/>
                                                                                      <w:marBottom w:val="0"/>
                                                                                      <w:divBdr>
                                                                                        <w:top w:val="none" w:sz="0" w:space="0" w:color="auto"/>
                                                                                        <w:left w:val="none" w:sz="0" w:space="0" w:color="auto"/>
                                                                                        <w:bottom w:val="none" w:sz="0" w:space="0" w:color="auto"/>
                                                                                        <w:right w:val="none" w:sz="0" w:space="0" w:color="auto"/>
                                                                                      </w:divBdr>
                                                                                    </w:div>
                                                                                    <w:div w:id="1062603535">
                                                                                      <w:marLeft w:val="0"/>
                                                                                      <w:marRight w:val="0"/>
                                                                                      <w:marTop w:val="0"/>
                                                                                      <w:marBottom w:val="0"/>
                                                                                      <w:divBdr>
                                                                                        <w:top w:val="none" w:sz="0" w:space="0" w:color="auto"/>
                                                                                        <w:left w:val="none" w:sz="0" w:space="0" w:color="auto"/>
                                                                                        <w:bottom w:val="none" w:sz="0" w:space="0" w:color="auto"/>
                                                                                        <w:right w:val="none" w:sz="0" w:space="0" w:color="auto"/>
                                                                                      </w:divBdr>
                                                                                    </w:div>
                                                                                    <w:div w:id="1187985638">
                                                                                      <w:marLeft w:val="0"/>
                                                                                      <w:marRight w:val="0"/>
                                                                                      <w:marTop w:val="0"/>
                                                                                      <w:marBottom w:val="0"/>
                                                                                      <w:divBdr>
                                                                                        <w:top w:val="none" w:sz="0" w:space="0" w:color="auto"/>
                                                                                        <w:left w:val="none" w:sz="0" w:space="0" w:color="auto"/>
                                                                                        <w:bottom w:val="none" w:sz="0" w:space="0" w:color="auto"/>
                                                                                        <w:right w:val="none" w:sz="0" w:space="0" w:color="auto"/>
                                                                                      </w:divBdr>
                                                                                    </w:div>
                                                                                    <w:div w:id="1921482000">
                                                                                      <w:marLeft w:val="0"/>
                                                                                      <w:marRight w:val="0"/>
                                                                                      <w:marTop w:val="0"/>
                                                                                      <w:marBottom w:val="0"/>
                                                                                      <w:divBdr>
                                                                                        <w:top w:val="none" w:sz="0" w:space="0" w:color="auto"/>
                                                                                        <w:left w:val="none" w:sz="0" w:space="0" w:color="auto"/>
                                                                                        <w:bottom w:val="none" w:sz="0" w:space="0" w:color="auto"/>
                                                                                        <w:right w:val="none" w:sz="0" w:space="0" w:color="auto"/>
                                                                                      </w:divBdr>
                                                                                    </w:div>
                                                                                    <w:div w:id="224755106">
                                                                                      <w:marLeft w:val="0"/>
                                                                                      <w:marRight w:val="0"/>
                                                                                      <w:marTop w:val="0"/>
                                                                                      <w:marBottom w:val="0"/>
                                                                                      <w:divBdr>
                                                                                        <w:top w:val="none" w:sz="0" w:space="0" w:color="auto"/>
                                                                                        <w:left w:val="none" w:sz="0" w:space="0" w:color="auto"/>
                                                                                        <w:bottom w:val="none" w:sz="0" w:space="0" w:color="auto"/>
                                                                                        <w:right w:val="none" w:sz="0" w:space="0" w:color="auto"/>
                                                                                      </w:divBdr>
                                                                                    </w:div>
                                                                                    <w:div w:id="1674722710">
                                                                                      <w:marLeft w:val="0"/>
                                                                                      <w:marRight w:val="0"/>
                                                                                      <w:marTop w:val="0"/>
                                                                                      <w:marBottom w:val="0"/>
                                                                                      <w:divBdr>
                                                                                        <w:top w:val="none" w:sz="0" w:space="0" w:color="auto"/>
                                                                                        <w:left w:val="none" w:sz="0" w:space="0" w:color="auto"/>
                                                                                        <w:bottom w:val="none" w:sz="0" w:space="0" w:color="auto"/>
                                                                                        <w:right w:val="none" w:sz="0" w:space="0" w:color="auto"/>
                                                                                      </w:divBdr>
                                                                                    </w:div>
                                                                                    <w:div w:id="1247955284">
                                                                                      <w:marLeft w:val="0"/>
                                                                                      <w:marRight w:val="0"/>
                                                                                      <w:marTop w:val="0"/>
                                                                                      <w:marBottom w:val="0"/>
                                                                                      <w:divBdr>
                                                                                        <w:top w:val="none" w:sz="0" w:space="0" w:color="auto"/>
                                                                                        <w:left w:val="none" w:sz="0" w:space="0" w:color="auto"/>
                                                                                        <w:bottom w:val="none" w:sz="0" w:space="0" w:color="auto"/>
                                                                                        <w:right w:val="none" w:sz="0" w:space="0" w:color="auto"/>
                                                                                      </w:divBdr>
                                                                                    </w:div>
                                                                                    <w:div w:id="1208835543">
                                                                                      <w:marLeft w:val="0"/>
                                                                                      <w:marRight w:val="0"/>
                                                                                      <w:marTop w:val="0"/>
                                                                                      <w:marBottom w:val="0"/>
                                                                                      <w:divBdr>
                                                                                        <w:top w:val="none" w:sz="0" w:space="0" w:color="auto"/>
                                                                                        <w:left w:val="none" w:sz="0" w:space="0" w:color="auto"/>
                                                                                        <w:bottom w:val="none" w:sz="0" w:space="0" w:color="auto"/>
                                                                                        <w:right w:val="none" w:sz="0" w:space="0" w:color="auto"/>
                                                                                      </w:divBdr>
                                                                                    </w:div>
                                                                                    <w:div w:id="877930603">
                                                                                      <w:marLeft w:val="0"/>
                                                                                      <w:marRight w:val="0"/>
                                                                                      <w:marTop w:val="0"/>
                                                                                      <w:marBottom w:val="0"/>
                                                                                      <w:divBdr>
                                                                                        <w:top w:val="none" w:sz="0" w:space="0" w:color="auto"/>
                                                                                        <w:left w:val="none" w:sz="0" w:space="0" w:color="auto"/>
                                                                                        <w:bottom w:val="none" w:sz="0" w:space="0" w:color="auto"/>
                                                                                        <w:right w:val="none" w:sz="0" w:space="0" w:color="auto"/>
                                                                                      </w:divBdr>
                                                                                    </w:div>
                                                                                    <w:div w:id="370568295">
                                                                                      <w:marLeft w:val="0"/>
                                                                                      <w:marRight w:val="0"/>
                                                                                      <w:marTop w:val="0"/>
                                                                                      <w:marBottom w:val="0"/>
                                                                                      <w:divBdr>
                                                                                        <w:top w:val="none" w:sz="0" w:space="0" w:color="auto"/>
                                                                                        <w:left w:val="none" w:sz="0" w:space="0" w:color="auto"/>
                                                                                        <w:bottom w:val="none" w:sz="0" w:space="0" w:color="auto"/>
                                                                                        <w:right w:val="none" w:sz="0" w:space="0" w:color="auto"/>
                                                                                      </w:divBdr>
                                                                                    </w:div>
                                                                                    <w:div w:id="1485046362">
                                                                                      <w:marLeft w:val="0"/>
                                                                                      <w:marRight w:val="0"/>
                                                                                      <w:marTop w:val="0"/>
                                                                                      <w:marBottom w:val="0"/>
                                                                                      <w:divBdr>
                                                                                        <w:top w:val="none" w:sz="0" w:space="0" w:color="auto"/>
                                                                                        <w:left w:val="none" w:sz="0" w:space="0" w:color="auto"/>
                                                                                        <w:bottom w:val="none" w:sz="0" w:space="0" w:color="auto"/>
                                                                                        <w:right w:val="none" w:sz="0" w:space="0" w:color="auto"/>
                                                                                      </w:divBdr>
                                                                                    </w:div>
                                                                                    <w:div w:id="965894407">
                                                                                      <w:marLeft w:val="0"/>
                                                                                      <w:marRight w:val="0"/>
                                                                                      <w:marTop w:val="0"/>
                                                                                      <w:marBottom w:val="0"/>
                                                                                      <w:divBdr>
                                                                                        <w:top w:val="none" w:sz="0" w:space="0" w:color="auto"/>
                                                                                        <w:left w:val="none" w:sz="0" w:space="0" w:color="auto"/>
                                                                                        <w:bottom w:val="none" w:sz="0" w:space="0" w:color="auto"/>
                                                                                        <w:right w:val="none" w:sz="0" w:space="0" w:color="auto"/>
                                                                                      </w:divBdr>
                                                                                    </w:div>
                                                                                    <w:div w:id="1537155569">
                                                                                      <w:marLeft w:val="0"/>
                                                                                      <w:marRight w:val="0"/>
                                                                                      <w:marTop w:val="0"/>
                                                                                      <w:marBottom w:val="0"/>
                                                                                      <w:divBdr>
                                                                                        <w:top w:val="none" w:sz="0" w:space="0" w:color="auto"/>
                                                                                        <w:left w:val="none" w:sz="0" w:space="0" w:color="auto"/>
                                                                                        <w:bottom w:val="none" w:sz="0" w:space="0" w:color="auto"/>
                                                                                        <w:right w:val="none" w:sz="0" w:space="0" w:color="auto"/>
                                                                                      </w:divBdr>
                                                                                    </w:div>
                                                                                    <w:div w:id="962731971">
                                                                                      <w:marLeft w:val="0"/>
                                                                                      <w:marRight w:val="0"/>
                                                                                      <w:marTop w:val="0"/>
                                                                                      <w:marBottom w:val="0"/>
                                                                                      <w:divBdr>
                                                                                        <w:top w:val="none" w:sz="0" w:space="0" w:color="auto"/>
                                                                                        <w:left w:val="none" w:sz="0" w:space="0" w:color="auto"/>
                                                                                        <w:bottom w:val="none" w:sz="0" w:space="0" w:color="auto"/>
                                                                                        <w:right w:val="none" w:sz="0" w:space="0" w:color="auto"/>
                                                                                      </w:divBdr>
                                                                                    </w:div>
                                                                                    <w:div w:id="161894344">
                                                                                      <w:marLeft w:val="0"/>
                                                                                      <w:marRight w:val="0"/>
                                                                                      <w:marTop w:val="0"/>
                                                                                      <w:marBottom w:val="0"/>
                                                                                      <w:divBdr>
                                                                                        <w:top w:val="none" w:sz="0" w:space="0" w:color="auto"/>
                                                                                        <w:left w:val="none" w:sz="0" w:space="0" w:color="auto"/>
                                                                                        <w:bottom w:val="none" w:sz="0" w:space="0" w:color="auto"/>
                                                                                        <w:right w:val="none" w:sz="0" w:space="0" w:color="auto"/>
                                                                                      </w:divBdr>
                                                                                    </w:div>
                                                                                    <w:div w:id="1213885976">
                                                                                      <w:marLeft w:val="0"/>
                                                                                      <w:marRight w:val="0"/>
                                                                                      <w:marTop w:val="0"/>
                                                                                      <w:marBottom w:val="0"/>
                                                                                      <w:divBdr>
                                                                                        <w:top w:val="none" w:sz="0" w:space="0" w:color="auto"/>
                                                                                        <w:left w:val="none" w:sz="0" w:space="0" w:color="auto"/>
                                                                                        <w:bottom w:val="none" w:sz="0" w:space="0" w:color="auto"/>
                                                                                        <w:right w:val="none" w:sz="0" w:space="0" w:color="auto"/>
                                                                                      </w:divBdr>
                                                                                    </w:div>
                                                                                    <w:div w:id="1108503659">
                                                                                      <w:marLeft w:val="0"/>
                                                                                      <w:marRight w:val="0"/>
                                                                                      <w:marTop w:val="0"/>
                                                                                      <w:marBottom w:val="0"/>
                                                                                      <w:divBdr>
                                                                                        <w:top w:val="none" w:sz="0" w:space="0" w:color="auto"/>
                                                                                        <w:left w:val="none" w:sz="0" w:space="0" w:color="auto"/>
                                                                                        <w:bottom w:val="none" w:sz="0" w:space="0" w:color="auto"/>
                                                                                        <w:right w:val="none" w:sz="0" w:space="0" w:color="auto"/>
                                                                                      </w:divBdr>
                                                                                    </w:div>
                                                                                    <w:div w:id="1634628875">
                                                                                      <w:marLeft w:val="0"/>
                                                                                      <w:marRight w:val="0"/>
                                                                                      <w:marTop w:val="0"/>
                                                                                      <w:marBottom w:val="0"/>
                                                                                      <w:divBdr>
                                                                                        <w:top w:val="none" w:sz="0" w:space="0" w:color="auto"/>
                                                                                        <w:left w:val="none" w:sz="0" w:space="0" w:color="auto"/>
                                                                                        <w:bottom w:val="none" w:sz="0" w:space="0" w:color="auto"/>
                                                                                        <w:right w:val="none" w:sz="0" w:space="0" w:color="auto"/>
                                                                                      </w:divBdr>
                                                                                    </w:div>
                                                                                    <w:div w:id="1441489291">
                                                                                      <w:marLeft w:val="0"/>
                                                                                      <w:marRight w:val="0"/>
                                                                                      <w:marTop w:val="0"/>
                                                                                      <w:marBottom w:val="0"/>
                                                                                      <w:divBdr>
                                                                                        <w:top w:val="none" w:sz="0" w:space="0" w:color="auto"/>
                                                                                        <w:left w:val="none" w:sz="0" w:space="0" w:color="auto"/>
                                                                                        <w:bottom w:val="none" w:sz="0" w:space="0" w:color="auto"/>
                                                                                        <w:right w:val="none" w:sz="0" w:space="0" w:color="auto"/>
                                                                                      </w:divBdr>
                                                                                    </w:div>
                                                                                    <w:div w:id="1085342490">
                                                                                      <w:marLeft w:val="0"/>
                                                                                      <w:marRight w:val="0"/>
                                                                                      <w:marTop w:val="0"/>
                                                                                      <w:marBottom w:val="0"/>
                                                                                      <w:divBdr>
                                                                                        <w:top w:val="none" w:sz="0" w:space="0" w:color="auto"/>
                                                                                        <w:left w:val="none" w:sz="0" w:space="0" w:color="auto"/>
                                                                                        <w:bottom w:val="none" w:sz="0" w:space="0" w:color="auto"/>
                                                                                        <w:right w:val="none" w:sz="0" w:space="0" w:color="auto"/>
                                                                                      </w:divBdr>
                                                                                    </w:div>
                                                                                    <w:div w:id="52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0510755">
      <w:bodyDiv w:val="1"/>
      <w:marLeft w:val="0"/>
      <w:marRight w:val="0"/>
      <w:marTop w:val="0"/>
      <w:marBottom w:val="0"/>
      <w:divBdr>
        <w:top w:val="none" w:sz="0" w:space="0" w:color="auto"/>
        <w:left w:val="none" w:sz="0" w:space="0" w:color="auto"/>
        <w:bottom w:val="none" w:sz="0" w:space="0" w:color="auto"/>
        <w:right w:val="none" w:sz="0" w:space="0" w:color="auto"/>
      </w:divBdr>
    </w:div>
    <w:div w:id="1248809388">
      <w:bodyDiv w:val="1"/>
      <w:marLeft w:val="0"/>
      <w:marRight w:val="0"/>
      <w:marTop w:val="0"/>
      <w:marBottom w:val="0"/>
      <w:divBdr>
        <w:top w:val="none" w:sz="0" w:space="0" w:color="auto"/>
        <w:left w:val="none" w:sz="0" w:space="0" w:color="auto"/>
        <w:bottom w:val="none" w:sz="0" w:space="0" w:color="auto"/>
        <w:right w:val="none" w:sz="0" w:space="0" w:color="auto"/>
      </w:divBdr>
    </w:div>
    <w:div w:id="1307783118">
      <w:bodyDiv w:val="1"/>
      <w:marLeft w:val="0"/>
      <w:marRight w:val="0"/>
      <w:marTop w:val="0"/>
      <w:marBottom w:val="0"/>
      <w:divBdr>
        <w:top w:val="none" w:sz="0" w:space="0" w:color="auto"/>
        <w:left w:val="none" w:sz="0" w:space="0" w:color="auto"/>
        <w:bottom w:val="none" w:sz="0" w:space="0" w:color="auto"/>
        <w:right w:val="none" w:sz="0" w:space="0" w:color="auto"/>
      </w:divBdr>
    </w:div>
    <w:div w:id="1314069796">
      <w:bodyDiv w:val="1"/>
      <w:marLeft w:val="0"/>
      <w:marRight w:val="0"/>
      <w:marTop w:val="0"/>
      <w:marBottom w:val="0"/>
      <w:divBdr>
        <w:top w:val="none" w:sz="0" w:space="0" w:color="auto"/>
        <w:left w:val="none" w:sz="0" w:space="0" w:color="auto"/>
        <w:bottom w:val="none" w:sz="0" w:space="0" w:color="auto"/>
        <w:right w:val="none" w:sz="0" w:space="0" w:color="auto"/>
      </w:divBdr>
    </w:div>
    <w:div w:id="1315716098">
      <w:bodyDiv w:val="1"/>
      <w:marLeft w:val="0"/>
      <w:marRight w:val="0"/>
      <w:marTop w:val="0"/>
      <w:marBottom w:val="0"/>
      <w:divBdr>
        <w:top w:val="none" w:sz="0" w:space="0" w:color="auto"/>
        <w:left w:val="none" w:sz="0" w:space="0" w:color="auto"/>
        <w:bottom w:val="none" w:sz="0" w:space="0" w:color="auto"/>
        <w:right w:val="none" w:sz="0" w:space="0" w:color="auto"/>
      </w:divBdr>
    </w:div>
    <w:div w:id="1364014098">
      <w:bodyDiv w:val="1"/>
      <w:marLeft w:val="0"/>
      <w:marRight w:val="0"/>
      <w:marTop w:val="0"/>
      <w:marBottom w:val="0"/>
      <w:divBdr>
        <w:top w:val="none" w:sz="0" w:space="0" w:color="auto"/>
        <w:left w:val="none" w:sz="0" w:space="0" w:color="auto"/>
        <w:bottom w:val="none" w:sz="0" w:space="0" w:color="auto"/>
        <w:right w:val="none" w:sz="0" w:space="0" w:color="auto"/>
      </w:divBdr>
    </w:div>
    <w:div w:id="1434327967">
      <w:bodyDiv w:val="1"/>
      <w:marLeft w:val="0"/>
      <w:marRight w:val="0"/>
      <w:marTop w:val="0"/>
      <w:marBottom w:val="0"/>
      <w:divBdr>
        <w:top w:val="none" w:sz="0" w:space="0" w:color="auto"/>
        <w:left w:val="none" w:sz="0" w:space="0" w:color="auto"/>
        <w:bottom w:val="none" w:sz="0" w:space="0" w:color="auto"/>
        <w:right w:val="none" w:sz="0" w:space="0" w:color="auto"/>
      </w:divBdr>
    </w:div>
    <w:div w:id="1438600287">
      <w:bodyDiv w:val="1"/>
      <w:marLeft w:val="0"/>
      <w:marRight w:val="0"/>
      <w:marTop w:val="0"/>
      <w:marBottom w:val="0"/>
      <w:divBdr>
        <w:top w:val="none" w:sz="0" w:space="0" w:color="auto"/>
        <w:left w:val="none" w:sz="0" w:space="0" w:color="auto"/>
        <w:bottom w:val="none" w:sz="0" w:space="0" w:color="auto"/>
        <w:right w:val="none" w:sz="0" w:space="0" w:color="auto"/>
      </w:divBdr>
      <w:divsChild>
        <w:div w:id="830608494">
          <w:marLeft w:val="0"/>
          <w:marRight w:val="0"/>
          <w:marTop w:val="100"/>
          <w:marBottom w:val="100"/>
          <w:divBdr>
            <w:top w:val="none" w:sz="0" w:space="0" w:color="auto"/>
            <w:left w:val="none" w:sz="0" w:space="0" w:color="auto"/>
            <w:bottom w:val="none" w:sz="0" w:space="0" w:color="auto"/>
            <w:right w:val="none" w:sz="0" w:space="0" w:color="auto"/>
          </w:divBdr>
          <w:divsChild>
            <w:div w:id="1958484625">
              <w:marLeft w:val="0"/>
              <w:marRight w:val="0"/>
              <w:marTop w:val="0"/>
              <w:marBottom w:val="0"/>
              <w:divBdr>
                <w:top w:val="none" w:sz="0" w:space="0" w:color="auto"/>
                <w:left w:val="none" w:sz="0" w:space="0" w:color="auto"/>
                <w:bottom w:val="none" w:sz="0" w:space="0" w:color="auto"/>
                <w:right w:val="none" w:sz="0" w:space="0" w:color="auto"/>
              </w:divBdr>
              <w:divsChild>
                <w:div w:id="1463497267">
                  <w:marLeft w:val="105"/>
                  <w:marRight w:val="105"/>
                  <w:marTop w:val="150"/>
                  <w:marBottom w:val="150"/>
                  <w:divBdr>
                    <w:top w:val="single" w:sz="6" w:space="0" w:color="333333"/>
                    <w:left w:val="single" w:sz="6" w:space="0" w:color="333333"/>
                    <w:bottom w:val="single" w:sz="6" w:space="0" w:color="333333"/>
                    <w:right w:val="single" w:sz="6" w:space="0" w:color="333333"/>
                  </w:divBdr>
                  <w:divsChild>
                    <w:div w:id="275672414">
                      <w:marLeft w:val="0"/>
                      <w:marRight w:val="0"/>
                      <w:marTop w:val="0"/>
                      <w:marBottom w:val="0"/>
                      <w:divBdr>
                        <w:top w:val="none" w:sz="0" w:space="0" w:color="auto"/>
                        <w:left w:val="none" w:sz="0" w:space="0" w:color="auto"/>
                        <w:bottom w:val="none" w:sz="0" w:space="0" w:color="auto"/>
                        <w:right w:val="none" w:sz="0" w:space="0" w:color="auto"/>
                      </w:divBdr>
                      <w:divsChild>
                        <w:div w:id="1795246736">
                          <w:marLeft w:val="0"/>
                          <w:marRight w:val="0"/>
                          <w:marTop w:val="0"/>
                          <w:marBottom w:val="0"/>
                          <w:divBdr>
                            <w:top w:val="none" w:sz="0" w:space="0" w:color="auto"/>
                            <w:left w:val="none" w:sz="0" w:space="0" w:color="auto"/>
                            <w:bottom w:val="none" w:sz="0" w:space="0" w:color="auto"/>
                            <w:right w:val="none" w:sz="0" w:space="0" w:color="auto"/>
                          </w:divBdr>
                          <w:divsChild>
                            <w:div w:id="1046679949">
                              <w:marLeft w:val="105"/>
                              <w:marRight w:val="105"/>
                              <w:marTop w:val="150"/>
                              <w:marBottom w:val="150"/>
                              <w:divBdr>
                                <w:top w:val="none" w:sz="0" w:space="0" w:color="auto"/>
                                <w:left w:val="none" w:sz="0" w:space="0" w:color="auto"/>
                                <w:bottom w:val="none" w:sz="0" w:space="0" w:color="auto"/>
                                <w:right w:val="none" w:sz="0" w:space="0" w:color="auto"/>
                              </w:divBdr>
                              <w:divsChild>
                                <w:div w:id="82646629">
                                  <w:marLeft w:val="0"/>
                                  <w:marRight w:val="0"/>
                                  <w:marTop w:val="0"/>
                                  <w:marBottom w:val="0"/>
                                  <w:divBdr>
                                    <w:top w:val="none" w:sz="0" w:space="0" w:color="auto"/>
                                    <w:left w:val="none" w:sz="0" w:space="0" w:color="auto"/>
                                    <w:bottom w:val="none" w:sz="0" w:space="0" w:color="auto"/>
                                    <w:right w:val="none" w:sz="0" w:space="0" w:color="auto"/>
                                  </w:divBdr>
                                  <w:divsChild>
                                    <w:div w:id="106899742">
                                      <w:marLeft w:val="0"/>
                                      <w:marRight w:val="0"/>
                                      <w:marTop w:val="0"/>
                                      <w:marBottom w:val="0"/>
                                      <w:divBdr>
                                        <w:top w:val="none" w:sz="0" w:space="0" w:color="auto"/>
                                        <w:left w:val="none" w:sz="0" w:space="0" w:color="auto"/>
                                        <w:bottom w:val="none" w:sz="0" w:space="0" w:color="auto"/>
                                        <w:right w:val="none" w:sz="0" w:space="0" w:color="auto"/>
                                      </w:divBdr>
                                      <w:divsChild>
                                        <w:div w:id="1069041776">
                                          <w:marLeft w:val="0"/>
                                          <w:marRight w:val="0"/>
                                          <w:marTop w:val="0"/>
                                          <w:marBottom w:val="0"/>
                                          <w:divBdr>
                                            <w:top w:val="none" w:sz="0" w:space="0" w:color="auto"/>
                                            <w:left w:val="none" w:sz="0" w:space="0" w:color="auto"/>
                                            <w:bottom w:val="none" w:sz="0" w:space="0" w:color="auto"/>
                                            <w:right w:val="none" w:sz="0" w:space="0" w:color="auto"/>
                                          </w:divBdr>
                                          <w:divsChild>
                                            <w:div w:id="538124188">
                                              <w:marLeft w:val="0"/>
                                              <w:marRight w:val="0"/>
                                              <w:marTop w:val="0"/>
                                              <w:marBottom w:val="0"/>
                                              <w:divBdr>
                                                <w:top w:val="none" w:sz="0" w:space="0" w:color="auto"/>
                                                <w:left w:val="none" w:sz="0" w:space="0" w:color="auto"/>
                                                <w:bottom w:val="none" w:sz="0" w:space="0" w:color="auto"/>
                                                <w:right w:val="none" w:sz="0" w:space="0" w:color="auto"/>
                                              </w:divBdr>
                                              <w:divsChild>
                                                <w:div w:id="884832499">
                                                  <w:marLeft w:val="105"/>
                                                  <w:marRight w:val="105"/>
                                                  <w:marTop w:val="150"/>
                                                  <w:marBottom w:val="150"/>
                                                  <w:divBdr>
                                                    <w:top w:val="none" w:sz="0" w:space="0" w:color="auto"/>
                                                    <w:left w:val="none" w:sz="0" w:space="0" w:color="auto"/>
                                                    <w:bottom w:val="none" w:sz="0" w:space="0" w:color="auto"/>
                                                    <w:right w:val="none" w:sz="0" w:space="0" w:color="auto"/>
                                                  </w:divBdr>
                                                  <w:divsChild>
                                                    <w:div w:id="674303879">
                                                      <w:marLeft w:val="0"/>
                                                      <w:marRight w:val="0"/>
                                                      <w:marTop w:val="0"/>
                                                      <w:marBottom w:val="0"/>
                                                      <w:divBdr>
                                                        <w:top w:val="none" w:sz="0" w:space="0" w:color="auto"/>
                                                        <w:left w:val="none" w:sz="0" w:space="0" w:color="auto"/>
                                                        <w:bottom w:val="none" w:sz="0" w:space="0" w:color="auto"/>
                                                        <w:right w:val="none" w:sz="0" w:space="0" w:color="auto"/>
                                                      </w:divBdr>
                                                      <w:divsChild>
                                                        <w:div w:id="21439064">
                                                          <w:marLeft w:val="0"/>
                                                          <w:marRight w:val="0"/>
                                                          <w:marTop w:val="0"/>
                                                          <w:marBottom w:val="0"/>
                                                          <w:divBdr>
                                                            <w:top w:val="none" w:sz="0" w:space="0" w:color="auto"/>
                                                            <w:left w:val="none" w:sz="0" w:space="0" w:color="auto"/>
                                                            <w:bottom w:val="none" w:sz="0" w:space="0" w:color="auto"/>
                                                            <w:right w:val="none" w:sz="0" w:space="0" w:color="auto"/>
                                                          </w:divBdr>
                                                          <w:divsChild>
                                                            <w:div w:id="2141918753">
                                                              <w:marLeft w:val="0"/>
                                                              <w:marRight w:val="0"/>
                                                              <w:marTop w:val="0"/>
                                                              <w:marBottom w:val="0"/>
                                                              <w:divBdr>
                                                                <w:top w:val="none" w:sz="0" w:space="0" w:color="auto"/>
                                                                <w:left w:val="none" w:sz="0" w:space="0" w:color="auto"/>
                                                                <w:bottom w:val="none" w:sz="0" w:space="0" w:color="auto"/>
                                                                <w:right w:val="none" w:sz="0" w:space="0" w:color="auto"/>
                                                              </w:divBdr>
                                                              <w:divsChild>
                                                                <w:div w:id="692656016">
                                                                  <w:marLeft w:val="0"/>
                                                                  <w:marRight w:val="0"/>
                                                                  <w:marTop w:val="0"/>
                                                                  <w:marBottom w:val="0"/>
                                                                  <w:divBdr>
                                                                    <w:top w:val="none" w:sz="0" w:space="0" w:color="auto"/>
                                                                    <w:left w:val="none" w:sz="0" w:space="0" w:color="auto"/>
                                                                    <w:bottom w:val="none" w:sz="0" w:space="0" w:color="auto"/>
                                                                    <w:right w:val="none" w:sz="0" w:space="0" w:color="auto"/>
                                                                  </w:divBdr>
                                                                  <w:divsChild>
                                                                    <w:div w:id="1221210540">
                                                                      <w:marLeft w:val="0"/>
                                                                      <w:marRight w:val="0"/>
                                                                      <w:marTop w:val="0"/>
                                                                      <w:marBottom w:val="0"/>
                                                                      <w:divBdr>
                                                                        <w:top w:val="none" w:sz="0" w:space="0" w:color="auto"/>
                                                                        <w:left w:val="none" w:sz="0" w:space="0" w:color="auto"/>
                                                                        <w:bottom w:val="none" w:sz="0" w:space="0" w:color="auto"/>
                                                                        <w:right w:val="none" w:sz="0" w:space="0" w:color="auto"/>
                                                                      </w:divBdr>
                                                                      <w:divsChild>
                                                                        <w:div w:id="608974620">
                                                                          <w:marLeft w:val="105"/>
                                                                          <w:marRight w:val="105"/>
                                                                          <w:marTop w:val="150"/>
                                                                          <w:marBottom w:val="150"/>
                                                                          <w:divBdr>
                                                                            <w:top w:val="none" w:sz="0" w:space="0" w:color="auto"/>
                                                                            <w:left w:val="none" w:sz="0" w:space="0" w:color="auto"/>
                                                                            <w:bottom w:val="none" w:sz="0" w:space="0" w:color="auto"/>
                                                                            <w:right w:val="none" w:sz="0" w:space="0" w:color="auto"/>
                                                                          </w:divBdr>
                                                                          <w:divsChild>
                                                                            <w:div w:id="665521471">
                                                                              <w:marLeft w:val="0"/>
                                                                              <w:marRight w:val="0"/>
                                                                              <w:marTop w:val="0"/>
                                                                              <w:marBottom w:val="0"/>
                                                                              <w:divBdr>
                                                                                <w:top w:val="none" w:sz="0" w:space="0" w:color="auto"/>
                                                                                <w:left w:val="none" w:sz="0" w:space="0" w:color="auto"/>
                                                                                <w:bottom w:val="none" w:sz="0" w:space="0" w:color="auto"/>
                                                                                <w:right w:val="none" w:sz="0" w:space="0" w:color="auto"/>
                                                                              </w:divBdr>
                                                                              <w:divsChild>
                                                                                <w:div w:id="1910729940">
                                                                                  <w:marLeft w:val="0"/>
                                                                                  <w:marRight w:val="0"/>
                                                                                  <w:marTop w:val="0"/>
                                                                                  <w:marBottom w:val="0"/>
                                                                                  <w:divBdr>
                                                                                    <w:top w:val="none" w:sz="0" w:space="0" w:color="auto"/>
                                                                                    <w:left w:val="none" w:sz="0" w:space="0" w:color="auto"/>
                                                                                    <w:bottom w:val="none" w:sz="0" w:space="0" w:color="auto"/>
                                                                                    <w:right w:val="none" w:sz="0" w:space="0" w:color="auto"/>
                                                                                  </w:divBdr>
                                                                                  <w:divsChild>
                                                                                    <w:div w:id="1943339595">
                                                                                      <w:marLeft w:val="0"/>
                                                                                      <w:marRight w:val="0"/>
                                                                                      <w:marTop w:val="0"/>
                                                                                      <w:marBottom w:val="0"/>
                                                                                      <w:divBdr>
                                                                                        <w:top w:val="none" w:sz="0" w:space="0" w:color="auto"/>
                                                                                        <w:left w:val="none" w:sz="0" w:space="0" w:color="auto"/>
                                                                                        <w:bottom w:val="none" w:sz="0" w:space="0" w:color="auto"/>
                                                                                        <w:right w:val="none" w:sz="0" w:space="0" w:color="auto"/>
                                                                                      </w:divBdr>
                                                                                      <w:divsChild>
                                                                                        <w:div w:id="527568119">
                                                                                          <w:marLeft w:val="0"/>
                                                                                          <w:marRight w:val="0"/>
                                                                                          <w:marTop w:val="0"/>
                                                                                          <w:marBottom w:val="0"/>
                                                                                          <w:divBdr>
                                                                                            <w:top w:val="none" w:sz="0" w:space="0" w:color="auto"/>
                                                                                            <w:left w:val="none" w:sz="0" w:space="0" w:color="auto"/>
                                                                                            <w:bottom w:val="none" w:sz="0" w:space="0" w:color="auto"/>
                                                                                            <w:right w:val="none" w:sz="0" w:space="0" w:color="auto"/>
                                                                                          </w:divBdr>
                                                                                          <w:divsChild>
                                                                                            <w:div w:id="323898427">
                                                                                              <w:marLeft w:val="0"/>
                                                                                              <w:marRight w:val="0"/>
                                                                                              <w:marTop w:val="0"/>
                                                                                              <w:marBottom w:val="0"/>
                                                                                              <w:divBdr>
                                                                                                <w:top w:val="none" w:sz="0" w:space="0" w:color="auto"/>
                                                                                                <w:left w:val="none" w:sz="0" w:space="0" w:color="auto"/>
                                                                                                <w:bottom w:val="none" w:sz="0" w:space="0" w:color="auto"/>
                                                                                                <w:right w:val="none" w:sz="0" w:space="0" w:color="auto"/>
                                                                                              </w:divBdr>
                                                                                              <w:divsChild>
                                                                                                <w:div w:id="712077991">
                                                                                                  <w:marLeft w:val="0"/>
                                                                                                  <w:marRight w:val="0"/>
                                                                                                  <w:marTop w:val="0"/>
                                                                                                  <w:marBottom w:val="0"/>
                                                                                                  <w:divBdr>
                                                                                                    <w:top w:val="none" w:sz="0" w:space="0" w:color="auto"/>
                                                                                                    <w:left w:val="none" w:sz="0" w:space="0" w:color="auto"/>
                                                                                                    <w:bottom w:val="none" w:sz="0" w:space="0" w:color="auto"/>
                                                                                                    <w:right w:val="none" w:sz="0" w:space="0" w:color="auto"/>
                                                                                                  </w:divBdr>
                                                                                                  <w:divsChild>
                                                                                                    <w:div w:id="8992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0566268">
      <w:bodyDiv w:val="1"/>
      <w:marLeft w:val="0"/>
      <w:marRight w:val="0"/>
      <w:marTop w:val="0"/>
      <w:marBottom w:val="0"/>
      <w:divBdr>
        <w:top w:val="none" w:sz="0" w:space="0" w:color="auto"/>
        <w:left w:val="none" w:sz="0" w:space="0" w:color="auto"/>
        <w:bottom w:val="none" w:sz="0" w:space="0" w:color="auto"/>
        <w:right w:val="none" w:sz="0" w:space="0" w:color="auto"/>
      </w:divBdr>
    </w:div>
    <w:div w:id="1505514528">
      <w:bodyDiv w:val="1"/>
      <w:marLeft w:val="0"/>
      <w:marRight w:val="0"/>
      <w:marTop w:val="0"/>
      <w:marBottom w:val="0"/>
      <w:divBdr>
        <w:top w:val="none" w:sz="0" w:space="0" w:color="auto"/>
        <w:left w:val="none" w:sz="0" w:space="0" w:color="auto"/>
        <w:bottom w:val="none" w:sz="0" w:space="0" w:color="auto"/>
        <w:right w:val="none" w:sz="0" w:space="0" w:color="auto"/>
      </w:divBdr>
    </w:div>
    <w:div w:id="1548686987">
      <w:bodyDiv w:val="1"/>
      <w:marLeft w:val="0"/>
      <w:marRight w:val="0"/>
      <w:marTop w:val="0"/>
      <w:marBottom w:val="0"/>
      <w:divBdr>
        <w:top w:val="none" w:sz="0" w:space="0" w:color="auto"/>
        <w:left w:val="none" w:sz="0" w:space="0" w:color="auto"/>
        <w:bottom w:val="none" w:sz="0" w:space="0" w:color="auto"/>
        <w:right w:val="none" w:sz="0" w:space="0" w:color="auto"/>
      </w:divBdr>
    </w:div>
    <w:div w:id="1552186587">
      <w:bodyDiv w:val="1"/>
      <w:marLeft w:val="0"/>
      <w:marRight w:val="0"/>
      <w:marTop w:val="0"/>
      <w:marBottom w:val="0"/>
      <w:divBdr>
        <w:top w:val="none" w:sz="0" w:space="0" w:color="auto"/>
        <w:left w:val="none" w:sz="0" w:space="0" w:color="auto"/>
        <w:bottom w:val="none" w:sz="0" w:space="0" w:color="auto"/>
        <w:right w:val="none" w:sz="0" w:space="0" w:color="auto"/>
      </w:divBdr>
    </w:div>
    <w:div w:id="1603417752">
      <w:bodyDiv w:val="1"/>
      <w:marLeft w:val="0"/>
      <w:marRight w:val="0"/>
      <w:marTop w:val="0"/>
      <w:marBottom w:val="0"/>
      <w:divBdr>
        <w:top w:val="none" w:sz="0" w:space="0" w:color="auto"/>
        <w:left w:val="none" w:sz="0" w:space="0" w:color="auto"/>
        <w:bottom w:val="none" w:sz="0" w:space="0" w:color="auto"/>
        <w:right w:val="none" w:sz="0" w:space="0" w:color="auto"/>
      </w:divBdr>
    </w:div>
    <w:div w:id="1655333142">
      <w:bodyDiv w:val="1"/>
      <w:marLeft w:val="0"/>
      <w:marRight w:val="0"/>
      <w:marTop w:val="0"/>
      <w:marBottom w:val="0"/>
      <w:divBdr>
        <w:top w:val="none" w:sz="0" w:space="0" w:color="auto"/>
        <w:left w:val="none" w:sz="0" w:space="0" w:color="auto"/>
        <w:bottom w:val="none" w:sz="0" w:space="0" w:color="auto"/>
        <w:right w:val="none" w:sz="0" w:space="0" w:color="auto"/>
      </w:divBdr>
    </w:div>
    <w:div w:id="1656226523">
      <w:bodyDiv w:val="1"/>
      <w:marLeft w:val="0"/>
      <w:marRight w:val="0"/>
      <w:marTop w:val="0"/>
      <w:marBottom w:val="0"/>
      <w:divBdr>
        <w:top w:val="none" w:sz="0" w:space="0" w:color="auto"/>
        <w:left w:val="none" w:sz="0" w:space="0" w:color="auto"/>
        <w:bottom w:val="none" w:sz="0" w:space="0" w:color="auto"/>
        <w:right w:val="none" w:sz="0" w:space="0" w:color="auto"/>
      </w:divBdr>
    </w:div>
    <w:div w:id="1701010899">
      <w:bodyDiv w:val="1"/>
      <w:marLeft w:val="0"/>
      <w:marRight w:val="0"/>
      <w:marTop w:val="0"/>
      <w:marBottom w:val="0"/>
      <w:divBdr>
        <w:top w:val="none" w:sz="0" w:space="0" w:color="auto"/>
        <w:left w:val="none" w:sz="0" w:space="0" w:color="auto"/>
        <w:bottom w:val="none" w:sz="0" w:space="0" w:color="auto"/>
        <w:right w:val="none" w:sz="0" w:space="0" w:color="auto"/>
      </w:divBdr>
    </w:div>
    <w:div w:id="1702439671">
      <w:bodyDiv w:val="1"/>
      <w:marLeft w:val="0"/>
      <w:marRight w:val="0"/>
      <w:marTop w:val="0"/>
      <w:marBottom w:val="0"/>
      <w:divBdr>
        <w:top w:val="none" w:sz="0" w:space="0" w:color="auto"/>
        <w:left w:val="none" w:sz="0" w:space="0" w:color="auto"/>
        <w:bottom w:val="none" w:sz="0" w:space="0" w:color="auto"/>
        <w:right w:val="none" w:sz="0" w:space="0" w:color="auto"/>
      </w:divBdr>
    </w:div>
    <w:div w:id="1712150976">
      <w:bodyDiv w:val="1"/>
      <w:marLeft w:val="0"/>
      <w:marRight w:val="0"/>
      <w:marTop w:val="0"/>
      <w:marBottom w:val="0"/>
      <w:divBdr>
        <w:top w:val="none" w:sz="0" w:space="0" w:color="auto"/>
        <w:left w:val="none" w:sz="0" w:space="0" w:color="auto"/>
        <w:bottom w:val="none" w:sz="0" w:space="0" w:color="auto"/>
        <w:right w:val="none" w:sz="0" w:space="0" w:color="auto"/>
      </w:divBdr>
    </w:div>
    <w:div w:id="1752581927">
      <w:bodyDiv w:val="1"/>
      <w:marLeft w:val="0"/>
      <w:marRight w:val="0"/>
      <w:marTop w:val="0"/>
      <w:marBottom w:val="0"/>
      <w:divBdr>
        <w:top w:val="none" w:sz="0" w:space="0" w:color="auto"/>
        <w:left w:val="none" w:sz="0" w:space="0" w:color="auto"/>
        <w:bottom w:val="none" w:sz="0" w:space="0" w:color="auto"/>
        <w:right w:val="none" w:sz="0" w:space="0" w:color="auto"/>
      </w:divBdr>
    </w:div>
    <w:div w:id="1830779606">
      <w:bodyDiv w:val="1"/>
      <w:marLeft w:val="0"/>
      <w:marRight w:val="0"/>
      <w:marTop w:val="0"/>
      <w:marBottom w:val="0"/>
      <w:divBdr>
        <w:top w:val="none" w:sz="0" w:space="0" w:color="auto"/>
        <w:left w:val="none" w:sz="0" w:space="0" w:color="auto"/>
        <w:bottom w:val="none" w:sz="0" w:space="0" w:color="auto"/>
        <w:right w:val="none" w:sz="0" w:space="0" w:color="auto"/>
      </w:divBdr>
    </w:div>
    <w:div w:id="1867862674">
      <w:bodyDiv w:val="1"/>
      <w:marLeft w:val="0"/>
      <w:marRight w:val="0"/>
      <w:marTop w:val="0"/>
      <w:marBottom w:val="0"/>
      <w:divBdr>
        <w:top w:val="none" w:sz="0" w:space="0" w:color="auto"/>
        <w:left w:val="none" w:sz="0" w:space="0" w:color="auto"/>
        <w:bottom w:val="none" w:sz="0" w:space="0" w:color="auto"/>
        <w:right w:val="none" w:sz="0" w:space="0" w:color="auto"/>
      </w:divBdr>
    </w:div>
    <w:div w:id="1892376066">
      <w:bodyDiv w:val="1"/>
      <w:marLeft w:val="0"/>
      <w:marRight w:val="0"/>
      <w:marTop w:val="0"/>
      <w:marBottom w:val="0"/>
      <w:divBdr>
        <w:top w:val="none" w:sz="0" w:space="0" w:color="auto"/>
        <w:left w:val="none" w:sz="0" w:space="0" w:color="auto"/>
        <w:bottom w:val="none" w:sz="0" w:space="0" w:color="auto"/>
        <w:right w:val="none" w:sz="0" w:space="0" w:color="auto"/>
      </w:divBdr>
    </w:div>
    <w:div w:id="1922329971">
      <w:bodyDiv w:val="1"/>
      <w:marLeft w:val="0"/>
      <w:marRight w:val="0"/>
      <w:marTop w:val="0"/>
      <w:marBottom w:val="0"/>
      <w:divBdr>
        <w:top w:val="none" w:sz="0" w:space="0" w:color="auto"/>
        <w:left w:val="none" w:sz="0" w:space="0" w:color="auto"/>
        <w:bottom w:val="none" w:sz="0" w:space="0" w:color="auto"/>
        <w:right w:val="none" w:sz="0" w:space="0" w:color="auto"/>
      </w:divBdr>
    </w:div>
    <w:div w:id="1931692356">
      <w:bodyDiv w:val="1"/>
      <w:marLeft w:val="0"/>
      <w:marRight w:val="0"/>
      <w:marTop w:val="0"/>
      <w:marBottom w:val="0"/>
      <w:divBdr>
        <w:top w:val="none" w:sz="0" w:space="0" w:color="auto"/>
        <w:left w:val="none" w:sz="0" w:space="0" w:color="auto"/>
        <w:bottom w:val="none" w:sz="0" w:space="0" w:color="auto"/>
        <w:right w:val="none" w:sz="0" w:space="0" w:color="auto"/>
      </w:divBdr>
    </w:div>
    <w:div w:id="2022126548">
      <w:bodyDiv w:val="1"/>
      <w:marLeft w:val="0"/>
      <w:marRight w:val="0"/>
      <w:marTop w:val="0"/>
      <w:marBottom w:val="0"/>
      <w:divBdr>
        <w:top w:val="none" w:sz="0" w:space="0" w:color="auto"/>
        <w:left w:val="none" w:sz="0" w:space="0" w:color="auto"/>
        <w:bottom w:val="none" w:sz="0" w:space="0" w:color="auto"/>
        <w:right w:val="none" w:sz="0" w:space="0" w:color="auto"/>
      </w:divBdr>
    </w:div>
    <w:div w:id="2080201370">
      <w:bodyDiv w:val="1"/>
      <w:marLeft w:val="0"/>
      <w:marRight w:val="0"/>
      <w:marTop w:val="0"/>
      <w:marBottom w:val="0"/>
      <w:divBdr>
        <w:top w:val="none" w:sz="0" w:space="0" w:color="auto"/>
        <w:left w:val="none" w:sz="0" w:space="0" w:color="auto"/>
        <w:bottom w:val="none" w:sz="0" w:space="0" w:color="auto"/>
        <w:right w:val="none" w:sz="0" w:space="0" w:color="auto"/>
      </w:divBdr>
    </w:div>
    <w:div w:id="2136025253">
      <w:bodyDiv w:val="1"/>
      <w:marLeft w:val="0"/>
      <w:marRight w:val="0"/>
      <w:marTop w:val="0"/>
      <w:marBottom w:val="0"/>
      <w:divBdr>
        <w:top w:val="none" w:sz="0" w:space="0" w:color="auto"/>
        <w:left w:val="none" w:sz="0" w:space="0" w:color="auto"/>
        <w:bottom w:val="none" w:sz="0" w:space="0" w:color="auto"/>
        <w:right w:val="none" w:sz="0" w:space="0" w:color="auto"/>
      </w:divBdr>
    </w:div>
    <w:div w:id="213774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u@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nl.tenalea.net/amc/ALEA/Login.aspx" TargetMode="External"/><Relationship Id="rId14" Type="http://schemas.openxmlformats.org/officeDocument/2006/relationships/theme" Target="theme/theme1.xml"/><Relationship Id="rId30"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F2AF39-0908-4EAC-A5E4-A9A4B5E8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8840</Words>
  <Characters>50394</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Cummin T.E.</dc:creator>
  <cp:lastModifiedBy>Lapage K.P.</cp:lastModifiedBy>
  <cp:revision>2</cp:revision>
  <cp:lastPrinted>2018-08-09T12:49:00Z</cp:lastPrinted>
  <dcterms:created xsi:type="dcterms:W3CDTF">2018-12-14T09:45:00Z</dcterms:created>
  <dcterms:modified xsi:type="dcterms:W3CDTF">2018-12-14T09:45:00Z</dcterms:modified>
</cp:coreProperties>
</file>