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DF90A" w14:textId="77777777" w:rsidR="004921FF" w:rsidRPr="00F5322D" w:rsidRDefault="00DD2B3E">
      <w:pPr>
        <w:rPr>
          <w:b/>
        </w:rPr>
      </w:pPr>
      <w:bookmarkStart w:id="0" w:name="_GoBack"/>
      <w:bookmarkEnd w:id="0"/>
      <w:r w:rsidRPr="00F5322D">
        <w:rPr>
          <w:b/>
        </w:rPr>
        <w:t>Meeting the demand for meat – analysing meat flows to and from the UK pre and post Brexit.</w:t>
      </w:r>
    </w:p>
    <w:p w14:paraId="7707C793" w14:textId="77777777" w:rsidR="00DD2B3E" w:rsidRPr="00AF15BA" w:rsidRDefault="00DD2B3E"/>
    <w:p w14:paraId="565DF116" w14:textId="6BF11E8B" w:rsidR="00DD2B3E" w:rsidRPr="00AF15BA" w:rsidRDefault="00DD2B3E">
      <w:pPr>
        <w:rPr>
          <w:vertAlign w:val="superscript"/>
        </w:rPr>
      </w:pPr>
      <w:r w:rsidRPr="00AF15BA">
        <w:t>Guy M. Poppy</w:t>
      </w:r>
      <w:r w:rsidRPr="00AF15BA">
        <w:rPr>
          <w:vertAlign w:val="superscript"/>
        </w:rPr>
        <w:t>1</w:t>
      </w:r>
      <w:r w:rsidR="00492436" w:rsidRPr="00AF15BA">
        <w:t>, Jenny Baverstock</w:t>
      </w:r>
      <w:r w:rsidRPr="00AF15BA">
        <w:rPr>
          <w:vertAlign w:val="superscript"/>
        </w:rPr>
        <w:t>2</w:t>
      </w:r>
      <w:r w:rsidRPr="00AF15BA">
        <w:t xml:space="preserve"> &amp; Joseph Baverstock-Poppy</w:t>
      </w:r>
      <w:r w:rsidRPr="00AF15BA">
        <w:rPr>
          <w:vertAlign w:val="superscript"/>
        </w:rPr>
        <w:t>3</w:t>
      </w:r>
    </w:p>
    <w:p w14:paraId="6CF6B90D" w14:textId="77777777" w:rsidR="00DD2B3E" w:rsidRPr="00AF15BA" w:rsidRDefault="00DD2B3E">
      <w:pPr>
        <w:rPr>
          <w:vertAlign w:val="superscript"/>
        </w:rPr>
      </w:pPr>
    </w:p>
    <w:p w14:paraId="502607C8" w14:textId="2DC17EA0" w:rsidR="00DD2B3E" w:rsidRPr="0000634D" w:rsidRDefault="00DD2B3E" w:rsidP="002B3359">
      <w:r w:rsidRPr="00AF15BA">
        <w:rPr>
          <w:vertAlign w:val="superscript"/>
        </w:rPr>
        <w:t xml:space="preserve">1 </w:t>
      </w:r>
      <w:r w:rsidR="002B3359" w:rsidRPr="0000634D">
        <w:t>corresponding author:</w:t>
      </w:r>
      <w:r w:rsidR="002B3359" w:rsidRPr="00AF15BA">
        <w:t xml:space="preserve"> </w:t>
      </w:r>
      <w:r w:rsidR="002B3359" w:rsidRPr="0000634D">
        <w:t>Biological Sciences, Faculty of Natural &amp; Environmental Sciences, Life Sciences Building 85, University of Southampton, Highfield Campus, Southampton, SO17 1BJ</w:t>
      </w:r>
      <w:r w:rsidR="00053EAC">
        <w:t>;</w:t>
      </w:r>
      <w:r w:rsidR="00514E06" w:rsidRPr="0000634D">
        <w:t xml:space="preserve"> gmp@soton.ac.uk</w:t>
      </w:r>
    </w:p>
    <w:p w14:paraId="5E055866" w14:textId="6FB9EEBD" w:rsidR="00DD2B3E" w:rsidRPr="0000634D" w:rsidRDefault="00DD2B3E">
      <w:r w:rsidRPr="00AF15BA">
        <w:rPr>
          <w:vertAlign w:val="superscript"/>
        </w:rPr>
        <w:t xml:space="preserve">2 </w:t>
      </w:r>
      <w:r w:rsidR="004B1329">
        <w:t>Faculty</w:t>
      </w:r>
      <w:r w:rsidR="00053EAC">
        <w:t xml:space="preserve"> of </w:t>
      </w:r>
      <w:r w:rsidRPr="0000634D">
        <w:t>Health Sciences University of Southampton</w:t>
      </w:r>
      <w:r w:rsidR="00053EAC">
        <w:t>;</w:t>
      </w:r>
      <w:r w:rsidR="00514E06" w:rsidRPr="0000634D">
        <w:t xml:space="preserve"> J.Baverstock@soton.ac.uk</w:t>
      </w:r>
    </w:p>
    <w:p w14:paraId="00BAF94C" w14:textId="283B3DFA" w:rsidR="007D7720" w:rsidRPr="0000634D" w:rsidRDefault="00DD2B3E">
      <w:r w:rsidRPr="00AF15BA">
        <w:rPr>
          <w:vertAlign w:val="superscript"/>
        </w:rPr>
        <w:t xml:space="preserve">3 </w:t>
      </w:r>
      <w:r w:rsidRPr="0000634D">
        <w:t xml:space="preserve">University of </w:t>
      </w:r>
      <w:r w:rsidR="00514E06" w:rsidRPr="0000634D">
        <w:t>Southampton</w:t>
      </w:r>
      <w:r w:rsidR="00053EAC">
        <w:t>;</w:t>
      </w:r>
      <w:r w:rsidR="00514E06" w:rsidRPr="0000634D">
        <w:t xml:space="preserve"> joseph.baverstock-poppy@hertford.ox.ac.uk</w:t>
      </w:r>
    </w:p>
    <w:p w14:paraId="692501F1" w14:textId="77777777" w:rsidR="00DD2B3E" w:rsidRPr="0000634D" w:rsidRDefault="00DD2B3E">
      <w:pPr>
        <w:rPr>
          <w:b/>
        </w:rPr>
      </w:pPr>
    </w:p>
    <w:p w14:paraId="4BC85AA5" w14:textId="77777777" w:rsidR="002B3359" w:rsidRPr="0000634D" w:rsidRDefault="002472E2">
      <w:pPr>
        <w:rPr>
          <w:b/>
        </w:rPr>
      </w:pPr>
      <w:r w:rsidRPr="0000634D">
        <w:rPr>
          <w:b/>
        </w:rPr>
        <w:t xml:space="preserve">KEYWORDS </w:t>
      </w:r>
    </w:p>
    <w:p w14:paraId="604A573D" w14:textId="77777777" w:rsidR="002472E2" w:rsidRPr="0000634D" w:rsidRDefault="002472E2">
      <w:pPr>
        <w:rPr>
          <w:b/>
        </w:rPr>
      </w:pPr>
    </w:p>
    <w:p w14:paraId="1F019D33" w14:textId="77777777" w:rsidR="002472E2" w:rsidRPr="0000634D" w:rsidRDefault="002472E2">
      <w:r w:rsidRPr="0000634D">
        <w:t>Meat; Global trade; Brexit; Food security; Food regulation</w:t>
      </w:r>
    </w:p>
    <w:p w14:paraId="1BF85F6F" w14:textId="77777777" w:rsidR="002B3359" w:rsidRPr="0000634D" w:rsidRDefault="002B3359">
      <w:pPr>
        <w:rPr>
          <w:b/>
        </w:rPr>
      </w:pPr>
    </w:p>
    <w:p w14:paraId="2271D7C1" w14:textId="3BC64B7A" w:rsidR="00DD2B3E" w:rsidRPr="0000634D" w:rsidRDefault="00DD2B3E">
      <w:pPr>
        <w:rPr>
          <w:b/>
        </w:rPr>
      </w:pPr>
      <w:r w:rsidRPr="0000634D">
        <w:rPr>
          <w:b/>
        </w:rPr>
        <w:t>ABSTRACT</w:t>
      </w:r>
      <w:r w:rsidR="0090736F" w:rsidRPr="0000634D">
        <w:rPr>
          <w:b/>
        </w:rPr>
        <w:t xml:space="preserve"> </w:t>
      </w:r>
    </w:p>
    <w:p w14:paraId="046EC3F6" w14:textId="4124DB1D" w:rsidR="00DD2B3E" w:rsidRPr="0000634D" w:rsidRDefault="006B7DC6">
      <w:r w:rsidRPr="0000634D">
        <w:rPr>
          <w:i/>
        </w:rPr>
        <w:t xml:space="preserve">Background: </w:t>
      </w:r>
      <w:r w:rsidR="0090736F" w:rsidRPr="0000634D">
        <w:rPr>
          <w:i/>
        </w:rPr>
        <w:t xml:space="preserve"> </w:t>
      </w:r>
      <w:r w:rsidR="0090736F" w:rsidRPr="0000634D">
        <w:t>Global trade has grown at twice the rate of the economy since the 1990s.  Today’s food system is a complex network of trade dependencies and supply chains which underpin global food security. I</w:t>
      </w:r>
      <w:r w:rsidRPr="0000634D">
        <w:t>nternational trade is a crucial element in p</w:t>
      </w:r>
      <w:r w:rsidR="005A219F" w:rsidRPr="0000634D">
        <w:t>roviding UK consumers with meat-</w:t>
      </w:r>
      <w:r w:rsidRPr="0000634D">
        <w:t>based produce in their diet. The international meat trade was estimated at $112.5 billion</w:t>
      </w:r>
      <w:r w:rsidR="00C6518F">
        <w:t xml:space="preserve"> (£74.25 billion or €104.10 billion) </w:t>
      </w:r>
      <w:r w:rsidRPr="0000634D">
        <w:t xml:space="preserve"> in 2015 and UK imports are worth over 5% making the UK the 5</w:t>
      </w:r>
      <w:r w:rsidRPr="0000634D">
        <w:rPr>
          <w:vertAlign w:val="superscript"/>
        </w:rPr>
        <w:t>th</w:t>
      </w:r>
      <w:r w:rsidRPr="0000634D">
        <w:t xml:space="preserve"> largest market.</w:t>
      </w:r>
      <w:r w:rsidR="005A219F" w:rsidRPr="0000634D">
        <w:t xml:space="preserve"> </w:t>
      </w:r>
      <w:r w:rsidR="0090736F" w:rsidRPr="0000634D">
        <w:t>U</w:t>
      </w:r>
      <w:r w:rsidR="005A219F" w:rsidRPr="0000634D">
        <w:t xml:space="preserve">nderstanding how </w:t>
      </w:r>
      <w:r w:rsidR="00492436" w:rsidRPr="0000634D">
        <w:t>Brexit might alter the landscape for</w:t>
      </w:r>
      <w:r w:rsidR="0090736F" w:rsidRPr="0000634D">
        <w:t xml:space="preserve"> UK </w:t>
      </w:r>
      <w:r w:rsidR="005A219F" w:rsidRPr="0000634D">
        <w:t>meat imports is an important socio-economic issue.</w:t>
      </w:r>
    </w:p>
    <w:p w14:paraId="2860545D" w14:textId="170EBAF0" w:rsidR="006B7DC6" w:rsidRPr="0000634D" w:rsidRDefault="006B7DC6">
      <w:r w:rsidRPr="0000634D">
        <w:rPr>
          <w:i/>
        </w:rPr>
        <w:t xml:space="preserve">Scope and approach: </w:t>
      </w:r>
      <w:r w:rsidR="002E120B" w:rsidRPr="0000634D">
        <w:t>D</w:t>
      </w:r>
      <w:r w:rsidRPr="0000634D">
        <w:t xml:space="preserve">ata was analysed from the Chatham House </w:t>
      </w:r>
      <w:r w:rsidR="002E51F1" w:rsidRPr="00AF15BA">
        <w:rPr>
          <w:color w:val="31353D"/>
          <w:lang w:val="en"/>
        </w:rPr>
        <w:t>resourcetrade.earth</w:t>
      </w:r>
      <w:r w:rsidR="002E51F1" w:rsidRPr="0000634D" w:rsidDel="002E51F1">
        <w:t xml:space="preserve"> </w:t>
      </w:r>
      <w:r w:rsidR="005A219F" w:rsidRPr="0000634D">
        <w:t>database</w:t>
      </w:r>
      <w:r w:rsidR="002E120B" w:rsidRPr="0000634D">
        <w:t xml:space="preserve">, </w:t>
      </w:r>
      <w:r w:rsidR="005A219F" w:rsidRPr="0000634D">
        <w:t xml:space="preserve">which is </w:t>
      </w:r>
      <w:r w:rsidR="002E120B" w:rsidRPr="0000634D">
        <w:t xml:space="preserve">open access and </w:t>
      </w:r>
      <w:r w:rsidR="005A219F" w:rsidRPr="0000634D">
        <w:t xml:space="preserve">collated from a range of </w:t>
      </w:r>
      <w:r w:rsidR="00C2140E" w:rsidRPr="0000634D">
        <w:t>global sources,</w:t>
      </w:r>
      <w:r w:rsidR="00492436" w:rsidRPr="0000634D">
        <w:t xml:space="preserve"> allows analysis of data for </w:t>
      </w:r>
      <w:r w:rsidRPr="0000634D">
        <w:t>imports into the UK of beef, pork, lamb and poultry</w:t>
      </w:r>
      <w:r w:rsidR="005A219F" w:rsidRPr="0000634D">
        <w:t xml:space="preserve"> </w:t>
      </w:r>
      <w:r w:rsidR="00492436" w:rsidRPr="0000634D">
        <w:t xml:space="preserve">and of </w:t>
      </w:r>
      <w:r w:rsidR="005A219F" w:rsidRPr="0000634D">
        <w:t xml:space="preserve">exports of these meat types from the UK </w:t>
      </w:r>
      <w:r w:rsidR="008A3A7D" w:rsidRPr="0000634D">
        <w:t xml:space="preserve">have been completed </w:t>
      </w:r>
      <w:r w:rsidR="005A219F" w:rsidRPr="0000634D">
        <w:t>using R</w:t>
      </w:r>
      <w:r w:rsidR="00C2140E" w:rsidRPr="0000634D">
        <w:t>-</w:t>
      </w:r>
      <w:r w:rsidR="005A219F" w:rsidRPr="0000634D">
        <w:t>studio statistical package</w:t>
      </w:r>
      <w:r w:rsidR="00492436" w:rsidRPr="0000634D">
        <w:t>.</w:t>
      </w:r>
    </w:p>
    <w:p w14:paraId="12913CC5" w14:textId="668915E9" w:rsidR="006B7DC6" w:rsidRPr="0000634D" w:rsidRDefault="006B7DC6">
      <w:r w:rsidRPr="0000634D">
        <w:rPr>
          <w:i/>
        </w:rPr>
        <w:t>Key findings and conclusions:</w:t>
      </w:r>
      <w:r w:rsidR="005A219F" w:rsidRPr="0000634D">
        <w:rPr>
          <w:i/>
        </w:rPr>
        <w:t xml:space="preserve"> </w:t>
      </w:r>
      <w:r w:rsidR="005A219F" w:rsidRPr="0000634D">
        <w:t xml:space="preserve"> The UK’s </w:t>
      </w:r>
      <w:r w:rsidR="00492436" w:rsidRPr="0000634D">
        <w:t xml:space="preserve">global </w:t>
      </w:r>
      <w:r w:rsidR="005A219F" w:rsidRPr="0000634D">
        <w:t xml:space="preserve">market significance in each meat type ranges from 3% in beef to 9.9% in sheep, and most imports originate from the EU especially Pork (99.8% from EU) and Poultry (95.5%).  Analysis of the </w:t>
      </w:r>
      <w:r w:rsidR="00876D0F" w:rsidRPr="0000634D">
        <w:t xml:space="preserve">Food Safety </w:t>
      </w:r>
      <w:r w:rsidR="005A219F" w:rsidRPr="0000634D">
        <w:t>QUAD</w:t>
      </w:r>
      <w:r w:rsidR="00670D4F" w:rsidRPr="0000634D">
        <w:t xml:space="preserve"> </w:t>
      </w:r>
      <w:r w:rsidR="005A219F" w:rsidRPr="0000634D">
        <w:t>countries</w:t>
      </w:r>
      <w:r w:rsidR="00670D4F" w:rsidRPr="0000634D">
        <w:t xml:space="preserve"> (USA, </w:t>
      </w:r>
      <w:r w:rsidR="00337254" w:rsidRPr="0000634D">
        <w:t>New Zealand</w:t>
      </w:r>
      <w:r w:rsidR="00670D4F" w:rsidRPr="0000634D">
        <w:t xml:space="preserve">, Canada and </w:t>
      </w:r>
      <w:r w:rsidR="00337254" w:rsidRPr="0000634D">
        <w:t>Australia</w:t>
      </w:r>
      <w:r w:rsidR="00670D4F" w:rsidRPr="0000634D">
        <w:t xml:space="preserve">) </w:t>
      </w:r>
      <w:r w:rsidR="005A219F" w:rsidRPr="0000634D">
        <w:t xml:space="preserve">highlights that the USA has capacity to cover any loss of imports </w:t>
      </w:r>
      <w:r w:rsidR="00492436" w:rsidRPr="0000634D">
        <w:t xml:space="preserve">to the UK </w:t>
      </w:r>
      <w:r w:rsidR="005A219F" w:rsidRPr="0000634D">
        <w:t>from Europe post Brexit</w:t>
      </w:r>
      <w:r w:rsidR="00C2140E" w:rsidRPr="0000634D">
        <w:t>, with New Zealand and Australia being able to replace the 11.1% of lamb</w:t>
      </w:r>
      <w:r w:rsidR="0090736F" w:rsidRPr="0000634D">
        <w:t>,</w:t>
      </w:r>
      <w:r w:rsidR="00C2140E" w:rsidRPr="0000634D">
        <w:t xml:space="preserve"> which comes from the EU</w:t>
      </w:r>
      <w:r w:rsidR="005A219F" w:rsidRPr="0000634D">
        <w:t xml:space="preserve">. The Rotterdam </w:t>
      </w:r>
      <w:r w:rsidR="002E51F1">
        <w:t>E</w:t>
      </w:r>
      <w:r w:rsidR="005A219F" w:rsidRPr="0000634D">
        <w:t xml:space="preserve">ffect is also explored </w:t>
      </w:r>
      <w:r w:rsidR="0090736F" w:rsidRPr="0000634D">
        <w:t xml:space="preserve">highlighting how </w:t>
      </w:r>
      <w:r w:rsidR="005A219F" w:rsidRPr="0000634D">
        <w:t>countries like Thailand and Brazil may offer future imports of poultry and beef if trade wi</w:t>
      </w:r>
      <w:r w:rsidR="00492436" w:rsidRPr="0000634D">
        <w:t>th EU becomes disrupted</w:t>
      </w:r>
      <w:r w:rsidR="0090736F" w:rsidRPr="0000634D">
        <w:t xml:space="preserve">. </w:t>
      </w:r>
    </w:p>
    <w:p w14:paraId="68D501E5" w14:textId="77777777" w:rsidR="006251B3" w:rsidRPr="0000634D" w:rsidRDefault="006251B3"/>
    <w:p w14:paraId="4EB68E19" w14:textId="77777777" w:rsidR="006251B3" w:rsidRPr="0000634D" w:rsidRDefault="006251B3">
      <w:pPr>
        <w:rPr>
          <w:b/>
        </w:rPr>
      </w:pPr>
      <w:r w:rsidRPr="0000634D">
        <w:rPr>
          <w:b/>
        </w:rPr>
        <w:t>HIGHLIGHTS</w:t>
      </w:r>
      <w:r w:rsidR="002472E2" w:rsidRPr="0000634D">
        <w:rPr>
          <w:b/>
        </w:rPr>
        <w:t xml:space="preserve"> </w:t>
      </w:r>
    </w:p>
    <w:p w14:paraId="4C76421A" w14:textId="77777777" w:rsidR="002472E2" w:rsidRPr="0000634D" w:rsidRDefault="002472E2">
      <w:pPr>
        <w:rPr>
          <w:b/>
        </w:rPr>
      </w:pPr>
    </w:p>
    <w:p w14:paraId="6FD2C44C" w14:textId="77777777" w:rsidR="002472E2" w:rsidRPr="0000634D" w:rsidRDefault="002472E2" w:rsidP="002E120B">
      <w:pPr>
        <w:pStyle w:val="ListParagraph"/>
        <w:numPr>
          <w:ilvl w:val="0"/>
          <w:numId w:val="1"/>
        </w:numPr>
      </w:pPr>
      <w:r w:rsidRPr="0000634D">
        <w:t>Global food trade for meat: important for domestic food security</w:t>
      </w:r>
    </w:p>
    <w:p w14:paraId="03C1842F" w14:textId="77777777" w:rsidR="002472E2" w:rsidRPr="0000634D" w:rsidRDefault="002472E2" w:rsidP="002E120B">
      <w:pPr>
        <w:pStyle w:val="ListParagraph"/>
        <w:numPr>
          <w:ilvl w:val="0"/>
          <w:numId w:val="1"/>
        </w:numPr>
      </w:pPr>
      <w:r w:rsidRPr="0000634D">
        <w:t>UK is the fifth largest meat importer in the world</w:t>
      </w:r>
    </w:p>
    <w:p w14:paraId="31F8BA32" w14:textId="77777777" w:rsidR="002472E2" w:rsidRPr="0000634D" w:rsidRDefault="002472E2" w:rsidP="002E120B">
      <w:pPr>
        <w:pStyle w:val="ListParagraph"/>
        <w:numPr>
          <w:ilvl w:val="0"/>
          <w:numId w:val="1"/>
        </w:numPr>
      </w:pPr>
      <w:r w:rsidRPr="0000634D">
        <w:t>The EU provides most of the meat imports to the UK</w:t>
      </w:r>
    </w:p>
    <w:p w14:paraId="2E0BCFB4" w14:textId="77777777" w:rsidR="002472E2" w:rsidRPr="0000634D" w:rsidRDefault="002472E2" w:rsidP="002E120B">
      <w:pPr>
        <w:pStyle w:val="ListParagraph"/>
        <w:numPr>
          <w:ilvl w:val="0"/>
          <w:numId w:val="1"/>
        </w:numPr>
      </w:pPr>
      <w:r w:rsidRPr="0000634D">
        <w:t>QUAD food safety countries have the capacity to provide meat to the UK</w:t>
      </w:r>
    </w:p>
    <w:p w14:paraId="162C076E" w14:textId="77777777" w:rsidR="002472E2" w:rsidRPr="0000634D" w:rsidRDefault="002472E2"/>
    <w:p w14:paraId="706A9E72" w14:textId="77777777" w:rsidR="006251B3" w:rsidRPr="0000634D" w:rsidRDefault="006251B3"/>
    <w:p w14:paraId="454D75FF" w14:textId="77777777" w:rsidR="00DD2B3E" w:rsidRPr="0000634D" w:rsidRDefault="00DD2B3E">
      <w:pPr>
        <w:rPr>
          <w:b/>
        </w:rPr>
      </w:pPr>
      <w:r w:rsidRPr="0000634D">
        <w:rPr>
          <w:b/>
        </w:rPr>
        <w:t>1 Introduction</w:t>
      </w:r>
    </w:p>
    <w:p w14:paraId="47B497C5" w14:textId="28739885" w:rsidR="00517E89" w:rsidRDefault="0090736F" w:rsidP="00517E89">
      <w:pPr>
        <w:rPr>
          <w:rFonts w:cs="Times New Roman"/>
          <w:b/>
          <w:bCs/>
        </w:rPr>
      </w:pPr>
      <w:r w:rsidRPr="0003601D">
        <w:rPr>
          <w:rFonts w:cs="Times New Roman"/>
        </w:rPr>
        <w:lastRenderedPageBreak/>
        <w:t>The Global Enabling Trade report published by the WTO in 2016 highlights how global trade has grown at twice the rate of the global economy since the 1990s</w:t>
      </w:r>
      <w:r w:rsidR="00BF56E0" w:rsidRPr="0003601D">
        <w:rPr>
          <w:rFonts w:cs="Times New Roman"/>
          <w:vertAlign w:val="superscript"/>
        </w:rPr>
        <w:t>1</w:t>
      </w:r>
      <w:r w:rsidRPr="0003601D">
        <w:rPr>
          <w:rFonts w:cs="Times New Roman"/>
        </w:rPr>
        <w:t>. Global trade of food is diverse and complex and a system in which most countries strive to participate since it often underpins international and nationa</w:t>
      </w:r>
      <w:r w:rsidR="00492436" w:rsidRPr="0003601D">
        <w:rPr>
          <w:rFonts w:cs="Times New Roman"/>
        </w:rPr>
        <w:t>l food security</w:t>
      </w:r>
      <w:r w:rsidR="002D2CD4" w:rsidRPr="0003601D">
        <w:rPr>
          <w:rFonts w:cs="Times New Roman"/>
          <w:vertAlign w:val="superscript"/>
        </w:rPr>
        <w:t>2,</w:t>
      </w:r>
      <w:r w:rsidR="00BF56E0" w:rsidRPr="0003601D">
        <w:rPr>
          <w:rFonts w:cs="Times New Roman"/>
          <w:vertAlign w:val="superscript"/>
        </w:rPr>
        <w:t>3</w:t>
      </w:r>
      <w:r w:rsidRPr="0003601D">
        <w:rPr>
          <w:rFonts w:cs="Times New Roman"/>
        </w:rPr>
        <w:t>. It is argued that millions of people’s food security is heavily reliant on the evolution of global trade</w:t>
      </w:r>
      <w:r w:rsidR="002D2CD4" w:rsidRPr="0003601D">
        <w:rPr>
          <w:rFonts w:cs="Times New Roman"/>
          <w:vertAlign w:val="superscript"/>
        </w:rPr>
        <w:t>2</w:t>
      </w:r>
      <w:r w:rsidRPr="0003601D">
        <w:rPr>
          <w:rFonts w:cs="Times New Roman"/>
        </w:rPr>
        <w:t xml:space="preserve"> </w:t>
      </w:r>
      <w:r w:rsidR="003C7313" w:rsidRPr="0003601D">
        <w:rPr>
          <w:rFonts w:cs="Times New Roman"/>
        </w:rPr>
        <w:t xml:space="preserve">as </w:t>
      </w:r>
      <w:r w:rsidR="008A3A7D" w:rsidRPr="0003601D">
        <w:rPr>
          <w:rFonts w:cs="Times New Roman"/>
        </w:rPr>
        <w:t>a</w:t>
      </w:r>
      <w:r w:rsidR="003C7313" w:rsidRPr="0003601D">
        <w:rPr>
          <w:rFonts w:cs="Times New Roman"/>
        </w:rPr>
        <w:t>utarky would not be a</w:t>
      </w:r>
      <w:r w:rsidR="001078F3" w:rsidRPr="0003601D">
        <w:rPr>
          <w:rFonts w:cs="Times New Roman"/>
        </w:rPr>
        <w:t>n</w:t>
      </w:r>
      <w:r w:rsidR="003C7313" w:rsidRPr="0003601D">
        <w:rPr>
          <w:rFonts w:cs="Times New Roman"/>
        </w:rPr>
        <w:t xml:space="preserve"> optimal risk strategy for food</w:t>
      </w:r>
      <w:r w:rsidR="001C75D4" w:rsidRPr="0003601D">
        <w:rPr>
          <w:rFonts w:cs="Times New Roman"/>
        </w:rPr>
        <w:t xml:space="preserve"> security. However, there are many </w:t>
      </w:r>
      <w:r w:rsidR="001078F3" w:rsidRPr="0003601D">
        <w:rPr>
          <w:rFonts w:cs="Times New Roman"/>
        </w:rPr>
        <w:t xml:space="preserve">academics researching </w:t>
      </w:r>
      <w:r w:rsidR="008A3A7D" w:rsidRPr="0003601D">
        <w:rPr>
          <w:rFonts w:cs="Times New Roman"/>
        </w:rPr>
        <w:t xml:space="preserve">the </w:t>
      </w:r>
      <w:r w:rsidR="001078F3" w:rsidRPr="0003601D">
        <w:rPr>
          <w:rFonts w:cs="Times New Roman"/>
        </w:rPr>
        <w:t xml:space="preserve">food system </w:t>
      </w:r>
      <w:r w:rsidR="003C7313" w:rsidRPr="0003601D">
        <w:rPr>
          <w:rFonts w:cs="Times New Roman"/>
        </w:rPr>
        <w:t xml:space="preserve">whom </w:t>
      </w:r>
      <w:r w:rsidR="001078F3" w:rsidRPr="0003601D">
        <w:rPr>
          <w:rFonts w:cs="Times New Roman"/>
        </w:rPr>
        <w:t xml:space="preserve">argue that </w:t>
      </w:r>
      <w:r w:rsidR="003C7313" w:rsidRPr="0003601D">
        <w:rPr>
          <w:rFonts w:cs="Times New Roman"/>
        </w:rPr>
        <w:t xml:space="preserve">trade </w:t>
      </w:r>
      <w:r w:rsidRPr="0003601D">
        <w:rPr>
          <w:rFonts w:cs="Times New Roman"/>
        </w:rPr>
        <w:t>is a</w:t>
      </w:r>
      <w:r w:rsidR="003C7313" w:rsidRPr="0003601D">
        <w:rPr>
          <w:rFonts w:cs="Times New Roman"/>
        </w:rPr>
        <w:t xml:space="preserve">n important factor helping create a </w:t>
      </w:r>
      <w:r w:rsidRPr="0003601D">
        <w:rPr>
          <w:rFonts w:cs="Times New Roman"/>
        </w:rPr>
        <w:t xml:space="preserve">failing and unsustainable </w:t>
      </w:r>
      <w:r w:rsidR="003C7313" w:rsidRPr="0003601D">
        <w:rPr>
          <w:rFonts w:cs="Times New Roman"/>
        </w:rPr>
        <w:t xml:space="preserve">globalised </w:t>
      </w:r>
      <w:r w:rsidRPr="0003601D">
        <w:rPr>
          <w:rFonts w:cs="Times New Roman"/>
        </w:rPr>
        <w:t>food system</w:t>
      </w:r>
      <w:r w:rsidR="002D2CD4" w:rsidRPr="0003601D">
        <w:rPr>
          <w:rFonts w:cs="Times New Roman"/>
          <w:vertAlign w:val="superscript"/>
        </w:rPr>
        <w:t>4</w:t>
      </w:r>
      <w:r w:rsidR="00517E89" w:rsidRPr="0003601D">
        <w:rPr>
          <w:rFonts w:cs="Times New Roman"/>
          <w:b/>
          <w:bCs/>
        </w:rPr>
        <w:t xml:space="preserve">. </w:t>
      </w:r>
    </w:p>
    <w:p w14:paraId="75AEFAAF" w14:textId="77777777" w:rsidR="00053EAC" w:rsidRPr="0003601D" w:rsidRDefault="00053EAC" w:rsidP="00517E89">
      <w:pPr>
        <w:rPr>
          <w:rFonts w:cs="Times New Roman"/>
          <w:b/>
          <w:bCs/>
        </w:rPr>
      </w:pPr>
    </w:p>
    <w:p w14:paraId="5A50B42A" w14:textId="6C0D2D43" w:rsidR="0090736F" w:rsidRPr="0003601D" w:rsidRDefault="00265D09" w:rsidP="00F30F43">
      <w:pPr>
        <w:rPr>
          <w:rFonts w:cs="Times New Roman"/>
        </w:rPr>
      </w:pPr>
      <w:r w:rsidRPr="0003601D">
        <w:rPr>
          <w:rFonts w:cs="Times New Roman"/>
        </w:rPr>
        <w:t>Between 2000 and 2015 the volume of agricultural commodities traded on international markets increased by 127% to 2.2 billion tonnes</w:t>
      </w:r>
      <w:r w:rsidR="00D611E6" w:rsidRPr="0003601D">
        <w:rPr>
          <w:rFonts w:cs="Times New Roman"/>
          <w:vertAlign w:val="superscript"/>
        </w:rPr>
        <w:t>2</w:t>
      </w:r>
      <w:r w:rsidRPr="0003601D">
        <w:rPr>
          <w:rFonts w:cs="Times New Roman"/>
        </w:rPr>
        <w:t xml:space="preserve">. </w:t>
      </w:r>
      <w:r w:rsidR="00517E89" w:rsidRPr="0003601D">
        <w:rPr>
          <w:rFonts w:cs="Times New Roman"/>
        </w:rPr>
        <w:t>Global exports of food commodities were worth about US$522 billion per year in the period 2000-2009</w:t>
      </w:r>
      <w:r w:rsidR="00FA0EAB" w:rsidRPr="0003601D">
        <w:rPr>
          <w:rFonts w:cs="Times New Roman"/>
        </w:rPr>
        <w:t>.</w:t>
      </w:r>
      <w:r w:rsidR="00517E89" w:rsidRPr="0003601D">
        <w:rPr>
          <w:rFonts w:cs="Times New Roman"/>
        </w:rPr>
        <w:t xml:space="preserve"> </w:t>
      </w:r>
      <w:r w:rsidR="00713298" w:rsidRPr="0003601D">
        <w:rPr>
          <w:rFonts w:eastAsia="Times New Roman" w:cs="Times New Roman"/>
          <w:color w:val="2A2A2A"/>
          <w:shd w:val="clear" w:color="auto" w:fill="FFFFFF"/>
        </w:rPr>
        <w:t>This corresponds to 26% of world gross agricultural production, based on farm gate prices</w:t>
      </w:r>
      <w:r w:rsidR="002E51F1">
        <w:rPr>
          <w:rFonts w:eastAsia="Times New Roman" w:cs="Times New Roman"/>
          <w:color w:val="2A2A2A"/>
          <w:shd w:val="clear" w:color="auto" w:fill="FFFFFF"/>
          <w:vertAlign w:val="superscript"/>
        </w:rPr>
        <w:t xml:space="preserve"> </w:t>
      </w:r>
      <w:r w:rsidR="002E51F1" w:rsidRPr="0003601D">
        <w:rPr>
          <w:rFonts w:eastAsia="Times New Roman" w:cs="Times New Roman"/>
          <w:color w:val="2A2A2A"/>
          <w:shd w:val="clear" w:color="auto" w:fill="FFFFFF"/>
          <w:vertAlign w:val="superscript"/>
        </w:rPr>
        <w:t>5</w:t>
      </w:r>
      <w:r w:rsidR="002E51F1">
        <w:rPr>
          <w:rFonts w:eastAsia="Times New Roman" w:cs="Times New Roman"/>
          <w:color w:val="2A2A2A"/>
          <w:shd w:val="clear" w:color="auto" w:fill="FFFFFF"/>
          <w:vertAlign w:val="superscript"/>
        </w:rPr>
        <w:t xml:space="preserve"> </w:t>
      </w:r>
      <w:r w:rsidR="00053EAC">
        <w:rPr>
          <w:rFonts w:eastAsia="Times New Roman" w:cs="Times New Roman"/>
          <w:color w:val="2A2A2A"/>
          <w:shd w:val="clear" w:color="auto" w:fill="FFFFFF"/>
        </w:rPr>
        <w:t xml:space="preserve">. </w:t>
      </w:r>
      <w:r w:rsidR="00713298" w:rsidRPr="0003601D">
        <w:rPr>
          <w:rFonts w:eastAsia="Times New Roman" w:cs="Times New Roman"/>
          <w:color w:val="2A2A2A"/>
          <w:shd w:val="clear" w:color="auto" w:fill="FFFFFF"/>
        </w:rPr>
        <w:t>Trade also represents a sizeable fraction of global food production, with 2.6</w:t>
      </w:r>
      <w:r w:rsidR="008A3A7D" w:rsidRPr="0003601D">
        <w:rPr>
          <w:rFonts w:eastAsia="Times New Roman" w:cs="Times New Roman"/>
          <w:color w:val="2A2A2A"/>
          <w:shd w:val="clear" w:color="auto" w:fill="FFFFFF"/>
        </w:rPr>
        <w:t xml:space="preserve"> </w:t>
      </w:r>
      <w:r w:rsidR="00713298" w:rsidRPr="0003601D">
        <w:rPr>
          <w:rFonts w:eastAsia="Times New Roman" w:cs="Times New Roman"/>
          <w:color w:val="2A2A2A"/>
          <w:shd w:val="clear" w:color="auto" w:fill="FFFFFF"/>
        </w:rPr>
        <w:softHyphen/>
        <w:t>quadrillion calories traded globally, or more than 20% of global calorie production</w:t>
      </w:r>
      <w:r w:rsidR="00D611E6" w:rsidRPr="0003601D">
        <w:rPr>
          <w:rFonts w:eastAsia="Times New Roman" w:cs="Times New Roman"/>
          <w:color w:val="2A2A2A"/>
          <w:shd w:val="clear" w:color="auto" w:fill="FFFFFF"/>
          <w:vertAlign w:val="superscript"/>
        </w:rPr>
        <w:t>5,6</w:t>
      </w:r>
      <w:r w:rsidR="002E51F1">
        <w:rPr>
          <w:rFonts w:eastAsia="Times New Roman" w:cs="Times New Roman"/>
          <w:color w:val="2A2A2A"/>
          <w:shd w:val="clear" w:color="auto" w:fill="FFFFFF"/>
        </w:rPr>
        <w:t>.</w:t>
      </w:r>
    </w:p>
    <w:p w14:paraId="651C98FB" w14:textId="77777777" w:rsidR="0090736F" w:rsidRPr="0003601D" w:rsidRDefault="0090736F" w:rsidP="00F30F43">
      <w:pPr>
        <w:rPr>
          <w:rFonts w:cs="Times New Roman"/>
        </w:rPr>
      </w:pPr>
    </w:p>
    <w:p w14:paraId="1525D158" w14:textId="7F7F94D5" w:rsidR="00265D09" w:rsidRPr="0003601D" w:rsidRDefault="00265D09" w:rsidP="00F30F43">
      <w:pPr>
        <w:rPr>
          <w:rFonts w:cs="Times New Roman"/>
        </w:rPr>
      </w:pPr>
      <w:r w:rsidRPr="0003601D">
        <w:rPr>
          <w:rFonts w:cs="Times New Roman"/>
        </w:rPr>
        <w:t>The UK has been an important participant in the Global Food Trading system, although most of its imports and exports have been with members of the European Union, with the top 8 exports all to the EU, w</w:t>
      </w:r>
      <w:r w:rsidR="00FA0EAB" w:rsidRPr="0003601D">
        <w:rPr>
          <w:rFonts w:cs="Times New Roman"/>
        </w:rPr>
        <w:t>i</w:t>
      </w:r>
      <w:r w:rsidRPr="0003601D">
        <w:rPr>
          <w:rFonts w:cs="Times New Roman"/>
        </w:rPr>
        <w:t>th the exception of the US which is second in terms of value</w:t>
      </w:r>
      <w:r w:rsidR="000F2A45" w:rsidRPr="0003601D">
        <w:rPr>
          <w:rFonts w:cs="Times New Roman"/>
          <w:vertAlign w:val="superscript"/>
        </w:rPr>
        <w:t>5</w:t>
      </w:r>
      <w:r w:rsidRPr="0003601D">
        <w:rPr>
          <w:rFonts w:cs="Times New Roman"/>
        </w:rPr>
        <w:t xml:space="preserve">. In contrast, our top 8 imports are all from the EU, with the USA being </w:t>
      </w:r>
      <w:r w:rsidR="002E51F1">
        <w:rPr>
          <w:rFonts w:cs="Times New Roman"/>
        </w:rPr>
        <w:t>ninth</w:t>
      </w:r>
      <w:r w:rsidR="000F2A45" w:rsidRPr="0003601D">
        <w:rPr>
          <w:rFonts w:cs="Times New Roman"/>
          <w:vertAlign w:val="superscript"/>
        </w:rPr>
        <w:t>5</w:t>
      </w:r>
      <w:r w:rsidRPr="0003601D">
        <w:rPr>
          <w:rFonts w:cs="Times New Roman"/>
        </w:rPr>
        <w:t>.</w:t>
      </w:r>
    </w:p>
    <w:p w14:paraId="66DCCF9E" w14:textId="77777777" w:rsidR="00265D09" w:rsidRPr="0003601D" w:rsidRDefault="00265D09" w:rsidP="00F30F43">
      <w:pPr>
        <w:rPr>
          <w:rFonts w:cs="Times New Roman"/>
        </w:rPr>
      </w:pPr>
    </w:p>
    <w:p w14:paraId="4015D882" w14:textId="123BF61D" w:rsidR="00F30F43" w:rsidRPr="0003601D" w:rsidRDefault="00265D09" w:rsidP="00F30F43">
      <w:pPr>
        <w:rPr>
          <w:rFonts w:cs="Times New Roman"/>
        </w:rPr>
      </w:pPr>
      <w:r w:rsidRPr="0003601D">
        <w:rPr>
          <w:rFonts w:cs="Times New Roman"/>
        </w:rPr>
        <w:t>I</w:t>
      </w:r>
      <w:r w:rsidR="00F30F43" w:rsidRPr="0003601D">
        <w:rPr>
          <w:rFonts w:cs="Times New Roman"/>
        </w:rPr>
        <w:t>nternational trade</w:t>
      </w:r>
      <w:r w:rsidR="00492436" w:rsidRPr="0003601D">
        <w:rPr>
          <w:rFonts w:cs="Times New Roman"/>
        </w:rPr>
        <w:t xml:space="preserve"> </w:t>
      </w:r>
      <w:r w:rsidR="003C7313" w:rsidRPr="0003601D">
        <w:rPr>
          <w:rFonts w:cs="Times New Roman"/>
        </w:rPr>
        <w:t xml:space="preserve">has been </w:t>
      </w:r>
      <w:r w:rsidR="00492436" w:rsidRPr="0003601D">
        <w:rPr>
          <w:rFonts w:cs="Times New Roman"/>
        </w:rPr>
        <w:t xml:space="preserve">critical in </w:t>
      </w:r>
      <w:r w:rsidR="00F30F43" w:rsidRPr="0003601D">
        <w:rPr>
          <w:rFonts w:cs="Times New Roman"/>
        </w:rPr>
        <w:t>p</w:t>
      </w:r>
      <w:r w:rsidRPr="0003601D">
        <w:rPr>
          <w:rFonts w:cs="Times New Roman"/>
        </w:rPr>
        <w:t>roviding UK consumers with meat-</w:t>
      </w:r>
      <w:r w:rsidR="00F30F43" w:rsidRPr="0003601D">
        <w:rPr>
          <w:rFonts w:cs="Times New Roman"/>
        </w:rPr>
        <w:t>based produce in their diet</w:t>
      </w:r>
      <w:r w:rsidR="003C7313" w:rsidRPr="0003601D">
        <w:rPr>
          <w:rFonts w:cs="Times New Roman"/>
        </w:rPr>
        <w:t xml:space="preserve"> and it is hard to envisage change in the livestock industry within the UK being able to significantly reduce a need for trade</w:t>
      </w:r>
      <w:r w:rsidR="00FA0EAB" w:rsidRPr="0003601D">
        <w:rPr>
          <w:rFonts w:cs="Times New Roman"/>
        </w:rPr>
        <w:t xml:space="preserve">. </w:t>
      </w:r>
      <w:r w:rsidR="00F30F43" w:rsidRPr="0003601D">
        <w:rPr>
          <w:rFonts w:cs="Times New Roman"/>
        </w:rPr>
        <w:t>DEFRA found that in 2014 we produced 8</w:t>
      </w:r>
      <w:r w:rsidR="000F2A45" w:rsidRPr="0003601D">
        <w:rPr>
          <w:rFonts w:cs="Times New Roman"/>
        </w:rPr>
        <w:t>4</w:t>
      </w:r>
      <w:r w:rsidR="00F30F43" w:rsidRPr="0003601D">
        <w:rPr>
          <w:rFonts w:cs="Times New Roman"/>
        </w:rPr>
        <w:t xml:space="preserve">% </w:t>
      </w:r>
      <w:r w:rsidR="002E120B" w:rsidRPr="0003601D">
        <w:rPr>
          <w:rFonts w:cs="Times New Roman"/>
        </w:rPr>
        <w:t>of the meat we consumed with 1</w:t>
      </w:r>
      <w:r w:rsidR="003A1A72" w:rsidRPr="0003601D">
        <w:rPr>
          <w:rFonts w:cs="Times New Roman"/>
        </w:rPr>
        <w:t>6</w:t>
      </w:r>
      <w:r w:rsidR="002E120B" w:rsidRPr="0003601D">
        <w:rPr>
          <w:rFonts w:cs="Times New Roman"/>
        </w:rPr>
        <w:t>% dependent on international trade</w:t>
      </w:r>
      <w:r w:rsidR="000F2A45" w:rsidRPr="0003601D">
        <w:rPr>
          <w:rStyle w:val="FootnoteReference"/>
          <w:rFonts w:cs="Times New Roman"/>
        </w:rPr>
        <w:t>7</w:t>
      </w:r>
      <w:r w:rsidR="00F30F43" w:rsidRPr="0003601D">
        <w:rPr>
          <w:rFonts w:cs="Times New Roman"/>
        </w:rPr>
        <w:t xml:space="preserve"> </w:t>
      </w:r>
      <w:r w:rsidR="000F2A45" w:rsidRPr="0003601D">
        <w:rPr>
          <w:rFonts w:cs="Times New Roman"/>
        </w:rPr>
        <w:t xml:space="preserve">. </w:t>
      </w:r>
      <w:r w:rsidR="002E120B" w:rsidRPr="0003601D">
        <w:rPr>
          <w:rFonts w:cs="Times New Roman"/>
        </w:rPr>
        <w:t>W</w:t>
      </w:r>
      <w:r w:rsidRPr="0003601D">
        <w:rPr>
          <w:rFonts w:cs="Times New Roman"/>
        </w:rPr>
        <w:t xml:space="preserve">e use the Chatham House </w:t>
      </w:r>
      <w:r w:rsidR="00053EAC" w:rsidRPr="00F77BC9">
        <w:t>resourcetrade.earth</w:t>
      </w:r>
      <w:r w:rsidR="00053EAC" w:rsidRPr="0003601D" w:rsidDel="00053EAC">
        <w:rPr>
          <w:rFonts w:cs="Times New Roman"/>
        </w:rPr>
        <w:t xml:space="preserve"> </w:t>
      </w:r>
      <w:r w:rsidR="00D13353" w:rsidRPr="0003601D">
        <w:rPr>
          <w:rFonts w:cs="Times New Roman"/>
          <w:vertAlign w:val="superscript"/>
        </w:rPr>
        <w:t>8</w:t>
      </w:r>
      <w:r w:rsidRPr="0003601D">
        <w:rPr>
          <w:rFonts w:cs="Times New Roman"/>
        </w:rPr>
        <w:t xml:space="preserve"> to analyse wh</w:t>
      </w:r>
      <w:r w:rsidR="005712FB" w:rsidRPr="0003601D">
        <w:rPr>
          <w:rFonts w:cs="Times New Roman"/>
        </w:rPr>
        <w:t xml:space="preserve">ich countries are/may be involved in </w:t>
      </w:r>
      <w:r w:rsidRPr="0003601D">
        <w:rPr>
          <w:rFonts w:cs="Times New Roman"/>
        </w:rPr>
        <w:t>current and fu</w:t>
      </w:r>
      <w:r w:rsidR="005712FB" w:rsidRPr="0003601D">
        <w:rPr>
          <w:rFonts w:cs="Times New Roman"/>
        </w:rPr>
        <w:t>ture meat imports to the UK.</w:t>
      </w:r>
      <w:r w:rsidR="003C7313" w:rsidRPr="0003601D">
        <w:rPr>
          <w:rFonts w:cs="Times New Roman"/>
        </w:rPr>
        <w:t xml:space="preserve"> </w:t>
      </w:r>
    </w:p>
    <w:p w14:paraId="211FD396" w14:textId="77777777" w:rsidR="005712FB" w:rsidRPr="0003601D" w:rsidRDefault="005712FB" w:rsidP="00F30F43">
      <w:pPr>
        <w:rPr>
          <w:rFonts w:cs="Times New Roman"/>
        </w:rPr>
      </w:pPr>
    </w:p>
    <w:p w14:paraId="7A15C1AD" w14:textId="62B2AB78" w:rsidR="00301DFF" w:rsidRPr="0003601D" w:rsidRDefault="00492436">
      <w:r w:rsidRPr="0003601D">
        <w:rPr>
          <w:rFonts w:cs="Times New Roman"/>
        </w:rPr>
        <w:t>I</w:t>
      </w:r>
      <w:r w:rsidR="00F30F43" w:rsidRPr="0003601D">
        <w:rPr>
          <w:rFonts w:cs="Times New Roman"/>
        </w:rPr>
        <w:t>nternational trade make</w:t>
      </w:r>
      <w:r w:rsidR="00D13353" w:rsidRPr="0003601D">
        <w:rPr>
          <w:rFonts w:cs="Times New Roman"/>
        </w:rPr>
        <w:t>s</w:t>
      </w:r>
      <w:r w:rsidR="00F30F43" w:rsidRPr="0003601D">
        <w:rPr>
          <w:rFonts w:cs="Times New Roman"/>
        </w:rPr>
        <w:t xml:space="preserve"> up a significant share of the UK’s </w:t>
      </w:r>
      <w:r w:rsidR="005712FB" w:rsidRPr="0003601D">
        <w:rPr>
          <w:rFonts w:cs="Times New Roman"/>
        </w:rPr>
        <w:t xml:space="preserve">current </w:t>
      </w:r>
      <w:r w:rsidRPr="0003601D">
        <w:rPr>
          <w:rFonts w:cs="Times New Roman"/>
        </w:rPr>
        <w:t xml:space="preserve">meat </w:t>
      </w:r>
      <w:r w:rsidR="005712FB" w:rsidRPr="0003601D">
        <w:rPr>
          <w:rFonts w:cs="Times New Roman"/>
        </w:rPr>
        <w:t>consumption,</w:t>
      </w:r>
      <w:r w:rsidR="00F30F43" w:rsidRPr="0003601D">
        <w:rPr>
          <w:rFonts w:cs="Times New Roman"/>
        </w:rPr>
        <w:t xml:space="preserve"> </w:t>
      </w:r>
      <w:r w:rsidRPr="0003601D">
        <w:rPr>
          <w:rFonts w:cs="Times New Roman"/>
        </w:rPr>
        <w:t xml:space="preserve">resulting in the </w:t>
      </w:r>
      <w:r w:rsidR="00F30F43" w:rsidRPr="0003601D">
        <w:rPr>
          <w:rFonts w:cs="Times New Roman"/>
        </w:rPr>
        <w:t xml:space="preserve">UK’s </w:t>
      </w:r>
      <w:r w:rsidR="005712FB" w:rsidRPr="0003601D">
        <w:rPr>
          <w:rFonts w:cs="Times New Roman"/>
        </w:rPr>
        <w:t xml:space="preserve">meat </w:t>
      </w:r>
      <w:r w:rsidR="00F30F43" w:rsidRPr="0003601D">
        <w:rPr>
          <w:rFonts w:cs="Times New Roman"/>
        </w:rPr>
        <w:t xml:space="preserve">consumption </w:t>
      </w:r>
      <w:r w:rsidRPr="0003601D">
        <w:rPr>
          <w:rFonts w:cs="Times New Roman"/>
        </w:rPr>
        <w:t xml:space="preserve">representing a </w:t>
      </w:r>
      <w:r w:rsidR="00F30F43" w:rsidRPr="0003601D">
        <w:rPr>
          <w:rFonts w:cs="Times New Roman"/>
        </w:rPr>
        <w:t>significant share of</w:t>
      </w:r>
      <w:r w:rsidR="005712FB" w:rsidRPr="0003601D">
        <w:rPr>
          <w:rFonts w:cs="Times New Roman"/>
        </w:rPr>
        <w:t xml:space="preserve"> the global trade in meat</w:t>
      </w:r>
      <w:r w:rsidR="00F30F43" w:rsidRPr="0003601D">
        <w:rPr>
          <w:rFonts w:cs="Times New Roman"/>
        </w:rPr>
        <w:t>. The total value of meat traded internationally in 2015 was estimated at $112.5 billion. The UK as an importer of meat makes up for a large share of this trade. Figure 1</w:t>
      </w:r>
      <w:r w:rsidR="00234437" w:rsidRPr="0003601D">
        <w:rPr>
          <w:rFonts w:cs="Times New Roman"/>
        </w:rPr>
        <w:t>a</w:t>
      </w:r>
      <w:r w:rsidR="00F30F43" w:rsidRPr="0003601D">
        <w:rPr>
          <w:rFonts w:cs="Times New Roman"/>
        </w:rPr>
        <w:t xml:space="preserve"> shows the UK’s meat imports</w:t>
      </w:r>
      <w:r w:rsidRPr="0003601D">
        <w:rPr>
          <w:rFonts w:cs="Times New Roman"/>
        </w:rPr>
        <w:t xml:space="preserve"> in 2015 </w:t>
      </w:r>
      <w:r w:rsidR="00F30F43" w:rsidRPr="0003601D">
        <w:rPr>
          <w:rFonts w:cs="Times New Roman"/>
        </w:rPr>
        <w:t>are roughly worth 5.3% of the total international meat trade: the 5</w:t>
      </w:r>
      <w:r w:rsidR="00F30F43" w:rsidRPr="0003601D">
        <w:rPr>
          <w:rFonts w:cs="Times New Roman"/>
          <w:vertAlign w:val="superscript"/>
        </w:rPr>
        <w:t>th</w:t>
      </w:r>
      <w:r w:rsidR="00F30F43" w:rsidRPr="0003601D">
        <w:rPr>
          <w:rFonts w:cs="Times New Roman"/>
        </w:rPr>
        <w:t xml:space="preserve"> largest globally. A significant share especially considering the UK’s population is only 0.8</w:t>
      </w:r>
      <w:r w:rsidR="005712FB" w:rsidRPr="0003601D">
        <w:rPr>
          <w:rFonts w:cs="Times New Roman"/>
        </w:rPr>
        <w:t>7% of the wo</w:t>
      </w:r>
      <w:r w:rsidRPr="0003601D">
        <w:rPr>
          <w:rFonts w:cs="Times New Roman"/>
        </w:rPr>
        <w:t>rld</w:t>
      </w:r>
      <w:r w:rsidR="00317B7F" w:rsidRPr="0003601D">
        <w:rPr>
          <w:rFonts w:cs="Times New Roman"/>
        </w:rPr>
        <w:t>’</w:t>
      </w:r>
      <w:r w:rsidRPr="0003601D">
        <w:rPr>
          <w:rFonts w:cs="Times New Roman"/>
        </w:rPr>
        <w:t>s population</w:t>
      </w:r>
      <w:r w:rsidR="00F30F43" w:rsidRPr="0003601D">
        <w:rPr>
          <w:rFonts w:cs="Times New Roman"/>
        </w:rPr>
        <w:t>. The UK import market’s significance in each individual meat market ranges from 9.9% of sheep meat trade to 3.6% of cow meat</w:t>
      </w:r>
      <w:r w:rsidR="005712FB" w:rsidRPr="0003601D">
        <w:rPr>
          <w:rFonts w:cs="Times New Roman"/>
        </w:rPr>
        <w:t xml:space="preserve"> trade</w:t>
      </w:r>
      <w:r w:rsidR="00D13353" w:rsidRPr="0003601D">
        <w:rPr>
          <w:rFonts w:cs="Times New Roman"/>
          <w:vertAlign w:val="superscript"/>
        </w:rPr>
        <w:t>8</w:t>
      </w:r>
      <w:r w:rsidR="005712FB" w:rsidRPr="0003601D">
        <w:rPr>
          <w:rFonts w:cs="Times New Roman"/>
        </w:rPr>
        <w:t xml:space="preserve">. </w:t>
      </w:r>
      <w:r w:rsidR="005456F9" w:rsidRPr="0003601D">
        <w:rPr>
          <w:rFonts w:cs="Times New Roman"/>
        </w:rPr>
        <w:t>I</w:t>
      </w:r>
      <w:r w:rsidR="005712FB" w:rsidRPr="0003601D">
        <w:rPr>
          <w:rFonts w:cs="Times New Roman"/>
        </w:rPr>
        <w:t>n fact, t</w:t>
      </w:r>
      <w:r w:rsidR="00F30F43" w:rsidRPr="0003601D">
        <w:rPr>
          <w:rFonts w:cs="Times New Roman"/>
        </w:rPr>
        <w:t xml:space="preserve">he UK’s least relatively valuable import market – </w:t>
      </w:r>
      <w:r w:rsidR="002E51F1">
        <w:rPr>
          <w:rFonts w:cs="Times New Roman"/>
        </w:rPr>
        <w:t>b</w:t>
      </w:r>
      <w:r w:rsidR="00F30F43" w:rsidRPr="0003601D">
        <w:rPr>
          <w:rFonts w:cs="Times New Roman"/>
        </w:rPr>
        <w:t>eef – was subject to fraud in 2013</w:t>
      </w:r>
      <w:r w:rsidR="005456F9" w:rsidRPr="0003601D">
        <w:rPr>
          <w:rFonts w:cs="Times New Roman"/>
        </w:rPr>
        <w:t xml:space="preserve">. </w:t>
      </w:r>
      <w:r w:rsidR="005456F9" w:rsidRPr="0003601D">
        <w:rPr>
          <w:rFonts w:cs="Times New Roman"/>
          <w:lang w:val="en-US"/>
        </w:rPr>
        <w:t xml:space="preserve">Without the capabilities to identify and disrupt fraudulent activity, the UK was </w:t>
      </w:r>
      <w:r w:rsidR="00784576" w:rsidRPr="0003601D">
        <w:rPr>
          <w:rFonts w:cs="Times New Roman"/>
          <w:lang w:val="en-US"/>
        </w:rPr>
        <w:t xml:space="preserve">in a </w:t>
      </w:r>
      <w:r w:rsidR="005456F9" w:rsidRPr="0003601D">
        <w:rPr>
          <w:rFonts w:cs="Times New Roman"/>
          <w:lang w:val="en-US"/>
        </w:rPr>
        <w:t>vulnerable</w:t>
      </w:r>
      <w:r w:rsidR="00784576" w:rsidRPr="0003601D">
        <w:rPr>
          <w:rFonts w:cs="Times New Roman"/>
          <w:lang w:val="en-US"/>
        </w:rPr>
        <w:t xml:space="preserve"> position</w:t>
      </w:r>
      <w:r w:rsidR="005456F9" w:rsidRPr="0003601D">
        <w:rPr>
          <w:rFonts w:cs="Times New Roman"/>
          <w:lang w:val="en-US"/>
        </w:rPr>
        <w:t>.  The driver was not the overall value of beef traded across the EU</w:t>
      </w:r>
      <w:r w:rsidR="00784576" w:rsidRPr="0003601D">
        <w:rPr>
          <w:rFonts w:cs="Times New Roman"/>
          <w:lang w:val="en-US"/>
        </w:rPr>
        <w:t>,</w:t>
      </w:r>
      <w:r w:rsidR="005456F9" w:rsidRPr="0003601D">
        <w:rPr>
          <w:rFonts w:cs="Times New Roman"/>
          <w:lang w:val="en-US"/>
        </w:rPr>
        <w:t xml:space="preserve"> as only a relatively small proportion of the market was, but the significant differential in price between beef </w:t>
      </w:r>
      <w:r w:rsidR="00784576" w:rsidRPr="0003601D">
        <w:rPr>
          <w:rFonts w:cs="Times New Roman"/>
          <w:lang w:val="en-US"/>
        </w:rPr>
        <w:t>carcass</w:t>
      </w:r>
      <w:r w:rsidR="005456F9" w:rsidRPr="0003601D">
        <w:rPr>
          <w:rFonts w:cs="Times New Roman"/>
          <w:lang w:val="en-US"/>
        </w:rPr>
        <w:t xml:space="preserve"> meat and horse </w:t>
      </w:r>
      <w:r w:rsidR="00784576" w:rsidRPr="0003601D">
        <w:rPr>
          <w:rFonts w:cs="Times New Roman"/>
          <w:lang w:val="en-US"/>
        </w:rPr>
        <w:t>carcass</w:t>
      </w:r>
      <w:r w:rsidR="005456F9" w:rsidRPr="0003601D">
        <w:rPr>
          <w:rFonts w:cs="Times New Roman"/>
          <w:lang w:val="en-US"/>
        </w:rPr>
        <w:t xml:space="preserve"> meat and the ease of substitution once meat was processed further than primary cuts and </w:t>
      </w:r>
      <w:r w:rsidR="002E51F1">
        <w:rPr>
          <w:rFonts w:cs="Times New Roman"/>
          <w:lang w:val="en-US"/>
        </w:rPr>
        <w:t>the following palletisation process</w:t>
      </w:r>
      <w:r w:rsidR="005456F9" w:rsidRPr="0003601D">
        <w:rPr>
          <w:rFonts w:cs="Times New Roman"/>
        </w:rPr>
        <w:t>. This led</w:t>
      </w:r>
      <w:r w:rsidR="005712FB" w:rsidRPr="0003601D">
        <w:rPr>
          <w:rFonts w:cs="Times New Roman"/>
        </w:rPr>
        <w:t xml:space="preserve"> to the Elliot review</w:t>
      </w:r>
      <w:r w:rsidR="00FC5757" w:rsidRPr="0003601D">
        <w:rPr>
          <w:rFonts w:cs="Times New Roman"/>
        </w:rPr>
        <w:t xml:space="preserve"> in 2014</w:t>
      </w:r>
      <w:r w:rsidR="00FC7ED6" w:rsidRPr="0003601D">
        <w:rPr>
          <w:rFonts w:cs="Times New Roman"/>
        </w:rPr>
        <w:t xml:space="preserve"> </w:t>
      </w:r>
      <w:r w:rsidR="005712FB" w:rsidRPr="0003601D">
        <w:rPr>
          <w:rFonts w:cs="Times New Roman"/>
        </w:rPr>
        <w:t xml:space="preserve">and the establishment of a National Food Crime Unit in the UK. </w:t>
      </w:r>
      <w:r w:rsidR="003C7313" w:rsidRPr="0003601D">
        <w:rPr>
          <w:rFonts w:cs="Times New Roman"/>
        </w:rPr>
        <w:t xml:space="preserve">Food fraud is a </w:t>
      </w:r>
      <w:r w:rsidR="003C7313" w:rsidRPr="0003601D">
        <w:rPr>
          <w:rFonts w:cs="Times New Roman"/>
        </w:rPr>
        <w:lastRenderedPageBreak/>
        <w:t xml:space="preserve">complex problem and the NFCU </w:t>
      </w:r>
      <w:r w:rsidR="004B1329" w:rsidRPr="0003601D">
        <w:rPr>
          <w:rFonts w:cs="Times New Roman"/>
        </w:rPr>
        <w:t>report</w:t>
      </w:r>
      <w:r w:rsidR="004B1329" w:rsidRPr="0003601D">
        <w:rPr>
          <w:rFonts w:cs="Times New Roman"/>
          <w:vertAlign w:val="superscript"/>
        </w:rPr>
        <w:t>10</w:t>
      </w:r>
      <w:r w:rsidR="004B1329" w:rsidRPr="0003601D">
        <w:rPr>
          <w:rFonts w:cs="Times New Roman"/>
        </w:rPr>
        <w:t xml:space="preserve"> </w:t>
      </w:r>
      <w:r w:rsidR="004B1329" w:rsidRPr="004B1329">
        <w:rPr>
          <w:rFonts w:cs="Times New Roman"/>
          <w:bCs/>
        </w:rPr>
        <w:t>offers</w:t>
      </w:r>
      <w:r w:rsidR="003C7313" w:rsidRPr="0003601D">
        <w:rPr>
          <w:rFonts w:cs="Times New Roman"/>
        </w:rPr>
        <w:t xml:space="preserve"> </w:t>
      </w:r>
      <w:r w:rsidR="00784576" w:rsidRPr="0003601D">
        <w:rPr>
          <w:rFonts w:cs="Times New Roman"/>
        </w:rPr>
        <w:t xml:space="preserve">the </w:t>
      </w:r>
      <w:r w:rsidR="003C7313" w:rsidRPr="0003601D">
        <w:rPr>
          <w:rFonts w:cs="Times New Roman"/>
        </w:rPr>
        <w:t>current status in the UK, but it</w:t>
      </w:r>
      <w:r w:rsidR="00784576" w:rsidRPr="0003601D">
        <w:rPr>
          <w:rFonts w:cs="Times New Roman"/>
        </w:rPr>
        <w:t>’</w:t>
      </w:r>
      <w:r w:rsidR="003C7313" w:rsidRPr="0003601D">
        <w:rPr>
          <w:rFonts w:cs="Times New Roman"/>
        </w:rPr>
        <w:t xml:space="preserve">s not easy to predict whether larger or smaller markets are more vulnerable </w:t>
      </w:r>
      <w:r w:rsidR="002E120B" w:rsidRPr="0003601D">
        <w:rPr>
          <w:rFonts w:cs="Times New Roman"/>
        </w:rPr>
        <w:t xml:space="preserve">to fraud which is also </w:t>
      </w:r>
      <w:r w:rsidR="003C7313" w:rsidRPr="0003601D">
        <w:rPr>
          <w:rFonts w:cs="Times New Roman"/>
        </w:rPr>
        <w:t>coupled with regulatory, inspect</w:t>
      </w:r>
      <w:r w:rsidR="00054B7F" w:rsidRPr="0003601D">
        <w:rPr>
          <w:rFonts w:cs="Times New Roman"/>
        </w:rPr>
        <w:t>i</w:t>
      </w:r>
      <w:r w:rsidR="003C7313" w:rsidRPr="0003601D">
        <w:rPr>
          <w:rFonts w:cs="Times New Roman"/>
        </w:rPr>
        <w:t>on and detection capabilities</w:t>
      </w:r>
      <w:r w:rsidR="00FC5757" w:rsidRPr="0003601D">
        <w:rPr>
          <w:rFonts w:cs="Times New Roman"/>
        </w:rPr>
        <w:t>.</w:t>
      </w:r>
    </w:p>
    <w:p w14:paraId="2FB4069B" w14:textId="77777777" w:rsidR="00301DFF" w:rsidRPr="0003601D" w:rsidRDefault="00301DFF"/>
    <w:p w14:paraId="286E2C6C" w14:textId="3A5A27C4" w:rsidR="00DD2B3E" w:rsidRPr="0003601D" w:rsidRDefault="00DD2B3E">
      <w:pPr>
        <w:rPr>
          <w:b/>
        </w:rPr>
      </w:pPr>
      <w:r w:rsidRPr="0003601D">
        <w:rPr>
          <w:b/>
        </w:rPr>
        <w:t>2</w:t>
      </w:r>
      <w:r w:rsidR="00BD05F8">
        <w:rPr>
          <w:b/>
        </w:rPr>
        <w:t>.</w:t>
      </w:r>
      <w:r w:rsidRPr="0003601D">
        <w:rPr>
          <w:b/>
        </w:rPr>
        <w:t xml:space="preserve"> Methodology</w:t>
      </w:r>
    </w:p>
    <w:p w14:paraId="25AAE2FC" w14:textId="702278F8" w:rsidR="001B2E43" w:rsidRPr="0003601D" w:rsidRDefault="00F30F43" w:rsidP="001B2E43">
      <w:pPr>
        <w:rPr>
          <w:rFonts w:cs="Times New Roman"/>
        </w:rPr>
      </w:pPr>
      <w:r w:rsidRPr="0003601D">
        <w:rPr>
          <w:rFonts w:cs="Times New Roman"/>
        </w:rPr>
        <w:t xml:space="preserve">The source of the raw data is from the </w:t>
      </w:r>
      <w:r w:rsidR="001B2E43" w:rsidRPr="0003601D">
        <w:rPr>
          <w:rFonts w:cs="Times New Roman"/>
        </w:rPr>
        <w:t xml:space="preserve">Chatham House </w:t>
      </w:r>
      <w:r w:rsidR="00F64623" w:rsidRPr="00AF15BA">
        <w:rPr>
          <w:color w:val="31353D"/>
          <w:lang w:val="en"/>
        </w:rPr>
        <w:t>resourcetrade.earth</w:t>
      </w:r>
      <w:r w:rsidR="003A1A72" w:rsidRPr="0003601D">
        <w:rPr>
          <w:rFonts w:cs="Times New Roman"/>
          <w:vertAlign w:val="superscript"/>
        </w:rPr>
        <w:t>8</w:t>
      </w:r>
      <w:r w:rsidR="001B2E43" w:rsidRPr="0003601D">
        <w:rPr>
          <w:rFonts w:cs="Times New Roman"/>
        </w:rPr>
        <w:t xml:space="preserve"> a repository of stat</w:t>
      </w:r>
      <w:r w:rsidR="003A1A72" w:rsidRPr="0003601D">
        <w:rPr>
          <w:rFonts w:cs="Times New Roman"/>
        </w:rPr>
        <w:t>i</w:t>
      </w:r>
      <w:r w:rsidR="001B2E43" w:rsidRPr="0003601D">
        <w:rPr>
          <w:rFonts w:cs="Times New Roman"/>
        </w:rPr>
        <w:t>s</w:t>
      </w:r>
      <w:r w:rsidR="003A1A72" w:rsidRPr="0003601D">
        <w:rPr>
          <w:rFonts w:cs="Times New Roman"/>
        </w:rPr>
        <w:t>tics</w:t>
      </w:r>
      <w:r w:rsidR="001B2E43" w:rsidRPr="0003601D">
        <w:rPr>
          <w:rFonts w:cs="Times New Roman"/>
        </w:rPr>
        <w:t xml:space="preserve"> on bilateral trade in natural resources between more than 200 countries and territories</w:t>
      </w:r>
      <w:r w:rsidR="003A1A72" w:rsidRPr="0003601D">
        <w:rPr>
          <w:rFonts w:cs="Times New Roman"/>
        </w:rPr>
        <w:t>.</w:t>
      </w:r>
      <w:r w:rsidR="001B2E43" w:rsidRPr="0003601D">
        <w:rPr>
          <w:rFonts w:cs="Times New Roman"/>
        </w:rPr>
        <w:t xml:space="preserve"> The database includes the monetary values and masses of trade in over 1350 diff</w:t>
      </w:r>
      <w:r w:rsidR="00FC7ED6" w:rsidRPr="0003601D">
        <w:rPr>
          <w:rFonts w:cs="Times New Roman"/>
        </w:rPr>
        <w:t>erent</w:t>
      </w:r>
      <w:r w:rsidR="001B2E43" w:rsidRPr="0003601D">
        <w:rPr>
          <w:rFonts w:cs="Times New Roman"/>
        </w:rPr>
        <w:t xml:space="preserve"> types of natural resources and resource products. It contains raw materials, intermediate products and by-products. </w:t>
      </w:r>
    </w:p>
    <w:p w14:paraId="27D2966B" w14:textId="77777777" w:rsidR="002B55D3" w:rsidRPr="0003601D" w:rsidRDefault="002B55D3" w:rsidP="001B2E43">
      <w:pPr>
        <w:rPr>
          <w:rFonts w:cs="Times New Roman"/>
        </w:rPr>
      </w:pPr>
    </w:p>
    <w:p w14:paraId="54E15B8A" w14:textId="1BB7F96D" w:rsidR="001B2E43" w:rsidRPr="0003601D" w:rsidRDefault="001B2E43" w:rsidP="001B2E43">
      <w:pPr>
        <w:rPr>
          <w:bCs/>
        </w:rPr>
      </w:pPr>
      <w:r w:rsidRPr="00AF15BA">
        <w:t xml:space="preserve">It is based on the International Merchandise Trade Stats (IMTS) which are </w:t>
      </w:r>
      <w:r w:rsidR="00D377E5" w:rsidRPr="00AF15BA">
        <w:t xml:space="preserve">based on </w:t>
      </w:r>
      <w:r w:rsidRPr="0000634D">
        <w:t>the UN Commodity Trade Statistic Database (UNComtrade)</w:t>
      </w:r>
      <w:r w:rsidR="00D377E5" w:rsidRPr="0003601D">
        <w:t xml:space="preserve"> which is itself founded on other sources</w:t>
      </w:r>
      <w:r w:rsidR="00F30F43" w:rsidRPr="0003601D">
        <w:rPr>
          <w:rFonts w:cs="Times New Roman"/>
        </w:rPr>
        <w:t xml:space="preserve"> including from th</w:t>
      </w:r>
      <w:r w:rsidRPr="0003601D">
        <w:rPr>
          <w:rFonts w:cs="Times New Roman"/>
        </w:rPr>
        <w:t>e UN FAO, the EUROIND</w:t>
      </w:r>
      <w:r w:rsidR="00636448">
        <w:rPr>
          <w:rFonts w:cs="Times New Roman"/>
        </w:rPr>
        <w:t xml:space="preserve">. </w:t>
      </w:r>
      <w:r w:rsidR="00662C24" w:rsidRPr="0003601D">
        <w:rPr>
          <w:rFonts w:cs="Times New Roman"/>
        </w:rPr>
        <w:t>Through cross-</w:t>
      </w:r>
      <w:r w:rsidR="00F30F43" w:rsidRPr="0003601D">
        <w:rPr>
          <w:rFonts w:cs="Times New Roman"/>
        </w:rPr>
        <w:t>referencing and standardisation, the database has the best balance between completeness and detail of all</w:t>
      </w:r>
      <w:r w:rsidRPr="0003601D">
        <w:rPr>
          <w:rFonts w:cs="Times New Roman"/>
        </w:rPr>
        <w:t xml:space="preserve"> available trade flow databases and </w:t>
      </w:r>
      <w:r w:rsidR="004B1329" w:rsidRPr="00AF15BA">
        <w:t>it</w:t>
      </w:r>
      <w:r w:rsidRPr="00AF15BA">
        <w:t xml:space="preserve"> addresses many of the challenges faced by people trying to use UNComtrade</w:t>
      </w:r>
      <w:r w:rsidR="00053EAC" w:rsidRPr="00AF15BA">
        <w:t xml:space="preserve">, </w:t>
      </w:r>
      <w:r w:rsidR="004B1329" w:rsidRPr="00AF15BA">
        <w:t>especially since</w:t>
      </w:r>
      <w:r w:rsidRPr="00AF15BA">
        <w:t xml:space="preserve"> it </w:t>
      </w:r>
      <w:r w:rsidRPr="00AF15BA">
        <w:rPr>
          <w:bCs/>
        </w:rPr>
        <w:t>reorganize</w:t>
      </w:r>
      <w:r w:rsidRPr="0000634D">
        <w:rPr>
          <w:bCs/>
        </w:rPr>
        <w:t xml:space="preserve">s data around natural resources and it </w:t>
      </w:r>
      <w:r w:rsidRPr="0003601D">
        <w:rPr>
          <w:bCs/>
        </w:rPr>
        <w:t>employs a systematic approach to identify and manage data gaps and errors</w:t>
      </w:r>
      <w:r w:rsidR="003A1A72" w:rsidRPr="0003601D">
        <w:rPr>
          <w:bCs/>
          <w:vertAlign w:val="superscript"/>
        </w:rPr>
        <w:t>1</w:t>
      </w:r>
      <w:r w:rsidR="00F64623" w:rsidRPr="0003601D">
        <w:rPr>
          <w:bCs/>
        </w:rPr>
        <w:t>.</w:t>
      </w:r>
    </w:p>
    <w:p w14:paraId="5BFF4F51" w14:textId="77777777" w:rsidR="001B2E43" w:rsidRPr="0003601D" w:rsidRDefault="001B2E43" w:rsidP="00F30F43">
      <w:pPr>
        <w:rPr>
          <w:rFonts w:cs="Times New Roman"/>
        </w:rPr>
      </w:pPr>
    </w:p>
    <w:p w14:paraId="6C92B129" w14:textId="77777777" w:rsidR="00F30F43" w:rsidRPr="0003601D" w:rsidRDefault="00F30F43" w:rsidP="00F30F43">
      <w:pPr>
        <w:rPr>
          <w:rFonts w:cs="Times New Roman"/>
        </w:rPr>
      </w:pPr>
      <w:r w:rsidRPr="0003601D">
        <w:rPr>
          <w:rFonts w:cs="Times New Roman"/>
        </w:rPr>
        <w:t xml:space="preserve">The raw data available from the resource trade database has been processed to give the statistics using the statistical programming language ‘R’ on the integrated development environment ‘RStudio’. All the statistics have been calculated using the value measurements of trade flows as opposed to weight measurements. </w:t>
      </w:r>
      <w:r w:rsidR="00784576" w:rsidRPr="0003601D">
        <w:rPr>
          <w:rFonts w:cs="Times New Roman"/>
        </w:rPr>
        <w:t xml:space="preserve">If </w:t>
      </w:r>
      <w:r w:rsidR="009477AF" w:rsidRPr="0003601D">
        <w:rPr>
          <w:rFonts w:cs="Times New Roman"/>
        </w:rPr>
        <w:t xml:space="preserve">statistics </w:t>
      </w:r>
      <w:r w:rsidRPr="0003601D">
        <w:rPr>
          <w:rFonts w:cs="Times New Roman"/>
        </w:rPr>
        <w:t xml:space="preserve">were reproduced using the weight measurements </w:t>
      </w:r>
      <w:r w:rsidR="008678AC" w:rsidRPr="0003601D">
        <w:rPr>
          <w:rFonts w:cs="Times New Roman"/>
        </w:rPr>
        <w:t xml:space="preserve">these </w:t>
      </w:r>
      <w:r w:rsidRPr="0003601D">
        <w:rPr>
          <w:rFonts w:cs="Times New Roman"/>
        </w:rPr>
        <w:t xml:space="preserve">were found </w:t>
      </w:r>
      <w:r w:rsidR="008678AC" w:rsidRPr="0003601D">
        <w:rPr>
          <w:rFonts w:cs="Times New Roman"/>
        </w:rPr>
        <w:t xml:space="preserve">to </w:t>
      </w:r>
      <w:r w:rsidRPr="0003601D">
        <w:rPr>
          <w:rFonts w:cs="Times New Roman"/>
        </w:rPr>
        <w:t>conv</w:t>
      </w:r>
      <w:r w:rsidR="008678AC" w:rsidRPr="0003601D">
        <w:rPr>
          <w:rFonts w:cs="Times New Roman"/>
        </w:rPr>
        <w:t xml:space="preserve">ey the same </w:t>
      </w:r>
      <w:r w:rsidRPr="0003601D">
        <w:rPr>
          <w:rFonts w:cs="Times New Roman"/>
        </w:rPr>
        <w:t>message from the charts produced using value measures.</w:t>
      </w:r>
    </w:p>
    <w:p w14:paraId="52A370D2" w14:textId="77777777" w:rsidR="001B2E43" w:rsidRPr="0003601D" w:rsidRDefault="001B2E43" w:rsidP="00F30F43">
      <w:pPr>
        <w:rPr>
          <w:rFonts w:cs="Times New Roman"/>
        </w:rPr>
      </w:pPr>
    </w:p>
    <w:p w14:paraId="2E654F1B" w14:textId="3514BA04" w:rsidR="00DD2B3E" w:rsidRPr="00AF15BA" w:rsidRDefault="00F30F43">
      <w:r w:rsidRPr="0003601D">
        <w:rPr>
          <w:rFonts w:cs="Times New Roman"/>
        </w:rPr>
        <w:t>The four categories of meat specified in statistics and general comments are specified by the contents of each category in</w:t>
      </w:r>
      <w:r w:rsidR="00234437" w:rsidRPr="0003601D">
        <w:rPr>
          <w:rFonts w:cs="Times New Roman"/>
        </w:rPr>
        <w:t xml:space="preserve"> the resource trade database “b</w:t>
      </w:r>
      <w:r w:rsidRPr="0003601D">
        <w:rPr>
          <w:rFonts w:cs="Times New Roman"/>
        </w:rPr>
        <w:t xml:space="preserve">eef”, for example, consists of bovine carcasses, cuts, edible offal, tongues, and livers. Likewise, pork, and lamb/sheep meat, consist mainly of meat solely from pigs and sheep respectively. Poultry consists of edible meats from chicken, turkey, ducks and fowl. One area of ambiguity is the inclusion of cured bovine meat in the pork section, however this is only a minor section of total trade and so, not </w:t>
      </w:r>
      <w:r w:rsidR="00387354" w:rsidRPr="0003601D">
        <w:rPr>
          <w:rFonts w:cs="Times New Roman"/>
        </w:rPr>
        <w:t xml:space="preserve">a significant issue but highlights why the new database has advantages as it offers more clarity about what is included </w:t>
      </w:r>
      <w:r w:rsidR="00662C24" w:rsidRPr="0003601D">
        <w:rPr>
          <w:rFonts w:cs="Times New Roman"/>
        </w:rPr>
        <w:t>i</w:t>
      </w:r>
      <w:r w:rsidR="00387354" w:rsidRPr="0003601D">
        <w:rPr>
          <w:rFonts w:cs="Times New Roman"/>
        </w:rPr>
        <w:t>n global trade data</w:t>
      </w:r>
      <w:r w:rsidRPr="0003601D">
        <w:rPr>
          <w:rFonts w:cs="Times New Roman"/>
        </w:rPr>
        <w:t>.</w:t>
      </w:r>
    </w:p>
    <w:p w14:paraId="7F987E6B" w14:textId="77777777" w:rsidR="00F30F43" w:rsidRPr="0003601D" w:rsidRDefault="00F30F43"/>
    <w:p w14:paraId="41771268" w14:textId="71FD0BA5" w:rsidR="00053EAC" w:rsidRPr="00BD05F8" w:rsidRDefault="00636448">
      <w:pPr>
        <w:rPr>
          <w:b/>
        </w:rPr>
      </w:pPr>
      <w:r w:rsidRPr="008C3D8E">
        <w:rPr>
          <w:b/>
        </w:rPr>
        <w:t>3.</w:t>
      </w:r>
      <w:r w:rsidRPr="00BD05F8">
        <w:rPr>
          <w:b/>
        </w:rPr>
        <w:t xml:space="preserve"> The</w:t>
      </w:r>
      <w:r w:rsidR="004B1329">
        <w:rPr>
          <w:b/>
        </w:rPr>
        <w:t xml:space="preserve"> </w:t>
      </w:r>
      <w:r w:rsidRPr="00BD05F8">
        <w:rPr>
          <w:b/>
        </w:rPr>
        <w:t>significance</w:t>
      </w:r>
      <w:r w:rsidR="00DD2B3E" w:rsidRPr="00BD05F8">
        <w:rPr>
          <w:b/>
        </w:rPr>
        <w:t xml:space="preserve"> of the EU as a source for UK meat imports</w:t>
      </w:r>
    </w:p>
    <w:p w14:paraId="0AEC2F7B" w14:textId="0E0D9887" w:rsidR="00F30F43" w:rsidRPr="0003601D" w:rsidRDefault="00F30F43" w:rsidP="00F30F43">
      <w:pPr>
        <w:rPr>
          <w:rFonts w:cs="Times New Roman"/>
        </w:rPr>
      </w:pPr>
      <w:r w:rsidRPr="0003601D">
        <w:rPr>
          <w:rFonts w:cs="Times New Roman"/>
        </w:rPr>
        <w:t>As a share of the total value of meat imported into the UK in 2015 the four largest sourc</w:t>
      </w:r>
      <w:r w:rsidR="00234437" w:rsidRPr="0003601D">
        <w:rPr>
          <w:rFonts w:cs="Times New Roman"/>
        </w:rPr>
        <w:t>es are all from the EU: Figure 1b</w:t>
      </w:r>
      <w:r w:rsidRPr="0003601D">
        <w:rPr>
          <w:rFonts w:cs="Times New Roman"/>
        </w:rPr>
        <w:t xml:space="preserve"> shows that 23.3% of imported meat originates from Ireland, 22.1% from the Netherlands, 8.74% from Denmark, 8.34% from Germany. Taken as a whole the EU dominates all but one of the key meat types. Of UK beef, poultry, and pork meat imports 86.2%, 95.5%, and 99.8% are imported from the EU respectively</w:t>
      </w:r>
      <w:r w:rsidR="00234437" w:rsidRPr="0003601D">
        <w:rPr>
          <w:rFonts w:cs="Times New Roman"/>
        </w:rPr>
        <w:t xml:space="preserve"> (see Figure 2)</w:t>
      </w:r>
      <w:r w:rsidRPr="0003601D">
        <w:rPr>
          <w:rFonts w:cs="Times New Roman"/>
        </w:rPr>
        <w:t>. The only market not dominated by the EU, sheep meat, imports 11.1% of its meat from the EU.</w:t>
      </w:r>
      <w:r w:rsidR="002B55D3" w:rsidRPr="0003601D">
        <w:rPr>
          <w:rFonts w:cs="Times New Roman"/>
        </w:rPr>
        <w:t xml:space="preserve"> </w:t>
      </w:r>
      <w:r w:rsidR="009E183D" w:rsidRPr="0003601D">
        <w:rPr>
          <w:rFonts w:cs="Times New Roman"/>
        </w:rPr>
        <w:t xml:space="preserve"> </w:t>
      </w:r>
      <w:r w:rsidR="002B55D3" w:rsidRPr="0003601D">
        <w:rPr>
          <w:rFonts w:cs="Times New Roman"/>
        </w:rPr>
        <w:t xml:space="preserve">These figures for meat offer granularity to the overall import picture </w:t>
      </w:r>
      <w:r w:rsidR="002B55D3" w:rsidRPr="0003601D">
        <w:rPr>
          <w:rFonts w:cs="Times New Roman"/>
        </w:rPr>
        <w:lastRenderedPageBreak/>
        <w:t>highlighted in the FAOSTAT</w:t>
      </w:r>
      <w:r w:rsidR="009E183D" w:rsidRPr="0003601D">
        <w:rPr>
          <w:rFonts w:cs="Times New Roman"/>
          <w:vertAlign w:val="superscript"/>
        </w:rPr>
        <w:t>5</w:t>
      </w:r>
      <w:r w:rsidR="002B55D3" w:rsidRPr="0003601D">
        <w:rPr>
          <w:rFonts w:cs="Times New Roman"/>
        </w:rPr>
        <w:t xml:space="preserve"> showing that the top 8 importing countries to the UK are EU countries.</w:t>
      </w:r>
    </w:p>
    <w:p w14:paraId="21E63FE0" w14:textId="77777777" w:rsidR="002B55D3" w:rsidRPr="0003601D" w:rsidRDefault="002B55D3" w:rsidP="00F30F43">
      <w:pPr>
        <w:rPr>
          <w:rFonts w:cs="Times New Roman"/>
        </w:rPr>
      </w:pPr>
    </w:p>
    <w:p w14:paraId="192D4513" w14:textId="77777777" w:rsidR="00F30F43" w:rsidRPr="0003601D" w:rsidRDefault="00F30F43" w:rsidP="00F30F43">
      <w:pPr>
        <w:rPr>
          <w:rFonts w:cs="Times New Roman"/>
        </w:rPr>
      </w:pPr>
      <w:r w:rsidRPr="0003601D">
        <w:rPr>
          <w:rFonts w:cs="Times New Roman"/>
        </w:rPr>
        <w:t xml:space="preserve">This data points to the EU currently dominating the international supply of meat to the UK, most markedly for poultry and pork. This domination makes the consequences of changes in trade relationships with the EU upon UK meat </w:t>
      </w:r>
      <w:r w:rsidR="002B55D3" w:rsidRPr="0003601D">
        <w:rPr>
          <w:rFonts w:cs="Times New Roman"/>
        </w:rPr>
        <w:t>imports an area which needs consideration as to how to close any gaps which may arise and is unpacked further by our research.</w:t>
      </w:r>
    </w:p>
    <w:p w14:paraId="78BFB56D" w14:textId="77777777" w:rsidR="00DD2B3E" w:rsidRPr="00AF15BA" w:rsidRDefault="00DD2B3E"/>
    <w:p w14:paraId="6DA01A65" w14:textId="6D4EAADF" w:rsidR="00DD2B3E" w:rsidRPr="0003601D" w:rsidRDefault="00DD2B3E">
      <w:pPr>
        <w:rPr>
          <w:b/>
        </w:rPr>
      </w:pPr>
      <w:r w:rsidRPr="008C3D8E">
        <w:rPr>
          <w:b/>
          <w:i/>
        </w:rPr>
        <w:t xml:space="preserve">4 Where might future trading </w:t>
      </w:r>
      <w:r w:rsidR="00662C24" w:rsidRPr="008C3D8E">
        <w:rPr>
          <w:b/>
          <w:i/>
        </w:rPr>
        <w:t>relationships emerge to replace any reductions from the European Union</w:t>
      </w:r>
      <w:r w:rsidRPr="008C3D8E">
        <w:rPr>
          <w:b/>
          <w:i/>
        </w:rPr>
        <w:t>?</w:t>
      </w:r>
    </w:p>
    <w:p w14:paraId="5E9D61DC" w14:textId="77777777" w:rsidR="000114EE" w:rsidRDefault="00662C24" w:rsidP="00F30F43">
      <w:pPr>
        <w:rPr>
          <w:rFonts w:cs="Times New Roman"/>
        </w:rPr>
      </w:pPr>
      <w:r w:rsidRPr="0003601D">
        <w:rPr>
          <w:rFonts w:cs="Times New Roman"/>
        </w:rPr>
        <w:t>Any</w:t>
      </w:r>
      <w:r w:rsidR="00F30F43" w:rsidRPr="0003601D">
        <w:rPr>
          <w:rFonts w:cs="Times New Roman"/>
        </w:rPr>
        <w:t xml:space="preserve"> trade barriers </w:t>
      </w:r>
      <w:r w:rsidRPr="0003601D">
        <w:rPr>
          <w:rFonts w:cs="Times New Roman"/>
        </w:rPr>
        <w:t>that might occur and how these might</w:t>
      </w:r>
      <w:r w:rsidR="00F30F43" w:rsidRPr="0003601D">
        <w:rPr>
          <w:rFonts w:cs="Times New Roman"/>
        </w:rPr>
        <w:t xml:space="preserve"> restrict imports will depend on the outcomes of negotiations. The House of Lords European Union Committee has suggested that there are four different trade relationships available after exit</w:t>
      </w:r>
      <w:r w:rsidR="009E183D" w:rsidRPr="0003601D">
        <w:rPr>
          <w:rFonts w:cs="Times New Roman"/>
          <w:vertAlign w:val="superscript"/>
        </w:rPr>
        <w:t>11</w:t>
      </w:r>
      <w:r w:rsidR="002E51F1">
        <w:rPr>
          <w:rFonts w:cs="Times New Roman"/>
        </w:rPr>
        <w:t>.</w:t>
      </w:r>
      <w:r w:rsidR="00F30F43" w:rsidRPr="0003601D">
        <w:rPr>
          <w:rFonts w:cs="Times New Roman"/>
        </w:rPr>
        <w:t xml:space="preserve"> The first is partial access to the single market via membership of the European Economic Area (EEA), the second is access to the </w:t>
      </w:r>
      <w:r w:rsidR="00F10FB4" w:rsidRPr="0003601D">
        <w:rPr>
          <w:rFonts w:cs="Times New Roman"/>
        </w:rPr>
        <w:t>EU C</w:t>
      </w:r>
      <w:r w:rsidR="00F30F43" w:rsidRPr="0003601D">
        <w:rPr>
          <w:rFonts w:cs="Times New Roman"/>
        </w:rPr>
        <w:t xml:space="preserve">ustoms </w:t>
      </w:r>
      <w:r w:rsidR="00F10FB4" w:rsidRPr="0003601D">
        <w:rPr>
          <w:rFonts w:cs="Times New Roman"/>
        </w:rPr>
        <w:t>U</w:t>
      </w:r>
      <w:r w:rsidR="00F30F43" w:rsidRPr="0003601D">
        <w:rPr>
          <w:rFonts w:cs="Times New Roman"/>
        </w:rPr>
        <w:t>nion</w:t>
      </w:r>
      <w:r w:rsidR="00F10FB4" w:rsidRPr="0003601D">
        <w:rPr>
          <w:rFonts w:cs="Times New Roman"/>
        </w:rPr>
        <w:t xml:space="preserve"> (EUCU)</w:t>
      </w:r>
      <w:r w:rsidR="00F30F43" w:rsidRPr="0003601D">
        <w:rPr>
          <w:rFonts w:cs="Times New Roman"/>
        </w:rPr>
        <w:t>, as Turkey has, the third is a free trade agreement (FTA) with the EU, as Canada has, and the final option is trade under World Trade Organisation (WTO) rules.</w:t>
      </w:r>
      <w:r w:rsidR="00F30F43" w:rsidRPr="0003601D">
        <w:rPr>
          <w:rFonts w:cs="Times New Roman"/>
          <w:lang w:eastAsia="en-GB"/>
        </w:rPr>
        <w:t xml:space="preserve"> </w:t>
      </w:r>
      <w:r w:rsidR="00F30F43" w:rsidRPr="0003601D">
        <w:rPr>
          <w:rFonts w:cs="Times New Roman"/>
        </w:rPr>
        <w:t>According to the Parliamentary Office of Scientific and Tec</w:t>
      </w:r>
      <w:r w:rsidRPr="0003601D">
        <w:rPr>
          <w:rFonts w:cs="Times New Roman"/>
        </w:rPr>
        <w:t>hnology, the 2015 government had</w:t>
      </w:r>
      <w:r w:rsidR="00F30F43" w:rsidRPr="0003601D">
        <w:rPr>
          <w:rFonts w:cs="Times New Roman"/>
        </w:rPr>
        <w:t xml:space="preserve"> ruled out the first two options</w:t>
      </w:r>
      <w:r w:rsidR="009E183D" w:rsidRPr="0003601D">
        <w:rPr>
          <w:rFonts w:cs="Times New Roman"/>
          <w:vertAlign w:val="superscript"/>
        </w:rPr>
        <w:t>12</w:t>
      </w:r>
      <w:r w:rsidR="00F30F43" w:rsidRPr="0003601D">
        <w:rPr>
          <w:rFonts w:cs="Times New Roman"/>
        </w:rPr>
        <w:t xml:space="preserve">. </w:t>
      </w:r>
    </w:p>
    <w:p w14:paraId="2093AFC8" w14:textId="77777777" w:rsidR="000114EE" w:rsidRDefault="000114EE" w:rsidP="00F30F43">
      <w:pPr>
        <w:rPr>
          <w:rFonts w:cs="Times New Roman"/>
        </w:rPr>
      </w:pPr>
    </w:p>
    <w:p w14:paraId="3326798E" w14:textId="2E5C28BD" w:rsidR="000114EE" w:rsidRDefault="000114EE" w:rsidP="00F30F43">
      <w:pPr>
        <w:rPr>
          <w:rFonts w:cs="Times New Roman"/>
        </w:rPr>
      </w:pPr>
      <w:r>
        <w:rPr>
          <w:rFonts w:cs="Times New Roman"/>
        </w:rPr>
        <w:t>The current UK position, which will be voted on in the UK parliament in January 2019,  is the UK withdrawal agreement which was published in Nov 2018</w:t>
      </w:r>
      <w:r w:rsidR="009E183D" w:rsidRPr="0003601D">
        <w:rPr>
          <w:rFonts w:cs="Times New Roman"/>
          <w:vertAlign w:val="superscript"/>
        </w:rPr>
        <w:t>13</w:t>
      </w:r>
      <w:r w:rsidR="00F30F43" w:rsidRPr="0003601D">
        <w:rPr>
          <w:rFonts w:cs="Times New Roman"/>
        </w:rPr>
        <w:t xml:space="preserve">. </w:t>
      </w:r>
      <w:r>
        <w:rPr>
          <w:rFonts w:cs="Times New Roman"/>
        </w:rPr>
        <w:t>The key components of this agreement are:</w:t>
      </w:r>
    </w:p>
    <w:p w14:paraId="60B20F36" w14:textId="2736CFF9" w:rsidR="000114EE" w:rsidRDefault="000114EE" w:rsidP="000114EE">
      <w:pPr>
        <w:pStyle w:val="ListParagraph"/>
        <w:numPr>
          <w:ilvl w:val="0"/>
          <w:numId w:val="2"/>
        </w:numPr>
        <w:rPr>
          <w:rFonts w:cs="Times New Roman"/>
        </w:rPr>
      </w:pPr>
      <w:r>
        <w:rPr>
          <w:rFonts w:cs="Times New Roman"/>
        </w:rPr>
        <w:t>The whole of the Uk will remain within the EU customs union.</w:t>
      </w:r>
    </w:p>
    <w:p w14:paraId="2F986547" w14:textId="75DECCA3" w:rsidR="000114EE" w:rsidRDefault="000114EE" w:rsidP="000114EE">
      <w:pPr>
        <w:pStyle w:val="ListParagraph"/>
        <w:numPr>
          <w:ilvl w:val="0"/>
          <w:numId w:val="2"/>
        </w:numPr>
        <w:rPr>
          <w:rFonts w:cs="Times New Roman"/>
        </w:rPr>
      </w:pPr>
      <w:r>
        <w:rPr>
          <w:rFonts w:cs="Times New Roman"/>
        </w:rPr>
        <w:t>Northern Ireland will remain within the single market.</w:t>
      </w:r>
    </w:p>
    <w:p w14:paraId="6087DD51" w14:textId="4CE79976" w:rsidR="000114EE" w:rsidRDefault="000114EE" w:rsidP="000114EE">
      <w:pPr>
        <w:pStyle w:val="ListParagraph"/>
        <w:numPr>
          <w:ilvl w:val="0"/>
          <w:numId w:val="2"/>
        </w:numPr>
        <w:rPr>
          <w:rFonts w:cs="Times New Roman"/>
        </w:rPr>
      </w:pPr>
      <w:r>
        <w:rPr>
          <w:rFonts w:cs="Times New Roman"/>
        </w:rPr>
        <w:t>There will be no fixed end date to that agreement.</w:t>
      </w:r>
    </w:p>
    <w:p w14:paraId="3724A719" w14:textId="4299F2DA" w:rsidR="000114EE" w:rsidRDefault="000114EE" w:rsidP="000114EE">
      <w:pPr>
        <w:pStyle w:val="ListParagraph"/>
        <w:numPr>
          <w:ilvl w:val="0"/>
          <w:numId w:val="2"/>
        </w:numPr>
        <w:rPr>
          <w:rFonts w:cs="Times New Roman"/>
        </w:rPr>
      </w:pPr>
      <w:r>
        <w:rPr>
          <w:rFonts w:cs="Times New Roman"/>
        </w:rPr>
        <w:t>The Brexit transition period can be extended beyond 31 Dec 2021, if there is still no agreement on a future relationship.</w:t>
      </w:r>
    </w:p>
    <w:p w14:paraId="27066598" w14:textId="262E7507" w:rsidR="000114EE" w:rsidRDefault="000114EE" w:rsidP="000114EE">
      <w:pPr>
        <w:rPr>
          <w:rFonts w:cs="Times New Roman"/>
        </w:rPr>
      </w:pPr>
      <w:r>
        <w:rPr>
          <w:rFonts w:cs="Times New Roman"/>
        </w:rPr>
        <w:t>In terms of goods such as meat the following would apply:</w:t>
      </w:r>
    </w:p>
    <w:p w14:paraId="61B75B31" w14:textId="4D0A14FA" w:rsidR="000114EE" w:rsidRPr="000114EE" w:rsidRDefault="000114EE" w:rsidP="000114EE">
      <w:pPr>
        <w:rPr>
          <w:rFonts w:cs="Times New Roman"/>
        </w:rPr>
      </w:pPr>
      <w:r w:rsidRPr="000114EE">
        <w:rPr>
          <w:rFonts w:ascii="Times New Roman" w:hAnsi="Times New Roman" w:cs="Times New Roman"/>
        </w:rPr>
        <w:t>●</w:t>
      </w:r>
      <w:r w:rsidRPr="000114EE">
        <w:rPr>
          <w:rFonts w:cs="Times New Roman"/>
        </w:rPr>
        <w:t xml:space="preserve">  Comprehensive arrangements creating a free trade area combining deep regulatory and customs cooperation, underpinned by provisions ensuring a level playing field for open and fair competition. </w:t>
      </w:r>
    </w:p>
    <w:p w14:paraId="523241B0" w14:textId="13AB3C52" w:rsidR="000114EE" w:rsidRPr="000114EE" w:rsidRDefault="000114EE" w:rsidP="000114EE">
      <w:pPr>
        <w:rPr>
          <w:rFonts w:cs="Times New Roman"/>
        </w:rPr>
      </w:pPr>
      <w:r w:rsidRPr="000114EE">
        <w:rPr>
          <w:rFonts w:ascii="Times New Roman" w:hAnsi="Times New Roman" w:cs="Times New Roman"/>
        </w:rPr>
        <w:t>●</w:t>
      </w:r>
      <w:r w:rsidRPr="000114EE">
        <w:rPr>
          <w:rFonts w:cs="Times New Roman"/>
        </w:rPr>
        <w:t xml:space="preserve">  Zero tariffs, no fees, charges or quantitative restrictions across all goods sectors, with ambitious customs arrangements that build on the single customs territory provided </w:t>
      </w:r>
      <w:r>
        <w:rPr>
          <w:rFonts w:cs="Times New Roman"/>
        </w:rPr>
        <w:t>for in the Withdrawal Agreement.</w:t>
      </w:r>
      <w:r w:rsidRPr="000114EE">
        <w:rPr>
          <w:rFonts w:cs="Times New Roman"/>
        </w:rPr>
        <w:t xml:space="preserve"> </w:t>
      </w:r>
    </w:p>
    <w:p w14:paraId="6D0EE370" w14:textId="77777777" w:rsidR="000114EE" w:rsidRPr="000114EE" w:rsidRDefault="000114EE" w:rsidP="000114EE">
      <w:pPr>
        <w:rPr>
          <w:rFonts w:cs="Times New Roman"/>
        </w:rPr>
      </w:pPr>
      <w:r w:rsidRPr="000114EE">
        <w:rPr>
          <w:rFonts w:ascii="Times New Roman" w:hAnsi="Times New Roman" w:cs="Times New Roman"/>
        </w:rPr>
        <w:t>●</w:t>
      </w:r>
      <w:r w:rsidRPr="000114EE">
        <w:rPr>
          <w:rFonts w:cs="Times New Roman"/>
        </w:rPr>
        <w:t xml:space="preserve">  Extent of the United Kingdom’s commitments on customs and regulatory cooperation, including with regard to alignment of rules, to be taken into account in the application of checks and controls at the border. </w:t>
      </w:r>
    </w:p>
    <w:p w14:paraId="4D0729DC" w14:textId="005C16D0" w:rsidR="000114EE" w:rsidRDefault="000114EE" w:rsidP="00F30F43">
      <w:pPr>
        <w:rPr>
          <w:rFonts w:cs="Times New Roman"/>
        </w:rPr>
      </w:pPr>
    </w:p>
    <w:p w14:paraId="4A858787" w14:textId="60013AFA" w:rsidR="002B55D3" w:rsidRPr="0003601D" w:rsidRDefault="00662C24" w:rsidP="00F30F43">
      <w:pPr>
        <w:rPr>
          <w:rFonts w:cs="Times New Roman"/>
        </w:rPr>
      </w:pPr>
      <w:r w:rsidRPr="0003601D">
        <w:rPr>
          <w:rFonts w:cs="Times New Roman"/>
        </w:rPr>
        <w:t xml:space="preserve">In these </w:t>
      </w:r>
      <w:r w:rsidR="00F30F43" w:rsidRPr="0003601D">
        <w:rPr>
          <w:rFonts w:cs="Times New Roman"/>
        </w:rPr>
        <w:t>times, government objectives could chan</w:t>
      </w:r>
      <w:r w:rsidRPr="0003601D">
        <w:rPr>
          <w:rFonts w:cs="Times New Roman"/>
        </w:rPr>
        <w:t xml:space="preserve">ge but for now we assume that there will be </w:t>
      </w:r>
      <w:r w:rsidR="00F30F43" w:rsidRPr="0003601D">
        <w:rPr>
          <w:rFonts w:cs="Times New Roman"/>
        </w:rPr>
        <w:t xml:space="preserve">a choice between </w:t>
      </w:r>
      <w:r w:rsidR="000114EE">
        <w:rPr>
          <w:rFonts w:cs="Times New Roman"/>
        </w:rPr>
        <w:t xml:space="preserve">the PM’s and EU’s withdrawal agreement described above </w:t>
      </w:r>
      <w:r w:rsidR="00F30F43" w:rsidRPr="0003601D">
        <w:rPr>
          <w:rFonts w:cs="Times New Roman"/>
        </w:rPr>
        <w:t>or a baseline WTO trading relationship</w:t>
      </w:r>
      <w:r w:rsidR="000114EE">
        <w:rPr>
          <w:rFonts w:cs="Times New Roman"/>
        </w:rPr>
        <w:t>, known as “crashing out without an agreement</w:t>
      </w:r>
      <w:r w:rsidR="00D377E5" w:rsidRPr="0003601D">
        <w:rPr>
          <w:rFonts w:cs="Times New Roman"/>
        </w:rPr>
        <w:t>, at least in principle</w:t>
      </w:r>
      <w:r w:rsidR="00F30F43" w:rsidRPr="0003601D">
        <w:rPr>
          <w:rFonts w:cs="Times New Roman"/>
        </w:rPr>
        <w:t xml:space="preserve">. </w:t>
      </w:r>
      <w:r w:rsidR="000114EE">
        <w:rPr>
          <w:rFonts w:cs="Times New Roman"/>
        </w:rPr>
        <w:t>There will be the opportunity for future trading arrangements with countries outside the EU and FTA’s where appropriate but these would all need to be negotiated which would take time and it is hard to predict the short term let alone the long term dynamics of a future system.</w:t>
      </w:r>
    </w:p>
    <w:p w14:paraId="7FAD2918" w14:textId="77777777" w:rsidR="00F30F43" w:rsidRPr="0003601D" w:rsidRDefault="00F30F43" w:rsidP="00F30F43">
      <w:pPr>
        <w:rPr>
          <w:rFonts w:cs="Times New Roman"/>
        </w:rPr>
      </w:pPr>
      <w:r w:rsidRPr="0003601D">
        <w:rPr>
          <w:rFonts w:cs="Times New Roman"/>
        </w:rPr>
        <w:lastRenderedPageBreak/>
        <w:t xml:space="preserve"> </w:t>
      </w:r>
    </w:p>
    <w:p w14:paraId="310E82DE" w14:textId="0D77EE15" w:rsidR="00F30F43" w:rsidRPr="0003601D" w:rsidRDefault="00662C24" w:rsidP="00F30F43">
      <w:pPr>
        <w:rPr>
          <w:rFonts w:cs="Times New Roman"/>
        </w:rPr>
      </w:pPr>
      <w:r w:rsidRPr="0003601D">
        <w:rPr>
          <w:rFonts w:cs="Times New Roman"/>
        </w:rPr>
        <w:t>Employing</w:t>
      </w:r>
      <w:r w:rsidR="00F30F43" w:rsidRPr="0003601D">
        <w:rPr>
          <w:rFonts w:cs="Times New Roman"/>
        </w:rPr>
        <w:t xml:space="preserve"> a WTO trading</w:t>
      </w:r>
      <w:r w:rsidRPr="0003601D">
        <w:rPr>
          <w:rFonts w:cs="Times New Roman"/>
        </w:rPr>
        <w:t xml:space="preserve"> relationship would incur large rises in </w:t>
      </w:r>
      <w:r w:rsidR="002E51F1">
        <w:rPr>
          <w:rFonts w:cs="Times New Roman"/>
        </w:rPr>
        <w:t xml:space="preserve">the </w:t>
      </w:r>
      <w:r w:rsidRPr="0003601D">
        <w:rPr>
          <w:rFonts w:cs="Times New Roman"/>
        </w:rPr>
        <w:t xml:space="preserve">price </w:t>
      </w:r>
      <w:r w:rsidR="002E51F1">
        <w:rPr>
          <w:rFonts w:cs="Times New Roman"/>
        </w:rPr>
        <w:t xml:space="preserve">of </w:t>
      </w:r>
      <w:r w:rsidRPr="0003601D">
        <w:rPr>
          <w:rFonts w:cs="Times New Roman"/>
        </w:rPr>
        <w:t>meat</w:t>
      </w:r>
      <w:r w:rsidR="00F30F43" w:rsidRPr="0003601D">
        <w:rPr>
          <w:rFonts w:cs="Times New Roman"/>
        </w:rPr>
        <w:t>. The FTA has been projected to incur trade facilitation costs of around 5% of the original cost, whilst the WTO arrangement, with its very high tariffs on meat, would increase prices by around 8% for all meats</w:t>
      </w:r>
      <w:r w:rsidR="009E183D" w:rsidRPr="0003601D">
        <w:rPr>
          <w:rFonts w:cs="Times New Roman"/>
          <w:vertAlign w:val="superscript"/>
        </w:rPr>
        <w:t>14</w:t>
      </w:r>
      <w:r w:rsidR="00F30F43" w:rsidRPr="0003601D">
        <w:rPr>
          <w:rFonts w:cs="Times New Roman"/>
        </w:rPr>
        <w:t>. Both scenarios will increase costs, but the WTO would increase costs more than the other.</w:t>
      </w:r>
    </w:p>
    <w:p w14:paraId="14BF4FF3" w14:textId="77777777" w:rsidR="002B55D3" w:rsidRPr="0003601D" w:rsidRDefault="002B55D3" w:rsidP="00F30F43">
      <w:pPr>
        <w:rPr>
          <w:rFonts w:cs="Times New Roman"/>
        </w:rPr>
      </w:pPr>
    </w:p>
    <w:p w14:paraId="0A6AD3D4" w14:textId="549356F1" w:rsidR="00F30F43" w:rsidRDefault="00F30F43" w:rsidP="00F30F43">
      <w:pPr>
        <w:rPr>
          <w:rFonts w:cs="Times New Roman"/>
        </w:rPr>
      </w:pPr>
      <w:r w:rsidRPr="0003601D">
        <w:rPr>
          <w:rFonts w:cs="Times New Roman"/>
        </w:rPr>
        <w:t xml:space="preserve">The statistics suggest that, whilst </w:t>
      </w:r>
      <w:r w:rsidR="002E51F1">
        <w:rPr>
          <w:rFonts w:cs="Times New Roman"/>
        </w:rPr>
        <w:t xml:space="preserve">particular member states are </w:t>
      </w:r>
      <w:r w:rsidRPr="0003601D">
        <w:rPr>
          <w:rFonts w:cs="Times New Roman"/>
        </w:rPr>
        <w:t xml:space="preserve">somewhat dependent on the UK for business, they are far less dependent on our demand than we are on their supply. </w:t>
      </w:r>
    </w:p>
    <w:p w14:paraId="3D4258AB" w14:textId="77777777" w:rsidR="002E51F1" w:rsidRPr="0003601D" w:rsidRDefault="002E51F1" w:rsidP="00F30F43">
      <w:pPr>
        <w:rPr>
          <w:rFonts w:cs="Times New Roman"/>
        </w:rPr>
      </w:pPr>
    </w:p>
    <w:p w14:paraId="0E16E6EE" w14:textId="5253092A" w:rsidR="002B55D3" w:rsidRPr="0003601D" w:rsidRDefault="00234437" w:rsidP="00F30F43">
      <w:pPr>
        <w:rPr>
          <w:rFonts w:cs="Times New Roman"/>
        </w:rPr>
      </w:pPr>
      <w:r w:rsidRPr="0003601D">
        <w:rPr>
          <w:rFonts w:cs="Times New Roman"/>
        </w:rPr>
        <w:t>Figure 3a</w:t>
      </w:r>
      <w:r w:rsidR="00662C24" w:rsidRPr="0003601D">
        <w:rPr>
          <w:rFonts w:cs="Times New Roman"/>
        </w:rPr>
        <w:t xml:space="preserve"> shows the disparity o</w:t>
      </w:r>
      <w:r w:rsidR="00F30F43" w:rsidRPr="0003601D">
        <w:rPr>
          <w:rFonts w:cs="Times New Roman"/>
        </w:rPr>
        <w:t xml:space="preserve">n dependence. </w:t>
      </w:r>
      <w:r w:rsidR="002E120B" w:rsidRPr="0003601D">
        <w:rPr>
          <w:rFonts w:cs="Times New Roman"/>
        </w:rPr>
        <w:t>For example, w</w:t>
      </w:r>
      <w:r w:rsidR="00F30F43" w:rsidRPr="0003601D">
        <w:rPr>
          <w:rFonts w:cs="Times New Roman"/>
        </w:rPr>
        <w:t>hilst 47% of our poultry imports are so</w:t>
      </w:r>
      <w:r w:rsidR="00662C24" w:rsidRPr="0003601D">
        <w:rPr>
          <w:rFonts w:cs="Times New Roman"/>
        </w:rPr>
        <w:t>urced from the Netherlands</w:t>
      </w:r>
      <w:r w:rsidR="002E120B" w:rsidRPr="0003601D">
        <w:rPr>
          <w:rFonts w:cs="Times New Roman"/>
        </w:rPr>
        <w:t xml:space="preserve">, this accounts for </w:t>
      </w:r>
      <w:r w:rsidR="00F30F43" w:rsidRPr="0003601D">
        <w:rPr>
          <w:rFonts w:cs="Times New Roman"/>
        </w:rPr>
        <w:t>30.</w:t>
      </w:r>
      <w:r w:rsidR="00662C24" w:rsidRPr="0003601D">
        <w:rPr>
          <w:rFonts w:cs="Times New Roman"/>
        </w:rPr>
        <w:t>9% of their poultry exports</w:t>
      </w:r>
      <w:r w:rsidR="00F30F43" w:rsidRPr="0003601D">
        <w:rPr>
          <w:rFonts w:cs="Times New Roman"/>
        </w:rPr>
        <w:t xml:space="preserve">. Likewise, whilst 66% of our </w:t>
      </w:r>
      <w:r w:rsidR="009477AF" w:rsidRPr="0003601D">
        <w:rPr>
          <w:rFonts w:cs="Times New Roman"/>
        </w:rPr>
        <w:t>b</w:t>
      </w:r>
      <w:r w:rsidR="00F30F43" w:rsidRPr="0003601D">
        <w:rPr>
          <w:rFonts w:cs="Times New Roman"/>
        </w:rPr>
        <w:t xml:space="preserve">eef imports come from </w:t>
      </w:r>
      <w:r w:rsidR="009E183D" w:rsidRPr="0003601D">
        <w:rPr>
          <w:rFonts w:cs="Times New Roman"/>
        </w:rPr>
        <w:t>Ireland,</w:t>
      </w:r>
      <w:r w:rsidR="00F30F43" w:rsidRPr="0003601D">
        <w:rPr>
          <w:rFonts w:cs="Times New Roman"/>
        </w:rPr>
        <w:t xml:space="preserve"> </w:t>
      </w:r>
      <w:r w:rsidR="002E120B" w:rsidRPr="0003601D">
        <w:rPr>
          <w:rFonts w:cs="Times New Roman"/>
        </w:rPr>
        <w:t xml:space="preserve">this accounts for </w:t>
      </w:r>
      <w:r w:rsidR="00F30F43" w:rsidRPr="0003601D">
        <w:rPr>
          <w:rFonts w:cs="Times New Roman"/>
        </w:rPr>
        <w:t xml:space="preserve">48.9% of their </w:t>
      </w:r>
      <w:r w:rsidR="00662C24" w:rsidRPr="0003601D">
        <w:rPr>
          <w:rFonts w:cs="Times New Roman"/>
        </w:rPr>
        <w:t xml:space="preserve">beef </w:t>
      </w:r>
      <w:r w:rsidR="00F30F43" w:rsidRPr="0003601D">
        <w:rPr>
          <w:rFonts w:cs="Times New Roman"/>
        </w:rPr>
        <w:t>exports. Despite this disparity</w:t>
      </w:r>
      <w:r w:rsidR="002E120B" w:rsidRPr="0003601D">
        <w:rPr>
          <w:rFonts w:cs="Times New Roman"/>
        </w:rPr>
        <w:t xml:space="preserve"> between demand and supply</w:t>
      </w:r>
      <w:r w:rsidR="00F30F43" w:rsidRPr="0003601D">
        <w:rPr>
          <w:rFonts w:cs="Times New Roman"/>
        </w:rPr>
        <w:t>, it is undeniable that some of these countries are still dependent on our demand for their industries, particularly in beef and poultry, the effect that lapsing into WTO rules instead of a W</w:t>
      </w:r>
      <w:r w:rsidR="00662C24" w:rsidRPr="0003601D">
        <w:rPr>
          <w:rFonts w:cs="Times New Roman"/>
        </w:rPr>
        <w:t xml:space="preserve">orld </w:t>
      </w:r>
      <w:r w:rsidR="00F30F43" w:rsidRPr="0003601D">
        <w:rPr>
          <w:rFonts w:cs="Times New Roman"/>
        </w:rPr>
        <w:t>T</w:t>
      </w:r>
      <w:r w:rsidR="00662C24" w:rsidRPr="0003601D">
        <w:rPr>
          <w:rFonts w:cs="Times New Roman"/>
        </w:rPr>
        <w:t xml:space="preserve">rade </w:t>
      </w:r>
      <w:r w:rsidR="00F30F43" w:rsidRPr="0003601D">
        <w:rPr>
          <w:rFonts w:cs="Times New Roman"/>
        </w:rPr>
        <w:t>A</w:t>
      </w:r>
      <w:r w:rsidR="00662C24" w:rsidRPr="0003601D">
        <w:rPr>
          <w:rFonts w:cs="Times New Roman"/>
        </w:rPr>
        <w:t>greement (WTA)</w:t>
      </w:r>
      <w:r w:rsidR="00F30F43" w:rsidRPr="0003601D">
        <w:rPr>
          <w:rFonts w:cs="Times New Roman"/>
        </w:rPr>
        <w:t xml:space="preserve"> would have on the Irish beef exporters, half of whom depend on our custom, or Dutch poultry exporters, almost a third of whom get business from the UK, </w:t>
      </w:r>
      <w:r w:rsidR="002E120B" w:rsidRPr="0003601D">
        <w:rPr>
          <w:rFonts w:cs="Times New Roman"/>
        </w:rPr>
        <w:t>c</w:t>
      </w:r>
      <w:r w:rsidR="00F30F43" w:rsidRPr="0003601D">
        <w:rPr>
          <w:rFonts w:cs="Times New Roman"/>
        </w:rPr>
        <w:t xml:space="preserve">ould be damaging. Consequently, these countries </w:t>
      </w:r>
      <w:r w:rsidR="00662C24" w:rsidRPr="0003601D">
        <w:rPr>
          <w:rFonts w:cs="Times New Roman"/>
        </w:rPr>
        <w:t xml:space="preserve">may consider </w:t>
      </w:r>
      <w:r w:rsidR="00F30F43" w:rsidRPr="0003601D">
        <w:rPr>
          <w:rFonts w:cs="Times New Roman"/>
        </w:rPr>
        <w:t xml:space="preserve">a FTA in beef or poultry, although the extent to which </w:t>
      </w:r>
      <w:r w:rsidR="00662C24" w:rsidRPr="0003601D">
        <w:rPr>
          <w:rFonts w:cs="Times New Roman"/>
        </w:rPr>
        <w:t>one member country in a union of 27 countries</w:t>
      </w:r>
      <w:r w:rsidR="00F30F43" w:rsidRPr="0003601D">
        <w:rPr>
          <w:rFonts w:cs="Times New Roman"/>
        </w:rPr>
        <w:t xml:space="preserve"> can push this through is questionable: Additionally, while the UK is heavily dependent on the EU for pork imports (99.8%) </w:t>
      </w:r>
      <w:r w:rsidR="00837792" w:rsidRPr="0003601D">
        <w:rPr>
          <w:rFonts w:cs="Times New Roman"/>
        </w:rPr>
        <w:t xml:space="preserve">(Figure 2) </w:t>
      </w:r>
      <w:r w:rsidR="00F30F43" w:rsidRPr="0003601D">
        <w:rPr>
          <w:rFonts w:cs="Times New Roman"/>
        </w:rPr>
        <w:t>no one member state particularly relies on the UK for custom; our largest partner, Denmark, sells only 15.9% of its exports to the UK</w:t>
      </w:r>
      <w:r w:rsidR="0028343F" w:rsidRPr="0003601D">
        <w:rPr>
          <w:rFonts w:cs="Times New Roman"/>
        </w:rPr>
        <w:t xml:space="preserve"> (Figure 3a)</w:t>
      </w:r>
      <w:r w:rsidR="00F30F43" w:rsidRPr="0003601D">
        <w:rPr>
          <w:rFonts w:cs="Times New Roman"/>
        </w:rPr>
        <w:t>. This means that the likelihood of no FTA in the trade of pork is</w:t>
      </w:r>
      <w:r w:rsidR="002B55D3" w:rsidRPr="0003601D">
        <w:rPr>
          <w:rFonts w:cs="Times New Roman"/>
        </w:rPr>
        <w:t xml:space="preserve"> probably</w:t>
      </w:r>
      <w:r w:rsidR="00F30F43" w:rsidRPr="0003601D">
        <w:rPr>
          <w:rFonts w:cs="Times New Roman"/>
        </w:rPr>
        <w:t xml:space="preserve"> greater. </w:t>
      </w:r>
    </w:p>
    <w:p w14:paraId="1FA5EFAF" w14:textId="77777777" w:rsidR="002B55D3" w:rsidRPr="0003601D" w:rsidRDefault="002B55D3" w:rsidP="00F30F43">
      <w:pPr>
        <w:rPr>
          <w:rFonts w:cs="Times New Roman"/>
        </w:rPr>
      </w:pPr>
    </w:p>
    <w:p w14:paraId="7A218E3B" w14:textId="1CFC09A9" w:rsidR="00F30F43" w:rsidRPr="0003601D" w:rsidRDefault="00F30F43" w:rsidP="00CA54B7">
      <w:pPr>
        <w:spacing w:line="270" w:lineRule="atLeast"/>
        <w:rPr>
          <w:rFonts w:cs="Times New Roman"/>
        </w:rPr>
      </w:pPr>
      <w:r w:rsidRPr="0003601D">
        <w:rPr>
          <w:rFonts w:cs="Times New Roman"/>
        </w:rPr>
        <w:t>Even if an FTA is agreed it will take longer than the two years before the UK must leave the EU as the Committee has suggested</w:t>
      </w:r>
      <w:r w:rsidR="00626768" w:rsidRPr="0003601D">
        <w:rPr>
          <w:rFonts w:cs="Times New Roman"/>
          <w:vertAlign w:val="superscript"/>
        </w:rPr>
        <w:t>12</w:t>
      </w:r>
      <w:r w:rsidR="002E51F1" w:rsidRPr="0003601D">
        <w:rPr>
          <w:rFonts w:cs="Times New Roman"/>
        </w:rPr>
        <w:t>,</w:t>
      </w:r>
      <w:r w:rsidRPr="0003601D">
        <w:rPr>
          <w:rFonts w:cs="Times New Roman"/>
          <w:vertAlign w:val="superscript"/>
        </w:rPr>
        <w:t xml:space="preserve"> </w:t>
      </w:r>
      <w:r w:rsidR="00662C24" w:rsidRPr="0003601D">
        <w:rPr>
          <w:rFonts w:cs="Times New Roman"/>
        </w:rPr>
        <w:t xml:space="preserve">perhaps </w:t>
      </w:r>
      <w:r w:rsidRPr="0003601D">
        <w:rPr>
          <w:rFonts w:cs="Times New Roman"/>
        </w:rPr>
        <w:t>meaning an interim period of trading under WTO rules, unless transition arrangements can be agreed on. Additionally, an FTA isn’t a total solution as prices are still predicted to rise by around 5% as earlier mentioned.</w:t>
      </w:r>
      <w:r w:rsidR="00FB5EBA" w:rsidRPr="0003601D">
        <w:rPr>
          <w:rFonts w:cs="Times New Roman"/>
        </w:rPr>
        <w:t xml:space="preserve"> Recent analysis by the Institute of Fiscal Studies has proposed that as 30% of food is imported</w:t>
      </w:r>
      <w:r w:rsidR="00837792" w:rsidRPr="0003601D">
        <w:rPr>
          <w:rFonts w:cs="Times New Roman"/>
        </w:rPr>
        <w:t xml:space="preserve"> to the UK</w:t>
      </w:r>
      <w:r w:rsidR="00FB5EBA" w:rsidRPr="0003601D">
        <w:rPr>
          <w:rFonts w:cs="Times New Roman"/>
        </w:rPr>
        <w:t xml:space="preserve"> from Europe compared to only 17% of overall consumer spend, This means that changes in the costs of imports – for example, through changes to tariffs or movements in exchange rates – are likely to have a particularly big impact on food prices.</w:t>
      </w:r>
    </w:p>
    <w:p w14:paraId="745A7354" w14:textId="77777777" w:rsidR="002B55D3" w:rsidRPr="0003601D" w:rsidRDefault="002B55D3" w:rsidP="00F30F43">
      <w:pPr>
        <w:rPr>
          <w:rFonts w:cs="Times New Roman"/>
        </w:rPr>
      </w:pPr>
    </w:p>
    <w:p w14:paraId="4D074E22" w14:textId="00EB2726" w:rsidR="00F30F43" w:rsidRPr="0003601D" w:rsidRDefault="002B55D3" w:rsidP="00F30F43">
      <w:pPr>
        <w:rPr>
          <w:rFonts w:cs="Times New Roman"/>
        </w:rPr>
      </w:pPr>
      <w:r w:rsidRPr="0003601D">
        <w:rPr>
          <w:rFonts w:cs="Times New Roman"/>
        </w:rPr>
        <w:t>A</w:t>
      </w:r>
      <w:r w:rsidR="00662C24" w:rsidRPr="0003601D">
        <w:rPr>
          <w:rFonts w:cs="Times New Roman"/>
        </w:rPr>
        <w:t>n</w:t>
      </w:r>
      <w:r w:rsidR="00F30F43" w:rsidRPr="0003601D">
        <w:rPr>
          <w:rFonts w:cs="Times New Roman"/>
        </w:rPr>
        <w:t xml:space="preserve"> NFU study suggests that price increases will increase domestic supply, allowing the gap in demand and supply to be somewhat filled and price inflation staved off: “disruption of the industry’s supply may be smoothed if UK farmers expand domestic production in response to an upward trend in farm-level prices”</w:t>
      </w:r>
      <w:r w:rsidR="00880C43" w:rsidRPr="0003601D">
        <w:rPr>
          <w:rFonts w:cs="Times New Roman"/>
          <w:vertAlign w:val="superscript"/>
        </w:rPr>
        <w:t>14</w:t>
      </w:r>
      <w:r w:rsidR="00880C43" w:rsidRPr="0003601D">
        <w:rPr>
          <w:rFonts w:cs="Times New Roman"/>
        </w:rPr>
        <w:t>.</w:t>
      </w:r>
      <w:r w:rsidR="00F30F43" w:rsidRPr="0003601D">
        <w:rPr>
          <w:rFonts w:cs="Times New Roman"/>
        </w:rPr>
        <w:t xml:space="preserve"> However, exiting the EU will produce barriers to domestic expansion that may make domestic supply seriously inelastic to price increases. The Agriculture and Development Board notes that the nature of meat processing work, being ‘low-paid’, ‘irregular’, and ‘unattractive’, consequently employs a large number of migrant workers from Central and Eastern European countries – 38% of those employed in general ‘manufacture of food products’ are migrant </w:t>
      </w:r>
      <w:r w:rsidR="00F30F43" w:rsidRPr="0003601D">
        <w:rPr>
          <w:rFonts w:cs="Times New Roman"/>
        </w:rPr>
        <w:lastRenderedPageBreak/>
        <w:t>workers</w:t>
      </w:r>
      <w:r w:rsidR="00880C43" w:rsidRPr="0003601D">
        <w:rPr>
          <w:rFonts w:cs="Times New Roman"/>
          <w:vertAlign w:val="superscript"/>
        </w:rPr>
        <w:t>16</w:t>
      </w:r>
      <w:r w:rsidR="00880C43" w:rsidRPr="0003601D">
        <w:rPr>
          <w:rFonts w:cs="Times New Roman"/>
        </w:rPr>
        <w:t>.</w:t>
      </w:r>
      <w:r w:rsidR="00F30F43" w:rsidRPr="0003601D">
        <w:rPr>
          <w:rFonts w:cs="Times New Roman"/>
        </w:rPr>
        <w:t xml:space="preserve"> Although it is possible for a free movement agreement to be maintained, political circumstances </w:t>
      </w:r>
      <w:r w:rsidR="00842668" w:rsidRPr="0003601D">
        <w:rPr>
          <w:rFonts w:cs="Times New Roman"/>
        </w:rPr>
        <w:t xml:space="preserve">may </w:t>
      </w:r>
      <w:r w:rsidR="00F30F43" w:rsidRPr="0003601D">
        <w:rPr>
          <w:rFonts w:cs="Times New Roman"/>
        </w:rPr>
        <w:t>make this very unlikely. Increasing productivity of existing workers or automation could help increase production without increasing migrant workers but this will take time and so in the short term, UK meat processors will be unlikely to be in a position to fill the gap left by EU imports.</w:t>
      </w:r>
      <w:r w:rsidR="00476415" w:rsidRPr="0003601D">
        <w:rPr>
          <w:rFonts w:cs="Times New Roman"/>
        </w:rPr>
        <w:t xml:space="preserve"> </w:t>
      </w:r>
      <w:r w:rsidR="00476415" w:rsidRPr="0003601D">
        <w:rPr>
          <w:rFonts w:cs="Times New Roman"/>
          <w:lang w:val="en-US"/>
        </w:rPr>
        <w:t xml:space="preserve">Probably at least as large a barrier is caused by the lead-in times for </w:t>
      </w:r>
      <w:r w:rsidR="0078701B" w:rsidRPr="0003601D">
        <w:rPr>
          <w:rFonts w:cs="Times New Roman"/>
          <w:lang w:val="en-US"/>
        </w:rPr>
        <w:t xml:space="preserve">productivity </w:t>
      </w:r>
      <w:r w:rsidR="00476415" w:rsidRPr="0003601D">
        <w:rPr>
          <w:rFonts w:cs="Times New Roman"/>
          <w:lang w:val="en-US"/>
        </w:rPr>
        <w:t xml:space="preserve">expansion, whether the 18-36 months needed for beef cattle to mature, or the years it would be likely to take for planning applications for new poultry sheds to pass through the system. </w:t>
      </w:r>
    </w:p>
    <w:p w14:paraId="2C4D487E" w14:textId="77777777" w:rsidR="002B55D3" w:rsidRPr="0003601D" w:rsidRDefault="002B55D3" w:rsidP="00F30F43">
      <w:pPr>
        <w:rPr>
          <w:rFonts w:cs="Times New Roman"/>
        </w:rPr>
      </w:pPr>
    </w:p>
    <w:p w14:paraId="2BE2D0F5" w14:textId="13839AA3" w:rsidR="00F30F43" w:rsidRPr="0003601D" w:rsidRDefault="00F30F43" w:rsidP="00F30F43">
      <w:pPr>
        <w:rPr>
          <w:rFonts w:cs="Times New Roman"/>
        </w:rPr>
      </w:pPr>
      <w:r w:rsidRPr="0003601D">
        <w:rPr>
          <w:rFonts w:cs="Times New Roman"/>
        </w:rPr>
        <w:t xml:space="preserve">The UK could redirect </w:t>
      </w:r>
      <w:r w:rsidR="00842668" w:rsidRPr="0003601D">
        <w:rPr>
          <w:rFonts w:cs="Times New Roman"/>
        </w:rPr>
        <w:t xml:space="preserve">its own </w:t>
      </w:r>
      <w:r w:rsidRPr="0003601D">
        <w:rPr>
          <w:rFonts w:cs="Times New Roman"/>
        </w:rPr>
        <w:t>exports to domestic consumers. Howe</w:t>
      </w:r>
      <w:r w:rsidR="00842668" w:rsidRPr="0003601D">
        <w:rPr>
          <w:rFonts w:cs="Times New Roman"/>
        </w:rPr>
        <w:t>ver, this is unlikely as</w:t>
      </w:r>
      <w:r w:rsidRPr="0003601D">
        <w:rPr>
          <w:rFonts w:cs="Times New Roman"/>
        </w:rPr>
        <w:t xml:space="preserve"> UK exports </w:t>
      </w:r>
      <w:r w:rsidR="00842668" w:rsidRPr="0003601D">
        <w:rPr>
          <w:rFonts w:cs="Times New Roman"/>
        </w:rPr>
        <w:t xml:space="preserve">include many </w:t>
      </w:r>
      <w:r w:rsidRPr="0003601D">
        <w:rPr>
          <w:rFonts w:cs="Times New Roman"/>
        </w:rPr>
        <w:t>cuts of meat that are not popular</w:t>
      </w:r>
      <w:r w:rsidR="002B55D3" w:rsidRPr="0003601D">
        <w:rPr>
          <w:rFonts w:cs="Times New Roman"/>
        </w:rPr>
        <w:t xml:space="preserve"> for UK meat consumption (</w:t>
      </w:r>
      <w:r w:rsidR="004E27F3" w:rsidRPr="0003601D">
        <w:rPr>
          <w:rFonts w:cs="Times New Roman"/>
        </w:rPr>
        <w:t>e.g.</w:t>
      </w:r>
      <w:r w:rsidR="002B55D3" w:rsidRPr="0003601D">
        <w:rPr>
          <w:rFonts w:cs="Times New Roman"/>
        </w:rPr>
        <w:t xml:space="preserve"> </w:t>
      </w:r>
      <w:r w:rsidRPr="0003601D">
        <w:rPr>
          <w:rFonts w:cs="Times New Roman"/>
        </w:rPr>
        <w:t>snouts</w:t>
      </w:r>
      <w:r w:rsidR="002B55D3" w:rsidRPr="0003601D">
        <w:rPr>
          <w:rFonts w:cs="Times New Roman"/>
        </w:rPr>
        <w:t xml:space="preserve"> and trotters</w:t>
      </w:r>
      <w:r w:rsidRPr="0003601D">
        <w:rPr>
          <w:rFonts w:cs="Times New Roman"/>
        </w:rPr>
        <w:t>). Even assuming that all the meat the UK exports is perfectly substitutable for our meat imports, UK exports would not be able to cover the meat imported from the EU</w:t>
      </w:r>
      <w:r w:rsidR="007B7640" w:rsidRPr="0003601D">
        <w:rPr>
          <w:rFonts w:cs="Times New Roman"/>
        </w:rPr>
        <w:t>.</w:t>
      </w:r>
    </w:p>
    <w:p w14:paraId="37770FE9" w14:textId="77777777" w:rsidR="002B55D3" w:rsidRPr="0003601D" w:rsidRDefault="002B55D3" w:rsidP="00F30F43">
      <w:pPr>
        <w:rPr>
          <w:rFonts w:cs="Times New Roman"/>
        </w:rPr>
      </w:pPr>
    </w:p>
    <w:p w14:paraId="6DAA2D5E" w14:textId="080FD5EE" w:rsidR="00F30F43" w:rsidRPr="0003601D" w:rsidRDefault="00F30F43" w:rsidP="00F30F43">
      <w:pPr>
        <w:rPr>
          <w:rFonts w:cs="Times New Roman"/>
        </w:rPr>
      </w:pPr>
      <w:r w:rsidRPr="0003601D">
        <w:rPr>
          <w:rFonts w:cs="Times New Roman"/>
        </w:rPr>
        <w:t>In conclusion, DEFRA defines one of the key features of food security as ‘affordability’</w:t>
      </w:r>
      <w:r w:rsidR="00880C43" w:rsidRPr="0003601D">
        <w:rPr>
          <w:rFonts w:cs="Times New Roman"/>
          <w:vertAlign w:val="superscript"/>
        </w:rPr>
        <w:t>17</w:t>
      </w:r>
      <w:r w:rsidRPr="0003601D">
        <w:rPr>
          <w:rFonts w:cs="Times New Roman"/>
        </w:rPr>
        <w:t xml:space="preserve"> and the World Health Organisation emphasises the need of ‘availability’ and ‘adequate income’ for nutrition. An</w:t>
      </w:r>
      <w:r w:rsidR="00842668" w:rsidRPr="0003601D">
        <w:rPr>
          <w:rFonts w:cs="Times New Roman"/>
        </w:rPr>
        <w:t>y</w:t>
      </w:r>
      <w:r w:rsidRPr="0003601D">
        <w:rPr>
          <w:rFonts w:cs="Times New Roman"/>
        </w:rPr>
        <w:t xml:space="preserve"> increase in food prices will be particularly bad for low income families whose spending on food makes up for a larger share of their income</w:t>
      </w:r>
      <w:r w:rsidR="00AD39C4" w:rsidRPr="0003601D">
        <w:rPr>
          <w:rFonts w:cs="Times New Roman"/>
          <w:vertAlign w:val="superscript"/>
        </w:rPr>
        <w:t>15</w:t>
      </w:r>
      <w:r w:rsidRPr="0003601D">
        <w:rPr>
          <w:rFonts w:cs="Times New Roman"/>
        </w:rPr>
        <w:t xml:space="preserve">. </w:t>
      </w:r>
    </w:p>
    <w:p w14:paraId="349B532E" w14:textId="77777777" w:rsidR="00244FAA" w:rsidRPr="0003601D" w:rsidRDefault="00244FAA" w:rsidP="00F30F43">
      <w:pPr>
        <w:rPr>
          <w:rFonts w:cs="Times New Roman"/>
        </w:rPr>
      </w:pPr>
    </w:p>
    <w:p w14:paraId="45D2D212" w14:textId="77777777" w:rsidR="00F30F43" w:rsidRPr="0003601D" w:rsidRDefault="00F30F43" w:rsidP="00F30F43">
      <w:pPr>
        <w:rPr>
          <w:rFonts w:cs="Times New Roman"/>
        </w:rPr>
      </w:pPr>
      <w:r w:rsidRPr="0003601D">
        <w:rPr>
          <w:rFonts w:cs="Times New Roman"/>
        </w:rPr>
        <w:t xml:space="preserve">Whilst there are a number of avenues to which a post-Brexit rise in meat prices may be ameliorated, like an FTA with the EU, increases in domestic production, reductions in exports, consumer reactions, all of these options have major limitations as mentioned above. </w:t>
      </w:r>
    </w:p>
    <w:p w14:paraId="43D1C585" w14:textId="77777777" w:rsidR="00244FAA" w:rsidRPr="0003601D" w:rsidRDefault="00244FAA" w:rsidP="00F30F43">
      <w:pPr>
        <w:rPr>
          <w:rFonts w:cs="Times New Roman"/>
        </w:rPr>
      </w:pPr>
    </w:p>
    <w:p w14:paraId="6C576AA2" w14:textId="030DC743" w:rsidR="00F30F43" w:rsidRPr="00AF15BA" w:rsidRDefault="00F30F43">
      <w:pPr>
        <w:rPr>
          <w:b/>
        </w:rPr>
      </w:pPr>
      <w:r w:rsidRPr="0003601D">
        <w:rPr>
          <w:rFonts w:cs="Times New Roman"/>
        </w:rPr>
        <w:t>It seems apparent that a rigorous assessment of non-EU nations as candidates for new trade agreements in meat trade could be t</w:t>
      </w:r>
      <w:r w:rsidR="00244FAA" w:rsidRPr="0003601D">
        <w:rPr>
          <w:rFonts w:cs="Times New Roman"/>
        </w:rPr>
        <w:t xml:space="preserve">he only way to avoid </w:t>
      </w:r>
      <w:r w:rsidR="00842668" w:rsidRPr="0003601D">
        <w:rPr>
          <w:rFonts w:cs="Times New Roman"/>
        </w:rPr>
        <w:t xml:space="preserve">any decline </w:t>
      </w:r>
      <w:r w:rsidR="00244FAA" w:rsidRPr="0003601D">
        <w:rPr>
          <w:rFonts w:cs="Times New Roman"/>
        </w:rPr>
        <w:t>in supply/demand of meat for UK consumers</w:t>
      </w:r>
      <w:r w:rsidRPr="0003601D">
        <w:rPr>
          <w:rFonts w:cs="Times New Roman"/>
        </w:rPr>
        <w:t>. External producers of meat are known for often producing meat for much lower prices that EU producers, an EU report produced a theoretical example of producers from withi</w:t>
      </w:r>
      <w:r w:rsidR="00842668" w:rsidRPr="0003601D">
        <w:rPr>
          <w:rFonts w:cs="Times New Roman"/>
        </w:rPr>
        <w:t>n the EU and outside, and with beef, pork, and p</w:t>
      </w:r>
      <w:r w:rsidRPr="0003601D">
        <w:rPr>
          <w:rFonts w:cs="Times New Roman"/>
        </w:rPr>
        <w:t>oultry, the external producers sold for much cheaper than in the EU, meaning even a trade agreement that left some tariffs intact would still maintain the prices currently enjoyed today</w:t>
      </w:r>
      <w:r w:rsidR="00AD39C4" w:rsidRPr="0003601D">
        <w:rPr>
          <w:rFonts w:cs="Times New Roman"/>
          <w:vertAlign w:val="superscript"/>
        </w:rPr>
        <w:t>18</w:t>
      </w:r>
      <w:r w:rsidR="00AD39C4" w:rsidRPr="0003601D">
        <w:rPr>
          <w:rFonts w:cs="Times New Roman"/>
        </w:rPr>
        <w:t>.</w:t>
      </w:r>
      <w:r w:rsidRPr="0003601D">
        <w:rPr>
          <w:rFonts w:cs="Times New Roman"/>
        </w:rPr>
        <w:t xml:space="preserve"> </w:t>
      </w:r>
    </w:p>
    <w:p w14:paraId="70A2B5DF" w14:textId="77777777" w:rsidR="00F30F43" w:rsidRPr="0003601D" w:rsidRDefault="00F30F43">
      <w:pPr>
        <w:rPr>
          <w:b/>
        </w:rPr>
      </w:pPr>
    </w:p>
    <w:p w14:paraId="2D2810F1" w14:textId="77777777" w:rsidR="00F30F43" w:rsidRPr="008C3D8E" w:rsidRDefault="00842668" w:rsidP="00F30F43">
      <w:pPr>
        <w:rPr>
          <w:rFonts w:cs="Times New Roman"/>
          <w:b/>
          <w:i/>
        </w:rPr>
      </w:pPr>
      <w:r w:rsidRPr="008C3D8E">
        <w:rPr>
          <w:rFonts w:cs="Times New Roman"/>
          <w:b/>
          <w:i/>
        </w:rPr>
        <w:t>Future supply</w:t>
      </w:r>
      <w:r w:rsidR="00F30F43" w:rsidRPr="008C3D8E">
        <w:rPr>
          <w:rFonts w:cs="Times New Roman"/>
          <w:b/>
          <w:i/>
        </w:rPr>
        <w:t>– new partners</w:t>
      </w:r>
      <w:r w:rsidR="0052713C" w:rsidRPr="008C3D8E">
        <w:rPr>
          <w:rFonts w:cs="Times New Roman"/>
          <w:b/>
          <w:i/>
        </w:rPr>
        <w:t>hip</w:t>
      </w:r>
      <w:r w:rsidR="00F30F43" w:rsidRPr="008C3D8E">
        <w:rPr>
          <w:rFonts w:cs="Times New Roman"/>
          <w:b/>
          <w:i/>
        </w:rPr>
        <w:t>?</w:t>
      </w:r>
    </w:p>
    <w:p w14:paraId="6206F7DD" w14:textId="4338219F" w:rsidR="004E27F3" w:rsidRPr="0003601D" w:rsidRDefault="00F623E9" w:rsidP="00F30F43">
      <w:pPr>
        <w:rPr>
          <w:rFonts w:cs="Times New Roman"/>
        </w:rPr>
      </w:pPr>
      <w:r w:rsidRPr="0003601D">
        <w:rPr>
          <w:rFonts w:cs="Times New Roman"/>
        </w:rPr>
        <w:t>I</w:t>
      </w:r>
      <w:r w:rsidR="00F30F43" w:rsidRPr="0003601D">
        <w:rPr>
          <w:rFonts w:cs="Times New Roman"/>
        </w:rPr>
        <w:t xml:space="preserve">n order to avoid a rise in the price of meats, </w:t>
      </w:r>
      <w:r w:rsidRPr="0003601D">
        <w:rPr>
          <w:rFonts w:cs="Times New Roman"/>
        </w:rPr>
        <w:t xml:space="preserve">new import markets may need to emerge and here we identify countries </w:t>
      </w:r>
      <w:r w:rsidR="00F30F43" w:rsidRPr="0003601D">
        <w:rPr>
          <w:rFonts w:cs="Times New Roman"/>
        </w:rPr>
        <w:t xml:space="preserve">who currently export large quantities of meat– in other words, growth opportunities. The analysis of whether these opportunities are suitable in normative terms will be evaluated later, </w:t>
      </w:r>
      <w:r w:rsidRPr="0003601D">
        <w:rPr>
          <w:rFonts w:cs="Times New Roman"/>
        </w:rPr>
        <w:t xml:space="preserve">as </w:t>
      </w:r>
      <w:r w:rsidR="00F30F43" w:rsidRPr="0003601D">
        <w:rPr>
          <w:rFonts w:cs="Times New Roman"/>
        </w:rPr>
        <w:t>this section is strictly looking at quantity</w:t>
      </w:r>
      <w:r w:rsidRPr="0003601D">
        <w:rPr>
          <w:rFonts w:cs="Times New Roman"/>
        </w:rPr>
        <w:t>/supply. We take</w:t>
      </w:r>
      <w:r w:rsidR="00F30F43" w:rsidRPr="0003601D">
        <w:rPr>
          <w:rFonts w:cs="Times New Roman"/>
        </w:rPr>
        <w:t xml:space="preserve"> two approaches </w:t>
      </w:r>
      <w:r w:rsidRPr="0003601D">
        <w:rPr>
          <w:rFonts w:cs="Times New Roman"/>
        </w:rPr>
        <w:t>to narrowing</w:t>
      </w:r>
      <w:r w:rsidR="00F30F43" w:rsidRPr="0003601D">
        <w:rPr>
          <w:rFonts w:cs="Times New Roman"/>
        </w:rPr>
        <w:t xml:space="preserve"> down the number of countries</w:t>
      </w:r>
      <w:r w:rsidRPr="0003601D">
        <w:rPr>
          <w:rFonts w:cs="Times New Roman"/>
        </w:rPr>
        <w:t xml:space="preserve"> analysed for meat trade flows</w:t>
      </w:r>
      <w:r w:rsidR="00F30F43" w:rsidRPr="0003601D">
        <w:rPr>
          <w:rFonts w:cs="Times New Roman"/>
        </w:rPr>
        <w:t xml:space="preserve">: one is looking at the QUAD </w:t>
      </w:r>
      <w:r w:rsidR="007B7640" w:rsidRPr="0003601D">
        <w:rPr>
          <w:rFonts w:cs="Times New Roman"/>
        </w:rPr>
        <w:t xml:space="preserve">food safety </w:t>
      </w:r>
      <w:r w:rsidR="00F30F43" w:rsidRPr="0003601D">
        <w:rPr>
          <w:rFonts w:cs="Times New Roman"/>
        </w:rPr>
        <w:t>countries and the other is looking at current major trading partners with the EU.</w:t>
      </w:r>
    </w:p>
    <w:p w14:paraId="36F12EBA" w14:textId="0899EF43" w:rsidR="00F30F43" w:rsidRPr="0003601D" w:rsidRDefault="00F30F43" w:rsidP="00F30F43">
      <w:pPr>
        <w:rPr>
          <w:rFonts w:cs="Times New Roman"/>
        </w:rPr>
      </w:pPr>
      <w:r w:rsidRPr="0003601D">
        <w:rPr>
          <w:rFonts w:cs="Times New Roman"/>
        </w:rPr>
        <w:t xml:space="preserve">The QUAD Countries can be considered to be economically large members of the Anglosphere: Canada, New Zealand, Australia, and the United States of America. These four countries are good candidates for growth opportunities since </w:t>
      </w:r>
      <w:r w:rsidR="0078701B" w:rsidRPr="0003601D">
        <w:rPr>
          <w:rFonts w:cs="Times New Roman"/>
        </w:rPr>
        <w:t>the</w:t>
      </w:r>
      <w:r w:rsidR="00F623E9" w:rsidRPr="0003601D">
        <w:rPr>
          <w:rFonts w:cs="Times New Roman"/>
        </w:rPr>
        <w:t xml:space="preserve"> UK </w:t>
      </w:r>
      <w:r w:rsidR="00F623E9" w:rsidRPr="0003601D">
        <w:rPr>
          <w:rFonts w:cs="Times New Roman"/>
        </w:rPr>
        <w:lastRenderedPageBreak/>
        <w:t>has many shared approaches and systems for example</w:t>
      </w:r>
      <w:r w:rsidRPr="0003601D">
        <w:rPr>
          <w:rFonts w:cs="Times New Roman"/>
        </w:rPr>
        <w:t xml:space="preserve">, in terms of meat production and standards. </w:t>
      </w:r>
    </w:p>
    <w:p w14:paraId="5D9A70E8" w14:textId="77777777" w:rsidR="00F623E9" w:rsidRPr="0003601D" w:rsidRDefault="00F623E9" w:rsidP="00F30F43">
      <w:pPr>
        <w:rPr>
          <w:rFonts w:cs="Times New Roman"/>
        </w:rPr>
      </w:pPr>
    </w:p>
    <w:p w14:paraId="08EA5E3C" w14:textId="7BC470BB" w:rsidR="00F30F43" w:rsidRPr="0003601D" w:rsidRDefault="00234437" w:rsidP="00F30F43">
      <w:pPr>
        <w:rPr>
          <w:rFonts w:cs="Times New Roman"/>
        </w:rPr>
      </w:pPr>
      <w:r w:rsidRPr="0003601D">
        <w:rPr>
          <w:rFonts w:cs="Times New Roman"/>
        </w:rPr>
        <w:t>Figure 3b</w:t>
      </w:r>
      <w:r w:rsidR="00F30F43" w:rsidRPr="0003601D">
        <w:rPr>
          <w:rFonts w:cs="Times New Roman"/>
        </w:rPr>
        <w:t xml:space="preserve"> considers each country as</w:t>
      </w:r>
      <w:r w:rsidR="0078701B" w:rsidRPr="0003601D">
        <w:rPr>
          <w:rFonts w:cs="Times New Roman"/>
        </w:rPr>
        <w:t xml:space="preserve"> a</w:t>
      </w:r>
      <w:r w:rsidR="00F30F43" w:rsidRPr="0003601D">
        <w:rPr>
          <w:rFonts w:cs="Times New Roman"/>
        </w:rPr>
        <w:t xml:space="preserve"> candidate for replacing the deficit left from </w:t>
      </w:r>
      <w:r w:rsidR="00F623E9" w:rsidRPr="0003601D">
        <w:rPr>
          <w:rFonts w:cs="Times New Roman"/>
        </w:rPr>
        <w:t xml:space="preserve">a loss of </w:t>
      </w:r>
      <w:r w:rsidR="00F30F43" w:rsidRPr="0003601D">
        <w:rPr>
          <w:rFonts w:cs="Times New Roman"/>
        </w:rPr>
        <w:t>trade with the EU. By l</w:t>
      </w:r>
      <w:r w:rsidR="0052713C" w:rsidRPr="0003601D">
        <w:rPr>
          <w:rFonts w:cs="Times New Roman"/>
        </w:rPr>
        <w:t xml:space="preserve">ooking at how much </w:t>
      </w:r>
      <w:r w:rsidR="00F30F43" w:rsidRPr="0003601D">
        <w:rPr>
          <w:rFonts w:cs="Times New Roman"/>
        </w:rPr>
        <w:t>a country exports to countries other than the UK, we can evaluate how much trade they could r</w:t>
      </w:r>
      <w:r w:rsidR="0052713C" w:rsidRPr="0003601D">
        <w:rPr>
          <w:rFonts w:cs="Times New Roman"/>
        </w:rPr>
        <w:t xml:space="preserve">edirect to us following an FTA. This is potentially more useful than focussing on </w:t>
      </w:r>
      <w:r w:rsidR="00F30F43" w:rsidRPr="0003601D">
        <w:rPr>
          <w:rFonts w:cs="Times New Roman"/>
        </w:rPr>
        <w:t xml:space="preserve">total production since many countries may produce </w:t>
      </w:r>
      <w:r w:rsidR="00684FD4" w:rsidRPr="0003601D">
        <w:rPr>
          <w:rFonts w:cs="Times New Roman"/>
        </w:rPr>
        <w:t xml:space="preserve">much </w:t>
      </w:r>
      <w:r w:rsidR="00F30F43" w:rsidRPr="0003601D">
        <w:rPr>
          <w:rFonts w:cs="Times New Roman"/>
        </w:rPr>
        <w:t>but lack the infrastructure to internation</w:t>
      </w:r>
      <w:r w:rsidR="0052713C" w:rsidRPr="0003601D">
        <w:rPr>
          <w:rFonts w:cs="Times New Roman"/>
        </w:rPr>
        <w:t>ally export that product. For b</w:t>
      </w:r>
      <w:r w:rsidR="00F30F43" w:rsidRPr="0003601D">
        <w:rPr>
          <w:rFonts w:cs="Times New Roman"/>
        </w:rPr>
        <w:t>eef, whilst all the countries individually could redirect their trade to fill the trade gap left by the EU, it appears that Australia and the US are the main c</w:t>
      </w:r>
      <w:r w:rsidR="0052713C" w:rsidRPr="0003601D">
        <w:rPr>
          <w:rFonts w:cs="Times New Roman"/>
        </w:rPr>
        <w:t>andidates for replacement. For p</w:t>
      </w:r>
      <w:r w:rsidR="00F30F43" w:rsidRPr="0003601D">
        <w:rPr>
          <w:rFonts w:cs="Times New Roman"/>
        </w:rPr>
        <w:t>ork, Canada and the US</w:t>
      </w:r>
      <w:r w:rsidR="0052713C" w:rsidRPr="0003601D">
        <w:rPr>
          <w:rFonts w:cs="Times New Roman"/>
        </w:rPr>
        <w:t xml:space="preserve"> look promising and for s</w:t>
      </w:r>
      <w:r w:rsidR="00F30F43" w:rsidRPr="0003601D">
        <w:rPr>
          <w:rFonts w:cs="Times New Roman"/>
        </w:rPr>
        <w:t xml:space="preserve">heep </w:t>
      </w:r>
      <w:r w:rsidR="00684FD4" w:rsidRPr="0003601D">
        <w:rPr>
          <w:rFonts w:cs="Times New Roman"/>
        </w:rPr>
        <w:t>m</w:t>
      </w:r>
      <w:r w:rsidR="00F30F43" w:rsidRPr="0003601D">
        <w:rPr>
          <w:rFonts w:cs="Times New Roman"/>
        </w:rPr>
        <w:t>eat, New Zealand and Australia could comfo</w:t>
      </w:r>
      <w:r w:rsidR="0052713C" w:rsidRPr="0003601D">
        <w:rPr>
          <w:rFonts w:cs="Times New Roman"/>
        </w:rPr>
        <w:t>rtably replace the EU. Finally for p</w:t>
      </w:r>
      <w:r w:rsidR="00F30F43" w:rsidRPr="0003601D">
        <w:rPr>
          <w:rFonts w:cs="Times New Roman"/>
        </w:rPr>
        <w:t xml:space="preserve">oultry, only the US appears to be capable of filling </w:t>
      </w:r>
      <w:r w:rsidR="0028343F" w:rsidRPr="0003601D">
        <w:rPr>
          <w:rFonts w:cs="Times New Roman"/>
        </w:rPr>
        <w:t xml:space="preserve">any reduction in </w:t>
      </w:r>
      <w:r w:rsidR="00F30F43" w:rsidRPr="0003601D">
        <w:rPr>
          <w:rFonts w:cs="Times New Roman"/>
        </w:rPr>
        <w:t>EU trade.</w:t>
      </w:r>
    </w:p>
    <w:p w14:paraId="222DD121" w14:textId="77777777" w:rsidR="00F623E9" w:rsidRPr="0003601D" w:rsidRDefault="00F623E9" w:rsidP="00F30F43">
      <w:pPr>
        <w:rPr>
          <w:rFonts w:cs="Times New Roman"/>
        </w:rPr>
      </w:pPr>
    </w:p>
    <w:p w14:paraId="52BCB4B5" w14:textId="64ADD0C4" w:rsidR="00F30F43" w:rsidRPr="0003601D" w:rsidRDefault="00F30F43" w:rsidP="00F30F43">
      <w:pPr>
        <w:rPr>
          <w:rFonts w:cs="Times New Roman"/>
        </w:rPr>
      </w:pPr>
      <w:r w:rsidRPr="0003601D">
        <w:rPr>
          <w:rFonts w:cs="Times New Roman"/>
        </w:rPr>
        <w:t xml:space="preserve">Whilst it appears that we import large amounts of meat from the EU, most notably </w:t>
      </w:r>
      <w:r w:rsidR="001351E3" w:rsidRPr="0003601D">
        <w:rPr>
          <w:rFonts w:cs="Times New Roman"/>
        </w:rPr>
        <w:t xml:space="preserve">Ireland and </w:t>
      </w:r>
      <w:r w:rsidRPr="0003601D">
        <w:rPr>
          <w:rFonts w:cs="Times New Roman"/>
        </w:rPr>
        <w:t xml:space="preserve">the Netherlands, </w:t>
      </w:r>
      <w:r w:rsidR="006C2E57" w:rsidRPr="0003601D">
        <w:rPr>
          <w:rFonts w:cs="Times New Roman"/>
        </w:rPr>
        <w:t xml:space="preserve">some of </w:t>
      </w:r>
      <w:r w:rsidRPr="0003601D">
        <w:rPr>
          <w:rFonts w:cs="Times New Roman"/>
        </w:rPr>
        <w:t>this meat originates from countries external to the European Union. Much of the meat externally imported into the EU will make stop offs at other ports in the EU before being shipped to the UK. On the books, the incoming meat will be sourced from the last port of call but much of this meat comes from outside the EU. This phenomenon is named ‘The Rotterdam Effect’</w:t>
      </w:r>
      <w:r w:rsidR="00AD39C4" w:rsidRPr="0003601D">
        <w:rPr>
          <w:rFonts w:cs="Times New Roman"/>
          <w:vertAlign w:val="superscript"/>
        </w:rPr>
        <w:t>19</w:t>
      </w:r>
      <w:r w:rsidRPr="0003601D">
        <w:rPr>
          <w:rFonts w:cs="Times New Roman"/>
        </w:rPr>
        <w:t xml:space="preserve"> after the port of Rotterdam wh</w:t>
      </w:r>
      <w:r w:rsidR="004E27F3">
        <w:rPr>
          <w:rFonts w:cs="Times New Roman"/>
        </w:rPr>
        <w:t>ere</w:t>
      </w:r>
      <w:r w:rsidRPr="0003601D">
        <w:rPr>
          <w:rFonts w:cs="Times New Roman"/>
        </w:rPr>
        <w:t xml:space="preserve"> large quantities of non-European meat travels through before reaching the UK. This means that there </w:t>
      </w:r>
      <w:r w:rsidR="0052713C" w:rsidRPr="0003601D">
        <w:rPr>
          <w:rFonts w:cs="Times New Roman"/>
        </w:rPr>
        <w:t>will</w:t>
      </w:r>
      <w:r w:rsidRPr="0003601D">
        <w:rPr>
          <w:rFonts w:cs="Times New Roman"/>
        </w:rPr>
        <w:t xml:space="preserve"> exist a whole range of countries external to the EU, that have meat standards similar to ours</w:t>
      </w:r>
      <w:r w:rsidR="00F623E9" w:rsidRPr="0003601D">
        <w:rPr>
          <w:rFonts w:cs="Times New Roman"/>
        </w:rPr>
        <w:t xml:space="preserve"> and currently meet EU standards hence the arrival into Europe through Rotterdam</w:t>
      </w:r>
      <w:r w:rsidRPr="0003601D">
        <w:rPr>
          <w:rFonts w:cs="Times New Roman"/>
        </w:rPr>
        <w:t xml:space="preserve">. By directly trading with them, we </w:t>
      </w:r>
      <w:r w:rsidR="00D40DA7" w:rsidRPr="0003601D">
        <w:rPr>
          <w:rFonts w:cs="Times New Roman"/>
        </w:rPr>
        <w:t xml:space="preserve">could </w:t>
      </w:r>
      <w:r w:rsidRPr="0003601D">
        <w:rPr>
          <w:rFonts w:cs="Times New Roman"/>
        </w:rPr>
        <w:t xml:space="preserve">cut out the middleman of EU states like the Netherlands, whilst maintaining the meat standards that we enjoyed importing from the EU. </w:t>
      </w:r>
    </w:p>
    <w:p w14:paraId="2C6D55CD" w14:textId="77777777" w:rsidR="00F623E9" w:rsidRPr="0003601D" w:rsidRDefault="00F623E9" w:rsidP="00F30F43">
      <w:pPr>
        <w:rPr>
          <w:rFonts w:cs="Times New Roman"/>
        </w:rPr>
      </w:pPr>
    </w:p>
    <w:p w14:paraId="79816F56" w14:textId="3401EDA3" w:rsidR="00F30F43" w:rsidRPr="0003601D" w:rsidRDefault="00F30F43" w:rsidP="00F30F43">
      <w:pPr>
        <w:rPr>
          <w:rFonts w:cs="Times New Roman"/>
        </w:rPr>
      </w:pPr>
      <w:r w:rsidRPr="0003601D">
        <w:rPr>
          <w:rFonts w:cs="Times New Roman"/>
        </w:rPr>
        <w:t xml:space="preserve">Looking at the </w:t>
      </w:r>
      <w:r w:rsidR="00F623E9" w:rsidRPr="0003601D">
        <w:rPr>
          <w:rFonts w:cs="Times New Roman"/>
        </w:rPr>
        <w:t>principal</w:t>
      </w:r>
      <w:r w:rsidRPr="0003601D">
        <w:rPr>
          <w:rFonts w:cs="Times New Roman"/>
        </w:rPr>
        <w:t xml:space="preserve"> sources for imports by the Netherlands,</w:t>
      </w:r>
      <w:r w:rsidR="00D40DA7" w:rsidRPr="0003601D">
        <w:rPr>
          <w:rFonts w:cs="Times New Roman"/>
        </w:rPr>
        <w:t xml:space="preserve"> i.e.</w:t>
      </w:r>
      <w:r w:rsidRPr="0003601D">
        <w:rPr>
          <w:rFonts w:cs="Times New Roman"/>
        </w:rPr>
        <w:t xml:space="preserve"> sources that may end up in the UK after stopping in Rotterdam, we find a number of large exporters to the N</w:t>
      </w:r>
      <w:r w:rsidR="00D40DA7" w:rsidRPr="0003601D">
        <w:rPr>
          <w:rFonts w:cs="Times New Roman"/>
        </w:rPr>
        <w:t xml:space="preserve">etherlands from outside the EU are </w:t>
      </w:r>
      <w:r w:rsidRPr="0003601D">
        <w:rPr>
          <w:rFonts w:cs="Times New Roman"/>
        </w:rPr>
        <w:t>primarily located in</w:t>
      </w:r>
      <w:r w:rsidR="00D40DA7" w:rsidRPr="0003601D">
        <w:rPr>
          <w:rFonts w:cs="Times New Roman"/>
        </w:rPr>
        <w:t xml:space="preserve"> Latin America. In the case of b</w:t>
      </w:r>
      <w:r w:rsidRPr="0003601D">
        <w:rPr>
          <w:rFonts w:cs="Times New Roman"/>
        </w:rPr>
        <w:t>eef, a number of sources are major export</w:t>
      </w:r>
      <w:r w:rsidR="00234437" w:rsidRPr="0003601D">
        <w:rPr>
          <w:rFonts w:cs="Times New Roman"/>
        </w:rPr>
        <w:t>ers to the Netherlands. Figure 4a</w:t>
      </w:r>
      <w:r w:rsidRPr="0003601D">
        <w:rPr>
          <w:rFonts w:cs="Times New Roman"/>
        </w:rPr>
        <w:t xml:space="preserve"> shows Brazil, Argentina and Uruguay all as major exporters along with all f</w:t>
      </w:r>
      <w:r w:rsidR="00D40DA7" w:rsidRPr="0003601D">
        <w:rPr>
          <w:rFonts w:cs="Times New Roman"/>
        </w:rPr>
        <w:t xml:space="preserve">our of the </w:t>
      </w:r>
      <w:r w:rsidR="0011461D" w:rsidRPr="0003601D">
        <w:rPr>
          <w:rFonts w:cs="Times New Roman"/>
        </w:rPr>
        <w:t xml:space="preserve">Food safety </w:t>
      </w:r>
      <w:r w:rsidR="00D40DA7" w:rsidRPr="0003601D">
        <w:rPr>
          <w:rFonts w:cs="Times New Roman"/>
        </w:rPr>
        <w:t>QUAD countries. For p</w:t>
      </w:r>
      <w:r w:rsidR="00234437" w:rsidRPr="0003601D">
        <w:rPr>
          <w:rFonts w:cs="Times New Roman"/>
        </w:rPr>
        <w:t>oultry Figure 4b</w:t>
      </w:r>
      <w:r w:rsidRPr="0003601D">
        <w:rPr>
          <w:rFonts w:cs="Times New Roman"/>
        </w:rPr>
        <w:t xml:space="preserve"> shows Brazil, Ukraine and Thailand as major exporters to the Netherlands. However, Ukraine may not be an appropriate candidate for a non-EU trading partner since it is, currently entering the Deep and Comprehensive Free Trade Area</w:t>
      </w:r>
      <w:r w:rsidR="0039304B" w:rsidRPr="0003601D">
        <w:rPr>
          <w:rFonts w:cs="Times New Roman"/>
          <w:vertAlign w:val="superscript"/>
        </w:rPr>
        <w:t>20</w:t>
      </w:r>
      <w:r w:rsidRPr="0003601D">
        <w:rPr>
          <w:rFonts w:cs="Times New Roman"/>
        </w:rPr>
        <w:t>. This analysis, therefore, shows Bra</w:t>
      </w:r>
      <w:r w:rsidR="00D40DA7" w:rsidRPr="0003601D">
        <w:rPr>
          <w:rFonts w:cs="Times New Roman"/>
        </w:rPr>
        <w:t>zil as a potential partner for beef and poultry, Argentina, Uruguay for beef alone and Thailand for p</w:t>
      </w:r>
      <w:r w:rsidRPr="0003601D">
        <w:rPr>
          <w:rFonts w:cs="Times New Roman"/>
        </w:rPr>
        <w:t>oultry.</w:t>
      </w:r>
    </w:p>
    <w:p w14:paraId="75993C96" w14:textId="77777777" w:rsidR="00F623E9" w:rsidRPr="0003601D" w:rsidRDefault="00F623E9" w:rsidP="00F30F43">
      <w:pPr>
        <w:rPr>
          <w:rFonts w:cs="Times New Roman"/>
        </w:rPr>
      </w:pPr>
    </w:p>
    <w:p w14:paraId="12B63A8F" w14:textId="77777777" w:rsidR="00F30F43" w:rsidRPr="0003601D" w:rsidRDefault="00F30F43" w:rsidP="00F30F43">
      <w:pPr>
        <w:rPr>
          <w:rFonts w:cs="Times New Roman"/>
        </w:rPr>
      </w:pPr>
      <w:r w:rsidRPr="0003601D">
        <w:rPr>
          <w:rFonts w:cs="Times New Roman"/>
        </w:rPr>
        <w:t>Comparing exports from these countries to our i</w:t>
      </w:r>
      <w:r w:rsidR="00234437" w:rsidRPr="0003601D">
        <w:rPr>
          <w:rFonts w:cs="Times New Roman"/>
        </w:rPr>
        <w:t>mport of EU produce in figure 5</w:t>
      </w:r>
      <w:r w:rsidRPr="0003601D">
        <w:rPr>
          <w:rFonts w:cs="Times New Roman"/>
        </w:rPr>
        <w:t xml:space="preserve">, as we did with the </w:t>
      </w:r>
      <w:r w:rsidR="0011461D" w:rsidRPr="0003601D">
        <w:rPr>
          <w:rFonts w:cs="Times New Roman"/>
        </w:rPr>
        <w:t xml:space="preserve">Food safety </w:t>
      </w:r>
      <w:r w:rsidRPr="0003601D">
        <w:rPr>
          <w:rFonts w:cs="Times New Roman"/>
        </w:rPr>
        <w:t xml:space="preserve">QUAD countries, </w:t>
      </w:r>
      <w:r w:rsidR="003C7313" w:rsidRPr="0003601D">
        <w:rPr>
          <w:rFonts w:cs="Times New Roman"/>
        </w:rPr>
        <w:t xml:space="preserve">highlights that </w:t>
      </w:r>
      <w:r w:rsidR="00D40DA7" w:rsidRPr="0003601D">
        <w:rPr>
          <w:rFonts w:cs="Times New Roman"/>
        </w:rPr>
        <w:t>Thai poultry and Argentinian b</w:t>
      </w:r>
      <w:r w:rsidRPr="0003601D">
        <w:rPr>
          <w:rFonts w:cs="Times New Roman"/>
        </w:rPr>
        <w:t xml:space="preserve">eef </w:t>
      </w:r>
      <w:r w:rsidR="003C7313" w:rsidRPr="0003601D">
        <w:rPr>
          <w:rFonts w:cs="Times New Roman"/>
        </w:rPr>
        <w:t xml:space="preserve">exports do not have the capacity to completely replace any shortfalls. </w:t>
      </w:r>
      <w:r w:rsidRPr="0003601D">
        <w:rPr>
          <w:rFonts w:cs="Times New Roman"/>
        </w:rPr>
        <w:t xml:space="preserve"> </w:t>
      </w:r>
      <w:r w:rsidR="003C7313" w:rsidRPr="0003601D">
        <w:rPr>
          <w:rFonts w:cs="Times New Roman"/>
        </w:rPr>
        <w:t>H</w:t>
      </w:r>
      <w:r w:rsidRPr="0003601D">
        <w:rPr>
          <w:rFonts w:cs="Times New Roman"/>
        </w:rPr>
        <w:t>owever, since we could source our food from a number of alternate countries, we will include them as a growth opportunity</w:t>
      </w:r>
      <w:r w:rsidR="003C7313" w:rsidRPr="0003601D">
        <w:rPr>
          <w:rFonts w:cs="Times New Roman"/>
        </w:rPr>
        <w:t xml:space="preserve"> as they could offer a significant opportunity to fill any shortfalls</w:t>
      </w:r>
      <w:r w:rsidRPr="0003601D">
        <w:rPr>
          <w:rFonts w:cs="Times New Roman"/>
        </w:rPr>
        <w:t>.</w:t>
      </w:r>
      <w:r w:rsidR="007B7640" w:rsidRPr="0003601D">
        <w:rPr>
          <w:rFonts w:cs="Times New Roman"/>
        </w:rPr>
        <w:t xml:space="preserve"> However, these</w:t>
      </w:r>
      <w:r w:rsidR="007B7640" w:rsidRPr="0003601D">
        <w:rPr>
          <w:rFonts w:cs="Times New Roman"/>
          <w:lang w:val="en-US"/>
        </w:rPr>
        <w:t xml:space="preserve"> imports are unlikely to be equivalent to what the market currently provides to consumers – Thai and Brazilian poultry imports are largely frozen or cooked/processed meat while UK </w:t>
      </w:r>
      <w:r w:rsidR="007B7640" w:rsidRPr="0003601D">
        <w:rPr>
          <w:rFonts w:cs="Times New Roman"/>
          <w:lang w:val="en-US"/>
        </w:rPr>
        <w:lastRenderedPageBreak/>
        <w:t>consumer demand is overwhelmingly for fresh poultry, and similarly Argentinian beef is largely processed (e.g. corned beef) too.  This is not to say that substitution is impossible, but it would need a change of consumer preferences and/or a change in regulation (e.g. to disapply the EU poultry meat marketing regulations and allow in the UK as previously the sale as fresh of poultry that had been previously frozen).</w:t>
      </w:r>
    </w:p>
    <w:p w14:paraId="73F1415C" w14:textId="77777777" w:rsidR="00F623E9" w:rsidRPr="0003601D" w:rsidRDefault="00F623E9" w:rsidP="00F30F43">
      <w:pPr>
        <w:rPr>
          <w:rFonts w:cs="Times New Roman"/>
        </w:rPr>
      </w:pPr>
    </w:p>
    <w:p w14:paraId="09655638" w14:textId="63D92DCD" w:rsidR="00F30F43" w:rsidRPr="0003601D" w:rsidRDefault="00F30F43" w:rsidP="00F30F43">
      <w:pPr>
        <w:rPr>
          <w:rFonts w:cs="Times New Roman"/>
        </w:rPr>
      </w:pPr>
      <w:r w:rsidRPr="0003601D">
        <w:rPr>
          <w:rFonts w:cs="Times New Roman"/>
        </w:rPr>
        <w:t>So, this analysis has concluded that growth opportunities for the products we</w:t>
      </w:r>
      <w:r w:rsidR="004E27F3">
        <w:rPr>
          <w:rFonts w:cs="Times New Roman"/>
        </w:rPr>
        <w:t xml:space="preserve"> a</w:t>
      </w:r>
      <w:r w:rsidRPr="0003601D">
        <w:rPr>
          <w:rFonts w:cs="Times New Roman"/>
        </w:rPr>
        <w:t>re looking for are as follows. For pork: Canada and the US. For poultry: Brazil, Thailand, and the US. For beef: Australia, Argentina, Brazil, Uruguay, and the US. Finally, for sheep meat: Australia and New Zealand.</w:t>
      </w:r>
    </w:p>
    <w:p w14:paraId="0FA9561F" w14:textId="77777777" w:rsidR="00F30F43" w:rsidRPr="00AF15BA" w:rsidRDefault="00F30F43">
      <w:pPr>
        <w:rPr>
          <w:b/>
        </w:rPr>
      </w:pPr>
    </w:p>
    <w:p w14:paraId="6E59AA71" w14:textId="4B9E5A3E" w:rsidR="00F30F43" w:rsidRPr="002E51F1" w:rsidRDefault="00F30F43" w:rsidP="00F30F43">
      <w:pPr>
        <w:rPr>
          <w:rFonts w:cs="Times New Roman"/>
          <w:b/>
          <w:i/>
        </w:rPr>
      </w:pPr>
      <w:r w:rsidRPr="002E51F1">
        <w:rPr>
          <w:rFonts w:cs="Times New Roman"/>
          <w:b/>
          <w:i/>
        </w:rPr>
        <w:t>Assessing new partners</w:t>
      </w:r>
      <w:r w:rsidR="00A11DF6" w:rsidRPr="002E51F1">
        <w:rPr>
          <w:rFonts w:cs="Times New Roman"/>
          <w:b/>
          <w:i/>
        </w:rPr>
        <w:t xml:space="preserve"> for the UK</w:t>
      </w:r>
      <w:r w:rsidRPr="002E51F1">
        <w:rPr>
          <w:rFonts w:cs="Times New Roman"/>
          <w:b/>
          <w:i/>
        </w:rPr>
        <w:t xml:space="preserve"> </w:t>
      </w:r>
    </w:p>
    <w:p w14:paraId="00ECA053" w14:textId="12DC7F11" w:rsidR="00F30F43" w:rsidRPr="0003601D" w:rsidRDefault="00A11DF6" w:rsidP="00F30F43">
      <w:pPr>
        <w:rPr>
          <w:rFonts w:cs="Times New Roman"/>
        </w:rPr>
      </w:pPr>
      <w:r w:rsidRPr="0003601D">
        <w:rPr>
          <w:rFonts w:cs="Times New Roman"/>
        </w:rPr>
        <w:t>S</w:t>
      </w:r>
      <w:r w:rsidR="00F30F43" w:rsidRPr="0003601D">
        <w:rPr>
          <w:rFonts w:cs="Times New Roman"/>
        </w:rPr>
        <w:t>imply signing FTAs with these growth opportunities won</w:t>
      </w:r>
      <w:r w:rsidR="008D223B" w:rsidRPr="0003601D">
        <w:rPr>
          <w:rFonts w:cs="Times New Roman"/>
        </w:rPr>
        <w:t>’</w:t>
      </w:r>
      <w:r w:rsidR="00F30F43" w:rsidRPr="0003601D">
        <w:rPr>
          <w:rFonts w:cs="Times New Roman"/>
        </w:rPr>
        <w:t xml:space="preserve">t simply solve our food security problems. Solving the problem of quantity of supply by signing a FTA with an ill-advised partner could potentially generate a problem with the quality of supply. As the </w:t>
      </w:r>
      <w:r w:rsidR="0039304B" w:rsidRPr="0003601D">
        <w:rPr>
          <w:rFonts w:cs="Times New Roman"/>
        </w:rPr>
        <w:t xml:space="preserve">University of  </w:t>
      </w:r>
      <w:r w:rsidR="00F30F43" w:rsidRPr="0003601D">
        <w:rPr>
          <w:rFonts w:cs="Times New Roman"/>
        </w:rPr>
        <w:t>Sussex report “A Food Brexit: time to get real” raises: “There are also serious risks that standards of food safety will decline if the UK ceases to adopt EU safety rules, and instead accepts free-trade agreements with countries with significantly weaker standards”</w:t>
      </w:r>
      <w:r w:rsidR="0039304B" w:rsidRPr="0003601D">
        <w:rPr>
          <w:rFonts w:cs="Times New Roman"/>
          <w:vertAlign w:val="superscript"/>
        </w:rPr>
        <w:t>21</w:t>
      </w:r>
      <w:r w:rsidR="0039304B" w:rsidRPr="0003601D">
        <w:rPr>
          <w:rFonts w:cs="Times New Roman"/>
        </w:rPr>
        <w:t>.</w:t>
      </w:r>
      <w:r w:rsidR="00F30F43" w:rsidRPr="0003601D">
        <w:rPr>
          <w:rFonts w:cs="Times New Roman"/>
        </w:rPr>
        <w:t xml:space="preserve"> There </w:t>
      </w:r>
      <w:r w:rsidR="0045008E" w:rsidRPr="0003601D">
        <w:rPr>
          <w:rFonts w:cs="Times New Roman"/>
        </w:rPr>
        <w:t xml:space="preserve">are </w:t>
      </w:r>
      <w:r w:rsidR="00F30F43" w:rsidRPr="0003601D">
        <w:rPr>
          <w:rFonts w:cs="Times New Roman"/>
        </w:rPr>
        <w:t>a number of normative factors</w:t>
      </w:r>
      <w:r w:rsidR="00D40DA7" w:rsidRPr="0003601D">
        <w:rPr>
          <w:rFonts w:cs="Times New Roman"/>
        </w:rPr>
        <w:t xml:space="preserve"> that will affect each country’s</w:t>
      </w:r>
      <w:r w:rsidR="00F30F43" w:rsidRPr="0003601D">
        <w:rPr>
          <w:rFonts w:cs="Times New Roman"/>
        </w:rPr>
        <w:t xml:space="preserve"> suitability as a new source for UK meat consumption. One can separate these factors into: food safety (microbial, chemical), environmental, and animal welfare.</w:t>
      </w:r>
    </w:p>
    <w:p w14:paraId="10CF3997" w14:textId="77777777" w:rsidR="0045008E" w:rsidRPr="0003601D" w:rsidRDefault="0045008E" w:rsidP="00F30F43">
      <w:pPr>
        <w:rPr>
          <w:rFonts w:cs="Times New Roman"/>
        </w:rPr>
      </w:pPr>
    </w:p>
    <w:p w14:paraId="6EC2216F" w14:textId="75BF9988" w:rsidR="007B7640" w:rsidRPr="0003601D" w:rsidRDefault="00F30F43" w:rsidP="002E51F1">
      <w:pPr>
        <w:ind w:left="720"/>
        <w:rPr>
          <w:rFonts w:cs="Times New Roman"/>
        </w:rPr>
      </w:pPr>
      <w:r w:rsidRPr="0003601D">
        <w:rPr>
          <w:rFonts w:cs="Times New Roman"/>
          <w:b/>
        </w:rPr>
        <w:t>Beef</w:t>
      </w:r>
    </w:p>
    <w:p w14:paraId="288996D6" w14:textId="77777777" w:rsidR="00F30F43" w:rsidRPr="0003601D" w:rsidRDefault="0045008E" w:rsidP="002E51F1">
      <w:pPr>
        <w:ind w:left="720"/>
        <w:rPr>
          <w:rFonts w:cs="Times New Roman"/>
        </w:rPr>
      </w:pPr>
      <w:r w:rsidRPr="0003601D">
        <w:rPr>
          <w:rFonts w:cs="Times New Roman"/>
        </w:rPr>
        <w:t>There are</w:t>
      </w:r>
      <w:r w:rsidR="00F30F43" w:rsidRPr="0003601D">
        <w:rPr>
          <w:rFonts w:cs="Times New Roman"/>
        </w:rPr>
        <w:t xml:space="preserve"> a number of regulations the EU</w:t>
      </w:r>
      <w:r w:rsidR="00D40DA7" w:rsidRPr="0003601D">
        <w:rPr>
          <w:rFonts w:cs="Times New Roman"/>
        </w:rPr>
        <w:t xml:space="preserve"> enforces on the production of b</w:t>
      </w:r>
      <w:r w:rsidR="00F30F43" w:rsidRPr="0003601D">
        <w:rPr>
          <w:rFonts w:cs="Times New Roman"/>
        </w:rPr>
        <w:t xml:space="preserve">eef that may be in conflict with the regulations of potential partners of the UK. This section will highlight those on animal welfare and food safety measures. </w:t>
      </w:r>
    </w:p>
    <w:p w14:paraId="416C5ECB" w14:textId="77777777" w:rsidR="0045008E" w:rsidRPr="0003601D" w:rsidRDefault="0045008E" w:rsidP="002E51F1">
      <w:pPr>
        <w:ind w:left="720"/>
        <w:rPr>
          <w:rFonts w:cs="Times New Roman"/>
        </w:rPr>
      </w:pPr>
    </w:p>
    <w:p w14:paraId="757D5D6C" w14:textId="1B6E3E3B" w:rsidR="00F30F43" w:rsidRPr="0003601D" w:rsidRDefault="00F30F43" w:rsidP="002E51F1">
      <w:pPr>
        <w:ind w:left="720"/>
        <w:rPr>
          <w:rFonts w:cs="Times New Roman"/>
        </w:rPr>
      </w:pPr>
      <w:r w:rsidRPr="0003601D">
        <w:rPr>
          <w:rFonts w:cs="Times New Roman"/>
        </w:rPr>
        <w:t>The inequity between EU directives and regulations of third countries regards the treatment of calves</w:t>
      </w:r>
      <w:r w:rsidR="0039304B" w:rsidRPr="0003601D">
        <w:rPr>
          <w:rFonts w:cs="Times New Roman"/>
          <w:vertAlign w:val="superscript"/>
        </w:rPr>
        <w:t>22</w:t>
      </w:r>
      <w:r w:rsidRPr="0003601D">
        <w:rPr>
          <w:rFonts w:cs="Times New Roman"/>
        </w:rPr>
        <w:t>. This law constrains the isolation of calves over a certain age, the directive also enforces a certain size for individual and group pens and enforces the pens have open barriers as opposed to solid ones. Accommodations must be made to ensure the calves’ wellbeing, such as lighting, temperature air conditioning, qual</w:t>
      </w:r>
      <w:r w:rsidR="00E308A9">
        <w:rPr>
          <w:rFonts w:cs="Times New Roman"/>
        </w:rPr>
        <w:t xml:space="preserve">                                                                                                                                                                   </w:t>
      </w:r>
      <w:r w:rsidRPr="0003601D">
        <w:rPr>
          <w:rFonts w:cs="Times New Roman"/>
        </w:rPr>
        <w:t xml:space="preserve">ity, and humidity, hygiene. Inspections are required of accommodation </w:t>
      </w:r>
      <w:r w:rsidR="00D40DA7" w:rsidRPr="0003601D">
        <w:rPr>
          <w:rFonts w:cs="Times New Roman"/>
        </w:rPr>
        <w:t>quality and the health of calve</w:t>
      </w:r>
      <w:r w:rsidR="009E4161" w:rsidRPr="0003601D">
        <w:rPr>
          <w:rFonts w:cs="Times New Roman"/>
        </w:rPr>
        <w:t>s</w:t>
      </w:r>
      <w:r w:rsidRPr="0003601D">
        <w:rPr>
          <w:rFonts w:cs="Times New Roman"/>
        </w:rPr>
        <w:t>. The European Commission found that there is no similar directive on the welfare of calves in the countries of Brazil and Argentina</w:t>
      </w:r>
      <w:r w:rsidR="003F678D" w:rsidRPr="0003601D">
        <w:rPr>
          <w:rFonts w:cs="Times New Roman"/>
          <w:vertAlign w:val="superscript"/>
        </w:rPr>
        <w:t>18</w:t>
      </w:r>
      <w:r w:rsidR="002E51F1" w:rsidRPr="0003601D">
        <w:rPr>
          <w:rFonts w:cs="Times New Roman"/>
        </w:rPr>
        <w:t>,</w:t>
      </w:r>
      <w:r w:rsidRPr="0003601D">
        <w:rPr>
          <w:rFonts w:cs="Times New Roman"/>
        </w:rPr>
        <w:t xml:space="preserve"> both countries that are in our list of potential trade partners. The US, whilst providing most of the same regulations as the EU, offers no regulation against unnecessary isolation of calves and no specific minimum space for animals other than decreeing that space must allow animals to care for themselves. So, those with concerns regarding the consumption of </w:t>
      </w:r>
      <w:r w:rsidR="00A11DF6" w:rsidRPr="0003601D">
        <w:rPr>
          <w:rFonts w:cs="Times New Roman"/>
        </w:rPr>
        <w:t>b</w:t>
      </w:r>
      <w:r w:rsidRPr="0003601D">
        <w:rPr>
          <w:rFonts w:cs="Times New Roman"/>
        </w:rPr>
        <w:t xml:space="preserve">eef that has significantly harmed the welfare of young animals may disagree with increased importation of </w:t>
      </w:r>
      <w:r w:rsidR="00A11DF6" w:rsidRPr="0003601D">
        <w:rPr>
          <w:rFonts w:cs="Times New Roman"/>
        </w:rPr>
        <w:t>b</w:t>
      </w:r>
      <w:r w:rsidRPr="0003601D">
        <w:rPr>
          <w:rFonts w:cs="Times New Roman"/>
        </w:rPr>
        <w:t>eef from these sources, particularly from Brazil and Argentina.</w:t>
      </w:r>
    </w:p>
    <w:p w14:paraId="6575E39B" w14:textId="77777777" w:rsidR="0045008E" w:rsidRPr="0003601D" w:rsidRDefault="0045008E" w:rsidP="002E51F1">
      <w:pPr>
        <w:ind w:left="720"/>
        <w:rPr>
          <w:rFonts w:cs="Times New Roman"/>
        </w:rPr>
      </w:pPr>
    </w:p>
    <w:p w14:paraId="76A99662" w14:textId="340585B7" w:rsidR="00F30F43" w:rsidRPr="0003601D" w:rsidRDefault="00F30F43" w:rsidP="002E51F1">
      <w:pPr>
        <w:ind w:left="720"/>
        <w:rPr>
          <w:rFonts w:cs="Times New Roman"/>
        </w:rPr>
      </w:pPr>
      <w:r w:rsidRPr="0003601D">
        <w:rPr>
          <w:rFonts w:cs="Times New Roman"/>
        </w:rPr>
        <w:lastRenderedPageBreak/>
        <w:t xml:space="preserve">The US has been </w:t>
      </w:r>
      <w:r w:rsidR="0045008E" w:rsidRPr="0003601D">
        <w:rPr>
          <w:rFonts w:cs="Times New Roman"/>
        </w:rPr>
        <w:t>criticised</w:t>
      </w:r>
      <w:r w:rsidRPr="0003601D">
        <w:rPr>
          <w:rFonts w:cs="Times New Roman"/>
        </w:rPr>
        <w:t xml:space="preserve"> for it</w:t>
      </w:r>
      <w:r w:rsidR="00D40DA7" w:rsidRPr="0003601D">
        <w:rPr>
          <w:rFonts w:cs="Times New Roman"/>
        </w:rPr>
        <w:t xml:space="preserve">s </w:t>
      </w:r>
      <w:r w:rsidR="009E4161" w:rsidRPr="0003601D">
        <w:rPr>
          <w:rFonts w:cs="Times New Roman"/>
        </w:rPr>
        <w:t>different</w:t>
      </w:r>
      <w:r w:rsidR="002B1142">
        <w:rPr>
          <w:rFonts w:cs="Times New Roman"/>
        </w:rPr>
        <w:t xml:space="preserve"> and low</w:t>
      </w:r>
      <w:r w:rsidR="009E4161" w:rsidRPr="0003601D">
        <w:rPr>
          <w:rFonts w:cs="Times New Roman"/>
        </w:rPr>
        <w:t xml:space="preserve"> </w:t>
      </w:r>
      <w:r w:rsidR="00D40DA7" w:rsidRPr="0003601D">
        <w:rPr>
          <w:rFonts w:cs="Times New Roman"/>
        </w:rPr>
        <w:t>food standards regarding b</w:t>
      </w:r>
      <w:r w:rsidRPr="0003601D">
        <w:rPr>
          <w:rFonts w:cs="Times New Roman"/>
        </w:rPr>
        <w:t>eef</w:t>
      </w:r>
      <w:r w:rsidR="002B1142">
        <w:rPr>
          <w:rFonts w:cs="Times New Roman"/>
        </w:rPr>
        <w:t xml:space="preserve"> compared to the </w:t>
      </w:r>
      <w:r w:rsidR="004E27F3">
        <w:rPr>
          <w:rFonts w:cs="Times New Roman"/>
        </w:rPr>
        <w:t>EU</w:t>
      </w:r>
      <w:r w:rsidR="004E27F3" w:rsidRPr="0003601D">
        <w:rPr>
          <w:rFonts w:cs="Times New Roman"/>
          <w:vertAlign w:val="superscript"/>
        </w:rPr>
        <w:t>21</w:t>
      </w:r>
      <w:r w:rsidR="004E27F3" w:rsidRPr="0003601D">
        <w:rPr>
          <w:rFonts w:cs="Times New Roman"/>
        </w:rPr>
        <w:t xml:space="preserve"> </w:t>
      </w:r>
      <w:r w:rsidR="004E27F3">
        <w:rPr>
          <w:rFonts w:cs="Times New Roman"/>
        </w:rPr>
        <w:t>in</w:t>
      </w:r>
      <w:r w:rsidRPr="0003601D">
        <w:rPr>
          <w:rFonts w:cs="Times New Roman"/>
        </w:rPr>
        <w:t xml:space="preserve"> meat. </w:t>
      </w:r>
      <w:r w:rsidR="0039304B" w:rsidRPr="0003601D">
        <w:rPr>
          <w:rFonts w:cs="Times New Roman"/>
        </w:rPr>
        <w:t>One different</w:t>
      </w:r>
      <w:r w:rsidRPr="0003601D">
        <w:rPr>
          <w:rFonts w:cs="Times New Roman"/>
        </w:rPr>
        <w:t xml:space="preserve"> standard is the allowance of the use of synthetic growth promoting hormones in beef. Although allowed in the US, the E</w:t>
      </w:r>
      <w:r w:rsidR="0045008E" w:rsidRPr="0003601D">
        <w:rPr>
          <w:rFonts w:cs="Times New Roman"/>
        </w:rPr>
        <w:t>U has identified it as a safety concern</w:t>
      </w:r>
      <w:r w:rsidRPr="0003601D">
        <w:rPr>
          <w:rFonts w:cs="Times New Roman"/>
        </w:rPr>
        <w:t xml:space="preserve"> and even implied its potential for increasing the incidence of breast and prostate cancer</w:t>
      </w:r>
      <w:r w:rsidR="0039304B" w:rsidRPr="0003601D">
        <w:rPr>
          <w:rFonts w:cs="Times New Roman"/>
          <w:vertAlign w:val="superscript"/>
        </w:rPr>
        <w:t>23</w:t>
      </w:r>
      <w:r w:rsidRPr="0003601D">
        <w:rPr>
          <w:rFonts w:cs="Times New Roman"/>
        </w:rPr>
        <w:t xml:space="preserve">. However, the EU ruling against growth hormones is not without controversy, not only has the US deemed it safe, but </w:t>
      </w:r>
      <w:r w:rsidR="0045008E" w:rsidRPr="0003601D">
        <w:rPr>
          <w:rFonts w:cs="Times New Roman"/>
        </w:rPr>
        <w:t xml:space="preserve">so has </w:t>
      </w:r>
      <w:r w:rsidRPr="0003601D">
        <w:rPr>
          <w:rFonts w:cs="Times New Roman"/>
        </w:rPr>
        <w:t>a joint FAO/WHO Expert Committee</w:t>
      </w:r>
      <w:r w:rsidR="0039304B" w:rsidRPr="0003601D">
        <w:rPr>
          <w:rFonts w:cs="Times New Roman"/>
          <w:vertAlign w:val="superscript"/>
        </w:rPr>
        <w:t>24</w:t>
      </w:r>
      <w:r w:rsidRPr="0003601D">
        <w:rPr>
          <w:rFonts w:cs="Times New Roman"/>
        </w:rPr>
        <w:t>. The WTO also argued that much of research highlighting the growth hormones is based on direct human consumption of the hormones as opposed to the residue left in the meat</w:t>
      </w:r>
      <w:r w:rsidR="003F678D" w:rsidRPr="0003601D">
        <w:rPr>
          <w:rFonts w:cs="Times New Roman"/>
          <w:vertAlign w:val="superscript"/>
        </w:rPr>
        <w:t>24</w:t>
      </w:r>
      <w:r w:rsidRPr="0003601D">
        <w:rPr>
          <w:rFonts w:cs="Times New Roman"/>
        </w:rPr>
        <w:t>. However, it would seem that the US still produces plenty of beef without the hormone for exports, since 5.8% of Dutch beef imports come from America. So, whilst the jury is out on the risks of growth hormones, there is still potential growth for trade with the US</w:t>
      </w:r>
      <w:r w:rsidR="0045008E" w:rsidRPr="0003601D">
        <w:rPr>
          <w:rFonts w:cs="Times New Roman"/>
        </w:rPr>
        <w:t xml:space="preserve"> should the UK wish to </w:t>
      </w:r>
      <w:r w:rsidR="002B1142">
        <w:rPr>
          <w:rFonts w:cs="Times New Roman"/>
        </w:rPr>
        <w:t>import non-</w:t>
      </w:r>
      <w:r w:rsidR="0045008E" w:rsidRPr="0003601D">
        <w:rPr>
          <w:rFonts w:cs="Times New Roman"/>
        </w:rPr>
        <w:t>hormone-treated beef</w:t>
      </w:r>
      <w:r w:rsidRPr="0003601D">
        <w:rPr>
          <w:rFonts w:cs="Times New Roman"/>
        </w:rPr>
        <w:t>.</w:t>
      </w:r>
    </w:p>
    <w:p w14:paraId="62FB2F13" w14:textId="77777777" w:rsidR="007B7640" w:rsidRPr="0003601D" w:rsidRDefault="007B7640" w:rsidP="002E51F1">
      <w:pPr>
        <w:ind w:left="720"/>
        <w:rPr>
          <w:rFonts w:cs="Times New Roman"/>
        </w:rPr>
      </w:pPr>
    </w:p>
    <w:p w14:paraId="5949E74F" w14:textId="77777777" w:rsidR="00F30F43" w:rsidRPr="0003601D" w:rsidRDefault="00F30F43" w:rsidP="002E51F1">
      <w:pPr>
        <w:ind w:left="720"/>
        <w:rPr>
          <w:rFonts w:cs="Times New Roman"/>
          <w:b/>
        </w:rPr>
      </w:pPr>
      <w:r w:rsidRPr="0003601D">
        <w:rPr>
          <w:rFonts w:cs="Times New Roman"/>
          <w:b/>
        </w:rPr>
        <w:t>Poultry</w:t>
      </w:r>
    </w:p>
    <w:p w14:paraId="033BA1C3" w14:textId="77777777" w:rsidR="007B7640" w:rsidRPr="0003601D" w:rsidRDefault="007B7640" w:rsidP="00F30F43">
      <w:pPr>
        <w:rPr>
          <w:rFonts w:cs="Times New Roman"/>
        </w:rPr>
      </w:pPr>
    </w:p>
    <w:p w14:paraId="21B96413" w14:textId="6A9124DF" w:rsidR="00F30F43" w:rsidRPr="0003601D" w:rsidRDefault="00F30F43" w:rsidP="008C3D8E">
      <w:pPr>
        <w:ind w:left="720"/>
        <w:rPr>
          <w:rFonts w:cs="Times New Roman"/>
        </w:rPr>
      </w:pPr>
      <w:r w:rsidRPr="0003601D">
        <w:rPr>
          <w:rFonts w:cs="Times New Roman"/>
        </w:rPr>
        <w:t>For the US, poultry is e</w:t>
      </w:r>
      <w:r w:rsidR="0045008E" w:rsidRPr="0003601D">
        <w:rPr>
          <w:rFonts w:cs="Times New Roman"/>
        </w:rPr>
        <w:t>ven more problematic than beef as t</w:t>
      </w:r>
      <w:r w:rsidRPr="0003601D">
        <w:rPr>
          <w:rFonts w:cs="Times New Roman"/>
        </w:rPr>
        <w:t xml:space="preserve">he chlorine washing of chickens is compulsory in the US and therefore unavoidable. The debate over whether chlorine washing is acceptable for consumption has already played out very publicly in </w:t>
      </w:r>
      <w:r w:rsidR="0045008E" w:rsidRPr="0003601D">
        <w:rPr>
          <w:rFonts w:cs="Times New Roman"/>
        </w:rPr>
        <w:t xml:space="preserve">trade comments by senior politicians in the US and the UK in </w:t>
      </w:r>
      <w:r w:rsidRPr="0003601D">
        <w:rPr>
          <w:rFonts w:cs="Times New Roman"/>
        </w:rPr>
        <w:t xml:space="preserve">July of 2017, however there is much misconception over the problems surrounding chlorine washing. Although public opinion believes the chlorine washing itself to be dangerous, believing the chlorine to be dangerous to ingest, the main problem with chlorine washing is how it allows other basic hygiene practices to be neglected: a </w:t>
      </w:r>
      <w:r w:rsidR="006C2E57" w:rsidRPr="0003601D">
        <w:rPr>
          <w:rFonts w:cs="Times New Roman"/>
        </w:rPr>
        <w:t xml:space="preserve">concern </w:t>
      </w:r>
      <w:r w:rsidRPr="0003601D">
        <w:rPr>
          <w:rFonts w:cs="Times New Roman"/>
        </w:rPr>
        <w:t>if some error means the chlorination fails to do its job</w:t>
      </w:r>
      <w:r w:rsidR="003F678D" w:rsidRPr="0003601D">
        <w:rPr>
          <w:rFonts w:cs="Times New Roman"/>
          <w:vertAlign w:val="superscript"/>
        </w:rPr>
        <w:t>25</w:t>
      </w:r>
      <w:r w:rsidRPr="0003601D">
        <w:rPr>
          <w:rFonts w:cs="Times New Roman"/>
        </w:rPr>
        <w:t xml:space="preserve">. </w:t>
      </w:r>
    </w:p>
    <w:p w14:paraId="6040E327" w14:textId="77777777" w:rsidR="0045008E" w:rsidRPr="0003601D" w:rsidRDefault="0045008E" w:rsidP="008C3D8E">
      <w:pPr>
        <w:ind w:left="720"/>
        <w:rPr>
          <w:rFonts w:cs="Times New Roman"/>
        </w:rPr>
      </w:pPr>
    </w:p>
    <w:p w14:paraId="34572D21" w14:textId="5ABD705B" w:rsidR="00F30F43" w:rsidRPr="0003601D" w:rsidRDefault="00F30F43" w:rsidP="008C3D8E">
      <w:pPr>
        <w:ind w:left="720"/>
        <w:rPr>
          <w:rFonts w:cs="Times New Roman"/>
        </w:rPr>
      </w:pPr>
      <w:r w:rsidRPr="0003601D">
        <w:rPr>
          <w:rFonts w:cs="Times New Roman"/>
        </w:rPr>
        <w:t>The European Scientific Veterinary Committee in 1996 “expressed concern that the use of decontamination techniques during food processing would have an adverse effect on the efforts being made both at the primary production level and during the initial processing stages”, concerned that incentives for “good standards of husbandry and sanitation in the flocks” and “good manufacturing practice in the whole production line” would be removed</w:t>
      </w:r>
      <w:r w:rsidR="003F678D" w:rsidRPr="0003601D">
        <w:rPr>
          <w:rFonts w:cs="Times New Roman"/>
          <w:vertAlign w:val="superscript"/>
        </w:rPr>
        <w:t>26</w:t>
      </w:r>
      <w:r w:rsidRPr="0003601D">
        <w:rPr>
          <w:rFonts w:cs="Times New Roman"/>
        </w:rPr>
        <w:t xml:space="preserve">. EFSA wants to ensure good food standards from ‘field to fork’. Not only does this have a welfare aspect, in which chlorination removes the incentive for farmers to reduce livestock density and increase feed and water quality, but also a health aspect, firstly from the consequences following a failure of chlorination and the possibility for bacteria to spread to humans from the livestock. An EFSA BIOHAZ Panel found: “The public health benefits of controlling </w:t>
      </w:r>
      <w:r w:rsidRPr="0003601D">
        <w:rPr>
          <w:rFonts w:cs="Times New Roman"/>
          <w:i/>
        </w:rPr>
        <w:t>Campylobacter</w:t>
      </w:r>
      <w:r w:rsidRPr="0003601D">
        <w:rPr>
          <w:rFonts w:cs="Times New Roman"/>
        </w:rPr>
        <w:t xml:space="preserve"> in primary broiler production are expected to be greater than control later in the chain as the bacteria may also spread from farms to humans by other pathways than broiler meat”</w:t>
      </w:r>
      <w:r w:rsidR="003F678D" w:rsidRPr="0003601D">
        <w:rPr>
          <w:rFonts w:cs="Times New Roman"/>
          <w:vertAlign w:val="superscript"/>
        </w:rPr>
        <w:t>27</w:t>
      </w:r>
      <w:r w:rsidRPr="0003601D">
        <w:rPr>
          <w:rFonts w:cs="Times New Roman"/>
        </w:rPr>
        <w:t>.</w:t>
      </w:r>
    </w:p>
    <w:p w14:paraId="0F6B1C4A" w14:textId="77777777" w:rsidR="0045008E" w:rsidRPr="0003601D" w:rsidRDefault="0045008E" w:rsidP="008C3D8E">
      <w:pPr>
        <w:ind w:left="720"/>
        <w:rPr>
          <w:rFonts w:cs="Times New Roman"/>
        </w:rPr>
      </w:pPr>
    </w:p>
    <w:p w14:paraId="1B28F96F" w14:textId="4C846874" w:rsidR="00F30F43" w:rsidRPr="0003601D" w:rsidRDefault="00D40DA7" w:rsidP="008C3D8E">
      <w:pPr>
        <w:ind w:left="720"/>
        <w:rPr>
          <w:rFonts w:cs="Times New Roman"/>
        </w:rPr>
      </w:pPr>
      <w:r w:rsidRPr="0003601D">
        <w:rPr>
          <w:rFonts w:cs="Times New Roman"/>
        </w:rPr>
        <w:t xml:space="preserve">In summary, </w:t>
      </w:r>
      <w:r w:rsidR="00D80F3B" w:rsidRPr="0003601D">
        <w:rPr>
          <w:rFonts w:cs="Times New Roman"/>
        </w:rPr>
        <w:t>c</w:t>
      </w:r>
      <w:r w:rsidRPr="0003601D">
        <w:rPr>
          <w:rFonts w:cs="Times New Roman"/>
        </w:rPr>
        <w:t xml:space="preserve">hlorine washing can be seen by many as </w:t>
      </w:r>
      <w:r w:rsidR="00F30F43" w:rsidRPr="0003601D">
        <w:rPr>
          <w:rFonts w:cs="Times New Roman"/>
        </w:rPr>
        <w:t xml:space="preserve">problematic, primarily as it makes poor practices and standards further up the supply </w:t>
      </w:r>
      <w:r w:rsidR="00F30F43" w:rsidRPr="0003601D">
        <w:rPr>
          <w:rFonts w:cs="Times New Roman"/>
        </w:rPr>
        <w:lastRenderedPageBreak/>
        <w:t>chain permissible</w:t>
      </w:r>
      <w:r w:rsidRPr="0003601D">
        <w:rPr>
          <w:rFonts w:cs="Times New Roman"/>
        </w:rPr>
        <w:t xml:space="preserve"> and opens up a single point of failure, should the wash not be conducted appropriately</w:t>
      </w:r>
      <w:r w:rsidR="00F30F43" w:rsidRPr="0003601D">
        <w:rPr>
          <w:rFonts w:cs="Times New Roman"/>
        </w:rPr>
        <w:t>. However, so long as measures can be taken to ensure that US imports have outcome equivalence, the regulatory in</w:t>
      </w:r>
      <w:r w:rsidR="0045008E" w:rsidRPr="0003601D">
        <w:rPr>
          <w:rFonts w:cs="Times New Roman"/>
        </w:rPr>
        <w:t>-</w:t>
      </w:r>
      <w:r w:rsidR="00F30F43" w:rsidRPr="0003601D">
        <w:rPr>
          <w:rFonts w:cs="Times New Roman"/>
        </w:rPr>
        <w:t xml:space="preserve">equivalence shouldn’t be an issue. </w:t>
      </w:r>
      <w:r w:rsidR="00FE4333" w:rsidRPr="0003601D">
        <w:rPr>
          <w:rFonts w:cs="Times New Roman"/>
          <w:lang w:val="en-US"/>
        </w:rPr>
        <w:t xml:space="preserve">The conditions for use of lactic acid as a surface treatment for beef </w:t>
      </w:r>
      <w:r w:rsidR="00572E22" w:rsidRPr="0003601D">
        <w:rPr>
          <w:rFonts w:cs="Times New Roman"/>
          <w:lang w:val="en-US"/>
        </w:rPr>
        <w:t>carcasses</w:t>
      </w:r>
      <w:r w:rsidR="00FE4333" w:rsidRPr="0003601D">
        <w:rPr>
          <w:rFonts w:cs="Times New Roman"/>
          <w:lang w:val="en-US"/>
        </w:rPr>
        <w:t xml:space="preserve"> in the EU illustrates a potential compromise that allows regulatory equivalence – lactic acid is not a control but a supplementary treatment as the beef </w:t>
      </w:r>
      <w:r w:rsidR="00572E22" w:rsidRPr="0003601D">
        <w:rPr>
          <w:rFonts w:cs="Times New Roman"/>
          <w:lang w:val="en-US"/>
        </w:rPr>
        <w:t>carcasses</w:t>
      </w:r>
      <w:r w:rsidR="00FE4333" w:rsidRPr="0003601D">
        <w:rPr>
          <w:rFonts w:cs="Times New Roman"/>
          <w:lang w:val="en-US"/>
        </w:rPr>
        <w:t xml:space="preserve"> must be health marked (and therefore assessed as being fit for human consumption with all necessary controls having been applied) </w:t>
      </w:r>
      <w:r w:rsidR="00FE4333" w:rsidRPr="0003601D">
        <w:rPr>
          <w:rFonts w:cs="Times New Roman"/>
          <w:u w:val="single"/>
          <w:lang w:val="en-US"/>
        </w:rPr>
        <w:t>before</w:t>
      </w:r>
      <w:r w:rsidR="00FE4333" w:rsidRPr="0003601D">
        <w:rPr>
          <w:rFonts w:cs="Times New Roman"/>
          <w:lang w:val="en-US"/>
        </w:rPr>
        <w:t xml:space="preserve"> lactic acid treatment.</w:t>
      </w:r>
    </w:p>
    <w:p w14:paraId="0DF5D3CB" w14:textId="77777777" w:rsidR="0045008E" w:rsidRPr="0003601D" w:rsidRDefault="0045008E" w:rsidP="008C3D8E">
      <w:pPr>
        <w:ind w:left="720"/>
        <w:rPr>
          <w:rFonts w:cs="Times New Roman"/>
        </w:rPr>
      </w:pPr>
    </w:p>
    <w:p w14:paraId="2ACADCA1" w14:textId="4B15A524" w:rsidR="00F30F43" w:rsidRPr="0003601D" w:rsidRDefault="00F30F43" w:rsidP="008C3D8E">
      <w:pPr>
        <w:ind w:left="720"/>
        <w:rPr>
          <w:rFonts w:cs="Times New Roman"/>
        </w:rPr>
      </w:pPr>
      <w:r w:rsidRPr="0003601D">
        <w:rPr>
          <w:rFonts w:cs="Times New Roman"/>
        </w:rPr>
        <w:t>Domestic farmers may have more economic concerns than safety concerns regarding the importa</w:t>
      </w:r>
      <w:r w:rsidR="0045008E" w:rsidRPr="0003601D">
        <w:rPr>
          <w:rFonts w:cs="Times New Roman"/>
        </w:rPr>
        <w:t xml:space="preserve">tion of chlorine washed chicken as it </w:t>
      </w:r>
      <w:r w:rsidRPr="0003601D">
        <w:rPr>
          <w:rFonts w:cs="Times New Roman"/>
        </w:rPr>
        <w:t xml:space="preserve">allows cheaper costs beforehand. </w:t>
      </w:r>
      <w:r w:rsidR="007B7640" w:rsidRPr="0003601D">
        <w:rPr>
          <w:rFonts w:cs="Times New Roman"/>
        </w:rPr>
        <w:t>Alongside economies of scale offered to US poultry operations, t</w:t>
      </w:r>
      <w:r w:rsidRPr="0003601D">
        <w:rPr>
          <w:rFonts w:cs="Times New Roman"/>
        </w:rPr>
        <w:t>his</w:t>
      </w:r>
      <w:r w:rsidR="00447AF5" w:rsidRPr="0003601D">
        <w:rPr>
          <w:rFonts w:cs="Times New Roman"/>
        </w:rPr>
        <w:t xml:space="preserve"> contributes in helping make </w:t>
      </w:r>
      <w:r w:rsidRPr="0003601D">
        <w:rPr>
          <w:rFonts w:cs="Times New Roman"/>
        </w:rPr>
        <w:t xml:space="preserve">US chicken far cheaper than UK chicken. If cheap American chicken enters UK markets, poultry farmers may demand chlorine washing in UK </w:t>
      </w:r>
      <w:r w:rsidR="00BA3BB6" w:rsidRPr="0003601D">
        <w:rPr>
          <w:rFonts w:cs="Times New Roman"/>
        </w:rPr>
        <w:t>abattoirs</w:t>
      </w:r>
      <w:r w:rsidRPr="0003601D">
        <w:rPr>
          <w:rFonts w:cs="Times New Roman"/>
        </w:rPr>
        <w:t xml:space="preserve"> to allow domestic manufacturers to stay competitive. </w:t>
      </w:r>
    </w:p>
    <w:p w14:paraId="437EC3B6" w14:textId="77777777" w:rsidR="0045008E" w:rsidRPr="0003601D" w:rsidRDefault="0045008E" w:rsidP="008C3D8E">
      <w:pPr>
        <w:ind w:left="720"/>
        <w:rPr>
          <w:rFonts w:cs="Times New Roman"/>
        </w:rPr>
      </w:pPr>
    </w:p>
    <w:p w14:paraId="7126F1EF" w14:textId="6B0A8809" w:rsidR="00F30F43" w:rsidRPr="0003601D" w:rsidRDefault="0045008E" w:rsidP="008C3D8E">
      <w:pPr>
        <w:ind w:left="720"/>
        <w:rPr>
          <w:rFonts w:cs="Times New Roman"/>
        </w:rPr>
      </w:pPr>
      <w:r w:rsidRPr="0003601D">
        <w:rPr>
          <w:rFonts w:cs="Times New Roman"/>
        </w:rPr>
        <w:t xml:space="preserve">Brazil may offer an </w:t>
      </w:r>
      <w:r w:rsidR="00F30F43" w:rsidRPr="0003601D">
        <w:rPr>
          <w:rFonts w:cs="Times New Roman"/>
        </w:rPr>
        <w:t>alternative, considering the fact that it already exports large quantities of chicken meat to the Netherlands</w:t>
      </w:r>
      <w:r w:rsidRPr="0003601D">
        <w:rPr>
          <w:rFonts w:cs="Times New Roman"/>
        </w:rPr>
        <w:t xml:space="preserve"> </w:t>
      </w:r>
      <w:r w:rsidR="009E4161" w:rsidRPr="0003601D">
        <w:rPr>
          <w:rFonts w:cs="Times New Roman"/>
        </w:rPr>
        <w:t xml:space="preserve">(Figure 4b) </w:t>
      </w:r>
      <w:r w:rsidRPr="0003601D">
        <w:rPr>
          <w:rFonts w:cs="Times New Roman"/>
        </w:rPr>
        <w:t xml:space="preserve">and thus is another </w:t>
      </w:r>
      <w:r w:rsidR="00F30F43" w:rsidRPr="0003601D">
        <w:rPr>
          <w:rFonts w:cs="Times New Roman"/>
        </w:rPr>
        <w:t xml:space="preserve">source </w:t>
      </w:r>
      <w:r w:rsidRPr="0003601D">
        <w:rPr>
          <w:rFonts w:cs="Times New Roman"/>
        </w:rPr>
        <w:t xml:space="preserve">for non-chlorine washed chickens. </w:t>
      </w:r>
      <w:r w:rsidR="00F30F43" w:rsidRPr="0003601D">
        <w:rPr>
          <w:rFonts w:cs="Times New Roman"/>
        </w:rPr>
        <w:t xml:space="preserve">Unfortunately, washed or not Brazilian chicken comes with its own problem of poor practices in the rearing of chickens. The European Commission suggests that there </w:t>
      </w:r>
      <w:r w:rsidRPr="0003601D">
        <w:rPr>
          <w:rFonts w:cs="Times New Roman"/>
        </w:rPr>
        <w:t>are no regulations against high-</w:t>
      </w:r>
      <w:r w:rsidR="00F30F43" w:rsidRPr="0003601D">
        <w:rPr>
          <w:rFonts w:cs="Times New Roman"/>
        </w:rPr>
        <w:t>density farming or lack of air conditioning. This provides animal welfare concerns and also health concerns as higher densities means more diseases in the chicken meat produced.</w:t>
      </w:r>
    </w:p>
    <w:p w14:paraId="7E1C4F56" w14:textId="77777777" w:rsidR="0045008E" w:rsidRPr="0003601D" w:rsidRDefault="0045008E" w:rsidP="00F30F43">
      <w:pPr>
        <w:rPr>
          <w:rFonts w:cs="Times New Roman"/>
        </w:rPr>
      </w:pPr>
    </w:p>
    <w:p w14:paraId="1F1C9DA4" w14:textId="6F6574D5" w:rsidR="00F30F43" w:rsidRDefault="00F30F43" w:rsidP="002B1142">
      <w:pPr>
        <w:ind w:left="720"/>
        <w:rPr>
          <w:rFonts w:cs="Times New Roman"/>
          <w:b/>
        </w:rPr>
      </w:pPr>
      <w:r w:rsidRPr="002B1142">
        <w:rPr>
          <w:rFonts w:cs="Times New Roman"/>
          <w:b/>
        </w:rPr>
        <w:t>Pork</w:t>
      </w:r>
    </w:p>
    <w:p w14:paraId="224004A5" w14:textId="77777777" w:rsidR="004B1329" w:rsidRPr="0003601D" w:rsidRDefault="004B1329" w:rsidP="002B1142">
      <w:pPr>
        <w:ind w:left="720"/>
        <w:rPr>
          <w:rFonts w:cs="Times New Roman"/>
        </w:rPr>
      </w:pPr>
    </w:p>
    <w:p w14:paraId="27D858BF" w14:textId="3CC832DF" w:rsidR="00F30F43" w:rsidRPr="0003601D" w:rsidRDefault="0045008E" w:rsidP="002B1142">
      <w:pPr>
        <w:ind w:left="720"/>
        <w:rPr>
          <w:rFonts w:cs="Times New Roman"/>
        </w:rPr>
      </w:pPr>
      <w:r w:rsidRPr="0003601D">
        <w:rPr>
          <w:rFonts w:cs="Times New Roman"/>
        </w:rPr>
        <w:t xml:space="preserve">Standards </w:t>
      </w:r>
      <w:r w:rsidR="00F30F43" w:rsidRPr="0003601D">
        <w:rPr>
          <w:rFonts w:cs="Times New Roman"/>
        </w:rPr>
        <w:t>for animal w</w:t>
      </w:r>
      <w:r w:rsidRPr="0003601D">
        <w:rPr>
          <w:rFonts w:cs="Times New Roman"/>
        </w:rPr>
        <w:t>elfare among pigs is high in Europe, for example measures against isolation</w:t>
      </w:r>
      <w:r w:rsidR="00F30F43" w:rsidRPr="0003601D">
        <w:rPr>
          <w:rFonts w:cs="Times New Roman"/>
        </w:rPr>
        <w:t>, tethers, tail docking, reduction of corner teeth and other issues are present in the EU</w:t>
      </w:r>
      <w:r w:rsidR="003F678D" w:rsidRPr="0003601D">
        <w:rPr>
          <w:rFonts w:cs="Times New Roman"/>
          <w:vertAlign w:val="superscript"/>
        </w:rPr>
        <w:t>28</w:t>
      </w:r>
      <w:r w:rsidR="00F30F43" w:rsidRPr="0003601D">
        <w:rPr>
          <w:rFonts w:cs="Times New Roman"/>
        </w:rPr>
        <w:t xml:space="preserve"> but not in the USA</w:t>
      </w:r>
      <w:r w:rsidR="00BA3BB6" w:rsidRPr="0003601D">
        <w:rPr>
          <w:rFonts w:cs="Times New Roman"/>
        </w:rPr>
        <w:t xml:space="preserve"> presenting a barrier to potential trade.</w:t>
      </w:r>
    </w:p>
    <w:p w14:paraId="31D16BC2" w14:textId="77777777" w:rsidR="0045008E" w:rsidRPr="0003601D" w:rsidRDefault="0045008E" w:rsidP="002B1142">
      <w:pPr>
        <w:ind w:left="720"/>
        <w:rPr>
          <w:rFonts w:cs="Times New Roman"/>
        </w:rPr>
      </w:pPr>
    </w:p>
    <w:p w14:paraId="09C4E2EF" w14:textId="308C4B65" w:rsidR="00F30F43" w:rsidRPr="0003601D" w:rsidRDefault="00F30F43" w:rsidP="002B1142">
      <w:pPr>
        <w:ind w:left="720"/>
        <w:rPr>
          <w:rFonts w:cs="Times New Roman"/>
        </w:rPr>
      </w:pPr>
      <w:r w:rsidRPr="0003601D">
        <w:rPr>
          <w:rFonts w:cs="Times New Roman"/>
        </w:rPr>
        <w:t>There is a lot of inequity between the regulations regarding pig feed in the UK compared to regulations in the US. According to a European Commission</w:t>
      </w:r>
      <w:r w:rsidR="00183600" w:rsidRPr="0003601D">
        <w:rPr>
          <w:rFonts w:cs="Times New Roman"/>
          <w:vertAlign w:val="superscript"/>
        </w:rPr>
        <w:t>18</w:t>
      </w:r>
      <w:r w:rsidR="00D80F3B" w:rsidRPr="0003601D">
        <w:rPr>
          <w:rFonts w:cs="Times New Roman"/>
        </w:rPr>
        <w:t>,</w:t>
      </w:r>
      <w:r w:rsidRPr="0003601D">
        <w:rPr>
          <w:rFonts w:cs="Times New Roman"/>
        </w:rPr>
        <w:t xml:space="preserve"> the EU requires the authorisation of particular </w:t>
      </w:r>
      <w:r w:rsidR="00572E22" w:rsidRPr="0003601D">
        <w:rPr>
          <w:rFonts w:cs="Times New Roman"/>
        </w:rPr>
        <w:t>additives</w:t>
      </w:r>
      <w:r w:rsidRPr="0003601D">
        <w:rPr>
          <w:rFonts w:cs="Times New Roman"/>
        </w:rPr>
        <w:t xml:space="preserve"> to feed</w:t>
      </w:r>
      <w:r w:rsidR="00183600" w:rsidRPr="0003601D">
        <w:rPr>
          <w:rFonts w:cs="Times New Roman"/>
          <w:vertAlign w:val="superscript"/>
        </w:rPr>
        <w:t>29</w:t>
      </w:r>
      <w:r w:rsidRPr="0003601D">
        <w:rPr>
          <w:rFonts w:cs="Times New Roman"/>
        </w:rPr>
        <w:t>, certain hygiene standards for packaged feed</w:t>
      </w:r>
      <w:r w:rsidR="00183600" w:rsidRPr="0003601D">
        <w:rPr>
          <w:rFonts w:cs="Times New Roman"/>
          <w:vertAlign w:val="superscript"/>
        </w:rPr>
        <w:t>30</w:t>
      </w:r>
      <w:r w:rsidRPr="0003601D">
        <w:rPr>
          <w:rFonts w:cs="Times New Roman"/>
        </w:rPr>
        <w:t>, and prohibits the dilution of and use as a supplement of feed with excessive levels of undesirable substances</w:t>
      </w:r>
      <w:r w:rsidR="00183600" w:rsidRPr="0003601D">
        <w:rPr>
          <w:rFonts w:cs="Times New Roman"/>
          <w:vertAlign w:val="superscript"/>
        </w:rPr>
        <w:t>31</w:t>
      </w:r>
      <w:r w:rsidRPr="0003601D">
        <w:rPr>
          <w:rFonts w:cs="Times New Roman"/>
        </w:rPr>
        <w:t xml:space="preserve">. </w:t>
      </w:r>
      <w:r w:rsidR="006C2E57" w:rsidRPr="0003601D">
        <w:rPr>
          <w:rFonts w:cs="Times New Roman"/>
        </w:rPr>
        <w:t xml:space="preserve"> </w:t>
      </w:r>
      <w:r w:rsidR="00CA7EB8" w:rsidRPr="0003601D">
        <w:rPr>
          <w:rFonts w:cs="Times New Roman"/>
        </w:rPr>
        <w:t>For example, o</w:t>
      </w:r>
      <w:r w:rsidRPr="0003601D">
        <w:rPr>
          <w:rFonts w:cs="Times New Roman"/>
        </w:rPr>
        <w:t xml:space="preserve">ne significant issue is the use of the feed additive </w:t>
      </w:r>
      <w:r w:rsidR="006C2E57" w:rsidRPr="0003601D">
        <w:rPr>
          <w:rFonts w:cs="Times New Roman"/>
        </w:rPr>
        <w:t>r</w:t>
      </w:r>
      <w:r w:rsidRPr="0003601D">
        <w:rPr>
          <w:rFonts w:cs="Times New Roman"/>
        </w:rPr>
        <w:t>actopamine. Banned in the UK, EU</w:t>
      </w:r>
      <w:r w:rsidR="00183600" w:rsidRPr="0003601D">
        <w:rPr>
          <w:rFonts w:cs="Times New Roman"/>
          <w:vertAlign w:val="superscript"/>
        </w:rPr>
        <w:t>32</w:t>
      </w:r>
      <w:r w:rsidRPr="0003601D">
        <w:rPr>
          <w:rFonts w:cs="Times New Roman"/>
        </w:rPr>
        <w:t xml:space="preserve">, China, and Russia, </w:t>
      </w:r>
      <w:r w:rsidR="006C2E57" w:rsidRPr="0003601D">
        <w:rPr>
          <w:rFonts w:cs="Times New Roman"/>
        </w:rPr>
        <w:t>r</w:t>
      </w:r>
      <w:r w:rsidRPr="0003601D">
        <w:rPr>
          <w:rFonts w:cs="Times New Roman"/>
        </w:rPr>
        <w:t xml:space="preserve">actopamine is still legal in the USA and Canada: both growth opportunities this study has named. It must, however, be raised that Canada permits far less use of </w:t>
      </w:r>
      <w:r w:rsidR="006C2E57" w:rsidRPr="0003601D">
        <w:rPr>
          <w:rFonts w:cs="Times New Roman"/>
        </w:rPr>
        <w:t>r</w:t>
      </w:r>
      <w:r w:rsidRPr="0003601D">
        <w:rPr>
          <w:rFonts w:cs="Times New Roman"/>
        </w:rPr>
        <w:t>actopamine than the US</w:t>
      </w:r>
      <w:r w:rsidR="00183600" w:rsidRPr="0003601D">
        <w:rPr>
          <w:rFonts w:cs="Times New Roman"/>
          <w:vertAlign w:val="superscript"/>
        </w:rPr>
        <w:t>33</w:t>
      </w:r>
      <w:r w:rsidRPr="0003601D">
        <w:rPr>
          <w:rFonts w:cs="Times New Roman"/>
        </w:rPr>
        <w:t xml:space="preserve">. Regarding the actual medical evidence surrounding </w:t>
      </w:r>
      <w:r w:rsidR="006C2E57" w:rsidRPr="0003601D">
        <w:rPr>
          <w:rFonts w:cs="Times New Roman"/>
        </w:rPr>
        <w:t>r</w:t>
      </w:r>
      <w:r w:rsidRPr="0003601D">
        <w:rPr>
          <w:rFonts w:cs="Times New Roman"/>
        </w:rPr>
        <w:t xml:space="preserve">actopamine, the response is mixed. Although there is evidence that certain levels of intake can affect heart rate and other cardiovascular issues, making the consumption of such </w:t>
      </w:r>
      <w:r w:rsidRPr="0003601D">
        <w:rPr>
          <w:rFonts w:cs="Times New Roman"/>
        </w:rPr>
        <w:lastRenderedPageBreak/>
        <w:t>residues for those with cardiovascular diseases particularly dangerous. An EFSA safety evaluation attempted to establish an acceptable daily intake (ADI)</w:t>
      </w:r>
      <w:r w:rsidR="00183600" w:rsidRPr="0003601D">
        <w:rPr>
          <w:rFonts w:cs="Times New Roman"/>
          <w:vertAlign w:val="superscript"/>
        </w:rPr>
        <w:t>34</w:t>
      </w:r>
      <w:r w:rsidRPr="0003601D">
        <w:rPr>
          <w:rFonts w:cs="Times New Roman"/>
        </w:rPr>
        <w:t xml:space="preserve">. However, the panel was unable to draw a conclusion as it couldn’t find the intake level of no observable effect. </w:t>
      </w:r>
      <w:r w:rsidR="004E27F3">
        <w:rPr>
          <w:rFonts w:cs="Times New Roman"/>
        </w:rPr>
        <w:t>Erring</w:t>
      </w:r>
      <w:r w:rsidRPr="0003601D">
        <w:rPr>
          <w:rFonts w:cs="Times New Roman"/>
        </w:rPr>
        <w:t>on the side of caution the panel recommended e</w:t>
      </w:r>
      <w:r w:rsidR="00D40DA7" w:rsidRPr="0003601D">
        <w:rPr>
          <w:rFonts w:cs="Times New Roman"/>
        </w:rPr>
        <w:t>nforcing an ADI of zero</w:t>
      </w:r>
      <w:r w:rsidRPr="0003601D">
        <w:rPr>
          <w:rFonts w:cs="Times New Roman"/>
        </w:rPr>
        <w:t xml:space="preserve">. </w:t>
      </w:r>
    </w:p>
    <w:p w14:paraId="6142AB1C" w14:textId="77777777" w:rsidR="0045008E" w:rsidRPr="0003601D" w:rsidRDefault="0045008E" w:rsidP="002B1142">
      <w:pPr>
        <w:ind w:left="720"/>
        <w:rPr>
          <w:rFonts w:cs="Times New Roman"/>
        </w:rPr>
      </w:pPr>
    </w:p>
    <w:p w14:paraId="277D6BA3" w14:textId="61A27CD5" w:rsidR="00F30F43" w:rsidRPr="00AF15BA" w:rsidRDefault="00F30F43" w:rsidP="004B1329">
      <w:pPr>
        <w:ind w:left="720"/>
      </w:pPr>
      <w:r w:rsidRPr="0003601D">
        <w:rPr>
          <w:rFonts w:cs="Times New Roman"/>
        </w:rPr>
        <w:t>Another suggested point of issue is the washing of pig carcasses with lactic acid. Although this may seem similar to the chlorine issue, it is arguably more understandable. The EU already permits the washing of bovine carcasses with lactic acid, and the FSA has pushed in the past for the legalisation of washing even poultry carcasses with lactic acid</w:t>
      </w:r>
      <w:r w:rsidR="00183600" w:rsidRPr="0003601D">
        <w:rPr>
          <w:rFonts w:cs="Times New Roman"/>
          <w:vertAlign w:val="superscript"/>
        </w:rPr>
        <w:t>35</w:t>
      </w:r>
      <w:r w:rsidRPr="0003601D">
        <w:rPr>
          <w:rFonts w:cs="Times New Roman"/>
        </w:rPr>
        <w:t>, therefore there doesn’t seem to be much reason to continue rejecting US or Canadian pork on the grounds of lactic acid washing.</w:t>
      </w:r>
    </w:p>
    <w:p w14:paraId="11970DC8" w14:textId="77777777" w:rsidR="00DD2B3E" w:rsidRPr="0003601D" w:rsidRDefault="00DD2B3E">
      <w:pPr>
        <w:rPr>
          <w:b/>
        </w:rPr>
      </w:pPr>
    </w:p>
    <w:p w14:paraId="6AF862A8" w14:textId="77777777" w:rsidR="00DD2B3E" w:rsidRPr="0003601D" w:rsidRDefault="00DD2B3E">
      <w:pPr>
        <w:rPr>
          <w:b/>
        </w:rPr>
      </w:pPr>
      <w:r w:rsidRPr="0003601D">
        <w:rPr>
          <w:b/>
        </w:rPr>
        <w:t>5 Conclusion</w:t>
      </w:r>
    </w:p>
    <w:p w14:paraId="55EDBF4A" w14:textId="77777777" w:rsidR="00F30F43" w:rsidRPr="0003601D" w:rsidRDefault="00F30F43">
      <w:pPr>
        <w:rPr>
          <w:b/>
        </w:rPr>
      </w:pPr>
    </w:p>
    <w:p w14:paraId="1CD06841" w14:textId="0D61A926" w:rsidR="00035C51" w:rsidRPr="0003601D" w:rsidRDefault="00035C51" w:rsidP="00035C51">
      <w:r w:rsidRPr="0003601D">
        <w:t>Many International bodies such as the FAO</w:t>
      </w:r>
      <w:r w:rsidR="002057ED" w:rsidRPr="0003601D">
        <w:t xml:space="preserve"> and OECD</w:t>
      </w:r>
      <w:r w:rsidRPr="0003601D">
        <w:t xml:space="preserve"> believe that International trade underpins global food security. Trade has facilitated specialization, reducing food process and max</w:t>
      </w:r>
      <w:r w:rsidR="002B1142">
        <w:t>imising</w:t>
      </w:r>
      <w:r w:rsidRPr="0003601D">
        <w:t xml:space="preserve"> productivity, and produce</w:t>
      </w:r>
      <w:r w:rsidR="008D223B" w:rsidRPr="0003601D">
        <w:t>r</w:t>
      </w:r>
      <w:r w:rsidRPr="0003601D">
        <w:t xml:space="preserve">s have invested </w:t>
      </w:r>
      <w:r w:rsidR="008D223B" w:rsidRPr="0003601D">
        <w:t xml:space="preserve">in response </w:t>
      </w:r>
      <w:r w:rsidRPr="0003601D">
        <w:t xml:space="preserve">to market </w:t>
      </w:r>
      <w:r w:rsidR="00572E22" w:rsidRPr="0003601D">
        <w:t>signals raising</w:t>
      </w:r>
      <w:r w:rsidRPr="0003601D">
        <w:t xml:space="preserve"> outputs so that agriculture has kept pace with demand. Despite an explosion in the global human population, access to food has improved around the world. The share of world </w:t>
      </w:r>
      <w:r w:rsidR="009C4049" w:rsidRPr="0003601D">
        <w:t>population with</w:t>
      </w:r>
      <w:r w:rsidRPr="0003601D">
        <w:t xml:space="preserve"> insufficient food supply fell from 52% in 1965 to 3% in 2005 – largely achieved through trade and not self-sufficiency. </w:t>
      </w:r>
    </w:p>
    <w:p w14:paraId="023C4E73" w14:textId="77777777" w:rsidR="00035C51" w:rsidRPr="0003601D" w:rsidRDefault="00035C51" w:rsidP="00035C51"/>
    <w:p w14:paraId="5E9A342B" w14:textId="30B8F7DA" w:rsidR="00F30F43" w:rsidRPr="0003601D" w:rsidRDefault="00035C51" w:rsidP="00F30F43">
      <w:pPr>
        <w:rPr>
          <w:rFonts w:cs="Times New Roman"/>
        </w:rPr>
      </w:pPr>
      <w:r w:rsidRPr="0003601D">
        <w:rPr>
          <w:rFonts w:cs="Times New Roman"/>
        </w:rPr>
        <w:t xml:space="preserve">The </w:t>
      </w:r>
      <w:r w:rsidR="00F30F43" w:rsidRPr="0003601D">
        <w:rPr>
          <w:rFonts w:cs="Times New Roman"/>
        </w:rPr>
        <w:t xml:space="preserve">UK receives a large amount of its meat supply from </w:t>
      </w:r>
      <w:r w:rsidRPr="0003601D">
        <w:rPr>
          <w:rFonts w:cs="Times New Roman"/>
        </w:rPr>
        <w:t xml:space="preserve">European </w:t>
      </w:r>
      <w:r w:rsidR="00F30F43" w:rsidRPr="0003601D">
        <w:rPr>
          <w:rFonts w:cs="Times New Roman"/>
        </w:rPr>
        <w:t>imports. Pork, beef, and poultry imports in particular are almost entirely sourced from</w:t>
      </w:r>
      <w:r w:rsidR="009C4049" w:rsidRPr="0003601D">
        <w:rPr>
          <w:rFonts w:cs="Times New Roman"/>
        </w:rPr>
        <w:t xml:space="preserve"> EU27 states</w:t>
      </w:r>
      <w:r w:rsidR="00F30F43" w:rsidRPr="0003601D">
        <w:rPr>
          <w:rFonts w:cs="Times New Roman"/>
        </w:rPr>
        <w:t xml:space="preserve">. </w:t>
      </w:r>
      <w:r w:rsidR="00D40DA7" w:rsidRPr="0003601D">
        <w:rPr>
          <w:rFonts w:cs="Times New Roman"/>
        </w:rPr>
        <w:t xml:space="preserve">It is observed that the Netherlands imports meat from countries outside of the EU through Rotterdam, and future trading arrangements could be made directly with these countries currently exporting to the EU via </w:t>
      </w:r>
      <w:r w:rsidR="009C4049" w:rsidRPr="0003601D">
        <w:rPr>
          <w:rFonts w:cs="Times New Roman"/>
        </w:rPr>
        <w:t xml:space="preserve">the </w:t>
      </w:r>
      <w:r w:rsidR="00D40DA7" w:rsidRPr="0003601D">
        <w:rPr>
          <w:rFonts w:cs="Times New Roman"/>
        </w:rPr>
        <w:t>Rotterdam</w:t>
      </w:r>
      <w:r w:rsidR="009C4049" w:rsidRPr="0003601D">
        <w:rPr>
          <w:rFonts w:cs="Times New Roman"/>
        </w:rPr>
        <w:t xml:space="preserve"> Effect</w:t>
      </w:r>
      <w:r w:rsidR="00D40DA7" w:rsidRPr="0003601D">
        <w:rPr>
          <w:rFonts w:cs="Times New Roman"/>
        </w:rPr>
        <w:t xml:space="preserve">. </w:t>
      </w:r>
      <w:r w:rsidRPr="0003601D">
        <w:rPr>
          <w:rFonts w:cs="Times New Roman"/>
        </w:rPr>
        <w:t xml:space="preserve"> It is likely that many approaches to closing any gaps arising from imports to the UK from Europe </w:t>
      </w:r>
      <w:r w:rsidR="002057ED" w:rsidRPr="0003601D">
        <w:rPr>
          <w:rFonts w:cs="Times New Roman"/>
        </w:rPr>
        <w:t xml:space="preserve">could </w:t>
      </w:r>
      <w:r w:rsidR="00F30F43" w:rsidRPr="0003601D">
        <w:rPr>
          <w:rFonts w:cs="Times New Roman"/>
        </w:rPr>
        <w:t>require a</w:t>
      </w:r>
      <w:r w:rsidR="002057ED" w:rsidRPr="0003601D">
        <w:rPr>
          <w:rFonts w:cs="Times New Roman"/>
        </w:rPr>
        <w:t>n</w:t>
      </w:r>
      <w:r w:rsidR="00F30F43" w:rsidRPr="0003601D">
        <w:rPr>
          <w:rFonts w:cs="Times New Roman"/>
        </w:rPr>
        <w:t xml:space="preserve"> increase in prices.</w:t>
      </w:r>
      <w:r w:rsidR="002057ED" w:rsidRPr="0003601D">
        <w:rPr>
          <w:rFonts w:cs="Times New Roman"/>
        </w:rPr>
        <w:t xml:space="preserve"> Potential new world suppliers have lower costs, although accepting these imports would have major implications for the nature of trade agreement</w:t>
      </w:r>
      <w:r w:rsidR="009C4049" w:rsidRPr="0003601D">
        <w:rPr>
          <w:rFonts w:cs="Times New Roman"/>
        </w:rPr>
        <w:t>s</w:t>
      </w:r>
      <w:r w:rsidR="002057ED" w:rsidRPr="0003601D">
        <w:rPr>
          <w:rFonts w:cs="Times New Roman"/>
        </w:rPr>
        <w:t xml:space="preserve"> possible between UK &amp; EU.</w:t>
      </w:r>
      <w:r w:rsidR="00F30F43" w:rsidRPr="0003601D">
        <w:rPr>
          <w:rFonts w:cs="Times New Roman"/>
        </w:rPr>
        <w:t xml:space="preserve"> Increasing domestic supply, would require a price rise, which would be worsened by the dependence of domestic supply on European labour. Continuing our supply from the European Union by staying in the </w:t>
      </w:r>
      <w:r w:rsidR="000114EE">
        <w:rPr>
          <w:rFonts w:cs="Times New Roman"/>
        </w:rPr>
        <w:t>EUCU, whilst part of the negotiated UK/EU withdrawal agreement, seems</w:t>
      </w:r>
      <w:r w:rsidR="00F30F43" w:rsidRPr="0003601D">
        <w:rPr>
          <w:rFonts w:cs="Times New Roman"/>
        </w:rPr>
        <w:t xml:space="preserve"> politically unlikely judging from </w:t>
      </w:r>
      <w:r w:rsidR="000114EE">
        <w:rPr>
          <w:rFonts w:cs="Times New Roman"/>
        </w:rPr>
        <w:t xml:space="preserve">parliamentary </w:t>
      </w:r>
      <w:r w:rsidR="00F30F43" w:rsidRPr="0003601D">
        <w:rPr>
          <w:rFonts w:cs="Times New Roman"/>
        </w:rPr>
        <w:t>signals</w:t>
      </w:r>
      <w:r w:rsidR="000114EE">
        <w:rPr>
          <w:rFonts w:cs="Times New Roman"/>
        </w:rPr>
        <w:t xml:space="preserve"> prior to the vote in early 2019.  A</w:t>
      </w:r>
      <w:r w:rsidR="00F30F43" w:rsidRPr="0003601D">
        <w:rPr>
          <w:rFonts w:cs="Times New Roman"/>
        </w:rPr>
        <w:t>ny FTA with the EU would still result in a price rise</w:t>
      </w:r>
      <w:r w:rsidR="00116BCF" w:rsidRPr="0003601D">
        <w:rPr>
          <w:rFonts w:cs="Times New Roman"/>
        </w:rPr>
        <w:t xml:space="preserve">, potentially due </w:t>
      </w:r>
      <w:r w:rsidR="00AF15BA" w:rsidRPr="00AF15BA">
        <w:rPr>
          <w:rFonts w:cs="Times New Roman"/>
        </w:rPr>
        <w:t>to currency</w:t>
      </w:r>
      <w:r w:rsidR="00CA7EB8" w:rsidRPr="0003601D">
        <w:rPr>
          <w:rFonts w:cs="Times New Roman"/>
        </w:rPr>
        <w:t xml:space="preserve"> exchange rate </w:t>
      </w:r>
      <w:r w:rsidR="00116BCF" w:rsidRPr="0003601D">
        <w:rPr>
          <w:rFonts w:cs="Times New Roman"/>
        </w:rPr>
        <w:t>depreciation in the short and medium term</w:t>
      </w:r>
      <w:r w:rsidR="00F30F43" w:rsidRPr="0003601D">
        <w:rPr>
          <w:rFonts w:cs="Times New Roman"/>
        </w:rPr>
        <w:t xml:space="preserve">. The only option for maintaining UK prices and supply, may be striking new trade agreements with third countries. </w:t>
      </w:r>
    </w:p>
    <w:p w14:paraId="5CD03DC6" w14:textId="77777777" w:rsidR="00035C51" w:rsidRPr="0003601D" w:rsidRDefault="00035C51" w:rsidP="00F30F43">
      <w:pPr>
        <w:rPr>
          <w:rFonts w:cs="Times New Roman"/>
        </w:rPr>
      </w:pPr>
    </w:p>
    <w:p w14:paraId="3BDEB1D7" w14:textId="5771A7DB" w:rsidR="00F30F43" w:rsidRPr="0003601D" w:rsidRDefault="00035C51" w:rsidP="00F30F43">
      <w:pPr>
        <w:rPr>
          <w:rFonts w:cs="Times New Roman"/>
        </w:rPr>
      </w:pPr>
      <w:r w:rsidRPr="0003601D">
        <w:rPr>
          <w:rFonts w:cs="Times New Roman"/>
        </w:rPr>
        <w:t xml:space="preserve">Analysis of </w:t>
      </w:r>
      <w:r w:rsidR="00F30F43" w:rsidRPr="0003601D">
        <w:rPr>
          <w:rFonts w:cs="Times New Roman"/>
        </w:rPr>
        <w:t xml:space="preserve">new markets for meat </w:t>
      </w:r>
      <w:r w:rsidRPr="0003601D">
        <w:rPr>
          <w:rFonts w:cs="Times New Roman"/>
        </w:rPr>
        <w:t>imports to the UK shows that</w:t>
      </w:r>
      <w:r w:rsidR="00F30F43" w:rsidRPr="0003601D">
        <w:rPr>
          <w:rFonts w:cs="Times New Roman"/>
        </w:rPr>
        <w:t xml:space="preserve"> the USA and Canada would be suitable, in terms of capacity, for sourcing pork; the USA and Brazil for poultry; and the USA, Canada, Brazil and Australia for beef.</w:t>
      </w:r>
      <w:r w:rsidRPr="0003601D">
        <w:rPr>
          <w:rFonts w:cs="Times New Roman"/>
        </w:rPr>
        <w:t xml:space="preserve"> This raises a number of </w:t>
      </w:r>
      <w:r w:rsidR="00F30F43" w:rsidRPr="0003601D">
        <w:rPr>
          <w:rFonts w:cs="Times New Roman"/>
        </w:rPr>
        <w:t xml:space="preserve">regulatory </w:t>
      </w:r>
      <w:r w:rsidRPr="0003601D">
        <w:rPr>
          <w:rFonts w:cs="Times New Roman"/>
        </w:rPr>
        <w:t>issues since these trading</w:t>
      </w:r>
      <w:r w:rsidR="00F30F43" w:rsidRPr="0003601D">
        <w:rPr>
          <w:rFonts w:cs="Times New Roman"/>
        </w:rPr>
        <w:t xml:space="preserve"> partners may have different regulatio</w:t>
      </w:r>
      <w:r w:rsidRPr="0003601D">
        <w:rPr>
          <w:rFonts w:cs="Times New Roman"/>
        </w:rPr>
        <w:t xml:space="preserve">ns in how they produce meats compared with current European and thus UK </w:t>
      </w:r>
      <w:r w:rsidR="00F30F43" w:rsidRPr="0003601D">
        <w:rPr>
          <w:rFonts w:cs="Times New Roman"/>
        </w:rPr>
        <w:t xml:space="preserve">domestic regulations. </w:t>
      </w:r>
      <w:r w:rsidR="00CA7EB8" w:rsidRPr="0003601D">
        <w:rPr>
          <w:rFonts w:cs="Times New Roman"/>
        </w:rPr>
        <w:t xml:space="preserve">In conclusion, the UK is a significant market in the </w:t>
      </w:r>
      <w:r w:rsidR="00CA7EB8" w:rsidRPr="0003601D">
        <w:rPr>
          <w:rFonts w:cs="Times New Roman"/>
        </w:rPr>
        <w:lastRenderedPageBreak/>
        <w:t xml:space="preserve">Global Meat Trade, receiving large volumes </w:t>
      </w:r>
      <w:r w:rsidR="00D80F3B" w:rsidRPr="0003601D">
        <w:rPr>
          <w:rFonts w:cs="Times New Roman"/>
        </w:rPr>
        <w:t>of poultry</w:t>
      </w:r>
      <w:r w:rsidR="00CA7EB8" w:rsidRPr="0003601D">
        <w:rPr>
          <w:rFonts w:cs="Times New Roman"/>
        </w:rPr>
        <w:t>, pork and beef from EU countries and lamb from countries like New Zealand.  Brexiting the EU</w:t>
      </w:r>
      <w:r w:rsidR="000114EE">
        <w:rPr>
          <w:rFonts w:cs="Times New Roman"/>
        </w:rPr>
        <w:t xml:space="preserve"> without a an agreement or a carefully managed exit </w:t>
      </w:r>
      <w:r w:rsidR="00CA7EB8" w:rsidRPr="0003601D">
        <w:rPr>
          <w:rFonts w:cs="Times New Roman"/>
        </w:rPr>
        <w:t>, is likely to create new food trade challenges which will require economic and safety/standards consideration and could see new patterns of trade emerge. The use of global trade datasets offers an excellent way to analyse what future patterns might emerge and to help consider what regulatory and policy responses require consideration.</w:t>
      </w:r>
    </w:p>
    <w:p w14:paraId="5C54BEA8" w14:textId="77777777" w:rsidR="006B7DC6" w:rsidRPr="00AF15BA" w:rsidRDefault="006B7DC6">
      <w:pPr>
        <w:rPr>
          <w:b/>
        </w:rPr>
      </w:pPr>
    </w:p>
    <w:p w14:paraId="3A23248C" w14:textId="77777777" w:rsidR="006B7DC6" w:rsidRPr="0003601D" w:rsidRDefault="006B7DC6">
      <w:pPr>
        <w:rPr>
          <w:b/>
        </w:rPr>
      </w:pPr>
      <w:r w:rsidRPr="0003601D">
        <w:rPr>
          <w:b/>
        </w:rPr>
        <w:t>Acknowledgements</w:t>
      </w:r>
    </w:p>
    <w:p w14:paraId="70260069" w14:textId="11353098" w:rsidR="0011461D" w:rsidRPr="0003601D" w:rsidRDefault="0011461D">
      <w:r w:rsidRPr="0003601D">
        <w:t xml:space="preserve">Many thanks to Steve Wearne (FSA) and Jonathan Brookes (OECD) for providing comments on an earlier version of the manuscript.  Guy Poppy is also the Chief Scientific Adviser for the UK Government Department the Food Standards Agency but undertook this research in his role as a professor on food security at the University of Southampton where the researcher Joe Baverstock worked </w:t>
      </w:r>
      <w:r w:rsidR="00CA7EB8" w:rsidRPr="0003601D">
        <w:t xml:space="preserve">as a summer intern </w:t>
      </w:r>
      <w:r w:rsidR="00514E06" w:rsidRPr="0003601D">
        <w:t>(permanent address Hertford College, University of Oxford</w:t>
      </w:r>
      <w:r w:rsidR="00CA7EB8" w:rsidRPr="0003601D">
        <w:t>)</w:t>
      </w:r>
      <w:r w:rsidRPr="0003601D">
        <w:t>.</w:t>
      </w:r>
      <w:r w:rsidR="008634AE" w:rsidRPr="0003601D">
        <w:t xml:space="preserve"> </w:t>
      </w:r>
      <w:r w:rsidR="00514E06" w:rsidRPr="0003601D">
        <w:t xml:space="preserve">Dr </w:t>
      </w:r>
      <w:r w:rsidR="008634AE" w:rsidRPr="0003601D">
        <w:t>Jenny Baverstock was formerly a member of academic staff at the Faculty of Health Sciences and now academic staff within Faculty of Natural and Environmental Sciences.</w:t>
      </w:r>
      <w:r w:rsidR="006251B3" w:rsidRPr="0003601D">
        <w:t xml:space="preserve"> This research did not receive any specific grant from funding agencies in the public, commercial, or not-for-profit sectors.</w:t>
      </w:r>
    </w:p>
    <w:p w14:paraId="7CEAB41A" w14:textId="77777777" w:rsidR="0011461D" w:rsidRPr="0003601D" w:rsidRDefault="0011461D"/>
    <w:p w14:paraId="530C424E" w14:textId="77777777" w:rsidR="006B7DC6" w:rsidRPr="00AF15BA" w:rsidRDefault="006B7DC6">
      <w:pPr>
        <w:rPr>
          <w:b/>
        </w:rPr>
      </w:pPr>
      <w:r w:rsidRPr="0003601D">
        <w:rPr>
          <w:b/>
        </w:rPr>
        <w:t>References</w:t>
      </w:r>
      <w:r w:rsidRPr="00AF15BA">
        <w:rPr>
          <w:b/>
        </w:rPr>
        <w:t xml:space="preserve"> </w:t>
      </w:r>
    </w:p>
    <w:p w14:paraId="185883BA" w14:textId="77777777" w:rsidR="00DD2B3E" w:rsidRPr="0003601D" w:rsidRDefault="00DD2B3E"/>
    <w:p w14:paraId="16C244CC" w14:textId="5F194447" w:rsidR="00DD2B3E" w:rsidRPr="00AF15BA" w:rsidRDefault="00BF56E0">
      <w:r w:rsidRPr="0003601D">
        <w:rPr>
          <w:vertAlign w:val="superscript"/>
        </w:rPr>
        <w:t>1</w:t>
      </w:r>
      <w:r w:rsidRPr="0003601D">
        <w:t xml:space="preserve"> The Global Enabling Trade Report 2016 </w:t>
      </w:r>
      <w:hyperlink r:id="rId8" w:history="1">
        <w:r w:rsidR="00D611E6" w:rsidRPr="00AF15BA">
          <w:rPr>
            <w:rStyle w:val="Hyperlink"/>
          </w:rPr>
          <w:t>https://www.weforum.org/reports/the-global-enabling-trade-report-2016</w:t>
        </w:r>
      </w:hyperlink>
      <w:r w:rsidR="00D611E6" w:rsidRPr="00AF15BA">
        <w:t xml:space="preserve"> Accessed 19 April 2018</w:t>
      </w:r>
    </w:p>
    <w:p w14:paraId="11611FA4" w14:textId="560785C8" w:rsidR="00BF56E0" w:rsidRPr="0003601D" w:rsidRDefault="00BF56E0"/>
    <w:p w14:paraId="79A43420" w14:textId="5349C640" w:rsidR="00BF56E0" w:rsidRPr="0003601D" w:rsidRDefault="00BF56E0">
      <w:r w:rsidRPr="0003601D">
        <w:rPr>
          <w:vertAlign w:val="superscript"/>
        </w:rPr>
        <w:t>2</w:t>
      </w:r>
      <w:r w:rsidRPr="0003601D">
        <w:rPr>
          <w:color w:val="31353D"/>
          <w:lang w:val="en"/>
        </w:rPr>
        <w:t xml:space="preserve"> </w:t>
      </w:r>
      <w:r w:rsidRPr="0003601D">
        <w:rPr>
          <w:lang w:val="en"/>
        </w:rPr>
        <w:t>Chokepoints and Vulnerabilities in Global Food Trade</w:t>
      </w:r>
      <w:r w:rsidRPr="0003601D">
        <w:t xml:space="preserve"> (2017) https://www.chathamhouse.org/publication/chokepoints-vulnerabilities-global-food-trade Accessed 19 April 2018</w:t>
      </w:r>
    </w:p>
    <w:p w14:paraId="1EA8BE63" w14:textId="2EB9E83C" w:rsidR="00BF56E0" w:rsidRPr="0003601D" w:rsidRDefault="00BF56E0"/>
    <w:p w14:paraId="1D46E8F7" w14:textId="217CC305" w:rsidR="00BF56E0" w:rsidRPr="0003601D" w:rsidRDefault="00BF56E0" w:rsidP="00BF56E0">
      <w:pPr>
        <w:rPr>
          <w:rFonts w:eastAsia="Times New Roman" w:cs="Calibri"/>
          <w:color w:val="000000"/>
          <w:sz w:val="21"/>
          <w:szCs w:val="21"/>
        </w:rPr>
      </w:pPr>
      <w:r w:rsidRPr="0003601D">
        <w:rPr>
          <w:vertAlign w:val="superscript"/>
        </w:rPr>
        <w:t>3</w:t>
      </w:r>
      <w:r w:rsidRPr="0003601D">
        <w:rPr>
          <w:rFonts w:eastAsia="Times New Roman" w:cs="Calibri"/>
          <w:color w:val="000000"/>
          <w:sz w:val="21"/>
          <w:szCs w:val="21"/>
        </w:rPr>
        <w:t xml:space="preserve"> </w:t>
      </w:r>
      <w:r w:rsidRPr="00632159">
        <w:rPr>
          <w:rFonts w:eastAsia="Times New Roman" w:cs="Calibri"/>
          <w:color w:val="000000"/>
        </w:rPr>
        <w:t xml:space="preserve">Food Outlook </w:t>
      </w:r>
      <w:r w:rsidR="00DC56F4" w:rsidRPr="00632159">
        <w:rPr>
          <w:rFonts w:eastAsia="Times New Roman" w:cs="Calibri"/>
          <w:color w:val="000000"/>
        </w:rPr>
        <w:t xml:space="preserve">biannual report on global food markets </w:t>
      </w:r>
      <w:r w:rsidRPr="00632159">
        <w:rPr>
          <w:rFonts w:eastAsia="Times New Roman" w:cs="Calibri"/>
          <w:color w:val="000000"/>
        </w:rPr>
        <w:t>(2013)</w:t>
      </w:r>
      <w:r w:rsidRPr="0003601D">
        <w:rPr>
          <w:rFonts w:eastAsia="Times New Roman" w:cs="Calibri"/>
          <w:color w:val="000000"/>
          <w:sz w:val="21"/>
          <w:szCs w:val="21"/>
        </w:rPr>
        <w:t xml:space="preserve"> </w:t>
      </w:r>
      <w:hyperlink r:id="rId9" w:history="1">
        <w:r w:rsidRPr="0003601D">
          <w:rPr>
            <w:rStyle w:val="Hyperlink"/>
            <w:rFonts w:eastAsia="Times New Roman" w:cs="Calibri"/>
            <w:sz w:val="21"/>
            <w:szCs w:val="21"/>
          </w:rPr>
          <w:t>http://www.fao.org/docrep/018/al999e/al999e.pdf</w:t>
        </w:r>
      </w:hyperlink>
      <w:r w:rsidRPr="0003601D">
        <w:rPr>
          <w:rFonts w:eastAsia="Times New Roman" w:cs="Calibri"/>
          <w:color w:val="000000"/>
          <w:sz w:val="21"/>
          <w:szCs w:val="21"/>
        </w:rPr>
        <w:t xml:space="preserve"> </w:t>
      </w:r>
      <w:r w:rsidRPr="00632159">
        <w:rPr>
          <w:rFonts w:eastAsia="Times New Roman" w:cs="Calibri"/>
          <w:color w:val="000000"/>
        </w:rPr>
        <w:t>Accessed 19 April 2018</w:t>
      </w:r>
    </w:p>
    <w:p w14:paraId="2D0F1D77" w14:textId="22D5513D" w:rsidR="00BF56E0" w:rsidRPr="00AF15BA" w:rsidRDefault="00BF56E0"/>
    <w:p w14:paraId="6C9A63BB" w14:textId="0813FD95" w:rsidR="002D2CD4" w:rsidRPr="0003601D" w:rsidRDefault="002D2CD4">
      <w:r w:rsidRPr="0003601D">
        <w:rPr>
          <w:vertAlign w:val="superscript"/>
        </w:rPr>
        <w:t>4</w:t>
      </w:r>
      <w:r w:rsidRPr="0003601D">
        <w:t xml:space="preserve"> </w:t>
      </w:r>
      <w:r w:rsidR="00B73904" w:rsidRPr="0003601D">
        <w:t>Mason</w:t>
      </w:r>
      <w:r w:rsidR="00B73904">
        <w:t>,</w:t>
      </w:r>
      <w:r w:rsidR="00B73904" w:rsidRPr="0003601D">
        <w:t xml:space="preserve"> P</w:t>
      </w:r>
      <w:r w:rsidR="00B73904">
        <w:t>.</w:t>
      </w:r>
      <w:r w:rsidR="009F69FA">
        <w:t>M.</w:t>
      </w:r>
      <w:r w:rsidR="00B73904" w:rsidRPr="0003601D">
        <w:t xml:space="preserve"> &amp; Lang</w:t>
      </w:r>
      <w:r w:rsidR="00B73904">
        <w:t>,</w:t>
      </w:r>
      <w:r w:rsidR="00B73904" w:rsidRPr="0003601D">
        <w:t xml:space="preserve"> T</w:t>
      </w:r>
      <w:r w:rsidR="00B73904">
        <w:t>.</w:t>
      </w:r>
      <w:r w:rsidR="009F69FA">
        <w:t>M.</w:t>
      </w:r>
      <w:r w:rsidR="00B73904" w:rsidRPr="0003601D">
        <w:t xml:space="preserve"> </w:t>
      </w:r>
      <w:r w:rsidR="009F69FA">
        <w:t>(</w:t>
      </w:r>
      <w:r w:rsidR="009F69FA" w:rsidRPr="0003601D">
        <w:t>2017</w:t>
      </w:r>
      <w:r w:rsidR="009F69FA">
        <w:t>)</w:t>
      </w:r>
      <w:r w:rsidR="00DF2BA7">
        <w:t>.</w:t>
      </w:r>
      <w:r w:rsidR="009F69FA">
        <w:t xml:space="preserve"> </w:t>
      </w:r>
      <w:r w:rsidR="00B73904" w:rsidRPr="008B3467">
        <w:rPr>
          <w:i/>
        </w:rPr>
        <w:t xml:space="preserve">Sustainable </w:t>
      </w:r>
      <w:r w:rsidRPr="008B3467">
        <w:rPr>
          <w:i/>
        </w:rPr>
        <w:t>Diets: How Ecological Nutrition Can Transform Consumption and the Food System</w:t>
      </w:r>
      <w:r w:rsidRPr="0003601D">
        <w:t xml:space="preserve"> Taylor and Francis Ltd </w:t>
      </w:r>
      <w:r w:rsidR="00B73904">
        <w:t xml:space="preserve"> </w:t>
      </w:r>
      <w:r w:rsidR="00B73904" w:rsidRPr="00B73904">
        <w:t>Abingdon: Routledge Earthscan. ISBN 978-0-415-74472-0.</w:t>
      </w:r>
    </w:p>
    <w:p w14:paraId="757C5999" w14:textId="6CD45F04" w:rsidR="00BF56E0" w:rsidRPr="0003601D" w:rsidRDefault="00BF56E0"/>
    <w:p w14:paraId="2A4E13D1" w14:textId="4095F4F6" w:rsidR="00D611E6" w:rsidRPr="00AF15BA" w:rsidRDefault="00D611E6">
      <w:r w:rsidRPr="0003601D">
        <w:rPr>
          <w:vertAlign w:val="superscript"/>
        </w:rPr>
        <w:t>5</w:t>
      </w:r>
      <w:r w:rsidRPr="0003601D">
        <w:t xml:space="preserve"> </w:t>
      </w:r>
      <w:r w:rsidRPr="00F77BC9">
        <w:t>F</w:t>
      </w:r>
      <w:r w:rsidRPr="0003601D">
        <w:t xml:space="preserve">AOSTAT statistics division of the FAO </w:t>
      </w:r>
      <w:hyperlink r:id="rId10" w:anchor="home" w:history="1">
        <w:r w:rsidRPr="00AF15BA">
          <w:rPr>
            <w:rStyle w:val="Hyperlink"/>
          </w:rPr>
          <w:t>www.fao.org/faostat/en/#home</w:t>
        </w:r>
      </w:hyperlink>
      <w:r w:rsidR="000F2A45" w:rsidRPr="00AF15BA">
        <w:t xml:space="preserve"> Accessed 19 April 2018</w:t>
      </w:r>
    </w:p>
    <w:p w14:paraId="0CC92874" w14:textId="38003A53" w:rsidR="00D611E6" w:rsidRPr="0003601D" w:rsidRDefault="00D611E6"/>
    <w:p w14:paraId="76F123B5" w14:textId="4A19A886" w:rsidR="00D611E6" w:rsidRPr="0003601D" w:rsidRDefault="00D611E6" w:rsidP="00D611E6">
      <w:r w:rsidRPr="0003601D">
        <w:rPr>
          <w:vertAlign w:val="superscript"/>
        </w:rPr>
        <w:t>6</w:t>
      </w:r>
      <w:r w:rsidRPr="0003601D">
        <w:t>MacDonald,</w:t>
      </w:r>
      <w:r w:rsidR="009F69FA">
        <w:t xml:space="preserve"> G.K.,</w:t>
      </w:r>
      <w:r w:rsidRPr="0003601D">
        <w:t xml:space="preserve"> Brauman,</w:t>
      </w:r>
      <w:r w:rsidR="009F69FA">
        <w:t xml:space="preserve"> K.A.,</w:t>
      </w:r>
      <w:r w:rsidRPr="0003601D">
        <w:t xml:space="preserve"> Sun,</w:t>
      </w:r>
      <w:r w:rsidR="009F69FA">
        <w:t xml:space="preserve"> S.,</w:t>
      </w:r>
      <w:r w:rsidRPr="0003601D">
        <w:t xml:space="preserve">  Carlson, </w:t>
      </w:r>
      <w:r w:rsidR="009F69FA">
        <w:t xml:space="preserve">K.M., </w:t>
      </w:r>
      <w:r w:rsidRPr="0003601D">
        <w:t>Cassidy,</w:t>
      </w:r>
      <w:r w:rsidR="009F69FA">
        <w:t xml:space="preserve"> E.S.,</w:t>
      </w:r>
      <w:r w:rsidRPr="0003601D">
        <w:t xml:space="preserve"> Gerber,</w:t>
      </w:r>
      <w:r w:rsidR="009F69FA">
        <w:t xml:space="preserve"> J.S.,</w:t>
      </w:r>
      <w:r w:rsidRPr="0003601D">
        <w:t xml:space="preserve"> </w:t>
      </w:r>
      <w:r w:rsidR="00DF2BA7">
        <w:t xml:space="preserve">&amp; </w:t>
      </w:r>
      <w:r w:rsidRPr="0003601D">
        <w:t>West</w:t>
      </w:r>
      <w:r w:rsidR="009F69FA">
        <w:t xml:space="preserve"> P.C. (2015)</w:t>
      </w:r>
      <w:r w:rsidR="00DF2BA7">
        <w:t>.</w:t>
      </w:r>
      <w:r w:rsidRPr="0003601D">
        <w:t xml:space="preserve"> Rethinking Agricultural Trade Relationships in an Era of Globalization, </w:t>
      </w:r>
      <w:r w:rsidRPr="0003601D">
        <w:rPr>
          <w:i/>
          <w:iCs/>
        </w:rPr>
        <w:t>BioScience</w:t>
      </w:r>
      <w:r w:rsidRPr="0003601D">
        <w:t>, Volume 65</w:t>
      </w:r>
      <w:r w:rsidR="009F69FA">
        <w:t>,</w:t>
      </w:r>
      <w:r w:rsidRPr="0003601D">
        <w:t xml:space="preserve"> 275–289</w:t>
      </w:r>
      <w:r w:rsidR="009F69FA">
        <w:t xml:space="preserve"> </w:t>
      </w:r>
      <w:r w:rsidR="009F69FA" w:rsidRPr="009F69FA">
        <w:t>https://doi.org/10.1093/biosci/biu225</w:t>
      </w:r>
    </w:p>
    <w:p w14:paraId="7BCA47AF" w14:textId="77777777" w:rsidR="00D611E6" w:rsidRPr="0003601D" w:rsidRDefault="00D611E6"/>
    <w:p w14:paraId="69EC1762" w14:textId="77777777" w:rsidR="00540E2F" w:rsidRDefault="000F2A45" w:rsidP="00C737E2">
      <w:r w:rsidRPr="0003601D">
        <w:rPr>
          <w:vertAlign w:val="superscript"/>
        </w:rPr>
        <w:t>7</w:t>
      </w:r>
      <w:r w:rsidRPr="0003601D">
        <w:t xml:space="preserve"> </w:t>
      </w:r>
      <w:r w:rsidR="00C737E2" w:rsidRPr="0003601D">
        <w:t xml:space="preserve">DEFRA’s Food Statistics Pocket Book </w:t>
      </w:r>
      <w:r w:rsidR="00522A36" w:rsidRPr="0003601D">
        <w:t>(</w:t>
      </w:r>
      <w:r w:rsidR="00C737E2" w:rsidRPr="0003601D">
        <w:t>2015</w:t>
      </w:r>
      <w:r w:rsidR="00522A36" w:rsidRPr="0003601D">
        <w:t>)</w:t>
      </w:r>
      <w:r w:rsidR="00C737E2" w:rsidRPr="0003601D">
        <w:t xml:space="preserve"> </w:t>
      </w:r>
    </w:p>
    <w:p w14:paraId="66DD8ADD" w14:textId="6724FD3C" w:rsidR="00540E2F" w:rsidRDefault="00540E2F" w:rsidP="00C737E2">
      <w:r w:rsidRPr="00540E2F">
        <w:t>https://assets.publishing.service.gov.uk/government/uploads/system/uploads/attachment_data/file/526395/foodpocketbook-2015update-26may16.pdf</w:t>
      </w:r>
    </w:p>
    <w:p w14:paraId="0F920745" w14:textId="4B989AEB" w:rsidR="00D80F3B" w:rsidRPr="0003601D" w:rsidRDefault="00D80F3B" w:rsidP="00C737E2">
      <w:pPr>
        <w:rPr>
          <w:rStyle w:val="Hyperlink"/>
        </w:rPr>
      </w:pPr>
      <w:r w:rsidRPr="0003601D">
        <w:t xml:space="preserve">Accessed </w:t>
      </w:r>
      <w:r w:rsidR="00540E2F">
        <w:t xml:space="preserve">1 May </w:t>
      </w:r>
      <w:r w:rsidRPr="0003601D">
        <w:t>2018</w:t>
      </w:r>
    </w:p>
    <w:p w14:paraId="3DC50D6B" w14:textId="77777777" w:rsidR="00D13353" w:rsidRPr="0003601D" w:rsidRDefault="00D13353" w:rsidP="00C737E2"/>
    <w:p w14:paraId="70781743" w14:textId="6F742070" w:rsidR="00C737E2" w:rsidRPr="0003601D" w:rsidRDefault="000F2A45" w:rsidP="00C737E2">
      <w:r w:rsidRPr="0003601D">
        <w:rPr>
          <w:vertAlign w:val="superscript"/>
        </w:rPr>
        <w:t>8</w:t>
      </w:r>
      <w:r w:rsidRPr="0003601D">
        <w:t xml:space="preserve"> </w:t>
      </w:r>
      <w:r w:rsidR="001600AC" w:rsidRPr="001600AC">
        <w:t xml:space="preserve">[dataset] </w:t>
      </w:r>
      <w:r w:rsidR="00F77BC9" w:rsidRPr="00F77BC9">
        <w:t>resourcetrade.earth</w:t>
      </w:r>
      <w:r w:rsidR="00F77BC9" w:rsidRPr="00F77BC9" w:rsidDel="00F77BC9">
        <w:t xml:space="preserve"> </w:t>
      </w:r>
      <w:r w:rsidR="00D13353" w:rsidRPr="0003601D">
        <w:t xml:space="preserve">Chatham House </w:t>
      </w:r>
      <w:r w:rsidRPr="0003601D">
        <w:t>https://resourcetrade.earth/ Accessed 19 April 2018</w:t>
      </w:r>
    </w:p>
    <w:p w14:paraId="0213736B" w14:textId="3B7B229E" w:rsidR="00D13353" w:rsidRPr="0003601D" w:rsidRDefault="00D13353" w:rsidP="00C737E2"/>
    <w:p w14:paraId="7DEBDCBD" w14:textId="53E34E9E" w:rsidR="00D13353" w:rsidRPr="00AF15BA" w:rsidRDefault="00D13353" w:rsidP="00D13353">
      <w:r w:rsidRPr="0003601D">
        <w:rPr>
          <w:vertAlign w:val="superscript"/>
        </w:rPr>
        <w:t xml:space="preserve">9 </w:t>
      </w:r>
      <w:r w:rsidRPr="0003601D">
        <w:t xml:space="preserve">Elliott Review into the Integrity and Assurance of Food Supply Networks – Final Report  </w:t>
      </w:r>
      <w:r w:rsidR="00540E2F">
        <w:t>(</w:t>
      </w:r>
      <w:r w:rsidRPr="0003601D">
        <w:t>2014</w:t>
      </w:r>
      <w:r w:rsidR="00540E2F">
        <w:t>)</w:t>
      </w:r>
      <w:hyperlink r:id="rId11" w:history="1">
        <w:r w:rsidRPr="00AF15BA">
          <w:rPr>
            <w:rStyle w:val="Hyperlink"/>
          </w:rPr>
          <w:t>https://www.gov.uk/government/uploads/system/uploads/attachment_data/file/350726/elliot-review-final-report-july2014.pdf</w:t>
        </w:r>
      </w:hyperlink>
      <w:r w:rsidRPr="00AF15BA">
        <w:t xml:space="preserve"> Accessed 19 April 2018</w:t>
      </w:r>
    </w:p>
    <w:p w14:paraId="3E549D7B" w14:textId="292AEC5C" w:rsidR="00D13353" w:rsidRPr="0003601D" w:rsidRDefault="00D13353" w:rsidP="00C737E2"/>
    <w:p w14:paraId="6EBA5345" w14:textId="1D295800" w:rsidR="00D13353" w:rsidRPr="00AF15BA" w:rsidRDefault="00D13353" w:rsidP="00D13353">
      <w:r w:rsidRPr="0003601D">
        <w:rPr>
          <w:vertAlign w:val="superscript"/>
        </w:rPr>
        <w:t>10</w:t>
      </w:r>
      <w:r w:rsidR="00540E2F">
        <w:t>F</w:t>
      </w:r>
      <w:r w:rsidR="00540E2F" w:rsidRPr="0003601D">
        <w:t xml:space="preserve">ood </w:t>
      </w:r>
      <w:r w:rsidR="00540E2F">
        <w:t>C</w:t>
      </w:r>
      <w:r w:rsidR="00540E2F" w:rsidRPr="0003601D">
        <w:t xml:space="preserve">rime </w:t>
      </w:r>
      <w:r w:rsidR="00540E2F">
        <w:t>A</w:t>
      </w:r>
      <w:r w:rsidR="00540E2F" w:rsidRPr="0003601D">
        <w:t xml:space="preserve">nnual </w:t>
      </w:r>
      <w:r w:rsidR="00540E2F">
        <w:t>S</w:t>
      </w:r>
      <w:r w:rsidR="00540E2F" w:rsidRPr="0003601D">
        <w:t xml:space="preserve">trategic </w:t>
      </w:r>
      <w:r w:rsidR="00540E2F">
        <w:t>A</w:t>
      </w:r>
      <w:r w:rsidR="00540E2F" w:rsidRPr="0003601D">
        <w:t>ssessment</w:t>
      </w:r>
      <w:r w:rsidR="006128A2">
        <w:t>.</w:t>
      </w:r>
      <w:r w:rsidR="00540E2F" w:rsidRPr="0003601D">
        <w:t xml:space="preserve"> </w:t>
      </w:r>
      <w:r w:rsidRPr="0003601D">
        <w:t>A 2016 Baseline</w:t>
      </w:r>
      <w:r w:rsidR="00540E2F">
        <w:t>. Food Standards Agency (2016)</w:t>
      </w:r>
      <w:r w:rsidRPr="0003601D">
        <w:t xml:space="preserve"> </w:t>
      </w:r>
      <w:hyperlink r:id="rId12" w:history="1">
        <w:r w:rsidRPr="00AF15BA">
          <w:rPr>
            <w:rStyle w:val="Hyperlink"/>
          </w:rPr>
          <w:t>https://www.food.gov.uk/sites/default/files/fsa-food-crime-assessment-2016.pdf</w:t>
        </w:r>
      </w:hyperlink>
      <w:r w:rsidRPr="00AF15BA">
        <w:t xml:space="preserve"> Accessed 19 April 2018</w:t>
      </w:r>
    </w:p>
    <w:p w14:paraId="23FAA32B" w14:textId="77777777" w:rsidR="00C737E2" w:rsidRPr="0003601D" w:rsidRDefault="00C737E2" w:rsidP="00C737E2">
      <w:pPr>
        <w:rPr>
          <w:rFonts w:cs="Times New Roman"/>
        </w:rPr>
      </w:pPr>
    </w:p>
    <w:p w14:paraId="61526529" w14:textId="11F205D4" w:rsidR="00C737E2" w:rsidRDefault="009E183D" w:rsidP="00262E5A">
      <w:pPr>
        <w:pStyle w:val="FootnoteText"/>
        <w:rPr>
          <w:rFonts w:cs="Times New Roman"/>
          <w:sz w:val="24"/>
          <w:szCs w:val="24"/>
        </w:rPr>
      </w:pPr>
      <w:r w:rsidRPr="008B3467">
        <w:rPr>
          <w:rFonts w:cs="Times New Roman"/>
          <w:sz w:val="24"/>
          <w:szCs w:val="24"/>
          <w:vertAlign w:val="superscript"/>
        </w:rPr>
        <w:t>11</w:t>
      </w:r>
      <w:r w:rsidR="00C737E2" w:rsidRPr="008B3467">
        <w:rPr>
          <w:rFonts w:cs="Times New Roman"/>
          <w:sz w:val="24"/>
          <w:szCs w:val="24"/>
        </w:rPr>
        <w:t xml:space="preserve"> </w:t>
      </w:r>
      <w:r w:rsidR="00262E5A" w:rsidRPr="00262E5A">
        <w:rPr>
          <w:rFonts w:cs="Times New Roman"/>
          <w:sz w:val="24"/>
          <w:szCs w:val="24"/>
        </w:rPr>
        <w:t>European Union Committee</w:t>
      </w:r>
      <w:r w:rsidR="00262E5A">
        <w:rPr>
          <w:rFonts w:cs="Times New Roman"/>
          <w:sz w:val="24"/>
          <w:szCs w:val="24"/>
        </w:rPr>
        <w:t xml:space="preserve"> </w:t>
      </w:r>
      <w:r w:rsidR="00C737E2" w:rsidRPr="008B3467">
        <w:rPr>
          <w:rFonts w:cs="Times New Roman"/>
          <w:sz w:val="24"/>
          <w:szCs w:val="24"/>
        </w:rPr>
        <w:t xml:space="preserve">(2016) </w:t>
      </w:r>
      <w:r w:rsidR="00610BE3" w:rsidRPr="00610BE3">
        <w:rPr>
          <w:rFonts w:cs="Times New Roman"/>
          <w:sz w:val="24"/>
          <w:szCs w:val="24"/>
        </w:rPr>
        <w:t xml:space="preserve">Brexit: the options for trade </w:t>
      </w:r>
      <w:r w:rsidR="00262E5A" w:rsidRPr="00262E5A">
        <w:rPr>
          <w:rFonts w:cs="Times New Roman"/>
          <w:sz w:val="24"/>
          <w:szCs w:val="24"/>
        </w:rPr>
        <w:t>5th Report of Session</w:t>
      </w:r>
      <w:r w:rsidR="00262E5A">
        <w:rPr>
          <w:rFonts w:cs="Times New Roman"/>
          <w:sz w:val="24"/>
          <w:szCs w:val="24"/>
        </w:rPr>
        <w:t>.</w:t>
      </w:r>
      <w:r w:rsidR="00262E5A" w:rsidRPr="00262E5A">
        <w:rPr>
          <w:rFonts w:cs="Times New Roman"/>
          <w:sz w:val="24"/>
          <w:szCs w:val="24"/>
        </w:rPr>
        <w:t xml:space="preserve"> </w:t>
      </w:r>
      <w:r w:rsidR="00262E5A" w:rsidRPr="008B3467">
        <w:rPr>
          <w:rFonts w:cs="Times New Roman"/>
          <w:sz w:val="24"/>
          <w:szCs w:val="24"/>
        </w:rPr>
        <w:t xml:space="preserve">Parliament. House of Lords </w:t>
      </w:r>
      <w:r w:rsidR="00262E5A" w:rsidRPr="00262E5A">
        <w:rPr>
          <w:rFonts w:cs="Times New Roman"/>
          <w:sz w:val="24"/>
          <w:szCs w:val="24"/>
        </w:rPr>
        <w:t>2016–17</w:t>
      </w:r>
      <w:r w:rsidR="00262E5A">
        <w:rPr>
          <w:rFonts w:cs="Times New Roman"/>
          <w:sz w:val="24"/>
          <w:szCs w:val="24"/>
        </w:rPr>
        <w:t xml:space="preserve"> </w:t>
      </w:r>
      <w:r w:rsidR="00262E5A" w:rsidRPr="00683FA3">
        <w:rPr>
          <w:rFonts w:cs="Times New Roman"/>
          <w:sz w:val="24"/>
          <w:szCs w:val="24"/>
        </w:rPr>
        <w:t>https://publications.parliament.uk/pa/ld201617/ldselect/ldeucom/72/72.pdf Accessed 18 April 2018</w:t>
      </w:r>
    </w:p>
    <w:p w14:paraId="19D591BA" w14:textId="77777777" w:rsidR="00262E5A" w:rsidRPr="008B3467" w:rsidRDefault="00262E5A" w:rsidP="00262E5A">
      <w:pPr>
        <w:pStyle w:val="FootnoteText"/>
        <w:rPr>
          <w:rFonts w:cs="Times New Roman"/>
          <w:sz w:val="24"/>
          <w:szCs w:val="24"/>
        </w:rPr>
      </w:pPr>
    </w:p>
    <w:p w14:paraId="30FFCD1B" w14:textId="3321E776" w:rsidR="00C737E2" w:rsidRPr="008B3467" w:rsidRDefault="009E183D" w:rsidP="00C737E2">
      <w:pPr>
        <w:pStyle w:val="FootnoteText"/>
        <w:rPr>
          <w:rFonts w:cs="Times New Roman"/>
          <w:sz w:val="24"/>
          <w:szCs w:val="24"/>
        </w:rPr>
      </w:pPr>
      <w:r w:rsidRPr="008B3467">
        <w:rPr>
          <w:rFonts w:cs="Times New Roman"/>
          <w:sz w:val="24"/>
          <w:szCs w:val="24"/>
          <w:vertAlign w:val="superscript"/>
        </w:rPr>
        <w:t>12</w:t>
      </w:r>
      <w:r w:rsidR="00C737E2" w:rsidRPr="008B3467">
        <w:rPr>
          <w:rFonts w:cs="Times New Roman"/>
          <w:sz w:val="24"/>
          <w:szCs w:val="24"/>
        </w:rPr>
        <w:t xml:space="preserve"> </w:t>
      </w:r>
      <w:r w:rsidR="00262E5A" w:rsidRPr="00262E5A">
        <w:rPr>
          <w:rFonts w:cs="Times New Roman"/>
          <w:sz w:val="24"/>
          <w:szCs w:val="24"/>
        </w:rPr>
        <w:t xml:space="preserve">Security of UK Food Supply </w:t>
      </w:r>
      <w:r w:rsidR="00262E5A" w:rsidRPr="008B3467">
        <w:rPr>
          <w:rFonts w:cs="Times New Roman"/>
          <w:sz w:val="24"/>
          <w:szCs w:val="24"/>
        </w:rPr>
        <w:t>(2017</w:t>
      </w:r>
      <w:r w:rsidR="006128A2">
        <w:rPr>
          <w:rFonts w:cs="Times New Roman"/>
          <w:sz w:val="24"/>
          <w:szCs w:val="24"/>
        </w:rPr>
        <w:t xml:space="preserve">) </w:t>
      </w:r>
      <w:r w:rsidR="00DC56F4">
        <w:rPr>
          <w:rFonts w:cs="Times New Roman"/>
          <w:sz w:val="24"/>
          <w:szCs w:val="24"/>
        </w:rPr>
        <w:t>POSTnote</w:t>
      </w:r>
      <w:r w:rsidR="00C737E2" w:rsidRPr="008B3467">
        <w:rPr>
          <w:rFonts w:cs="Times New Roman"/>
          <w:sz w:val="24"/>
          <w:szCs w:val="24"/>
        </w:rPr>
        <w:t xml:space="preserve">. Parliamentary office of Science and Technology </w:t>
      </w:r>
      <w:r w:rsidR="00262E5A" w:rsidRPr="00262E5A">
        <w:rPr>
          <w:rFonts w:cs="Times New Roman"/>
          <w:sz w:val="24"/>
          <w:szCs w:val="24"/>
        </w:rPr>
        <w:t xml:space="preserve">Number 556 June 2017 </w:t>
      </w:r>
      <w:hyperlink r:id="rId13" w:history="1">
        <w:r w:rsidR="00301234" w:rsidRPr="008B3467">
          <w:rPr>
            <w:rStyle w:val="Hyperlink"/>
            <w:rFonts w:cs="Times New Roman"/>
            <w:sz w:val="24"/>
            <w:szCs w:val="24"/>
          </w:rPr>
          <w:t>http://researchbriefings.files.parliament.uk/documents/POST-PN-0556/POST-PN-0556.pdf</w:t>
        </w:r>
      </w:hyperlink>
      <w:r w:rsidR="00301234" w:rsidRPr="008B3467">
        <w:rPr>
          <w:rFonts w:cs="Times New Roman"/>
          <w:sz w:val="24"/>
          <w:szCs w:val="24"/>
        </w:rPr>
        <w:t xml:space="preserve"> Accessed 18 April 2018</w:t>
      </w:r>
    </w:p>
    <w:p w14:paraId="606C5E45" w14:textId="77777777" w:rsidR="00C737E2" w:rsidRPr="008B3467" w:rsidRDefault="00C737E2" w:rsidP="00C737E2">
      <w:pPr>
        <w:pStyle w:val="FootnoteText"/>
        <w:rPr>
          <w:rFonts w:cs="Times New Roman"/>
          <w:sz w:val="24"/>
          <w:szCs w:val="24"/>
        </w:rPr>
      </w:pPr>
    </w:p>
    <w:p w14:paraId="2F3FE847" w14:textId="0C040307" w:rsidR="000114EE" w:rsidRPr="000114EE" w:rsidRDefault="009E183D" w:rsidP="000114EE">
      <w:pPr>
        <w:spacing w:before="100" w:beforeAutospacing="1" w:after="100" w:afterAutospacing="1"/>
        <w:rPr>
          <w:rFonts w:ascii="Calibri" w:eastAsia="Times New Roman" w:hAnsi="Calibri" w:cs="Calibri"/>
          <w:color w:val="000000" w:themeColor="text1"/>
          <w:sz w:val="28"/>
          <w:szCs w:val="28"/>
        </w:rPr>
      </w:pPr>
      <w:r w:rsidRPr="008B3467">
        <w:rPr>
          <w:rFonts w:cs="Times New Roman"/>
          <w:vertAlign w:val="superscript"/>
        </w:rPr>
        <w:t>13</w:t>
      </w:r>
      <w:r w:rsidR="00C737E2" w:rsidRPr="008B3467">
        <w:rPr>
          <w:rStyle w:val="FootnoteReference"/>
          <w:rFonts w:cs="Times New Roman"/>
        </w:rPr>
        <w:t xml:space="preserve"> </w:t>
      </w:r>
      <w:r w:rsidR="000114EE" w:rsidRPr="000114EE">
        <w:rPr>
          <w:rFonts w:ascii="Cambria" w:eastAsia="Times New Roman" w:hAnsi="Cambria" w:cs="Times New Roman"/>
          <w:color w:val="000000" w:themeColor="text1"/>
        </w:rPr>
        <w:t xml:space="preserve">Draft Agreement </w:t>
      </w:r>
      <w:r w:rsidR="000114EE" w:rsidRPr="000114EE">
        <w:rPr>
          <w:rFonts w:ascii="Cambria" w:eastAsia="Times New Roman" w:hAnsi="Cambria" w:cs="Calibri"/>
          <w:color w:val="000000" w:themeColor="text1"/>
        </w:rPr>
        <w:t>on the withdrawal of the United Kingdom of Great Britain and Northern Ireland from the European Union and the European Atomic Energy Community, as agreed at negotiators' level on 14 November 2018</w:t>
      </w:r>
      <w:r w:rsidR="000114EE" w:rsidRPr="000114EE">
        <w:rPr>
          <w:rFonts w:ascii="Calibri" w:eastAsia="Times New Roman" w:hAnsi="Calibri" w:cs="Calibri"/>
          <w:color w:val="000000" w:themeColor="text1"/>
          <w:sz w:val="28"/>
          <w:szCs w:val="28"/>
        </w:rPr>
        <w:t xml:space="preserve">. </w:t>
      </w:r>
      <w:hyperlink r:id="rId14" w:history="1">
        <w:r w:rsidR="000114EE" w:rsidRPr="000114EE">
          <w:rPr>
            <w:rStyle w:val="Hyperlink"/>
            <w:rFonts w:ascii="Calibri" w:eastAsia="Times New Roman" w:hAnsi="Calibri" w:cs="Calibri"/>
            <w:sz w:val="28"/>
            <w:szCs w:val="28"/>
          </w:rPr>
          <w:t>https://ec.europa.eu/commission/sites/beta-political/files/draft_withdrawal_agreement_0.pdf</w:t>
        </w:r>
      </w:hyperlink>
      <w:r w:rsidR="000114EE">
        <w:rPr>
          <w:rFonts w:ascii="Calibri" w:eastAsia="Times New Roman" w:hAnsi="Calibri" w:cs="Calibri"/>
          <w:color w:val="000000" w:themeColor="text1"/>
          <w:sz w:val="28"/>
          <w:szCs w:val="28"/>
        </w:rPr>
        <w:t xml:space="preserve"> Accessed 20 Dec 2018</w:t>
      </w:r>
    </w:p>
    <w:p w14:paraId="73B0AA5A" w14:textId="77777777" w:rsidR="000114EE" w:rsidRPr="00EC6C82" w:rsidRDefault="000114EE" w:rsidP="000114EE">
      <w:pPr>
        <w:spacing w:before="100" w:beforeAutospacing="1" w:after="100" w:afterAutospacing="1"/>
        <w:rPr>
          <w:rFonts w:ascii="Times New Roman" w:eastAsia="Times New Roman" w:hAnsi="Times New Roman" w:cs="Times New Roman"/>
        </w:rPr>
      </w:pPr>
    </w:p>
    <w:p w14:paraId="414559C2" w14:textId="43194B88" w:rsidR="00FA5DAF" w:rsidRPr="008B3467" w:rsidRDefault="00FA5DAF" w:rsidP="00C737E2">
      <w:pPr>
        <w:pStyle w:val="FootnoteText"/>
        <w:rPr>
          <w:rFonts w:cs="Times New Roman"/>
          <w:sz w:val="24"/>
          <w:szCs w:val="24"/>
        </w:rPr>
      </w:pPr>
    </w:p>
    <w:p w14:paraId="097E2961" w14:textId="77777777" w:rsidR="00C737E2" w:rsidRPr="008B3467" w:rsidRDefault="00C737E2" w:rsidP="00C737E2">
      <w:pPr>
        <w:pStyle w:val="FootnoteText"/>
        <w:rPr>
          <w:rFonts w:cs="Times New Roman"/>
          <w:sz w:val="24"/>
          <w:szCs w:val="24"/>
        </w:rPr>
      </w:pPr>
    </w:p>
    <w:p w14:paraId="48062E27" w14:textId="291BDE7D" w:rsidR="00C737E2" w:rsidRPr="008B3467" w:rsidRDefault="00626768" w:rsidP="00C621B9">
      <w:pPr>
        <w:autoSpaceDE w:val="0"/>
        <w:autoSpaceDN w:val="0"/>
        <w:adjustRightInd w:val="0"/>
        <w:rPr>
          <w:rFonts w:cs="Times New Roman"/>
          <w:i/>
        </w:rPr>
      </w:pPr>
      <w:r w:rsidRPr="00B73904">
        <w:rPr>
          <w:rFonts w:cs="Times New Roman"/>
          <w:vertAlign w:val="superscript"/>
        </w:rPr>
        <w:t>14</w:t>
      </w:r>
      <w:r w:rsidR="00C737E2" w:rsidRPr="00B73904">
        <w:rPr>
          <w:rStyle w:val="FootnoteReference"/>
          <w:rFonts w:cs="Times New Roman"/>
        </w:rPr>
        <w:t xml:space="preserve"> </w:t>
      </w:r>
      <w:r w:rsidR="008257E4" w:rsidRPr="008B3467">
        <w:rPr>
          <w:rFonts w:cs="Times New Roman"/>
        </w:rPr>
        <w:t>v</w:t>
      </w:r>
      <w:r w:rsidR="00C737E2" w:rsidRPr="008B3467">
        <w:rPr>
          <w:rFonts w:cs="Times New Roman"/>
        </w:rPr>
        <w:t xml:space="preserve">an Berkum, S. </w:t>
      </w:r>
      <w:r w:rsidR="00C621B9" w:rsidRPr="008B3467">
        <w:rPr>
          <w:rFonts w:cs="Times New Roman"/>
        </w:rPr>
        <w:t>,</w:t>
      </w:r>
      <w:r w:rsidR="00C737E2" w:rsidRPr="008B3467">
        <w:rPr>
          <w:rFonts w:cs="Times New Roman"/>
        </w:rPr>
        <w:t xml:space="preserve"> </w:t>
      </w:r>
      <w:r w:rsidR="00301234" w:rsidRPr="008B3467">
        <w:rPr>
          <w:rFonts w:cs="Times New Roman"/>
        </w:rPr>
        <w:t xml:space="preserve">Jongeneel, R.A., Vrolijk, H.C.J., van Leeuwen, M.G.A., &amp; Jager, J.H. </w:t>
      </w:r>
      <w:r w:rsidR="00C737E2" w:rsidRPr="008B3467">
        <w:rPr>
          <w:rFonts w:cs="Times New Roman"/>
        </w:rPr>
        <w:t>(2016)</w:t>
      </w:r>
      <w:r w:rsidR="00DF2BA7">
        <w:rPr>
          <w:rFonts w:cs="Times New Roman"/>
        </w:rPr>
        <w:t>.</w:t>
      </w:r>
      <w:r w:rsidR="00C737E2" w:rsidRPr="008B3467">
        <w:rPr>
          <w:rFonts w:cs="Times New Roman"/>
        </w:rPr>
        <w:t xml:space="preserve"> Implications of a UK exit from the EU for British agriculture.</w:t>
      </w:r>
      <w:r w:rsidR="00C737E2" w:rsidRPr="008B3467">
        <w:rPr>
          <w:rFonts w:cs="Times New Roman"/>
          <w:i/>
        </w:rPr>
        <w:t xml:space="preserve"> </w:t>
      </w:r>
      <w:r w:rsidR="00C621B9" w:rsidRPr="008B3467">
        <w:rPr>
          <w:rFonts w:cs="Times New Roman"/>
          <w:i/>
        </w:rPr>
        <w:t xml:space="preserve">Study for the </w:t>
      </w:r>
      <w:r w:rsidR="00C737E2" w:rsidRPr="008B3467">
        <w:rPr>
          <w:rFonts w:cs="Times New Roman"/>
          <w:i/>
        </w:rPr>
        <w:t>National Farmers’ Union of England and Wales: Warwickshire</w:t>
      </w:r>
      <w:r w:rsidR="00C737E2" w:rsidRPr="008B3467">
        <w:rPr>
          <w:rFonts w:cs="Times New Roman"/>
        </w:rPr>
        <w:t>.</w:t>
      </w:r>
      <w:r w:rsidR="00C621B9" w:rsidRPr="008B3467">
        <w:rPr>
          <w:rFonts w:cs="Verdana"/>
        </w:rPr>
        <w:t xml:space="preserve"> LEI 2016-046 ISBN 978-94-6257-773-2</w:t>
      </w:r>
      <w:r w:rsidR="00C621B9" w:rsidRPr="008B3467">
        <w:rPr>
          <w:rFonts w:cs="Times New Roman"/>
        </w:rPr>
        <w:t xml:space="preserve"> </w:t>
      </w:r>
      <w:r w:rsidR="00C737E2" w:rsidRPr="008B3467">
        <w:rPr>
          <w:rFonts w:cs="Times New Roman"/>
          <w:i/>
        </w:rPr>
        <w:t xml:space="preserve"> </w:t>
      </w:r>
      <w:hyperlink r:id="rId15" w:history="1">
        <w:r w:rsidR="00C621B9" w:rsidRPr="008B3467">
          <w:rPr>
            <w:rStyle w:val="Hyperlink"/>
            <w:rFonts w:cs="Times New Roman"/>
            <w:i/>
          </w:rPr>
          <w:t>http://edepot.wur.nl/377860</w:t>
        </w:r>
      </w:hyperlink>
      <w:r w:rsidR="00C621B9" w:rsidRPr="008B3467">
        <w:rPr>
          <w:rFonts w:cs="Times New Roman"/>
          <w:i/>
        </w:rPr>
        <w:t xml:space="preserve"> </w:t>
      </w:r>
    </w:p>
    <w:p w14:paraId="72F91170" w14:textId="4690DCC1" w:rsidR="00C621B9" w:rsidRPr="00683FA3" w:rsidRDefault="00C621B9" w:rsidP="00C737E2">
      <w:pPr>
        <w:rPr>
          <w:rFonts w:cs="Times New Roman"/>
        </w:rPr>
      </w:pPr>
      <w:r w:rsidRPr="00F77553">
        <w:rPr>
          <w:rFonts w:cs="Times New Roman"/>
        </w:rPr>
        <w:t>Accessed 26 April 2018</w:t>
      </w:r>
    </w:p>
    <w:p w14:paraId="05E76D22" w14:textId="77777777" w:rsidR="00880C43" w:rsidRPr="008B3467" w:rsidRDefault="00880C43" w:rsidP="00C737E2">
      <w:pPr>
        <w:rPr>
          <w:rFonts w:cs="Times New Roman"/>
        </w:rPr>
      </w:pPr>
    </w:p>
    <w:p w14:paraId="35E856A0" w14:textId="0315572F" w:rsidR="00AA3029" w:rsidRPr="00B73904" w:rsidRDefault="00880C43" w:rsidP="00AA3029">
      <w:pPr>
        <w:rPr>
          <w:rFonts w:cs="Times New Roman"/>
        </w:rPr>
      </w:pPr>
      <w:r w:rsidRPr="00B73904">
        <w:rPr>
          <w:rFonts w:cs="Times New Roman"/>
          <w:vertAlign w:val="superscript"/>
        </w:rPr>
        <w:t>15</w:t>
      </w:r>
      <w:r w:rsidRPr="00B73904">
        <w:rPr>
          <w:rFonts w:cs="Times New Roman"/>
        </w:rPr>
        <w:t xml:space="preserve"> </w:t>
      </w:r>
      <w:r w:rsidR="00AA3029" w:rsidRPr="00B73904">
        <w:rPr>
          <w:rFonts w:cs="Times New Roman"/>
        </w:rPr>
        <w:t>Levell, P., O’Connell, M.</w:t>
      </w:r>
      <w:r w:rsidR="00DF2BA7">
        <w:rPr>
          <w:rFonts w:cs="Times New Roman"/>
        </w:rPr>
        <w:t>,</w:t>
      </w:r>
      <w:r w:rsidR="00AA3029" w:rsidRPr="00B73904">
        <w:rPr>
          <w:rFonts w:cs="Times New Roman"/>
        </w:rPr>
        <w:t xml:space="preserve"> &amp; Smith, K. (2017)</w:t>
      </w:r>
      <w:r w:rsidR="00DF2BA7">
        <w:rPr>
          <w:rFonts w:cs="Times New Roman"/>
        </w:rPr>
        <w:t>.</w:t>
      </w:r>
      <w:r w:rsidR="00AA3029" w:rsidRPr="00B73904">
        <w:rPr>
          <w:rFonts w:cs="Times New Roman"/>
        </w:rPr>
        <w:t xml:space="preserve"> ‘The exposure of households’ food spending to tariff changes and exchange rate movements’, </w:t>
      </w:r>
      <w:r w:rsidR="00AA3029" w:rsidRPr="008B3467">
        <w:rPr>
          <w:rFonts w:cs="Times New Roman"/>
          <w:i/>
        </w:rPr>
        <w:t xml:space="preserve">IFS Briefing Note BN213. London: Institute </w:t>
      </w:r>
      <w:r w:rsidRPr="008B3467">
        <w:rPr>
          <w:rFonts w:cs="Times New Roman"/>
          <w:i/>
        </w:rPr>
        <w:t>for Fiscal Studies</w:t>
      </w:r>
      <w:r w:rsidRPr="00B73904">
        <w:rPr>
          <w:rFonts w:cs="Times New Roman"/>
        </w:rPr>
        <w:t xml:space="preserve"> </w:t>
      </w:r>
      <w:r w:rsidR="00AA3029" w:rsidRPr="00B73904">
        <w:rPr>
          <w:rFonts w:cs="Times New Roman"/>
        </w:rPr>
        <w:t>DOI:</w:t>
      </w:r>
    </w:p>
    <w:p w14:paraId="7B91FCA4" w14:textId="2F50FDFC" w:rsidR="00D80F3B" w:rsidRPr="00B73904" w:rsidRDefault="00AA3029" w:rsidP="00AA3029">
      <w:pPr>
        <w:rPr>
          <w:rFonts w:cs="Times New Roman"/>
        </w:rPr>
      </w:pPr>
      <w:r w:rsidRPr="008B3467">
        <w:rPr>
          <w:rFonts w:cs="Times New Roman"/>
        </w:rPr>
        <w:t xml:space="preserve">10.1920/BN.IFS.2017.BN0213 https://www.ifs.org.uk/uploads/publications/bns/BN213.pdf </w:t>
      </w:r>
      <w:r w:rsidR="00880C43" w:rsidRPr="008B3467">
        <w:rPr>
          <w:rFonts w:cs="Times New Roman"/>
        </w:rPr>
        <w:t>24 April 2018</w:t>
      </w:r>
      <w:r w:rsidR="00880C43" w:rsidRPr="00B73904">
        <w:rPr>
          <w:rFonts w:cs="Times New Roman"/>
        </w:rPr>
        <w:t xml:space="preserve"> </w:t>
      </w:r>
    </w:p>
    <w:p w14:paraId="5F7CF1E4" w14:textId="77777777" w:rsidR="00C737E2" w:rsidRPr="008B3467" w:rsidRDefault="00C737E2" w:rsidP="00C737E2">
      <w:pPr>
        <w:pStyle w:val="FootnoteText"/>
        <w:rPr>
          <w:rFonts w:cs="Times New Roman"/>
          <w:i/>
          <w:sz w:val="24"/>
          <w:szCs w:val="24"/>
        </w:rPr>
      </w:pPr>
    </w:p>
    <w:p w14:paraId="57589CC1" w14:textId="681F7837" w:rsidR="00C737E2" w:rsidRPr="008B3467" w:rsidRDefault="00C737E2" w:rsidP="00C737E2">
      <w:pPr>
        <w:pStyle w:val="FootnoteText"/>
        <w:rPr>
          <w:rFonts w:cs="Times New Roman"/>
          <w:sz w:val="24"/>
          <w:szCs w:val="24"/>
        </w:rPr>
      </w:pPr>
      <w:r w:rsidRPr="008B3467">
        <w:rPr>
          <w:rStyle w:val="FootnoteReference"/>
          <w:rFonts w:cs="Times New Roman"/>
          <w:sz w:val="24"/>
          <w:szCs w:val="24"/>
        </w:rPr>
        <w:lastRenderedPageBreak/>
        <w:t>1</w:t>
      </w:r>
      <w:r w:rsidR="00880C43" w:rsidRPr="008B3467">
        <w:rPr>
          <w:rFonts w:cs="Times New Roman"/>
          <w:sz w:val="24"/>
          <w:szCs w:val="24"/>
          <w:vertAlign w:val="superscript"/>
        </w:rPr>
        <w:t>6</w:t>
      </w:r>
      <w:r w:rsidRPr="008B3467">
        <w:rPr>
          <w:rFonts w:cs="Times New Roman"/>
          <w:sz w:val="24"/>
          <w:szCs w:val="24"/>
        </w:rPr>
        <w:t xml:space="preserve"> Agriculture &amp; Horticulture Development Board (2016)</w:t>
      </w:r>
      <w:r w:rsidR="00DF2BA7">
        <w:rPr>
          <w:rFonts w:cs="Times New Roman"/>
          <w:sz w:val="24"/>
          <w:szCs w:val="24"/>
        </w:rPr>
        <w:t>.</w:t>
      </w:r>
      <w:r w:rsidRPr="008B3467">
        <w:rPr>
          <w:rFonts w:cs="Times New Roman"/>
          <w:sz w:val="24"/>
          <w:szCs w:val="24"/>
        </w:rPr>
        <w:t xml:space="preserve"> ‘The impact of Brexit on the UK agricultural workforce’, </w:t>
      </w:r>
      <w:r w:rsidRPr="008B3467">
        <w:rPr>
          <w:rFonts w:cs="Times New Roman"/>
          <w:i/>
          <w:sz w:val="24"/>
          <w:szCs w:val="24"/>
        </w:rPr>
        <w:t xml:space="preserve">HORIZON </w:t>
      </w:r>
      <w:r w:rsidRPr="008B3467">
        <w:rPr>
          <w:rFonts w:cs="Times New Roman"/>
          <w:sz w:val="24"/>
          <w:szCs w:val="24"/>
        </w:rPr>
        <w:t>p.6</w:t>
      </w:r>
      <w:r w:rsidR="008257E4" w:rsidRPr="008B3467">
        <w:rPr>
          <w:rFonts w:cs="Times New Roman"/>
          <w:sz w:val="24"/>
          <w:szCs w:val="24"/>
        </w:rPr>
        <w:t xml:space="preserve"> </w:t>
      </w:r>
      <w:hyperlink r:id="rId16" w:history="1">
        <w:r w:rsidR="008257E4" w:rsidRPr="008B3467">
          <w:rPr>
            <w:rStyle w:val="Hyperlink"/>
            <w:rFonts w:cs="Times New Roman"/>
            <w:sz w:val="24"/>
            <w:szCs w:val="24"/>
          </w:rPr>
          <w:t>https://ahdb.org.uk/documents/Horizon_Brexit_Analysis_20September2016.pdf</w:t>
        </w:r>
      </w:hyperlink>
      <w:r w:rsidR="008257E4" w:rsidRPr="008B3467">
        <w:rPr>
          <w:rFonts w:cs="Times New Roman"/>
          <w:sz w:val="24"/>
          <w:szCs w:val="24"/>
        </w:rPr>
        <w:t xml:space="preserve"> </w:t>
      </w:r>
    </w:p>
    <w:p w14:paraId="276D76A7" w14:textId="3BA6C7A5" w:rsidR="001600AC" w:rsidRDefault="00AF15BA" w:rsidP="00C737E2">
      <w:pPr>
        <w:pStyle w:val="FootnoteText"/>
        <w:rPr>
          <w:rFonts w:cs="Times New Roman"/>
          <w:sz w:val="24"/>
          <w:szCs w:val="24"/>
        </w:rPr>
      </w:pPr>
      <w:r w:rsidRPr="008B3467">
        <w:rPr>
          <w:rFonts w:cs="Times New Roman"/>
          <w:sz w:val="24"/>
          <w:szCs w:val="24"/>
        </w:rPr>
        <w:t>Accessed 24 April 2018</w:t>
      </w:r>
    </w:p>
    <w:p w14:paraId="0845D20C" w14:textId="77777777" w:rsidR="005800C0" w:rsidRPr="008B3467" w:rsidRDefault="005800C0" w:rsidP="00C737E2">
      <w:pPr>
        <w:pStyle w:val="FootnoteText"/>
        <w:rPr>
          <w:rFonts w:cs="Times New Roman"/>
          <w:sz w:val="24"/>
          <w:szCs w:val="24"/>
        </w:rPr>
      </w:pPr>
    </w:p>
    <w:p w14:paraId="38C50A06" w14:textId="0ECDDD18" w:rsidR="00C737E2" w:rsidRPr="008B3467" w:rsidRDefault="00C737E2" w:rsidP="00C737E2">
      <w:pPr>
        <w:pStyle w:val="FootnoteText"/>
        <w:rPr>
          <w:rFonts w:cs="Times New Roman"/>
          <w:sz w:val="24"/>
          <w:szCs w:val="24"/>
        </w:rPr>
      </w:pPr>
      <w:r w:rsidRPr="008B3467">
        <w:rPr>
          <w:rStyle w:val="FootnoteReference"/>
          <w:rFonts w:cs="Times New Roman"/>
          <w:sz w:val="24"/>
          <w:szCs w:val="24"/>
        </w:rPr>
        <w:t>1</w:t>
      </w:r>
      <w:r w:rsidR="00880C43" w:rsidRPr="008B3467">
        <w:rPr>
          <w:rFonts w:cs="Times New Roman"/>
          <w:sz w:val="24"/>
          <w:szCs w:val="24"/>
          <w:vertAlign w:val="superscript"/>
        </w:rPr>
        <w:t>7</w:t>
      </w:r>
      <w:r w:rsidRPr="008B3467">
        <w:rPr>
          <w:rFonts w:cs="Times New Roman"/>
          <w:sz w:val="24"/>
          <w:szCs w:val="24"/>
        </w:rPr>
        <w:t xml:space="preserve"> </w:t>
      </w:r>
      <w:r w:rsidR="00DC56F4" w:rsidRPr="008B3467">
        <w:rPr>
          <w:rFonts w:cs="Times New Roman"/>
          <w:sz w:val="24"/>
          <w:szCs w:val="24"/>
        </w:rPr>
        <w:t>Environment, Food and Rural Affairs Committee</w:t>
      </w:r>
      <w:r w:rsidR="00DC56F4">
        <w:rPr>
          <w:rFonts w:cs="Times New Roman"/>
          <w:sz w:val="24"/>
          <w:szCs w:val="24"/>
        </w:rPr>
        <w:t>,</w:t>
      </w:r>
      <w:r w:rsidR="00DC56F4" w:rsidRPr="00683FA3">
        <w:rPr>
          <w:rFonts w:cs="Times New Roman"/>
          <w:sz w:val="24"/>
          <w:szCs w:val="24"/>
        </w:rPr>
        <w:t xml:space="preserve"> </w:t>
      </w:r>
      <w:r w:rsidR="00262E5A" w:rsidRPr="00683FA3">
        <w:rPr>
          <w:rFonts w:cs="Times New Roman"/>
          <w:sz w:val="24"/>
          <w:szCs w:val="24"/>
        </w:rPr>
        <w:t>Food Security:</w:t>
      </w:r>
      <w:r w:rsidR="00262E5A" w:rsidRPr="008B3467">
        <w:rPr>
          <w:rFonts w:cs="Times New Roman"/>
          <w:i/>
          <w:sz w:val="24"/>
          <w:szCs w:val="24"/>
        </w:rPr>
        <w:t xml:space="preserve"> </w:t>
      </w:r>
      <w:r w:rsidR="00262E5A" w:rsidRPr="008B3467">
        <w:rPr>
          <w:rFonts w:cs="Times New Roman"/>
          <w:sz w:val="24"/>
          <w:szCs w:val="24"/>
        </w:rPr>
        <w:t>(2014</w:t>
      </w:r>
      <w:r w:rsidR="00DC56F4">
        <w:rPr>
          <w:rFonts w:cs="Times New Roman"/>
          <w:sz w:val="24"/>
          <w:szCs w:val="24"/>
        </w:rPr>
        <w:t xml:space="preserve"> </w:t>
      </w:r>
      <w:r w:rsidR="00DC56F4" w:rsidRPr="008B3467">
        <w:rPr>
          <w:rFonts w:cs="Times New Roman"/>
          <w:sz w:val="24"/>
          <w:szCs w:val="24"/>
        </w:rPr>
        <w:t>2 HC 243</w:t>
      </w:r>
      <w:r w:rsidR="00683FA3" w:rsidRPr="008B3467">
        <w:rPr>
          <w:rFonts w:cs="Times New Roman"/>
          <w:sz w:val="24"/>
          <w:szCs w:val="24"/>
        </w:rPr>
        <w:t>)</w:t>
      </w:r>
      <w:r w:rsidR="00DF2BA7">
        <w:rPr>
          <w:rFonts w:cs="Times New Roman"/>
          <w:sz w:val="24"/>
          <w:szCs w:val="24"/>
        </w:rPr>
        <w:t>.</w:t>
      </w:r>
      <w:r w:rsidR="00683FA3">
        <w:rPr>
          <w:rFonts w:cs="Times New Roman"/>
          <w:sz w:val="24"/>
          <w:szCs w:val="24"/>
        </w:rPr>
        <w:t xml:space="preserve"> </w:t>
      </w:r>
      <w:r w:rsidRPr="008B3467">
        <w:rPr>
          <w:rFonts w:cs="Times New Roman"/>
          <w:sz w:val="24"/>
          <w:szCs w:val="24"/>
        </w:rPr>
        <w:t xml:space="preserve">House of Commons. </w:t>
      </w:r>
      <w:r w:rsidRPr="00F77553">
        <w:rPr>
          <w:rFonts w:cs="Times New Roman"/>
          <w:i/>
          <w:sz w:val="24"/>
          <w:szCs w:val="24"/>
        </w:rPr>
        <w:t>London: The Stationery Office Limited</w:t>
      </w:r>
      <w:r w:rsidR="00DF2BA7" w:rsidRPr="008B3467">
        <w:rPr>
          <w:rFonts w:cs="Times New Roman"/>
          <w:sz w:val="24"/>
          <w:szCs w:val="24"/>
        </w:rPr>
        <w:t>.</w:t>
      </w:r>
      <w:r w:rsidR="00D94F9F" w:rsidRPr="008B3467">
        <w:rPr>
          <w:rFonts w:cs="Times New Roman"/>
          <w:sz w:val="24"/>
          <w:szCs w:val="24"/>
        </w:rPr>
        <w:t xml:space="preserve"> </w:t>
      </w:r>
      <w:hyperlink r:id="rId17" w:history="1">
        <w:r w:rsidR="00AA3029" w:rsidRPr="008B3467">
          <w:rPr>
            <w:rStyle w:val="Hyperlink"/>
            <w:rFonts w:cs="Times New Roman"/>
            <w:sz w:val="24"/>
            <w:szCs w:val="24"/>
          </w:rPr>
          <w:t>https://publications.parliament.uk/pa/cm201415/cmselect/cmenvfru/243/24305.htm</w:t>
        </w:r>
      </w:hyperlink>
      <w:r w:rsidR="00AA3029" w:rsidRPr="008B3467">
        <w:rPr>
          <w:rFonts w:cs="Times New Roman"/>
          <w:sz w:val="24"/>
          <w:szCs w:val="24"/>
        </w:rPr>
        <w:t xml:space="preserve"> accessed 26 April 2018</w:t>
      </w:r>
    </w:p>
    <w:p w14:paraId="7BF37C5B" w14:textId="77777777" w:rsidR="00C737E2" w:rsidRPr="008B3467" w:rsidRDefault="00C737E2" w:rsidP="00C737E2">
      <w:pPr>
        <w:pStyle w:val="FootnoteText"/>
        <w:rPr>
          <w:rFonts w:cs="Times New Roman"/>
          <w:sz w:val="24"/>
          <w:szCs w:val="24"/>
        </w:rPr>
      </w:pPr>
    </w:p>
    <w:p w14:paraId="46F69915" w14:textId="6EDDEA33" w:rsidR="00C737E2" w:rsidRPr="008B3467" w:rsidRDefault="00C737E2" w:rsidP="00D26E16">
      <w:pPr>
        <w:pStyle w:val="Default"/>
      </w:pPr>
      <w:r w:rsidRPr="008B3467">
        <w:rPr>
          <w:rStyle w:val="FootnoteReference"/>
          <w:rFonts w:asciiTheme="minorHAnsi" w:hAnsiTheme="minorHAnsi"/>
          <w:lang w:val="fr-FR"/>
        </w:rPr>
        <w:t>1</w:t>
      </w:r>
      <w:r w:rsidR="00AD39C4" w:rsidRPr="008B3467">
        <w:rPr>
          <w:rFonts w:asciiTheme="minorHAnsi" w:hAnsiTheme="minorHAnsi"/>
          <w:vertAlign w:val="superscript"/>
          <w:lang w:val="fr-FR"/>
        </w:rPr>
        <w:t>8</w:t>
      </w:r>
      <w:r w:rsidRPr="008B3467">
        <w:rPr>
          <w:rFonts w:asciiTheme="minorHAnsi" w:hAnsiTheme="minorHAnsi"/>
          <w:lang w:val="de-DE"/>
        </w:rPr>
        <w:t xml:space="preserve"> </w:t>
      </w:r>
      <w:r w:rsidR="00F54593" w:rsidRPr="008B3467">
        <w:rPr>
          <w:rFonts w:asciiTheme="minorHAnsi" w:hAnsiTheme="minorHAnsi"/>
        </w:rPr>
        <w:t xml:space="preserve">Menghi, A., de Roest, K., Porcelluzzi, A., Deblitz, C., von Davier, Z., Wildegger, B., de Witte T., Strohm., K., Garming, H., Dirksmeyer, W., Zimmer, Y., Bölling, D, van Huylenbroek, G., </w:t>
      </w:r>
      <w:r w:rsidR="00D26E16">
        <w:rPr>
          <w:rFonts w:asciiTheme="minorHAnsi" w:hAnsiTheme="minorHAnsi"/>
        </w:rPr>
        <w:t>&amp; Mettepenningen,</w:t>
      </w:r>
      <w:r w:rsidR="00F54593" w:rsidRPr="008B3467">
        <w:rPr>
          <w:rFonts w:asciiTheme="minorHAnsi" w:hAnsiTheme="minorHAnsi"/>
        </w:rPr>
        <w:t xml:space="preserve"> E. </w:t>
      </w:r>
      <w:r w:rsidR="008C3D8E" w:rsidRPr="008B3467">
        <w:t xml:space="preserve"> </w:t>
      </w:r>
      <w:r w:rsidRPr="008B3467">
        <w:t>(201</w:t>
      </w:r>
      <w:r w:rsidR="00F54593" w:rsidRPr="008B3467">
        <w:t>4</w:t>
      </w:r>
      <w:r w:rsidRPr="008B3467">
        <w:t>)</w:t>
      </w:r>
      <w:r w:rsidR="00D26E16">
        <w:t>.</w:t>
      </w:r>
      <w:r w:rsidRPr="008B3467">
        <w:t xml:space="preserve"> Assessing farmer’s cost of compliance with EU legislation in the fields of environment, animal welfare and food safety</w:t>
      </w:r>
      <w:r w:rsidRPr="008B3467">
        <w:rPr>
          <w:i/>
        </w:rPr>
        <w:t>. Brussels: European Commission Directorate-General for Agriculture and Rural Development</w:t>
      </w:r>
      <w:r w:rsidR="008C3D8E" w:rsidRPr="008B3467">
        <w:t xml:space="preserve">  </w:t>
      </w:r>
      <w:hyperlink r:id="rId18" w:history="1">
        <w:r w:rsidR="008C3D8E" w:rsidRPr="008B3467">
          <w:rPr>
            <w:rStyle w:val="Hyperlink"/>
          </w:rPr>
          <w:t>https://ec.europa.eu/agriculture/sites/agriculture/files/external-studies/2014/farmer-costs/fulltext_en.pdf</w:t>
        </w:r>
      </w:hyperlink>
    </w:p>
    <w:p w14:paraId="07766121" w14:textId="1384D645" w:rsidR="008C3D8E" w:rsidRPr="008B3467" w:rsidRDefault="008C3D8E" w:rsidP="00C737E2">
      <w:pPr>
        <w:pStyle w:val="FootnoteText"/>
        <w:rPr>
          <w:rFonts w:cs="Times New Roman"/>
          <w:sz w:val="24"/>
          <w:szCs w:val="24"/>
        </w:rPr>
      </w:pPr>
      <w:r w:rsidRPr="008B3467">
        <w:rPr>
          <w:rFonts w:cs="Times New Roman"/>
          <w:sz w:val="24"/>
          <w:szCs w:val="24"/>
        </w:rPr>
        <w:t xml:space="preserve">Accessed </w:t>
      </w:r>
      <w:r w:rsidR="00F54593" w:rsidRPr="008B3467">
        <w:rPr>
          <w:rFonts w:cs="Times New Roman"/>
          <w:sz w:val="24"/>
          <w:szCs w:val="24"/>
        </w:rPr>
        <w:t xml:space="preserve">1 May </w:t>
      </w:r>
      <w:r w:rsidRPr="008B3467">
        <w:rPr>
          <w:rFonts w:cs="Times New Roman"/>
          <w:sz w:val="24"/>
          <w:szCs w:val="24"/>
        </w:rPr>
        <w:t>2018</w:t>
      </w:r>
      <w:r w:rsidR="00F54593" w:rsidRPr="008B3467">
        <w:rPr>
          <w:rFonts w:cs="Times New Roman"/>
          <w:sz w:val="24"/>
          <w:szCs w:val="24"/>
        </w:rPr>
        <w:t xml:space="preserve"> </w:t>
      </w:r>
    </w:p>
    <w:p w14:paraId="7D5B955D" w14:textId="77777777" w:rsidR="00C737E2" w:rsidRPr="008B3467" w:rsidRDefault="00C737E2" w:rsidP="00C737E2">
      <w:pPr>
        <w:pStyle w:val="FootnoteText"/>
        <w:rPr>
          <w:rFonts w:cs="Times New Roman"/>
          <w:sz w:val="24"/>
          <w:szCs w:val="24"/>
        </w:rPr>
      </w:pPr>
    </w:p>
    <w:p w14:paraId="3D7E0FB7" w14:textId="66A54D48" w:rsidR="00C737E2" w:rsidRPr="008B3467" w:rsidRDefault="00C737E2" w:rsidP="00C737E2">
      <w:pPr>
        <w:pStyle w:val="FootnoteText"/>
        <w:rPr>
          <w:rFonts w:cs="Times New Roman"/>
          <w:sz w:val="24"/>
          <w:szCs w:val="24"/>
        </w:rPr>
      </w:pPr>
      <w:r w:rsidRPr="008B3467">
        <w:rPr>
          <w:rStyle w:val="FootnoteReference"/>
          <w:rFonts w:cs="Times New Roman"/>
          <w:sz w:val="24"/>
          <w:szCs w:val="24"/>
        </w:rPr>
        <w:t>1</w:t>
      </w:r>
      <w:r w:rsidR="00AD39C4" w:rsidRPr="008B3467">
        <w:rPr>
          <w:rFonts w:cs="Times New Roman"/>
          <w:sz w:val="24"/>
          <w:szCs w:val="24"/>
          <w:vertAlign w:val="superscript"/>
        </w:rPr>
        <w:t>9</w:t>
      </w:r>
      <w:r w:rsidRPr="008B3467">
        <w:rPr>
          <w:rFonts w:cs="Times New Roman"/>
          <w:sz w:val="24"/>
          <w:szCs w:val="24"/>
        </w:rPr>
        <w:t xml:space="preserve"> </w:t>
      </w:r>
      <w:r w:rsidR="00262E5A" w:rsidRPr="008B3467">
        <w:rPr>
          <w:rFonts w:cs="Times New Roman"/>
          <w:sz w:val="24"/>
          <w:szCs w:val="24"/>
        </w:rPr>
        <w:t xml:space="preserve">Howarth, S. </w:t>
      </w:r>
      <w:r w:rsidR="00DF2BA7">
        <w:rPr>
          <w:rFonts w:cs="Times New Roman"/>
          <w:sz w:val="24"/>
          <w:szCs w:val="24"/>
        </w:rPr>
        <w:t xml:space="preserve">&amp; </w:t>
      </w:r>
      <w:r w:rsidR="00262E5A" w:rsidRPr="008B3467">
        <w:rPr>
          <w:rFonts w:cs="Times New Roman"/>
          <w:sz w:val="24"/>
          <w:szCs w:val="24"/>
        </w:rPr>
        <w:t>Baker, S.</w:t>
      </w:r>
      <w:r w:rsidR="00262E5A" w:rsidRPr="00262E5A">
        <w:rPr>
          <w:rFonts w:cs="Times New Roman"/>
          <w:sz w:val="24"/>
          <w:szCs w:val="24"/>
        </w:rPr>
        <w:t xml:space="preserve"> </w:t>
      </w:r>
      <w:r w:rsidR="00262E5A" w:rsidRPr="008B3467">
        <w:rPr>
          <w:rFonts w:cs="Times New Roman"/>
          <w:sz w:val="24"/>
          <w:szCs w:val="24"/>
        </w:rPr>
        <w:t>(2016)</w:t>
      </w:r>
      <w:r w:rsidR="00DF2BA7">
        <w:rPr>
          <w:rFonts w:cs="Times New Roman"/>
          <w:sz w:val="24"/>
          <w:szCs w:val="24"/>
        </w:rPr>
        <w:t>.</w:t>
      </w:r>
      <w:r w:rsidR="00262E5A" w:rsidRPr="008B3467">
        <w:rPr>
          <w:rFonts w:cs="Times New Roman"/>
          <w:sz w:val="24"/>
          <w:szCs w:val="24"/>
        </w:rPr>
        <w:t xml:space="preserve"> What Brexit might mean for UK trade in agricultural products</w:t>
      </w:r>
      <w:r w:rsidR="00262E5A">
        <w:rPr>
          <w:rFonts w:cs="Times New Roman"/>
          <w:sz w:val="24"/>
          <w:szCs w:val="24"/>
        </w:rPr>
        <w:t xml:space="preserve">. </w:t>
      </w:r>
      <w:r w:rsidRPr="008B3467">
        <w:rPr>
          <w:rFonts w:cs="Times New Roman"/>
          <w:sz w:val="24"/>
          <w:szCs w:val="24"/>
        </w:rPr>
        <w:t xml:space="preserve">Agriculture &amp; Horticulture Development Board., </w:t>
      </w:r>
      <w:r w:rsidRPr="008B3467">
        <w:rPr>
          <w:rFonts w:cs="Times New Roman"/>
          <w:i/>
          <w:sz w:val="24"/>
          <w:szCs w:val="24"/>
        </w:rPr>
        <w:t xml:space="preserve">HORIZON </w:t>
      </w:r>
      <w:r w:rsidRPr="008B3467">
        <w:rPr>
          <w:rFonts w:cs="Times New Roman"/>
          <w:sz w:val="24"/>
          <w:szCs w:val="24"/>
        </w:rPr>
        <w:t xml:space="preserve"> p.8</w:t>
      </w:r>
      <w:r w:rsidR="00D94F9F" w:rsidRPr="008B3467">
        <w:rPr>
          <w:rFonts w:cs="Times New Roman"/>
          <w:sz w:val="24"/>
          <w:szCs w:val="24"/>
        </w:rPr>
        <w:t xml:space="preserve"> </w:t>
      </w:r>
      <w:r w:rsidR="00F54593" w:rsidRPr="008B3467">
        <w:rPr>
          <w:rFonts w:cs="Times New Roman"/>
          <w:sz w:val="24"/>
          <w:szCs w:val="24"/>
        </w:rPr>
        <w:t xml:space="preserve"> </w:t>
      </w:r>
    </w:p>
    <w:p w14:paraId="282DADEF" w14:textId="3E8BFFDD" w:rsidR="00C737E2" w:rsidRPr="008B3467" w:rsidRDefault="00726FC9" w:rsidP="00C737E2">
      <w:pPr>
        <w:pStyle w:val="FootnoteText"/>
        <w:rPr>
          <w:rFonts w:cs="Times New Roman"/>
          <w:sz w:val="24"/>
          <w:szCs w:val="24"/>
        </w:rPr>
      </w:pPr>
      <w:hyperlink r:id="rId19" w:history="1">
        <w:r w:rsidR="00D94F9F" w:rsidRPr="008B3467">
          <w:rPr>
            <w:rStyle w:val="Hyperlink"/>
            <w:rFonts w:cs="Times New Roman"/>
            <w:sz w:val="24"/>
            <w:szCs w:val="24"/>
          </w:rPr>
          <w:t>https://ahdb.org.uk/documents/Horizon_Brexit_Analysis_Report-Oct2016.pdf</w:t>
        </w:r>
      </w:hyperlink>
    </w:p>
    <w:p w14:paraId="47DAED77" w14:textId="018CE8F2" w:rsidR="00D94F9F" w:rsidRPr="008B3467" w:rsidRDefault="00D94F9F" w:rsidP="00C737E2">
      <w:pPr>
        <w:pStyle w:val="FootnoteText"/>
        <w:rPr>
          <w:rFonts w:cs="Times New Roman"/>
          <w:sz w:val="24"/>
          <w:szCs w:val="24"/>
        </w:rPr>
      </w:pPr>
      <w:r w:rsidRPr="008B3467">
        <w:rPr>
          <w:rFonts w:cs="Times New Roman"/>
          <w:sz w:val="24"/>
          <w:szCs w:val="24"/>
        </w:rPr>
        <w:t>Accessed 16 April 2018</w:t>
      </w:r>
    </w:p>
    <w:p w14:paraId="15D14CA8" w14:textId="77777777" w:rsidR="00F54593" w:rsidRPr="008B3467" w:rsidRDefault="00F54593" w:rsidP="00C737E2">
      <w:pPr>
        <w:pStyle w:val="FootnoteText"/>
        <w:rPr>
          <w:rFonts w:cs="Times New Roman"/>
          <w:sz w:val="24"/>
          <w:szCs w:val="24"/>
        </w:rPr>
      </w:pPr>
    </w:p>
    <w:p w14:paraId="7B76641D" w14:textId="07E3CE6F" w:rsidR="00C737E2" w:rsidRPr="008B3467" w:rsidRDefault="0039304B" w:rsidP="00C737E2">
      <w:pPr>
        <w:pStyle w:val="FootnoteText"/>
        <w:rPr>
          <w:rFonts w:cs="Times New Roman"/>
          <w:sz w:val="24"/>
          <w:szCs w:val="24"/>
        </w:rPr>
      </w:pPr>
      <w:r w:rsidRPr="008B3467">
        <w:rPr>
          <w:rFonts w:cs="Times New Roman"/>
          <w:sz w:val="24"/>
          <w:szCs w:val="24"/>
          <w:vertAlign w:val="superscript"/>
        </w:rPr>
        <w:t>20</w:t>
      </w:r>
      <w:r w:rsidR="008257E4" w:rsidRPr="008B3467">
        <w:rPr>
          <w:rFonts w:cs="Times New Roman"/>
          <w:sz w:val="24"/>
          <w:szCs w:val="24"/>
        </w:rPr>
        <w:t>European Commission</w:t>
      </w:r>
      <w:r w:rsidR="00F54593" w:rsidRPr="008B3467">
        <w:rPr>
          <w:rFonts w:cs="Times New Roman"/>
          <w:sz w:val="24"/>
          <w:szCs w:val="24"/>
        </w:rPr>
        <w:t xml:space="preserve"> Trade policy: </w:t>
      </w:r>
      <w:r w:rsidR="00262E5A">
        <w:rPr>
          <w:rFonts w:cs="Times New Roman"/>
          <w:sz w:val="24"/>
          <w:szCs w:val="24"/>
        </w:rPr>
        <w:t>C</w:t>
      </w:r>
      <w:r w:rsidR="00F54593" w:rsidRPr="008B3467">
        <w:rPr>
          <w:rFonts w:cs="Times New Roman"/>
          <w:sz w:val="24"/>
          <w:szCs w:val="24"/>
        </w:rPr>
        <w:t xml:space="preserve">ountries and </w:t>
      </w:r>
      <w:r w:rsidR="00262E5A">
        <w:rPr>
          <w:rFonts w:cs="Times New Roman"/>
          <w:sz w:val="24"/>
          <w:szCs w:val="24"/>
        </w:rPr>
        <w:t>R</w:t>
      </w:r>
      <w:r w:rsidR="00F54593" w:rsidRPr="008B3467">
        <w:rPr>
          <w:rFonts w:cs="Times New Roman"/>
          <w:sz w:val="24"/>
          <w:szCs w:val="24"/>
        </w:rPr>
        <w:t>egions: Ukraine</w:t>
      </w:r>
      <w:r w:rsidR="008257E4" w:rsidRPr="008B3467">
        <w:rPr>
          <w:rFonts w:cs="Times New Roman"/>
          <w:sz w:val="24"/>
          <w:szCs w:val="24"/>
        </w:rPr>
        <w:t xml:space="preserve"> </w:t>
      </w:r>
      <w:r w:rsidR="00C737E2" w:rsidRPr="008B3467">
        <w:rPr>
          <w:rStyle w:val="FootnoteReference"/>
          <w:rFonts w:cs="Times New Roman"/>
          <w:sz w:val="24"/>
          <w:szCs w:val="24"/>
        </w:rPr>
        <w:t xml:space="preserve"> </w:t>
      </w:r>
      <w:hyperlink r:id="rId20" w:history="1">
        <w:r w:rsidR="00C737E2" w:rsidRPr="008B3467">
          <w:rPr>
            <w:rStyle w:val="Hyperlink"/>
            <w:rFonts w:cs="Times New Roman"/>
            <w:sz w:val="24"/>
            <w:szCs w:val="24"/>
          </w:rPr>
          <w:t>http://ec.europa.eu/trade/policy/countries-and-regions/countries/ukraine/index_en.htm</w:t>
        </w:r>
      </w:hyperlink>
      <w:r w:rsidR="008257E4" w:rsidRPr="008B3467">
        <w:rPr>
          <w:rStyle w:val="Hyperlink"/>
          <w:rFonts w:cs="Times New Roman"/>
          <w:sz w:val="24"/>
          <w:szCs w:val="24"/>
        </w:rPr>
        <w:t xml:space="preserve"> </w:t>
      </w:r>
    </w:p>
    <w:p w14:paraId="07EBB8E1" w14:textId="6A1F3D1D" w:rsidR="00C737E2" w:rsidRPr="008B3467" w:rsidRDefault="00AF15BA" w:rsidP="00C737E2">
      <w:pPr>
        <w:pStyle w:val="FootnoteText"/>
        <w:rPr>
          <w:rFonts w:cs="Times New Roman"/>
          <w:sz w:val="24"/>
          <w:szCs w:val="24"/>
        </w:rPr>
      </w:pPr>
      <w:r w:rsidRPr="008B3467">
        <w:rPr>
          <w:rFonts w:cs="Times New Roman"/>
          <w:sz w:val="24"/>
          <w:szCs w:val="24"/>
        </w:rPr>
        <w:t>Accessed 18 April 2018</w:t>
      </w:r>
    </w:p>
    <w:p w14:paraId="4B7873E0" w14:textId="77777777" w:rsidR="00AF15BA" w:rsidRPr="008B3467" w:rsidRDefault="00AF15BA" w:rsidP="00C737E2">
      <w:pPr>
        <w:pStyle w:val="FootnoteText"/>
        <w:rPr>
          <w:rFonts w:cs="Times New Roman"/>
          <w:sz w:val="24"/>
          <w:szCs w:val="24"/>
        </w:rPr>
      </w:pPr>
    </w:p>
    <w:p w14:paraId="79204B74" w14:textId="4BD613EF" w:rsidR="00C737E2" w:rsidRPr="008B3467" w:rsidRDefault="0039304B" w:rsidP="00C737E2">
      <w:pPr>
        <w:pStyle w:val="FootnoteText"/>
        <w:rPr>
          <w:rFonts w:cs="Times New Roman"/>
          <w:sz w:val="24"/>
          <w:szCs w:val="24"/>
        </w:rPr>
      </w:pPr>
      <w:r w:rsidRPr="008B3467">
        <w:rPr>
          <w:rFonts w:cs="Times New Roman"/>
          <w:sz w:val="24"/>
          <w:szCs w:val="24"/>
          <w:vertAlign w:val="superscript"/>
        </w:rPr>
        <w:t>21</w:t>
      </w:r>
      <w:r w:rsidR="00C737E2" w:rsidRPr="008B3467">
        <w:rPr>
          <w:rStyle w:val="FootnoteReference"/>
          <w:rFonts w:cs="Times New Roman"/>
          <w:sz w:val="24"/>
          <w:szCs w:val="24"/>
        </w:rPr>
        <w:t xml:space="preserve"> </w:t>
      </w:r>
      <w:r w:rsidR="00C737E2" w:rsidRPr="008B3467">
        <w:rPr>
          <w:rFonts w:cs="Times New Roman"/>
          <w:sz w:val="24"/>
          <w:szCs w:val="24"/>
        </w:rPr>
        <w:t>Lang, T., Milstone, E.</w:t>
      </w:r>
      <w:r w:rsidR="00DF2BA7">
        <w:rPr>
          <w:rFonts w:cs="Times New Roman"/>
          <w:sz w:val="24"/>
          <w:szCs w:val="24"/>
        </w:rPr>
        <w:t>,</w:t>
      </w:r>
      <w:r w:rsidR="00C737E2" w:rsidRPr="008B3467">
        <w:rPr>
          <w:rFonts w:cs="Times New Roman"/>
          <w:sz w:val="24"/>
          <w:szCs w:val="24"/>
        </w:rPr>
        <w:t xml:space="preserve"> &amp; Marsden, T. (2017)</w:t>
      </w:r>
      <w:r w:rsidR="00DF2BA7">
        <w:rPr>
          <w:rFonts w:cs="Times New Roman"/>
          <w:sz w:val="24"/>
          <w:szCs w:val="24"/>
        </w:rPr>
        <w:t>.</w:t>
      </w:r>
      <w:r w:rsidR="00C737E2" w:rsidRPr="008B3467">
        <w:rPr>
          <w:rFonts w:cs="Times New Roman"/>
          <w:sz w:val="24"/>
          <w:szCs w:val="24"/>
        </w:rPr>
        <w:t xml:space="preserve"> A Food Brexit: time to get real. </w:t>
      </w:r>
      <w:r w:rsidR="00293E7D" w:rsidRPr="008B3467">
        <w:rPr>
          <w:rFonts w:cs="Times New Roman"/>
          <w:sz w:val="24"/>
          <w:szCs w:val="24"/>
        </w:rPr>
        <w:t xml:space="preserve">Discussion Paper. Science Policy Research Unit. </w:t>
      </w:r>
      <w:r w:rsidR="00C737E2" w:rsidRPr="008B3467">
        <w:rPr>
          <w:rFonts w:cs="Times New Roman"/>
          <w:sz w:val="24"/>
          <w:szCs w:val="24"/>
        </w:rPr>
        <w:t>Falm</w:t>
      </w:r>
      <w:r w:rsidR="000623AF" w:rsidRPr="008B3467">
        <w:rPr>
          <w:rFonts w:cs="Times New Roman"/>
          <w:sz w:val="24"/>
          <w:szCs w:val="24"/>
        </w:rPr>
        <w:t>er</w:t>
      </w:r>
      <w:r w:rsidR="00C737E2" w:rsidRPr="008B3467">
        <w:rPr>
          <w:rFonts w:cs="Times New Roman"/>
          <w:sz w:val="24"/>
          <w:szCs w:val="24"/>
        </w:rPr>
        <w:t xml:space="preserve">: University of Sussex </w:t>
      </w:r>
      <w:r w:rsidR="00293E7D" w:rsidRPr="008B3467">
        <w:rPr>
          <w:rFonts w:cs="Times New Roman"/>
          <w:sz w:val="24"/>
          <w:szCs w:val="24"/>
        </w:rPr>
        <w:t xml:space="preserve"> </w:t>
      </w:r>
      <w:hyperlink r:id="rId21" w:history="1">
        <w:r w:rsidR="00293E7D" w:rsidRPr="008B3467">
          <w:rPr>
            <w:rStyle w:val="Hyperlink"/>
            <w:rFonts w:cs="Times New Roman"/>
            <w:sz w:val="24"/>
            <w:szCs w:val="24"/>
          </w:rPr>
          <w:t>https://www.sussex.ac.uk/webteam/gateway/file.php?name=foodbrexitreport-langmillstonemarsden-july2017pdf.pdf&amp;site=25</w:t>
        </w:r>
      </w:hyperlink>
      <w:r w:rsidR="00293E7D" w:rsidRPr="008B3467">
        <w:rPr>
          <w:rFonts w:cs="Times New Roman"/>
          <w:sz w:val="24"/>
          <w:szCs w:val="24"/>
        </w:rPr>
        <w:t xml:space="preserve"> </w:t>
      </w:r>
    </w:p>
    <w:p w14:paraId="6624A2BD" w14:textId="0F9170F6" w:rsidR="00293E7D" w:rsidRPr="008B3467" w:rsidRDefault="00293E7D" w:rsidP="00C737E2">
      <w:pPr>
        <w:pStyle w:val="FootnoteText"/>
        <w:rPr>
          <w:rFonts w:cs="Times New Roman"/>
          <w:sz w:val="24"/>
          <w:szCs w:val="24"/>
        </w:rPr>
      </w:pPr>
      <w:r w:rsidRPr="008B3467">
        <w:rPr>
          <w:rFonts w:cs="Times New Roman"/>
          <w:sz w:val="24"/>
          <w:szCs w:val="24"/>
        </w:rPr>
        <w:t>Accessed 26 April 2018</w:t>
      </w:r>
    </w:p>
    <w:p w14:paraId="66FB986D" w14:textId="77777777" w:rsidR="00C737E2" w:rsidRPr="008B3467" w:rsidRDefault="00C737E2" w:rsidP="00C737E2">
      <w:pPr>
        <w:pStyle w:val="FootnoteText"/>
        <w:rPr>
          <w:rFonts w:cs="Times New Roman"/>
          <w:sz w:val="24"/>
          <w:szCs w:val="24"/>
        </w:rPr>
      </w:pPr>
    </w:p>
    <w:p w14:paraId="5D136E07" w14:textId="2ED3EC87" w:rsidR="00C737E2" w:rsidRPr="008B3467" w:rsidRDefault="0039304B" w:rsidP="00C737E2">
      <w:pPr>
        <w:pStyle w:val="FootnoteText"/>
        <w:rPr>
          <w:rFonts w:cs="Times New Roman"/>
          <w:sz w:val="24"/>
          <w:szCs w:val="24"/>
        </w:rPr>
      </w:pPr>
      <w:r w:rsidRPr="008B3467">
        <w:rPr>
          <w:rFonts w:cs="Times New Roman"/>
          <w:sz w:val="24"/>
          <w:szCs w:val="24"/>
          <w:vertAlign w:val="superscript"/>
        </w:rPr>
        <w:t>22</w:t>
      </w:r>
      <w:r w:rsidR="00C737E2" w:rsidRPr="008B3467">
        <w:rPr>
          <w:rStyle w:val="FootnoteReference"/>
          <w:rFonts w:cs="Times New Roman"/>
          <w:sz w:val="24"/>
          <w:szCs w:val="24"/>
        </w:rPr>
        <w:t xml:space="preserve"> </w:t>
      </w:r>
      <w:r w:rsidR="00DC56F4">
        <w:rPr>
          <w:rFonts w:cs="Times New Roman"/>
          <w:sz w:val="24"/>
          <w:szCs w:val="24"/>
        </w:rPr>
        <w:t xml:space="preserve">European </w:t>
      </w:r>
      <w:r w:rsidR="00C737E2" w:rsidRPr="008B3467">
        <w:rPr>
          <w:rFonts w:cs="Times New Roman"/>
          <w:sz w:val="24"/>
          <w:szCs w:val="24"/>
        </w:rPr>
        <w:t xml:space="preserve">Directive </w:t>
      </w:r>
      <w:r w:rsidR="000F0ED1">
        <w:rPr>
          <w:rFonts w:cs="Times New Roman"/>
          <w:sz w:val="24"/>
          <w:szCs w:val="24"/>
        </w:rPr>
        <w:t>(</w:t>
      </w:r>
      <w:r w:rsidR="000F0ED1" w:rsidRPr="008B3467">
        <w:rPr>
          <w:rFonts w:cs="Times New Roman"/>
          <w:sz w:val="24"/>
          <w:szCs w:val="24"/>
        </w:rPr>
        <w:t>2008</w:t>
      </w:r>
      <w:r w:rsidR="00DC56F4">
        <w:rPr>
          <w:rFonts w:cs="Times New Roman"/>
          <w:sz w:val="24"/>
          <w:szCs w:val="24"/>
        </w:rPr>
        <w:t xml:space="preserve"> </w:t>
      </w:r>
      <w:r w:rsidR="00DC56F4" w:rsidRPr="008B3467">
        <w:rPr>
          <w:rFonts w:cs="Times New Roman"/>
          <w:sz w:val="24"/>
          <w:szCs w:val="24"/>
        </w:rPr>
        <w:t>2008/119/EC</w:t>
      </w:r>
      <w:r w:rsidR="000F0ED1">
        <w:rPr>
          <w:rFonts w:cs="Times New Roman"/>
          <w:sz w:val="24"/>
          <w:szCs w:val="24"/>
        </w:rPr>
        <w:t>)</w:t>
      </w:r>
      <w:r w:rsidR="000F0ED1" w:rsidRPr="008B3467">
        <w:rPr>
          <w:rFonts w:cs="Times New Roman"/>
          <w:sz w:val="24"/>
          <w:szCs w:val="24"/>
        </w:rPr>
        <w:t xml:space="preserve"> </w:t>
      </w:r>
      <w:r w:rsidR="000F0ED1">
        <w:rPr>
          <w:rFonts w:cs="Times New Roman"/>
          <w:sz w:val="24"/>
          <w:szCs w:val="24"/>
        </w:rPr>
        <w:t>L</w:t>
      </w:r>
      <w:r w:rsidR="007270E2" w:rsidRPr="008B3467">
        <w:rPr>
          <w:rFonts w:cs="Times New Roman"/>
          <w:sz w:val="24"/>
          <w:szCs w:val="24"/>
        </w:rPr>
        <w:t xml:space="preserve">aying down minimum standards for the protection of calves </w:t>
      </w:r>
      <w:hyperlink r:id="rId22" w:history="1">
        <w:r w:rsidR="00AF15BA" w:rsidRPr="008B3467">
          <w:rPr>
            <w:rStyle w:val="Hyperlink"/>
            <w:rFonts w:cs="Times New Roman"/>
            <w:sz w:val="24"/>
            <w:szCs w:val="24"/>
          </w:rPr>
          <w:t>http://eur-lex.europa.eu/legal-content/EN/ALL/?uri=CELEX:32008L0119</w:t>
        </w:r>
      </w:hyperlink>
    </w:p>
    <w:p w14:paraId="4D70F9FA" w14:textId="1389215F" w:rsidR="00C737E2" w:rsidRPr="008B3467" w:rsidRDefault="00AF15BA" w:rsidP="00C737E2">
      <w:pPr>
        <w:pStyle w:val="FootnoteText"/>
        <w:rPr>
          <w:rFonts w:cs="Times New Roman"/>
          <w:sz w:val="24"/>
          <w:szCs w:val="24"/>
          <w:lang w:val="de-DE"/>
        </w:rPr>
      </w:pPr>
      <w:r w:rsidRPr="008B3467">
        <w:rPr>
          <w:rFonts w:cs="Times New Roman"/>
          <w:sz w:val="24"/>
          <w:szCs w:val="24"/>
        </w:rPr>
        <w:t>Accessed on 24 April 2018</w:t>
      </w:r>
    </w:p>
    <w:p w14:paraId="73E952A1" w14:textId="77777777" w:rsidR="00C737E2" w:rsidRPr="008B3467" w:rsidRDefault="00C737E2" w:rsidP="00C737E2">
      <w:pPr>
        <w:pStyle w:val="FootnoteText"/>
        <w:rPr>
          <w:rFonts w:cs="Times New Roman"/>
          <w:sz w:val="24"/>
          <w:szCs w:val="24"/>
        </w:rPr>
      </w:pPr>
    </w:p>
    <w:p w14:paraId="5913D99C" w14:textId="5626914B" w:rsidR="00C737E2" w:rsidRPr="008B3467" w:rsidRDefault="00C737E2" w:rsidP="00C737E2">
      <w:pPr>
        <w:pStyle w:val="FootnoteText"/>
        <w:rPr>
          <w:rFonts w:cs="Times New Roman"/>
          <w:sz w:val="24"/>
          <w:szCs w:val="24"/>
        </w:rPr>
      </w:pPr>
      <w:r w:rsidRPr="008B3467">
        <w:rPr>
          <w:rFonts w:cs="Times New Roman"/>
          <w:sz w:val="24"/>
          <w:szCs w:val="24"/>
          <w:vertAlign w:val="superscript"/>
        </w:rPr>
        <w:t>2</w:t>
      </w:r>
      <w:r w:rsidR="0039304B" w:rsidRPr="008B3467">
        <w:rPr>
          <w:rFonts w:cs="Times New Roman"/>
          <w:sz w:val="24"/>
          <w:szCs w:val="24"/>
          <w:vertAlign w:val="superscript"/>
        </w:rPr>
        <w:t>3</w:t>
      </w:r>
      <w:r w:rsidRPr="008B3467">
        <w:rPr>
          <w:rFonts w:cs="Times New Roman"/>
          <w:sz w:val="24"/>
          <w:szCs w:val="24"/>
        </w:rPr>
        <w:t xml:space="preserve"> European Commission’s Scientific Committee on Veterinary</w:t>
      </w:r>
      <w:r w:rsidR="00DC56F4">
        <w:rPr>
          <w:rFonts w:cs="Times New Roman"/>
          <w:sz w:val="24"/>
          <w:szCs w:val="24"/>
        </w:rPr>
        <w:t>,</w:t>
      </w:r>
      <w:r w:rsidRPr="008B3467">
        <w:rPr>
          <w:rFonts w:cs="Times New Roman"/>
          <w:sz w:val="24"/>
          <w:szCs w:val="24"/>
        </w:rPr>
        <w:t xml:space="preserve"> Measures relating to Public Health </w:t>
      </w:r>
      <w:r w:rsidR="00262E5A">
        <w:rPr>
          <w:rFonts w:cs="Times New Roman"/>
          <w:sz w:val="24"/>
          <w:szCs w:val="24"/>
        </w:rPr>
        <w:t>(</w:t>
      </w:r>
      <w:r w:rsidRPr="008B3467">
        <w:rPr>
          <w:rFonts w:cs="Times New Roman"/>
          <w:sz w:val="24"/>
          <w:szCs w:val="24"/>
        </w:rPr>
        <w:t>1999</w:t>
      </w:r>
      <w:r w:rsidR="00262E5A">
        <w:rPr>
          <w:rFonts w:cs="Times New Roman"/>
          <w:sz w:val="24"/>
          <w:szCs w:val="24"/>
        </w:rPr>
        <w:t>)</w:t>
      </w:r>
      <w:r w:rsidRPr="008B3467">
        <w:rPr>
          <w:rFonts w:cs="Times New Roman"/>
          <w:sz w:val="24"/>
          <w:szCs w:val="24"/>
        </w:rPr>
        <w:t xml:space="preserve">, </w:t>
      </w:r>
      <w:hyperlink r:id="rId23" w:history="1">
        <w:r w:rsidR="00AF15BA" w:rsidRPr="008B3467">
          <w:rPr>
            <w:rStyle w:val="Hyperlink"/>
            <w:rFonts w:cs="Times New Roman"/>
            <w:sz w:val="24"/>
            <w:szCs w:val="24"/>
          </w:rPr>
          <w:t>https://ec.europa.eu/food/sites/food/files/safety/docs/cs_meat_hormone-out21_en.pdf</w:t>
        </w:r>
      </w:hyperlink>
    </w:p>
    <w:p w14:paraId="09088439" w14:textId="061E9452" w:rsidR="00AF15BA" w:rsidRPr="008B3467" w:rsidRDefault="00AF15BA" w:rsidP="00C737E2">
      <w:pPr>
        <w:pStyle w:val="FootnoteText"/>
        <w:rPr>
          <w:rFonts w:cs="Times New Roman"/>
          <w:sz w:val="24"/>
          <w:szCs w:val="24"/>
        </w:rPr>
      </w:pPr>
      <w:r w:rsidRPr="008B3467">
        <w:rPr>
          <w:rFonts w:cs="Times New Roman"/>
          <w:sz w:val="24"/>
          <w:szCs w:val="24"/>
        </w:rPr>
        <w:t>Accessed on 24 April 2018</w:t>
      </w:r>
    </w:p>
    <w:p w14:paraId="69900E76" w14:textId="77777777" w:rsidR="00C737E2" w:rsidRPr="008B3467" w:rsidRDefault="00C737E2" w:rsidP="00C737E2">
      <w:pPr>
        <w:pStyle w:val="FootnoteText"/>
        <w:rPr>
          <w:rFonts w:cs="Times New Roman"/>
          <w:sz w:val="24"/>
          <w:szCs w:val="24"/>
        </w:rPr>
      </w:pPr>
    </w:p>
    <w:p w14:paraId="5687A812" w14:textId="47B8A93A" w:rsidR="00C737E2" w:rsidRPr="008B3467" w:rsidRDefault="00C737E2" w:rsidP="00C737E2">
      <w:pPr>
        <w:pStyle w:val="FootnoteText"/>
        <w:rPr>
          <w:rFonts w:cs="Times New Roman"/>
          <w:sz w:val="24"/>
          <w:szCs w:val="24"/>
        </w:rPr>
      </w:pPr>
      <w:r w:rsidRPr="008B3467">
        <w:rPr>
          <w:rStyle w:val="FootnoteReference"/>
          <w:rFonts w:cs="Times New Roman"/>
          <w:sz w:val="24"/>
          <w:szCs w:val="24"/>
        </w:rPr>
        <w:lastRenderedPageBreak/>
        <w:t>2</w:t>
      </w:r>
      <w:r w:rsidR="0039304B" w:rsidRPr="008B3467">
        <w:rPr>
          <w:rFonts w:cs="Times New Roman"/>
          <w:sz w:val="24"/>
          <w:szCs w:val="24"/>
          <w:vertAlign w:val="superscript"/>
        </w:rPr>
        <w:t>4</w:t>
      </w:r>
      <w:r w:rsidRPr="008B3467">
        <w:rPr>
          <w:rStyle w:val="FootnoteReference"/>
          <w:rFonts w:cs="Times New Roman"/>
          <w:sz w:val="24"/>
          <w:szCs w:val="24"/>
        </w:rPr>
        <w:t xml:space="preserve"> </w:t>
      </w:r>
      <w:r w:rsidR="001C1FE3" w:rsidRPr="008B3467">
        <w:rPr>
          <w:rFonts w:cs="Times New Roman"/>
          <w:sz w:val="24"/>
          <w:szCs w:val="24"/>
        </w:rPr>
        <w:t xml:space="preserve">Millstone, E. P. van Zwanenberg, C. Marris, L. Levidow, </w:t>
      </w:r>
      <w:r w:rsidR="00DF2BA7">
        <w:rPr>
          <w:rFonts w:cs="Times New Roman"/>
          <w:sz w:val="24"/>
          <w:szCs w:val="24"/>
        </w:rPr>
        <w:t xml:space="preserve">&amp; </w:t>
      </w:r>
      <w:r w:rsidR="001C1FE3" w:rsidRPr="008B3467">
        <w:rPr>
          <w:rFonts w:cs="Times New Roman"/>
          <w:sz w:val="24"/>
          <w:szCs w:val="24"/>
        </w:rPr>
        <w:t xml:space="preserve">Torgersen, </w:t>
      </w:r>
      <w:r w:rsidR="00DF2BA7" w:rsidRPr="008B3467">
        <w:rPr>
          <w:rFonts w:cs="Times New Roman"/>
          <w:sz w:val="24"/>
          <w:szCs w:val="24"/>
        </w:rPr>
        <w:t>H.</w:t>
      </w:r>
      <w:r w:rsidR="00DF2BA7">
        <w:rPr>
          <w:rFonts w:cs="Times New Roman"/>
          <w:sz w:val="24"/>
          <w:szCs w:val="24"/>
        </w:rPr>
        <w:t xml:space="preserve"> (2004). </w:t>
      </w:r>
      <w:r w:rsidR="001C1FE3" w:rsidRPr="008B3467">
        <w:rPr>
          <w:rFonts w:cs="Times New Roman"/>
          <w:sz w:val="24"/>
          <w:szCs w:val="24"/>
        </w:rPr>
        <w:t>Science in Trade Disputes Related to Potential Risk: Comp</w:t>
      </w:r>
      <w:r w:rsidR="001C1FE3" w:rsidRPr="008B3467">
        <w:rPr>
          <w:rFonts w:cs="Times New Roman"/>
          <w:i/>
          <w:sz w:val="24"/>
          <w:szCs w:val="24"/>
        </w:rPr>
        <w:t>arative Case Studies,</w:t>
      </w:r>
      <w:r w:rsidR="001C1FE3" w:rsidRPr="008B3467">
        <w:rPr>
          <w:rFonts w:cs="Times New Roman"/>
          <w:sz w:val="24"/>
          <w:szCs w:val="24"/>
        </w:rPr>
        <w:t xml:space="preserve"> </w:t>
      </w:r>
      <w:r w:rsidR="001C1FE3" w:rsidRPr="00DF2BA7">
        <w:rPr>
          <w:rFonts w:cs="Times New Roman"/>
          <w:i/>
          <w:sz w:val="24"/>
          <w:szCs w:val="24"/>
        </w:rPr>
        <w:t>European Science and Technology Observatory Technical Report Series</w:t>
      </w:r>
      <w:r w:rsidR="005B0C4F" w:rsidRPr="00DF2BA7">
        <w:rPr>
          <w:rFonts w:cs="Times New Roman"/>
          <w:i/>
          <w:sz w:val="24"/>
          <w:szCs w:val="24"/>
        </w:rPr>
        <w:t xml:space="preserve"> </w:t>
      </w:r>
    </w:p>
    <w:p w14:paraId="5D203689" w14:textId="70BD9895" w:rsidR="005B0C4F" w:rsidRPr="008B3467" w:rsidRDefault="00726FC9" w:rsidP="00C737E2">
      <w:pPr>
        <w:pStyle w:val="FootnoteText"/>
        <w:rPr>
          <w:rFonts w:cs="Times New Roman"/>
          <w:sz w:val="24"/>
          <w:szCs w:val="24"/>
        </w:rPr>
      </w:pPr>
      <w:hyperlink r:id="rId24" w:history="1">
        <w:r w:rsidR="005B0C4F" w:rsidRPr="008B3467">
          <w:rPr>
            <w:rStyle w:val="Hyperlink"/>
            <w:rFonts w:cs="Times New Roman"/>
            <w:sz w:val="24"/>
            <w:szCs w:val="24"/>
          </w:rPr>
          <w:t>http://ipts.jrc.ec.europa.eu/publications/pub.cfm?CFID=59641346-4577-4d6f-af97-8542903d8cd9&amp;CFTOKEN=0&amp;id=1203</w:t>
        </w:r>
      </w:hyperlink>
    </w:p>
    <w:p w14:paraId="2D47A743" w14:textId="0BDFCD0E" w:rsidR="00C737E2" w:rsidRPr="008B3467" w:rsidRDefault="005B0C4F" w:rsidP="00C737E2">
      <w:pPr>
        <w:pStyle w:val="FootnoteText"/>
        <w:rPr>
          <w:rFonts w:cs="Times New Roman"/>
          <w:sz w:val="24"/>
          <w:szCs w:val="24"/>
        </w:rPr>
      </w:pPr>
      <w:r w:rsidRPr="008B3467">
        <w:rPr>
          <w:rFonts w:cs="Times New Roman"/>
          <w:sz w:val="24"/>
          <w:szCs w:val="24"/>
        </w:rPr>
        <w:t>Accessed 1 May 2018</w:t>
      </w:r>
    </w:p>
    <w:p w14:paraId="6242E67B" w14:textId="77777777" w:rsidR="00C737E2" w:rsidRPr="008B3467" w:rsidRDefault="00C737E2" w:rsidP="00C737E2">
      <w:pPr>
        <w:pStyle w:val="FootnoteText"/>
        <w:rPr>
          <w:rFonts w:cs="Times New Roman"/>
          <w:sz w:val="24"/>
          <w:szCs w:val="24"/>
        </w:rPr>
      </w:pPr>
    </w:p>
    <w:p w14:paraId="192F6B3B" w14:textId="3DAE945D" w:rsidR="00C737E2" w:rsidRPr="008B3467" w:rsidRDefault="00C737E2" w:rsidP="00C737E2">
      <w:pPr>
        <w:pStyle w:val="FootnoteText"/>
        <w:rPr>
          <w:rFonts w:cs="Times New Roman"/>
          <w:sz w:val="24"/>
          <w:szCs w:val="24"/>
        </w:rPr>
      </w:pPr>
      <w:r w:rsidRPr="008B3467">
        <w:rPr>
          <w:rStyle w:val="FootnoteReference"/>
          <w:rFonts w:cs="Times New Roman"/>
          <w:sz w:val="24"/>
          <w:szCs w:val="24"/>
        </w:rPr>
        <w:t>2</w:t>
      </w:r>
      <w:r w:rsidR="003F678D" w:rsidRPr="008B3467">
        <w:rPr>
          <w:rFonts w:cs="Times New Roman"/>
          <w:sz w:val="24"/>
          <w:szCs w:val="24"/>
          <w:vertAlign w:val="superscript"/>
        </w:rPr>
        <w:t>5</w:t>
      </w:r>
      <w:r w:rsidRPr="008B3467">
        <w:rPr>
          <w:rStyle w:val="FootnoteReference"/>
          <w:rFonts w:cs="Times New Roman"/>
          <w:sz w:val="24"/>
          <w:szCs w:val="24"/>
        </w:rPr>
        <w:t xml:space="preserve"> </w:t>
      </w:r>
      <w:r w:rsidRPr="008B3467">
        <w:rPr>
          <w:rFonts w:cs="Times New Roman"/>
          <w:sz w:val="24"/>
          <w:szCs w:val="24"/>
        </w:rPr>
        <w:t>Blythman, J. (2017)</w:t>
      </w:r>
      <w:r w:rsidR="00DF2BA7">
        <w:rPr>
          <w:rFonts w:cs="Times New Roman"/>
          <w:sz w:val="24"/>
          <w:szCs w:val="24"/>
        </w:rPr>
        <w:t>.</w:t>
      </w:r>
      <w:r w:rsidRPr="008B3467">
        <w:rPr>
          <w:rFonts w:cs="Times New Roman"/>
          <w:sz w:val="24"/>
          <w:szCs w:val="24"/>
        </w:rPr>
        <w:t xml:space="preserve"> ‘Is chlorinated chicken about to hit our shelves after a new US trade deal? Consumers could be exposed to American farming practices banned by the EU.’ </w:t>
      </w:r>
      <w:r w:rsidRPr="008B3467">
        <w:rPr>
          <w:rFonts w:cs="Times New Roman"/>
          <w:i/>
          <w:sz w:val="24"/>
          <w:szCs w:val="24"/>
        </w:rPr>
        <w:t>The Observer</w:t>
      </w:r>
      <w:r w:rsidR="00DB51DE" w:rsidRPr="008B3467">
        <w:rPr>
          <w:sz w:val="24"/>
          <w:szCs w:val="24"/>
        </w:rPr>
        <w:t xml:space="preserve"> </w:t>
      </w:r>
      <w:r w:rsidR="005C79D2" w:rsidRPr="008B3467">
        <w:rPr>
          <w:sz w:val="24"/>
          <w:szCs w:val="24"/>
        </w:rPr>
        <w:t xml:space="preserve">(2017) </w:t>
      </w:r>
      <w:hyperlink r:id="rId25" w:history="1">
        <w:r w:rsidRPr="008B3467">
          <w:rPr>
            <w:rStyle w:val="Hyperlink"/>
            <w:rFonts w:cs="Times New Roman"/>
            <w:sz w:val="24"/>
            <w:szCs w:val="24"/>
          </w:rPr>
          <w:t>https://www.theguardian.com/environment/2017/jan/29/britain-us-trade-deal-gm-food-eu-rules</w:t>
        </w:r>
      </w:hyperlink>
      <w:r w:rsidRPr="008B3467">
        <w:rPr>
          <w:rFonts w:cs="Times New Roman"/>
          <w:sz w:val="24"/>
          <w:szCs w:val="24"/>
        </w:rPr>
        <w:t xml:space="preserve"> </w:t>
      </w:r>
      <w:r w:rsidR="005C79D2" w:rsidRPr="008B3467">
        <w:rPr>
          <w:rFonts w:cs="Times New Roman"/>
          <w:sz w:val="24"/>
          <w:szCs w:val="24"/>
        </w:rPr>
        <w:t>Accessed 18 April 2018</w:t>
      </w:r>
    </w:p>
    <w:p w14:paraId="4B317CA4" w14:textId="77777777" w:rsidR="00C737E2" w:rsidRPr="008B3467" w:rsidRDefault="00C737E2" w:rsidP="00C737E2">
      <w:pPr>
        <w:pStyle w:val="FootnoteText"/>
        <w:rPr>
          <w:rFonts w:cs="Times New Roman"/>
          <w:b/>
          <w:color w:val="FF0000"/>
          <w:sz w:val="24"/>
          <w:szCs w:val="24"/>
        </w:rPr>
      </w:pPr>
    </w:p>
    <w:p w14:paraId="448780FC" w14:textId="059A56F0" w:rsidR="00C737E2" w:rsidRPr="008B3467" w:rsidRDefault="00C737E2" w:rsidP="00C737E2">
      <w:pPr>
        <w:pStyle w:val="FootnoteText"/>
        <w:rPr>
          <w:rFonts w:cs="Times New Roman"/>
          <w:sz w:val="24"/>
          <w:szCs w:val="24"/>
        </w:rPr>
      </w:pPr>
      <w:r w:rsidRPr="008B3467">
        <w:rPr>
          <w:rStyle w:val="FootnoteReference"/>
          <w:rFonts w:cs="Times New Roman"/>
          <w:sz w:val="24"/>
          <w:szCs w:val="24"/>
        </w:rPr>
        <w:t>2</w:t>
      </w:r>
      <w:r w:rsidR="003F678D" w:rsidRPr="008B3467">
        <w:rPr>
          <w:rFonts w:cs="Times New Roman"/>
          <w:sz w:val="24"/>
          <w:szCs w:val="24"/>
          <w:vertAlign w:val="superscript"/>
        </w:rPr>
        <w:t>6</w:t>
      </w:r>
      <w:r w:rsidRPr="008B3467">
        <w:rPr>
          <w:rFonts w:cs="Times New Roman"/>
          <w:sz w:val="24"/>
          <w:szCs w:val="24"/>
        </w:rPr>
        <w:t xml:space="preserve"> Scientific Committee on Veterinary Measures Relating to Public Health (1998)</w:t>
      </w:r>
      <w:r w:rsidR="00632159">
        <w:rPr>
          <w:rFonts w:cs="Times New Roman"/>
          <w:sz w:val="24"/>
          <w:szCs w:val="24"/>
        </w:rPr>
        <w:t>.</w:t>
      </w:r>
      <w:r w:rsidRPr="008B3467">
        <w:rPr>
          <w:rFonts w:cs="Times New Roman"/>
          <w:sz w:val="24"/>
          <w:szCs w:val="24"/>
        </w:rPr>
        <w:t xml:space="preserve"> Benefits and Limitations of Antimicrobial Treatments for Poultry Carcasses. </w:t>
      </w:r>
      <w:r w:rsidR="00AF15BA" w:rsidRPr="008B3467">
        <w:rPr>
          <w:rFonts w:cs="Times New Roman"/>
          <w:sz w:val="24"/>
          <w:szCs w:val="24"/>
        </w:rPr>
        <w:t xml:space="preserve"> </w:t>
      </w:r>
      <w:hyperlink r:id="rId26" w:history="1">
        <w:r w:rsidR="00AF15BA" w:rsidRPr="008B3467">
          <w:rPr>
            <w:rStyle w:val="Hyperlink"/>
            <w:rFonts w:cs="Times New Roman"/>
            <w:sz w:val="24"/>
            <w:szCs w:val="24"/>
          </w:rPr>
          <w:t>https://ec.europa.eu/food/sites/food/files/safety/docs/sci-com_scv_out14_en.pdf</w:t>
        </w:r>
      </w:hyperlink>
    </w:p>
    <w:p w14:paraId="0F6C5778" w14:textId="365A8BD4" w:rsidR="00AF15BA" w:rsidRPr="008B3467" w:rsidRDefault="00AF15BA" w:rsidP="00C737E2">
      <w:pPr>
        <w:pStyle w:val="FootnoteText"/>
        <w:rPr>
          <w:rFonts w:cs="Times New Roman"/>
          <w:sz w:val="24"/>
          <w:szCs w:val="24"/>
        </w:rPr>
      </w:pPr>
      <w:r w:rsidRPr="008B3467">
        <w:rPr>
          <w:rFonts w:cs="Times New Roman"/>
          <w:sz w:val="24"/>
          <w:szCs w:val="24"/>
        </w:rPr>
        <w:t>Accessed on 24 April 2018</w:t>
      </w:r>
    </w:p>
    <w:p w14:paraId="1D6C227C" w14:textId="77777777" w:rsidR="00C737E2" w:rsidRPr="008B3467" w:rsidRDefault="00C737E2" w:rsidP="00C737E2">
      <w:pPr>
        <w:pStyle w:val="FootnoteText"/>
        <w:rPr>
          <w:rFonts w:cs="Times New Roman"/>
          <w:sz w:val="24"/>
          <w:szCs w:val="24"/>
        </w:rPr>
      </w:pPr>
    </w:p>
    <w:p w14:paraId="5873A7D7" w14:textId="7900F6D2" w:rsidR="00C737E2" w:rsidRPr="008B3467" w:rsidRDefault="00C737E2" w:rsidP="00C737E2">
      <w:pPr>
        <w:pStyle w:val="FootnoteText"/>
        <w:rPr>
          <w:rFonts w:cs="Times New Roman"/>
          <w:sz w:val="24"/>
          <w:szCs w:val="24"/>
        </w:rPr>
      </w:pPr>
      <w:r w:rsidRPr="008B3467">
        <w:rPr>
          <w:rStyle w:val="FootnoteReference"/>
          <w:rFonts w:cs="Times New Roman"/>
          <w:sz w:val="24"/>
          <w:szCs w:val="24"/>
        </w:rPr>
        <w:t>2</w:t>
      </w:r>
      <w:r w:rsidR="003F678D" w:rsidRPr="008B3467">
        <w:rPr>
          <w:rFonts w:cs="Times New Roman"/>
          <w:sz w:val="24"/>
          <w:szCs w:val="24"/>
          <w:vertAlign w:val="superscript"/>
        </w:rPr>
        <w:t>7</w:t>
      </w:r>
      <w:r w:rsidRPr="008B3467">
        <w:rPr>
          <w:rFonts w:cs="Times New Roman"/>
          <w:sz w:val="24"/>
          <w:szCs w:val="24"/>
        </w:rPr>
        <w:t xml:space="preserve"> EFSA Panel on Biological Hazards (2011)</w:t>
      </w:r>
      <w:r w:rsidR="00632159">
        <w:rPr>
          <w:rFonts w:cs="Times New Roman"/>
          <w:sz w:val="24"/>
          <w:szCs w:val="24"/>
        </w:rPr>
        <w:t>.</w:t>
      </w:r>
      <w:r w:rsidRPr="008B3467">
        <w:rPr>
          <w:rFonts w:cs="Times New Roman"/>
          <w:sz w:val="24"/>
          <w:szCs w:val="24"/>
        </w:rPr>
        <w:t xml:space="preserve"> ‘Scientific Opinion on </w:t>
      </w:r>
      <w:r w:rsidRPr="008B3467">
        <w:rPr>
          <w:rFonts w:cs="Times New Roman"/>
          <w:i/>
          <w:sz w:val="24"/>
          <w:szCs w:val="24"/>
        </w:rPr>
        <w:t>Campylobacter</w:t>
      </w:r>
      <w:r w:rsidRPr="008B3467">
        <w:rPr>
          <w:rFonts w:cs="Times New Roman"/>
          <w:sz w:val="24"/>
          <w:szCs w:val="24"/>
        </w:rPr>
        <w:t xml:space="preserve"> in broiler meat production: control options and performance objectives and/or targets at different stages of the food chain.’</w:t>
      </w:r>
      <w:r w:rsidRPr="008B3467">
        <w:rPr>
          <w:rFonts w:cs="Times New Roman"/>
          <w:i/>
          <w:sz w:val="24"/>
          <w:szCs w:val="24"/>
        </w:rPr>
        <w:t xml:space="preserve"> EFSA Journal 2011 </w:t>
      </w:r>
      <w:r w:rsidRPr="008B3467">
        <w:rPr>
          <w:rFonts w:cs="Times New Roman"/>
          <w:sz w:val="24"/>
          <w:szCs w:val="24"/>
        </w:rPr>
        <w:t>9(4)</w:t>
      </w:r>
      <w:r w:rsidR="007270E2" w:rsidRPr="008B3467">
        <w:rPr>
          <w:rFonts w:cs="Times New Roman"/>
          <w:sz w:val="24"/>
          <w:szCs w:val="24"/>
        </w:rPr>
        <w:t xml:space="preserve"> </w:t>
      </w:r>
      <w:hyperlink r:id="rId27" w:history="1">
        <w:r w:rsidR="007270E2" w:rsidRPr="008B3467">
          <w:rPr>
            <w:rStyle w:val="Hyperlink"/>
            <w:rFonts w:cs="Times New Roman"/>
            <w:sz w:val="24"/>
            <w:szCs w:val="24"/>
          </w:rPr>
          <w:t>https://www.efsa.europa.eu/en/efsajournal/pub/2105</w:t>
        </w:r>
      </w:hyperlink>
    </w:p>
    <w:p w14:paraId="21B5832C" w14:textId="50AC4D90" w:rsidR="007270E2" w:rsidRPr="008B3467" w:rsidRDefault="007270E2" w:rsidP="00C737E2">
      <w:pPr>
        <w:pStyle w:val="FootnoteText"/>
        <w:rPr>
          <w:rFonts w:cs="Times New Roman"/>
          <w:sz w:val="24"/>
          <w:szCs w:val="24"/>
        </w:rPr>
      </w:pPr>
      <w:r w:rsidRPr="008B3467">
        <w:rPr>
          <w:rFonts w:cs="Times New Roman"/>
          <w:sz w:val="24"/>
          <w:szCs w:val="24"/>
        </w:rPr>
        <w:t xml:space="preserve">Accessed on 1 May 2018 </w:t>
      </w:r>
    </w:p>
    <w:p w14:paraId="67FAD72B" w14:textId="77777777" w:rsidR="00C737E2" w:rsidRPr="008B3467" w:rsidRDefault="00C737E2" w:rsidP="00C737E2">
      <w:pPr>
        <w:pStyle w:val="FootnoteText"/>
        <w:rPr>
          <w:rFonts w:cs="Times New Roman"/>
          <w:sz w:val="24"/>
          <w:szCs w:val="24"/>
        </w:rPr>
      </w:pPr>
    </w:p>
    <w:p w14:paraId="1D1D7453" w14:textId="6913A97D" w:rsidR="00C737E2" w:rsidRPr="008B3467" w:rsidRDefault="00C737E2" w:rsidP="00C737E2">
      <w:pPr>
        <w:pStyle w:val="FootnoteText"/>
        <w:rPr>
          <w:rFonts w:cs="Times New Roman"/>
          <w:sz w:val="24"/>
          <w:szCs w:val="24"/>
        </w:rPr>
      </w:pPr>
      <w:r w:rsidRPr="008B3467">
        <w:rPr>
          <w:rStyle w:val="FootnoteReference"/>
          <w:rFonts w:cs="Times New Roman"/>
          <w:sz w:val="24"/>
          <w:szCs w:val="24"/>
        </w:rPr>
        <w:t>2</w:t>
      </w:r>
      <w:r w:rsidR="003F678D" w:rsidRPr="008B3467">
        <w:rPr>
          <w:rFonts w:cs="Times New Roman"/>
          <w:sz w:val="24"/>
          <w:szCs w:val="24"/>
          <w:vertAlign w:val="superscript"/>
        </w:rPr>
        <w:t>8</w:t>
      </w:r>
      <w:r w:rsidRPr="008B3467">
        <w:rPr>
          <w:rStyle w:val="FootnoteReference"/>
          <w:rFonts w:cs="Times New Roman"/>
          <w:sz w:val="24"/>
          <w:szCs w:val="24"/>
        </w:rPr>
        <w:t xml:space="preserve"> </w:t>
      </w:r>
      <w:r w:rsidR="00DC56F4">
        <w:rPr>
          <w:rFonts w:cs="Times New Roman"/>
          <w:sz w:val="24"/>
          <w:szCs w:val="24"/>
        </w:rPr>
        <w:t xml:space="preserve">EU </w:t>
      </w:r>
      <w:r w:rsidRPr="008B3467">
        <w:rPr>
          <w:rFonts w:cs="Times New Roman"/>
          <w:sz w:val="24"/>
          <w:szCs w:val="24"/>
        </w:rPr>
        <w:t xml:space="preserve">Council Directive </w:t>
      </w:r>
      <w:r w:rsidR="000F0ED1">
        <w:rPr>
          <w:rFonts w:cs="Times New Roman"/>
          <w:sz w:val="24"/>
          <w:szCs w:val="24"/>
        </w:rPr>
        <w:t>(</w:t>
      </w:r>
      <w:r w:rsidR="007E5680" w:rsidRPr="008B3467">
        <w:rPr>
          <w:rFonts w:cs="Times New Roman"/>
          <w:sz w:val="24"/>
          <w:szCs w:val="24"/>
        </w:rPr>
        <w:t>2008</w:t>
      </w:r>
      <w:r w:rsidR="00DC56F4">
        <w:rPr>
          <w:rFonts w:cs="Times New Roman"/>
          <w:sz w:val="24"/>
          <w:szCs w:val="24"/>
        </w:rPr>
        <w:t xml:space="preserve"> </w:t>
      </w:r>
      <w:r w:rsidR="00DC56F4" w:rsidRPr="008B3467">
        <w:rPr>
          <w:rFonts w:cs="Times New Roman"/>
          <w:sz w:val="24"/>
          <w:szCs w:val="24"/>
        </w:rPr>
        <w:t>2008/120/EC</w:t>
      </w:r>
      <w:r w:rsidR="000F0ED1">
        <w:rPr>
          <w:rFonts w:cs="Times New Roman"/>
          <w:sz w:val="24"/>
          <w:szCs w:val="24"/>
        </w:rPr>
        <w:t>)</w:t>
      </w:r>
      <w:r w:rsidR="00DF2BA7">
        <w:rPr>
          <w:rFonts w:cs="Times New Roman"/>
          <w:sz w:val="24"/>
          <w:szCs w:val="24"/>
        </w:rPr>
        <w:t>.</w:t>
      </w:r>
      <w:r w:rsidR="007E5680" w:rsidRPr="008B3467">
        <w:rPr>
          <w:rFonts w:cs="Times New Roman"/>
          <w:sz w:val="24"/>
          <w:szCs w:val="24"/>
        </w:rPr>
        <w:t xml:space="preserve"> </w:t>
      </w:r>
      <w:r w:rsidR="000F0ED1">
        <w:rPr>
          <w:rFonts w:cs="Times New Roman"/>
          <w:sz w:val="24"/>
          <w:szCs w:val="24"/>
        </w:rPr>
        <w:t>L</w:t>
      </w:r>
      <w:r w:rsidR="007E5680" w:rsidRPr="008B3467">
        <w:rPr>
          <w:rFonts w:cs="Times New Roman"/>
          <w:sz w:val="24"/>
          <w:szCs w:val="24"/>
        </w:rPr>
        <w:t>aying down minimum standards for the protection of pigs</w:t>
      </w:r>
      <w:r w:rsidR="0000634D" w:rsidRPr="008B3467">
        <w:rPr>
          <w:rFonts w:cs="Times New Roman"/>
          <w:sz w:val="24"/>
          <w:szCs w:val="24"/>
        </w:rPr>
        <w:t xml:space="preserve"> </w:t>
      </w:r>
      <w:r w:rsidR="007E5680" w:rsidRPr="008B3467">
        <w:rPr>
          <w:rFonts w:cs="Times New Roman"/>
          <w:sz w:val="24"/>
          <w:szCs w:val="24"/>
        </w:rPr>
        <w:t>https://ec.europa.eu/food/animals/welfare/practice/farm/pigs_en</w:t>
      </w:r>
    </w:p>
    <w:p w14:paraId="0E04569E" w14:textId="00D4D21C" w:rsidR="00C737E2" w:rsidRPr="008B3467" w:rsidRDefault="0000634D" w:rsidP="00C737E2">
      <w:pPr>
        <w:pStyle w:val="FootnoteText"/>
        <w:rPr>
          <w:rFonts w:cs="Times New Roman"/>
          <w:sz w:val="24"/>
          <w:szCs w:val="24"/>
        </w:rPr>
      </w:pPr>
      <w:r w:rsidRPr="008B3467">
        <w:rPr>
          <w:rFonts w:cs="Times New Roman"/>
          <w:sz w:val="24"/>
          <w:szCs w:val="24"/>
        </w:rPr>
        <w:t xml:space="preserve">Accessed </w:t>
      </w:r>
      <w:r w:rsidR="007E5680" w:rsidRPr="008B3467">
        <w:rPr>
          <w:rFonts w:cs="Times New Roman"/>
          <w:sz w:val="24"/>
          <w:szCs w:val="24"/>
        </w:rPr>
        <w:t xml:space="preserve">1 May </w:t>
      </w:r>
      <w:r w:rsidRPr="008B3467">
        <w:rPr>
          <w:rFonts w:cs="Times New Roman"/>
          <w:sz w:val="24"/>
          <w:szCs w:val="24"/>
        </w:rPr>
        <w:t>2018</w:t>
      </w:r>
      <w:r w:rsidR="000F52D6" w:rsidRPr="008B3467">
        <w:rPr>
          <w:rFonts w:cs="Times New Roman"/>
          <w:sz w:val="24"/>
          <w:szCs w:val="24"/>
        </w:rPr>
        <w:t xml:space="preserve"> </w:t>
      </w:r>
    </w:p>
    <w:p w14:paraId="3D34616B" w14:textId="77777777" w:rsidR="00C737E2" w:rsidRPr="008B3467" w:rsidRDefault="00C737E2" w:rsidP="00C737E2">
      <w:pPr>
        <w:pStyle w:val="FootnoteText"/>
        <w:rPr>
          <w:rFonts w:cs="Times New Roman"/>
          <w:sz w:val="24"/>
          <w:szCs w:val="24"/>
        </w:rPr>
      </w:pPr>
    </w:p>
    <w:p w14:paraId="1D8A124D" w14:textId="76B8A975" w:rsidR="00C737E2" w:rsidRPr="008B3467" w:rsidRDefault="00C737E2" w:rsidP="00C737E2">
      <w:pPr>
        <w:pStyle w:val="FootnoteText"/>
        <w:rPr>
          <w:rFonts w:cs="Times New Roman"/>
          <w:sz w:val="24"/>
          <w:szCs w:val="24"/>
        </w:rPr>
      </w:pPr>
      <w:r w:rsidRPr="008B3467">
        <w:rPr>
          <w:rStyle w:val="FootnoteReference"/>
          <w:rFonts w:cs="Times New Roman"/>
          <w:sz w:val="24"/>
          <w:szCs w:val="24"/>
        </w:rPr>
        <w:t>2</w:t>
      </w:r>
      <w:r w:rsidR="00183600" w:rsidRPr="008B3467">
        <w:rPr>
          <w:rFonts w:cs="Times New Roman"/>
          <w:sz w:val="24"/>
          <w:szCs w:val="24"/>
          <w:vertAlign w:val="superscript"/>
        </w:rPr>
        <w:t>9</w:t>
      </w:r>
      <w:r w:rsidR="00DC56F4" w:rsidRPr="008B3467">
        <w:rPr>
          <w:rFonts w:cs="Times New Roman"/>
          <w:sz w:val="24"/>
          <w:szCs w:val="24"/>
        </w:rPr>
        <w:t xml:space="preserve">European Parliament and of the Council </w:t>
      </w:r>
      <w:r w:rsidRPr="008B3467">
        <w:rPr>
          <w:rFonts w:cs="Times New Roman"/>
          <w:sz w:val="24"/>
          <w:szCs w:val="24"/>
        </w:rPr>
        <w:t>Regulation (EC) No. 1831/2003</w:t>
      </w:r>
      <w:r w:rsidR="009E09C7" w:rsidRPr="008B3467">
        <w:rPr>
          <w:rFonts w:cs="Times New Roman"/>
          <w:sz w:val="24"/>
          <w:szCs w:val="24"/>
        </w:rPr>
        <w:t xml:space="preserve"> </w:t>
      </w:r>
      <w:r w:rsidR="000F0ED1">
        <w:rPr>
          <w:rFonts w:cs="Times New Roman"/>
          <w:sz w:val="24"/>
          <w:szCs w:val="24"/>
        </w:rPr>
        <w:t>(</w:t>
      </w:r>
      <w:r w:rsidR="009E09C7" w:rsidRPr="008B3467">
        <w:rPr>
          <w:rFonts w:cs="Times New Roman"/>
          <w:sz w:val="24"/>
          <w:szCs w:val="24"/>
        </w:rPr>
        <w:t>2003</w:t>
      </w:r>
      <w:r w:rsidR="000F0ED1">
        <w:rPr>
          <w:rFonts w:cs="Times New Roman"/>
          <w:sz w:val="24"/>
          <w:szCs w:val="24"/>
        </w:rPr>
        <w:t>)</w:t>
      </w:r>
      <w:r w:rsidR="00632159">
        <w:rPr>
          <w:rFonts w:cs="Times New Roman"/>
          <w:sz w:val="24"/>
          <w:szCs w:val="24"/>
        </w:rPr>
        <w:t>.</w:t>
      </w:r>
      <w:r w:rsidR="009E09C7" w:rsidRPr="008B3467">
        <w:rPr>
          <w:rFonts w:cs="Times New Roman"/>
          <w:sz w:val="24"/>
          <w:szCs w:val="24"/>
        </w:rPr>
        <w:t xml:space="preserve"> </w:t>
      </w:r>
      <w:r w:rsidR="000F0ED1">
        <w:rPr>
          <w:rFonts w:cs="Times New Roman"/>
          <w:sz w:val="24"/>
          <w:szCs w:val="24"/>
        </w:rPr>
        <w:t>A</w:t>
      </w:r>
      <w:r w:rsidR="009E09C7" w:rsidRPr="008B3467">
        <w:rPr>
          <w:rFonts w:cs="Times New Roman"/>
          <w:sz w:val="24"/>
          <w:szCs w:val="24"/>
        </w:rPr>
        <w:t>dditives for use in animal nutrition</w:t>
      </w:r>
      <w:r w:rsidR="0000634D" w:rsidRPr="008B3467">
        <w:rPr>
          <w:rFonts w:cs="Times New Roman"/>
          <w:sz w:val="24"/>
          <w:szCs w:val="24"/>
        </w:rPr>
        <w:t xml:space="preserve"> </w:t>
      </w:r>
      <w:hyperlink r:id="rId28" w:history="1">
        <w:r w:rsidR="0000634D" w:rsidRPr="008B3467">
          <w:rPr>
            <w:rStyle w:val="Hyperlink"/>
            <w:rFonts w:cs="Times New Roman"/>
            <w:sz w:val="24"/>
            <w:szCs w:val="24"/>
          </w:rPr>
          <w:t>https://eur-lex.europa.eu/legal-content/EN/TXT/?uri=CELEX%3A32003R1831</w:t>
        </w:r>
      </w:hyperlink>
    </w:p>
    <w:p w14:paraId="19A4A369" w14:textId="0006A5F4" w:rsidR="0000634D" w:rsidRPr="008B3467" w:rsidRDefault="0000634D" w:rsidP="00C737E2">
      <w:pPr>
        <w:pStyle w:val="FootnoteText"/>
        <w:rPr>
          <w:rFonts w:cs="Times New Roman"/>
          <w:sz w:val="24"/>
          <w:szCs w:val="24"/>
        </w:rPr>
      </w:pPr>
      <w:r w:rsidRPr="008B3467">
        <w:rPr>
          <w:rFonts w:cs="Times New Roman"/>
          <w:sz w:val="24"/>
          <w:szCs w:val="24"/>
        </w:rPr>
        <w:t>Accessed on 24 April 2018</w:t>
      </w:r>
      <w:r w:rsidR="000F52D6" w:rsidRPr="008B3467">
        <w:rPr>
          <w:rFonts w:cs="Times New Roman"/>
          <w:sz w:val="24"/>
          <w:szCs w:val="24"/>
        </w:rPr>
        <w:t xml:space="preserve"> </w:t>
      </w:r>
    </w:p>
    <w:p w14:paraId="54ECD1F0" w14:textId="77777777" w:rsidR="00C737E2" w:rsidRPr="008B3467" w:rsidRDefault="00C737E2" w:rsidP="00C737E2">
      <w:pPr>
        <w:pStyle w:val="FootnoteText"/>
        <w:rPr>
          <w:rFonts w:cs="Times New Roman"/>
          <w:sz w:val="24"/>
          <w:szCs w:val="24"/>
        </w:rPr>
      </w:pPr>
    </w:p>
    <w:p w14:paraId="1C3EC659" w14:textId="1B92155F" w:rsidR="00C737E2" w:rsidRPr="008B3467" w:rsidRDefault="00183600" w:rsidP="00C737E2">
      <w:pPr>
        <w:pStyle w:val="FootnoteText"/>
        <w:rPr>
          <w:rFonts w:cs="Times New Roman"/>
          <w:sz w:val="24"/>
          <w:szCs w:val="24"/>
        </w:rPr>
      </w:pPr>
      <w:r w:rsidRPr="00DC56F4">
        <w:rPr>
          <w:rFonts w:cs="Times New Roman"/>
          <w:sz w:val="24"/>
          <w:szCs w:val="24"/>
          <w:vertAlign w:val="superscript"/>
        </w:rPr>
        <w:t>30</w:t>
      </w:r>
      <w:r w:rsidR="00DC56F4">
        <w:rPr>
          <w:rFonts w:cs="Times New Roman"/>
          <w:sz w:val="24"/>
          <w:szCs w:val="24"/>
        </w:rPr>
        <w:t xml:space="preserve"> </w:t>
      </w:r>
      <w:r w:rsidR="00DC56F4" w:rsidRPr="008B3467">
        <w:rPr>
          <w:rFonts w:cs="Times New Roman"/>
          <w:sz w:val="24"/>
          <w:szCs w:val="24"/>
        </w:rPr>
        <w:t xml:space="preserve">European Parliament and of the Council </w:t>
      </w:r>
      <w:r w:rsidR="00C737E2" w:rsidRPr="00DC56F4">
        <w:rPr>
          <w:rFonts w:cs="Times New Roman"/>
          <w:sz w:val="24"/>
          <w:szCs w:val="24"/>
        </w:rPr>
        <w:t>Regulation</w:t>
      </w:r>
      <w:r w:rsidR="00C737E2" w:rsidRPr="008B3467">
        <w:rPr>
          <w:rFonts w:cs="Times New Roman"/>
          <w:sz w:val="24"/>
          <w:szCs w:val="24"/>
        </w:rPr>
        <w:t xml:space="preserve"> (EC) No. 183/2005</w:t>
      </w:r>
      <w:r w:rsidR="009E09C7" w:rsidRPr="008B3467">
        <w:rPr>
          <w:rFonts w:cs="Times New Roman"/>
          <w:sz w:val="24"/>
          <w:szCs w:val="24"/>
        </w:rPr>
        <w:t xml:space="preserve"> </w:t>
      </w:r>
      <w:r w:rsidR="000F0ED1">
        <w:rPr>
          <w:rFonts w:cs="Times New Roman"/>
          <w:sz w:val="24"/>
          <w:szCs w:val="24"/>
        </w:rPr>
        <w:t>(</w:t>
      </w:r>
      <w:r w:rsidR="009E09C7" w:rsidRPr="008B3467">
        <w:rPr>
          <w:rFonts w:cs="Times New Roman"/>
          <w:sz w:val="24"/>
          <w:szCs w:val="24"/>
        </w:rPr>
        <w:t>2005</w:t>
      </w:r>
      <w:r w:rsidR="000F0ED1">
        <w:rPr>
          <w:rFonts w:cs="Times New Roman"/>
          <w:sz w:val="24"/>
          <w:szCs w:val="24"/>
        </w:rPr>
        <w:t>)</w:t>
      </w:r>
      <w:r w:rsidR="00632159">
        <w:rPr>
          <w:rFonts w:cs="Times New Roman"/>
          <w:sz w:val="24"/>
          <w:szCs w:val="24"/>
        </w:rPr>
        <w:t>.</w:t>
      </w:r>
      <w:r w:rsidR="009E09C7" w:rsidRPr="008B3467">
        <w:rPr>
          <w:rFonts w:cs="Times New Roman"/>
          <w:sz w:val="24"/>
          <w:szCs w:val="24"/>
        </w:rPr>
        <w:t xml:space="preserve"> </w:t>
      </w:r>
      <w:r w:rsidR="000F0ED1">
        <w:rPr>
          <w:rFonts w:cs="Times New Roman"/>
          <w:sz w:val="24"/>
          <w:szCs w:val="24"/>
        </w:rPr>
        <w:t>L</w:t>
      </w:r>
      <w:r w:rsidR="009E09C7" w:rsidRPr="008B3467">
        <w:rPr>
          <w:rFonts w:cs="Times New Roman"/>
          <w:sz w:val="24"/>
          <w:szCs w:val="24"/>
        </w:rPr>
        <w:t xml:space="preserve">aying down requirements for feed hygiene </w:t>
      </w:r>
      <w:r w:rsidR="0000634D" w:rsidRPr="008B3467">
        <w:rPr>
          <w:rFonts w:cs="Times New Roman"/>
          <w:sz w:val="24"/>
          <w:szCs w:val="24"/>
        </w:rPr>
        <w:t xml:space="preserve"> </w:t>
      </w:r>
      <w:hyperlink r:id="rId29" w:history="1">
        <w:r w:rsidR="0000634D" w:rsidRPr="008B3467">
          <w:rPr>
            <w:rStyle w:val="Hyperlink"/>
            <w:rFonts w:cs="Times New Roman"/>
            <w:sz w:val="24"/>
            <w:szCs w:val="24"/>
          </w:rPr>
          <w:t>http://eur-lex.europa.eu/legal-content/en/ALL/?uri=CELEX:32005R0183</w:t>
        </w:r>
      </w:hyperlink>
    </w:p>
    <w:p w14:paraId="2D0860A1" w14:textId="6404966C" w:rsidR="0000634D" w:rsidRPr="008B3467" w:rsidRDefault="0000634D" w:rsidP="00C737E2">
      <w:pPr>
        <w:pStyle w:val="FootnoteText"/>
        <w:rPr>
          <w:rFonts w:cs="Times New Roman"/>
          <w:sz w:val="24"/>
          <w:szCs w:val="24"/>
        </w:rPr>
      </w:pPr>
      <w:r w:rsidRPr="008B3467">
        <w:rPr>
          <w:rFonts w:cs="Times New Roman"/>
          <w:sz w:val="24"/>
          <w:szCs w:val="24"/>
        </w:rPr>
        <w:t>Accessed on 24 April 2018</w:t>
      </w:r>
    </w:p>
    <w:p w14:paraId="2F4BF5DC" w14:textId="77777777" w:rsidR="00C737E2" w:rsidRPr="008B3467" w:rsidRDefault="00C737E2" w:rsidP="00C737E2">
      <w:pPr>
        <w:pStyle w:val="FootnoteText"/>
        <w:rPr>
          <w:rFonts w:cs="Times New Roman"/>
          <w:sz w:val="24"/>
          <w:szCs w:val="24"/>
        </w:rPr>
      </w:pPr>
    </w:p>
    <w:p w14:paraId="1023D53D" w14:textId="32ECC24E" w:rsidR="00C737E2" w:rsidRPr="008B3467" w:rsidRDefault="00C737E2" w:rsidP="00C737E2">
      <w:pPr>
        <w:pStyle w:val="FootnoteText"/>
        <w:rPr>
          <w:rFonts w:cs="Times New Roman"/>
          <w:sz w:val="24"/>
          <w:szCs w:val="24"/>
        </w:rPr>
      </w:pPr>
      <w:r w:rsidRPr="008B3467">
        <w:rPr>
          <w:rStyle w:val="FootnoteReference"/>
          <w:rFonts w:cs="Times New Roman"/>
          <w:sz w:val="24"/>
          <w:szCs w:val="24"/>
        </w:rPr>
        <w:t>3</w:t>
      </w:r>
      <w:r w:rsidR="00183600" w:rsidRPr="008B3467">
        <w:rPr>
          <w:rFonts w:cs="Times New Roman"/>
          <w:sz w:val="24"/>
          <w:szCs w:val="24"/>
          <w:vertAlign w:val="superscript"/>
        </w:rPr>
        <w:t>1</w:t>
      </w:r>
      <w:r w:rsidRPr="008B3467">
        <w:rPr>
          <w:rFonts w:cs="Times New Roman"/>
          <w:sz w:val="24"/>
          <w:szCs w:val="24"/>
        </w:rPr>
        <w:t xml:space="preserve"> </w:t>
      </w:r>
      <w:r w:rsidR="00DC56F4" w:rsidRPr="008B3467">
        <w:rPr>
          <w:rFonts w:cs="Times New Roman"/>
          <w:sz w:val="24"/>
          <w:szCs w:val="24"/>
        </w:rPr>
        <w:t xml:space="preserve">European </w:t>
      </w:r>
      <w:r w:rsidR="00DC56F4" w:rsidRPr="006128A2">
        <w:rPr>
          <w:rFonts w:cs="Times New Roman"/>
          <w:sz w:val="24"/>
          <w:szCs w:val="24"/>
        </w:rPr>
        <w:t xml:space="preserve">Parliament </w:t>
      </w:r>
      <w:r w:rsidR="00DC56F4" w:rsidRPr="008B3467">
        <w:rPr>
          <w:rFonts w:cs="Times New Roman"/>
          <w:sz w:val="24"/>
          <w:szCs w:val="24"/>
        </w:rPr>
        <w:t xml:space="preserve">and of the Council </w:t>
      </w:r>
      <w:r w:rsidRPr="008B3467">
        <w:rPr>
          <w:rFonts w:cs="Times New Roman"/>
          <w:sz w:val="24"/>
          <w:szCs w:val="24"/>
        </w:rPr>
        <w:t>Directive 2002/32/EC</w:t>
      </w:r>
      <w:r w:rsidR="00634841" w:rsidRPr="008B3467">
        <w:rPr>
          <w:rFonts w:cs="Times New Roman"/>
          <w:sz w:val="24"/>
          <w:szCs w:val="24"/>
        </w:rPr>
        <w:t xml:space="preserve"> </w:t>
      </w:r>
      <w:r w:rsidR="000F0ED1">
        <w:rPr>
          <w:rFonts w:cs="Times New Roman"/>
          <w:sz w:val="24"/>
          <w:szCs w:val="24"/>
        </w:rPr>
        <w:t>(</w:t>
      </w:r>
      <w:r w:rsidR="00634841" w:rsidRPr="008B3467">
        <w:rPr>
          <w:rFonts w:cs="Times New Roman"/>
          <w:sz w:val="24"/>
          <w:szCs w:val="24"/>
        </w:rPr>
        <w:t>2002</w:t>
      </w:r>
      <w:r w:rsidR="000F0ED1">
        <w:rPr>
          <w:rFonts w:cs="Times New Roman"/>
          <w:sz w:val="24"/>
          <w:szCs w:val="24"/>
        </w:rPr>
        <w:t>)</w:t>
      </w:r>
      <w:r w:rsidR="00632159">
        <w:rPr>
          <w:rFonts w:cs="Times New Roman"/>
          <w:sz w:val="24"/>
          <w:szCs w:val="24"/>
        </w:rPr>
        <w:t>.</w:t>
      </w:r>
      <w:r w:rsidR="000F0ED1">
        <w:rPr>
          <w:rFonts w:cs="Times New Roman"/>
          <w:sz w:val="24"/>
          <w:szCs w:val="24"/>
        </w:rPr>
        <w:t xml:space="preserve"> O</w:t>
      </w:r>
      <w:r w:rsidR="00634841" w:rsidRPr="008B3467">
        <w:rPr>
          <w:rFonts w:cs="Times New Roman"/>
          <w:sz w:val="24"/>
          <w:szCs w:val="24"/>
        </w:rPr>
        <w:t>n undesirable substances in animal feed - Council statement</w:t>
      </w:r>
      <w:r w:rsidR="0000634D" w:rsidRPr="008B3467">
        <w:rPr>
          <w:rFonts w:cs="Times New Roman"/>
          <w:sz w:val="24"/>
          <w:szCs w:val="24"/>
        </w:rPr>
        <w:t xml:space="preserve"> </w:t>
      </w:r>
      <w:hyperlink r:id="rId30" w:history="1">
        <w:r w:rsidR="0000634D" w:rsidRPr="008B3467">
          <w:rPr>
            <w:rStyle w:val="Hyperlink"/>
            <w:rFonts w:cs="Times New Roman"/>
            <w:sz w:val="24"/>
            <w:szCs w:val="24"/>
          </w:rPr>
          <w:t>http://eur-lex.europa.eu/legal-content/EN/TXT/?uri=CELEX:32002L0032</w:t>
        </w:r>
      </w:hyperlink>
      <w:r w:rsidR="0000634D" w:rsidRPr="008B3467">
        <w:rPr>
          <w:rFonts w:cs="Times New Roman"/>
          <w:sz w:val="24"/>
          <w:szCs w:val="24"/>
        </w:rPr>
        <w:t xml:space="preserve"> </w:t>
      </w:r>
    </w:p>
    <w:p w14:paraId="32739AA3" w14:textId="0BAFDDE7" w:rsidR="0000634D" w:rsidRPr="008B3467" w:rsidRDefault="0000634D" w:rsidP="00C737E2">
      <w:pPr>
        <w:pStyle w:val="FootnoteText"/>
        <w:rPr>
          <w:rFonts w:cs="Times New Roman"/>
          <w:sz w:val="24"/>
          <w:szCs w:val="24"/>
        </w:rPr>
      </w:pPr>
      <w:r w:rsidRPr="008B3467">
        <w:rPr>
          <w:rFonts w:cs="Times New Roman"/>
          <w:sz w:val="24"/>
          <w:szCs w:val="24"/>
        </w:rPr>
        <w:t>Accessed on 24 April 2018</w:t>
      </w:r>
    </w:p>
    <w:p w14:paraId="49B8303E" w14:textId="77777777" w:rsidR="00C737E2" w:rsidRPr="008B3467" w:rsidRDefault="00C737E2" w:rsidP="00C737E2">
      <w:pPr>
        <w:pStyle w:val="FootnoteText"/>
        <w:rPr>
          <w:rFonts w:cs="Times New Roman"/>
          <w:sz w:val="24"/>
          <w:szCs w:val="24"/>
        </w:rPr>
      </w:pPr>
    </w:p>
    <w:p w14:paraId="02E15F84" w14:textId="12A4304E" w:rsidR="002662C1" w:rsidRDefault="00C737E2" w:rsidP="002662C1">
      <w:pPr>
        <w:pStyle w:val="FootnoteText"/>
        <w:rPr>
          <w:rFonts w:cs="Times New Roman"/>
          <w:sz w:val="24"/>
          <w:szCs w:val="24"/>
        </w:rPr>
      </w:pPr>
      <w:r w:rsidRPr="008B3467">
        <w:rPr>
          <w:rStyle w:val="FootnoteReference"/>
          <w:rFonts w:cs="Times New Roman"/>
          <w:sz w:val="24"/>
          <w:szCs w:val="24"/>
        </w:rPr>
        <w:t>3</w:t>
      </w:r>
      <w:r w:rsidR="00183600" w:rsidRPr="008B3467">
        <w:rPr>
          <w:rFonts w:cs="Times New Roman"/>
          <w:sz w:val="24"/>
          <w:szCs w:val="24"/>
          <w:vertAlign w:val="superscript"/>
        </w:rPr>
        <w:t>2</w:t>
      </w:r>
      <w:r w:rsidR="00DC56F4" w:rsidRPr="002662C1">
        <w:rPr>
          <w:rFonts w:cs="Times New Roman"/>
          <w:sz w:val="24"/>
          <w:szCs w:val="24"/>
        </w:rPr>
        <w:t>European Parliament and of the Council</w:t>
      </w:r>
      <w:r w:rsidR="00DC56F4">
        <w:rPr>
          <w:rFonts w:cs="Times New Roman"/>
          <w:sz w:val="24"/>
          <w:szCs w:val="24"/>
        </w:rPr>
        <w:t xml:space="preserve"> </w:t>
      </w:r>
      <w:r w:rsidR="00DC56F4" w:rsidRPr="008B3467">
        <w:rPr>
          <w:rFonts w:cs="Times New Roman"/>
          <w:sz w:val="24"/>
          <w:szCs w:val="24"/>
        </w:rPr>
        <w:t xml:space="preserve">Directive </w:t>
      </w:r>
      <w:r w:rsidRPr="008B3467">
        <w:rPr>
          <w:rFonts w:cs="Times New Roman"/>
          <w:sz w:val="24"/>
          <w:szCs w:val="24"/>
        </w:rPr>
        <w:t>96/</w:t>
      </w:r>
      <w:r w:rsidR="002662C1">
        <w:rPr>
          <w:rFonts w:cs="Times New Roman"/>
          <w:sz w:val="24"/>
          <w:szCs w:val="24"/>
        </w:rPr>
        <w:t>2</w:t>
      </w:r>
      <w:r w:rsidRPr="008B3467">
        <w:rPr>
          <w:rFonts w:cs="Times New Roman"/>
          <w:sz w:val="24"/>
          <w:szCs w:val="24"/>
        </w:rPr>
        <w:t>2/EC</w:t>
      </w:r>
      <w:r w:rsidR="0000634D" w:rsidRPr="008B3467">
        <w:rPr>
          <w:rFonts w:cs="Times New Roman"/>
          <w:sz w:val="24"/>
          <w:szCs w:val="24"/>
        </w:rPr>
        <w:t xml:space="preserve"> </w:t>
      </w:r>
      <w:r w:rsidR="002662C1">
        <w:rPr>
          <w:rFonts w:cs="Times New Roman"/>
          <w:sz w:val="24"/>
          <w:szCs w:val="24"/>
        </w:rPr>
        <w:t>(1996)</w:t>
      </w:r>
      <w:r w:rsidR="00632159">
        <w:rPr>
          <w:rFonts w:cs="Times New Roman"/>
          <w:sz w:val="24"/>
          <w:szCs w:val="24"/>
        </w:rPr>
        <w:t>.</w:t>
      </w:r>
      <w:r w:rsidR="002662C1">
        <w:rPr>
          <w:rFonts w:cs="Times New Roman"/>
          <w:sz w:val="24"/>
          <w:szCs w:val="24"/>
        </w:rPr>
        <w:t xml:space="preserve"> C</w:t>
      </w:r>
      <w:r w:rsidR="002662C1" w:rsidRPr="002662C1">
        <w:rPr>
          <w:rFonts w:cs="Times New Roman"/>
          <w:sz w:val="24"/>
          <w:szCs w:val="24"/>
        </w:rPr>
        <w:t>oncerning the prohibition on the use in stockfarming of certain substances having a hormonal or thyrostatic action and of ß-agonists, and repealing Directives 81/602/EEC, 88/146/EEC and 88/299/EEC</w:t>
      </w:r>
      <w:r w:rsidR="002662C1">
        <w:rPr>
          <w:rFonts w:cs="Times New Roman"/>
          <w:sz w:val="24"/>
          <w:szCs w:val="24"/>
        </w:rPr>
        <w:t xml:space="preserve"> </w:t>
      </w:r>
    </w:p>
    <w:p w14:paraId="356082A5" w14:textId="20A3AE00" w:rsidR="0000634D" w:rsidRDefault="00726FC9" w:rsidP="002662C1">
      <w:pPr>
        <w:pStyle w:val="FootnoteText"/>
        <w:rPr>
          <w:rFonts w:cs="Times New Roman"/>
          <w:sz w:val="24"/>
          <w:szCs w:val="24"/>
        </w:rPr>
      </w:pPr>
      <w:hyperlink r:id="rId31" w:history="1">
        <w:r w:rsidR="002662C1" w:rsidRPr="00A73568">
          <w:rPr>
            <w:rStyle w:val="Hyperlink"/>
            <w:rFonts w:cs="Times New Roman"/>
            <w:sz w:val="24"/>
            <w:szCs w:val="24"/>
          </w:rPr>
          <w:t>http://eur-lex.europa.eu/legal-content/en/ALL/?uri=CELEX:31996L0022</w:t>
        </w:r>
      </w:hyperlink>
    </w:p>
    <w:p w14:paraId="0F0FF3FD" w14:textId="2F9CC7F6" w:rsidR="002662C1" w:rsidRPr="002662C1" w:rsidRDefault="002662C1" w:rsidP="002662C1">
      <w:pPr>
        <w:pStyle w:val="FootnoteText"/>
        <w:rPr>
          <w:rFonts w:cs="Times New Roman"/>
          <w:sz w:val="24"/>
          <w:szCs w:val="24"/>
        </w:rPr>
      </w:pPr>
      <w:r>
        <w:rPr>
          <w:rFonts w:cs="Times New Roman"/>
          <w:sz w:val="24"/>
          <w:szCs w:val="24"/>
        </w:rPr>
        <w:t>Accessed 1 May 2018</w:t>
      </w:r>
    </w:p>
    <w:p w14:paraId="6B180819" w14:textId="77777777" w:rsidR="00C737E2" w:rsidRPr="008B3467" w:rsidRDefault="00C737E2" w:rsidP="00C737E2">
      <w:pPr>
        <w:pStyle w:val="FootnoteText"/>
        <w:rPr>
          <w:rFonts w:cs="Times New Roman"/>
          <w:sz w:val="24"/>
          <w:szCs w:val="24"/>
        </w:rPr>
      </w:pPr>
    </w:p>
    <w:p w14:paraId="13FB9814" w14:textId="180AFA88" w:rsidR="00C737E2" w:rsidRPr="008B3467" w:rsidRDefault="00C737E2" w:rsidP="00C737E2">
      <w:pPr>
        <w:pStyle w:val="FootnoteText"/>
        <w:rPr>
          <w:rStyle w:val="Hyperlink"/>
          <w:sz w:val="24"/>
          <w:szCs w:val="24"/>
        </w:rPr>
      </w:pPr>
      <w:r w:rsidRPr="008B3467">
        <w:rPr>
          <w:rStyle w:val="FootnoteReference"/>
          <w:sz w:val="24"/>
          <w:szCs w:val="24"/>
        </w:rPr>
        <w:t>3</w:t>
      </w:r>
      <w:r w:rsidR="00183600" w:rsidRPr="008B3467">
        <w:rPr>
          <w:sz w:val="24"/>
          <w:szCs w:val="24"/>
          <w:vertAlign w:val="superscript"/>
        </w:rPr>
        <w:t>3</w:t>
      </w:r>
      <w:r w:rsidRPr="008B3467">
        <w:rPr>
          <w:sz w:val="24"/>
          <w:szCs w:val="24"/>
        </w:rPr>
        <w:t xml:space="preserve"> Canadian</w:t>
      </w:r>
      <w:r w:rsidR="007270E2" w:rsidRPr="008B3467">
        <w:rPr>
          <w:sz w:val="24"/>
          <w:szCs w:val="24"/>
        </w:rPr>
        <w:t xml:space="preserve"> Food Inspection Agency</w:t>
      </w:r>
      <w:r w:rsidR="000F0ED1">
        <w:rPr>
          <w:sz w:val="24"/>
          <w:szCs w:val="24"/>
        </w:rPr>
        <w:t xml:space="preserve"> (2018</w:t>
      </w:r>
      <w:r w:rsidR="00683FA3">
        <w:rPr>
          <w:sz w:val="24"/>
          <w:szCs w:val="24"/>
        </w:rPr>
        <w:t>)</w:t>
      </w:r>
      <w:r w:rsidR="00632159">
        <w:rPr>
          <w:sz w:val="24"/>
          <w:szCs w:val="24"/>
        </w:rPr>
        <w:t>.</w:t>
      </w:r>
      <w:r w:rsidR="00683FA3" w:rsidRPr="008B3467">
        <w:rPr>
          <w:sz w:val="24"/>
          <w:szCs w:val="24"/>
        </w:rPr>
        <w:t xml:space="preserve"> Ractopamine</w:t>
      </w:r>
      <w:r w:rsidR="007270E2" w:rsidRPr="008B3467">
        <w:rPr>
          <w:sz w:val="24"/>
          <w:szCs w:val="24"/>
        </w:rPr>
        <w:t xml:space="preserve"> hydrochloride (RAC) – </w:t>
      </w:r>
      <w:r w:rsidRPr="008B3467">
        <w:rPr>
          <w:sz w:val="24"/>
          <w:szCs w:val="24"/>
        </w:rPr>
        <w:t xml:space="preserve">Medicating Ingredient Brochure #82 </w:t>
      </w:r>
      <w:hyperlink r:id="rId32" w:history="1">
        <w:r w:rsidRPr="008B3467">
          <w:rPr>
            <w:rStyle w:val="Hyperlink"/>
            <w:sz w:val="24"/>
            <w:szCs w:val="24"/>
          </w:rPr>
          <w:t>http://www.inspection.gc.ca/animals/feeds/medicating-ingredients/mib/mib-82/eng/1331129686310/1331129741124</w:t>
        </w:r>
      </w:hyperlink>
      <w:r w:rsidR="0000634D" w:rsidRPr="008B3467">
        <w:rPr>
          <w:rStyle w:val="Hyperlink"/>
          <w:sz w:val="24"/>
          <w:szCs w:val="24"/>
        </w:rPr>
        <w:t xml:space="preserve"> </w:t>
      </w:r>
    </w:p>
    <w:p w14:paraId="49DF85D1" w14:textId="58B24EEB" w:rsidR="0000634D" w:rsidRPr="008B3467" w:rsidRDefault="0000634D" w:rsidP="00C737E2">
      <w:pPr>
        <w:pStyle w:val="FootnoteText"/>
        <w:rPr>
          <w:sz w:val="24"/>
          <w:szCs w:val="24"/>
        </w:rPr>
      </w:pPr>
      <w:r w:rsidRPr="008B3467">
        <w:rPr>
          <w:rStyle w:val="Hyperlink"/>
          <w:sz w:val="24"/>
          <w:szCs w:val="24"/>
        </w:rPr>
        <w:t>Accessed on 24 April 2018</w:t>
      </w:r>
    </w:p>
    <w:p w14:paraId="3605E772" w14:textId="77777777" w:rsidR="00C737E2" w:rsidRPr="008B3467" w:rsidRDefault="00C737E2" w:rsidP="00C737E2">
      <w:pPr>
        <w:pStyle w:val="FootnoteText"/>
        <w:rPr>
          <w:sz w:val="24"/>
          <w:szCs w:val="24"/>
        </w:rPr>
      </w:pPr>
    </w:p>
    <w:p w14:paraId="12EE3925" w14:textId="7F9BF1AD" w:rsidR="00634841" w:rsidRPr="008B3467" w:rsidRDefault="00C737E2" w:rsidP="00634841">
      <w:pPr>
        <w:pStyle w:val="FootnoteText"/>
        <w:rPr>
          <w:sz w:val="24"/>
          <w:szCs w:val="24"/>
        </w:rPr>
      </w:pPr>
      <w:r w:rsidRPr="008B3467">
        <w:rPr>
          <w:rStyle w:val="FootnoteReference"/>
          <w:sz w:val="24"/>
          <w:szCs w:val="24"/>
        </w:rPr>
        <w:t>3</w:t>
      </w:r>
      <w:r w:rsidR="00183600" w:rsidRPr="008B3467">
        <w:rPr>
          <w:sz w:val="24"/>
          <w:szCs w:val="24"/>
          <w:vertAlign w:val="superscript"/>
        </w:rPr>
        <w:t>4</w:t>
      </w:r>
      <w:r w:rsidRPr="008B3467">
        <w:rPr>
          <w:sz w:val="24"/>
          <w:szCs w:val="24"/>
        </w:rPr>
        <w:t xml:space="preserve"> Panel on Additives and Products or Substances used in Animal Feed (2009)</w:t>
      </w:r>
      <w:r w:rsidR="00632159">
        <w:rPr>
          <w:sz w:val="24"/>
          <w:szCs w:val="24"/>
        </w:rPr>
        <w:t>.</w:t>
      </w:r>
      <w:r w:rsidRPr="008B3467">
        <w:rPr>
          <w:sz w:val="24"/>
          <w:szCs w:val="24"/>
        </w:rPr>
        <w:t xml:space="preserve"> Scientific Opinion</w:t>
      </w:r>
      <w:r w:rsidR="00634841" w:rsidRPr="008B3467">
        <w:rPr>
          <w:sz w:val="24"/>
          <w:szCs w:val="24"/>
        </w:rPr>
        <w:t xml:space="preserve"> of the Panel on Additives and Products or Substances </w:t>
      </w:r>
    </w:p>
    <w:p w14:paraId="2AD8150D" w14:textId="4FD70287" w:rsidR="007F73FD" w:rsidRPr="008B3467" w:rsidRDefault="00634841" w:rsidP="00634841">
      <w:pPr>
        <w:pStyle w:val="FootnoteText"/>
        <w:rPr>
          <w:i/>
          <w:sz w:val="24"/>
          <w:szCs w:val="24"/>
        </w:rPr>
      </w:pPr>
      <w:r w:rsidRPr="008B3467">
        <w:rPr>
          <w:sz w:val="24"/>
          <w:szCs w:val="24"/>
        </w:rPr>
        <w:t>used in Animal Feed</w:t>
      </w:r>
      <w:r w:rsidR="00C737E2" w:rsidRPr="008B3467">
        <w:rPr>
          <w:sz w:val="24"/>
          <w:szCs w:val="24"/>
        </w:rPr>
        <w:t>: Safety evaluation of ractopamine</w:t>
      </w:r>
      <w:r w:rsidR="00632159">
        <w:rPr>
          <w:sz w:val="24"/>
          <w:szCs w:val="24"/>
        </w:rPr>
        <w:t>.</w:t>
      </w:r>
      <w:r w:rsidR="00C737E2" w:rsidRPr="008B3467">
        <w:rPr>
          <w:sz w:val="24"/>
          <w:szCs w:val="24"/>
        </w:rPr>
        <w:t xml:space="preserve"> </w:t>
      </w:r>
      <w:r w:rsidR="00C737E2" w:rsidRPr="008B3467">
        <w:rPr>
          <w:i/>
          <w:sz w:val="24"/>
          <w:szCs w:val="24"/>
        </w:rPr>
        <w:t xml:space="preserve">The EFSA Journal (2009) </w:t>
      </w:r>
      <w:r w:rsidR="007F73FD" w:rsidRPr="008B3467">
        <w:rPr>
          <w:sz w:val="24"/>
          <w:szCs w:val="24"/>
        </w:rPr>
        <w:t>1041, 1-52</w:t>
      </w:r>
    </w:p>
    <w:p w14:paraId="1B8CD263" w14:textId="59D9818F" w:rsidR="00C737E2" w:rsidRPr="008B3467" w:rsidRDefault="00726FC9" w:rsidP="00C737E2">
      <w:pPr>
        <w:pStyle w:val="FootnoteText"/>
        <w:rPr>
          <w:i/>
          <w:sz w:val="24"/>
          <w:szCs w:val="24"/>
        </w:rPr>
      </w:pPr>
      <w:hyperlink r:id="rId33" w:history="1">
        <w:r w:rsidR="009E09C7" w:rsidRPr="008B3467">
          <w:rPr>
            <w:rStyle w:val="Hyperlink"/>
            <w:i/>
            <w:sz w:val="24"/>
            <w:szCs w:val="24"/>
          </w:rPr>
          <w:t>https://efsa.onlinelibrary.wiley.com/doi/epdf/10.2903/j.efsa.2009.1041</w:t>
        </w:r>
      </w:hyperlink>
    </w:p>
    <w:p w14:paraId="08C08331" w14:textId="39BC94B9" w:rsidR="009E09C7" w:rsidRPr="008B3467" w:rsidRDefault="009E09C7" w:rsidP="00C737E2">
      <w:pPr>
        <w:pStyle w:val="FootnoteText"/>
        <w:rPr>
          <w:sz w:val="24"/>
          <w:szCs w:val="24"/>
        </w:rPr>
      </w:pPr>
      <w:r w:rsidRPr="008B3467">
        <w:rPr>
          <w:sz w:val="24"/>
          <w:szCs w:val="24"/>
        </w:rPr>
        <w:t>Accessed 1 May 2018</w:t>
      </w:r>
    </w:p>
    <w:p w14:paraId="046FEEDE" w14:textId="77777777" w:rsidR="00C737E2" w:rsidRPr="008B3467" w:rsidRDefault="00C737E2" w:rsidP="00C737E2">
      <w:pPr>
        <w:pStyle w:val="FootnoteText"/>
        <w:rPr>
          <w:sz w:val="24"/>
          <w:szCs w:val="24"/>
        </w:rPr>
      </w:pPr>
    </w:p>
    <w:p w14:paraId="552B7863" w14:textId="5455A0A9" w:rsidR="00C737E2" w:rsidRPr="008B3467" w:rsidRDefault="00C737E2" w:rsidP="00C737E2">
      <w:pPr>
        <w:pStyle w:val="FootnoteText"/>
        <w:rPr>
          <w:sz w:val="24"/>
          <w:szCs w:val="24"/>
        </w:rPr>
      </w:pPr>
      <w:r w:rsidRPr="008B3467">
        <w:rPr>
          <w:rStyle w:val="FootnoteReference"/>
          <w:sz w:val="24"/>
          <w:szCs w:val="24"/>
        </w:rPr>
        <w:t>3</w:t>
      </w:r>
      <w:r w:rsidR="00183600" w:rsidRPr="008B3467">
        <w:rPr>
          <w:sz w:val="24"/>
          <w:szCs w:val="24"/>
          <w:vertAlign w:val="superscript"/>
        </w:rPr>
        <w:t>5</w:t>
      </w:r>
      <w:r w:rsidRPr="008B3467">
        <w:rPr>
          <w:rStyle w:val="FootnoteReference"/>
          <w:sz w:val="24"/>
          <w:szCs w:val="24"/>
        </w:rPr>
        <w:t xml:space="preserve"> </w:t>
      </w:r>
      <w:r w:rsidRPr="008B3467">
        <w:rPr>
          <w:sz w:val="24"/>
          <w:szCs w:val="24"/>
        </w:rPr>
        <w:t>Pendrous, R. (2013)</w:t>
      </w:r>
      <w:r w:rsidR="00632159">
        <w:rPr>
          <w:sz w:val="24"/>
          <w:szCs w:val="24"/>
        </w:rPr>
        <w:t>.</w:t>
      </w:r>
      <w:r w:rsidRPr="008B3467">
        <w:rPr>
          <w:sz w:val="24"/>
          <w:szCs w:val="24"/>
        </w:rPr>
        <w:t xml:space="preserve"> ‘European Commission under pressure to permit lactic acid wash use in poultry’, </w:t>
      </w:r>
      <w:r w:rsidRPr="008B3467">
        <w:rPr>
          <w:i/>
          <w:sz w:val="24"/>
          <w:szCs w:val="24"/>
        </w:rPr>
        <w:t>FoodManufacture.co.uk,</w:t>
      </w:r>
      <w:r w:rsidRPr="008B3467">
        <w:rPr>
          <w:sz w:val="24"/>
          <w:szCs w:val="24"/>
        </w:rPr>
        <w:t xml:space="preserve"> 12 March, accessed September 2017 from: </w:t>
      </w:r>
      <w:hyperlink r:id="rId34" w:history="1">
        <w:r w:rsidR="0000634D" w:rsidRPr="008B3467">
          <w:rPr>
            <w:rStyle w:val="Hyperlink"/>
            <w:sz w:val="24"/>
            <w:szCs w:val="24"/>
          </w:rPr>
          <w:t>http://www.foodmanufacture.co.uk/Food-Safety/European-Commission-under-pressure-to-permit-lactic-acid-wash-use-in-poultry</w:t>
        </w:r>
      </w:hyperlink>
    </w:p>
    <w:p w14:paraId="2B44E527" w14:textId="47876DEA" w:rsidR="0000634D" w:rsidRPr="008B3467" w:rsidRDefault="0000634D" w:rsidP="00C737E2">
      <w:pPr>
        <w:pStyle w:val="FootnoteText"/>
        <w:rPr>
          <w:sz w:val="24"/>
          <w:szCs w:val="24"/>
        </w:rPr>
      </w:pPr>
      <w:r w:rsidRPr="008B3467">
        <w:rPr>
          <w:sz w:val="24"/>
          <w:szCs w:val="24"/>
        </w:rPr>
        <w:t>Accessed 24 April 2018</w:t>
      </w:r>
    </w:p>
    <w:p w14:paraId="31908EA3" w14:textId="11BCDAE2" w:rsidR="007F73FD" w:rsidRPr="008B3467" w:rsidRDefault="007F73FD" w:rsidP="00C737E2">
      <w:pPr>
        <w:pStyle w:val="FootnoteText"/>
        <w:rPr>
          <w:sz w:val="24"/>
          <w:szCs w:val="24"/>
        </w:rPr>
      </w:pPr>
    </w:p>
    <w:p w14:paraId="1525D783" w14:textId="40895F5E" w:rsidR="007F73FD" w:rsidRPr="008B3467" w:rsidRDefault="007F73FD" w:rsidP="008C3D8E">
      <w:pPr>
        <w:pStyle w:val="FootnoteText"/>
        <w:rPr>
          <w:sz w:val="24"/>
          <w:szCs w:val="24"/>
        </w:rPr>
      </w:pPr>
      <w:r w:rsidRPr="008B3467">
        <w:rPr>
          <w:sz w:val="24"/>
          <w:szCs w:val="24"/>
          <w:vertAlign w:val="superscript"/>
        </w:rPr>
        <w:t>36</w:t>
      </w:r>
      <w:r w:rsidRPr="008B3467">
        <w:rPr>
          <w:sz w:val="24"/>
          <w:szCs w:val="24"/>
        </w:rPr>
        <w:t>Porkka, M</w:t>
      </w:r>
      <w:r w:rsidR="008C3D8E" w:rsidRPr="008B3467">
        <w:rPr>
          <w:sz w:val="24"/>
          <w:szCs w:val="24"/>
        </w:rPr>
        <w:t xml:space="preserve">., Kummu, M., Siebert, S., </w:t>
      </w:r>
      <w:r w:rsidR="00DF2BA7">
        <w:rPr>
          <w:sz w:val="24"/>
          <w:szCs w:val="24"/>
        </w:rPr>
        <w:t xml:space="preserve">&amp; </w:t>
      </w:r>
      <w:r w:rsidR="008C3D8E" w:rsidRPr="008B3467">
        <w:rPr>
          <w:sz w:val="24"/>
          <w:szCs w:val="24"/>
        </w:rPr>
        <w:t>Varis, O. (2013)</w:t>
      </w:r>
      <w:r w:rsidR="00DF2BA7">
        <w:rPr>
          <w:sz w:val="24"/>
          <w:szCs w:val="24"/>
        </w:rPr>
        <w:t>.</w:t>
      </w:r>
      <w:r w:rsidR="008C3D8E" w:rsidRPr="008B3467">
        <w:rPr>
          <w:sz w:val="24"/>
          <w:szCs w:val="24"/>
        </w:rPr>
        <w:t xml:space="preserve"> From Food Insufficiency towards Trade Dependency: A Historical Analysis of Global Food Availability </w:t>
      </w:r>
      <w:r w:rsidR="008C3D8E" w:rsidRPr="008B3467">
        <w:rPr>
          <w:rFonts w:cs="Arial"/>
          <w:i/>
          <w:color w:val="333333"/>
          <w:sz w:val="24"/>
          <w:szCs w:val="24"/>
          <w:lang w:val="en"/>
        </w:rPr>
        <w:t>PLoS ONE</w:t>
      </w:r>
      <w:r w:rsidR="008C3D8E" w:rsidRPr="008B3467">
        <w:rPr>
          <w:rFonts w:cs="Arial"/>
          <w:color w:val="333333"/>
          <w:sz w:val="24"/>
          <w:szCs w:val="24"/>
          <w:lang w:val="en"/>
        </w:rPr>
        <w:t xml:space="preserve"> 8(12): e82714. </w:t>
      </w:r>
    </w:p>
    <w:p w14:paraId="16F21A48" w14:textId="6BC918F9" w:rsidR="009E09C7" w:rsidRPr="008B3467" w:rsidRDefault="00726FC9" w:rsidP="008C3D8E">
      <w:pPr>
        <w:pStyle w:val="FootnoteText"/>
        <w:rPr>
          <w:sz w:val="24"/>
          <w:szCs w:val="24"/>
        </w:rPr>
      </w:pPr>
      <w:hyperlink r:id="rId35" w:history="1">
        <w:r w:rsidR="009E09C7" w:rsidRPr="008B3467">
          <w:rPr>
            <w:rStyle w:val="Hyperlink"/>
            <w:sz w:val="24"/>
            <w:szCs w:val="24"/>
          </w:rPr>
          <w:t>http://journals.plos.org/plosone/article?id=10.1371/journal.pone.0082714</w:t>
        </w:r>
      </w:hyperlink>
    </w:p>
    <w:p w14:paraId="4DEAC5AA" w14:textId="633D694B" w:rsidR="002662C1" w:rsidRDefault="009E09C7" w:rsidP="008C3D8E">
      <w:pPr>
        <w:pStyle w:val="FootnoteText"/>
        <w:rPr>
          <w:sz w:val="24"/>
          <w:szCs w:val="24"/>
        </w:rPr>
      </w:pPr>
      <w:r w:rsidRPr="008B3467">
        <w:rPr>
          <w:sz w:val="24"/>
          <w:szCs w:val="24"/>
        </w:rPr>
        <w:t>Accessed 1 May 2018</w:t>
      </w:r>
    </w:p>
    <w:p w14:paraId="49CA7E72" w14:textId="3AFFB991" w:rsidR="002662C1" w:rsidRDefault="002662C1" w:rsidP="008C3D8E">
      <w:pPr>
        <w:pStyle w:val="FootnoteText"/>
        <w:rPr>
          <w:sz w:val="24"/>
          <w:szCs w:val="24"/>
        </w:rPr>
      </w:pPr>
    </w:p>
    <w:p w14:paraId="7F7EB009" w14:textId="4817AB4A" w:rsidR="002662C1" w:rsidRPr="004B1329" w:rsidRDefault="002662C1" w:rsidP="008C3D8E">
      <w:pPr>
        <w:pStyle w:val="FootnoteText"/>
        <w:rPr>
          <w:b/>
          <w:sz w:val="24"/>
          <w:szCs w:val="24"/>
        </w:rPr>
      </w:pPr>
      <w:r w:rsidRPr="004B1329">
        <w:rPr>
          <w:b/>
          <w:sz w:val="24"/>
          <w:szCs w:val="24"/>
        </w:rPr>
        <w:t>Figure captions</w:t>
      </w:r>
    </w:p>
    <w:p w14:paraId="4F130216" w14:textId="2CE0A21E" w:rsidR="002662C1" w:rsidRDefault="002662C1" w:rsidP="008C3D8E">
      <w:pPr>
        <w:pStyle w:val="FootnoteText"/>
        <w:rPr>
          <w:sz w:val="24"/>
          <w:szCs w:val="24"/>
        </w:rPr>
      </w:pPr>
    </w:p>
    <w:p w14:paraId="40B82F5E" w14:textId="2AF509CE" w:rsidR="002662C1" w:rsidRDefault="002662C1" w:rsidP="002662C1">
      <w:pPr>
        <w:pStyle w:val="FootnoteText"/>
        <w:rPr>
          <w:sz w:val="24"/>
          <w:szCs w:val="24"/>
        </w:rPr>
      </w:pPr>
      <w:r w:rsidRPr="002662C1">
        <w:rPr>
          <w:sz w:val="24"/>
          <w:szCs w:val="24"/>
        </w:rPr>
        <w:t>Figure 1a Share of international meat trade by country</w:t>
      </w:r>
    </w:p>
    <w:p w14:paraId="1585E8C6" w14:textId="2198855E" w:rsidR="002662C1" w:rsidRDefault="002662C1" w:rsidP="002662C1">
      <w:pPr>
        <w:pStyle w:val="FootnoteText"/>
        <w:rPr>
          <w:sz w:val="24"/>
          <w:szCs w:val="24"/>
        </w:rPr>
      </w:pPr>
    </w:p>
    <w:p w14:paraId="73412BA1" w14:textId="1A0D1033" w:rsidR="002662C1" w:rsidRDefault="002662C1" w:rsidP="002662C1">
      <w:pPr>
        <w:pStyle w:val="FootnoteText"/>
        <w:rPr>
          <w:sz w:val="24"/>
          <w:szCs w:val="24"/>
        </w:rPr>
      </w:pPr>
      <w:r>
        <w:rPr>
          <w:sz w:val="24"/>
          <w:szCs w:val="24"/>
        </w:rPr>
        <w:t xml:space="preserve">(Label to others on the key) </w:t>
      </w:r>
      <w:r w:rsidRPr="002662C1">
        <w:rPr>
          <w:sz w:val="24"/>
          <w:szCs w:val="24"/>
        </w:rPr>
        <w:t xml:space="preserve">*others is an aggregation of all those countries of origin contributing less than 0.5% </w:t>
      </w:r>
      <w:r w:rsidR="008879F1" w:rsidRPr="002662C1">
        <w:rPr>
          <w:sz w:val="24"/>
          <w:szCs w:val="24"/>
        </w:rPr>
        <w:t>of imports</w:t>
      </w:r>
      <w:r w:rsidRPr="002662C1">
        <w:rPr>
          <w:sz w:val="24"/>
          <w:szCs w:val="24"/>
        </w:rPr>
        <w:t xml:space="preserve"> to our market</w:t>
      </w:r>
    </w:p>
    <w:p w14:paraId="2654815D" w14:textId="0FAE9799" w:rsidR="002662C1" w:rsidRDefault="002662C1" w:rsidP="002662C1">
      <w:pPr>
        <w:pStyle w:val="FootnoteText"/>
        <w:rPr>
          <w:sz w:val="24"/>
          <w:szCs w:val="24"/>
        </w:rPr>
      </w:pPr>
    </w:p>
    <w:p w14:paraId="37FA80B4" w14:textId="043BA46C" w:rsidR="002662C1" w:rsidRDefault="002662C1" w:rsidP="002662C1">
      <w:pPr>
        <w:pStyle w:val="FootnoteText"/>
        <w:rPr>
          <w:sz w:val="24"/>
          <w:szCs w:val="24"/>
        </w:rPr>
      </w:pPr>
      <w:r w:rsidRPr="002662C1">
        <w:rPr>
          <w:sz w:val="24"/>
          <w:szCs w:val="24"/>
        </w:rPr>
        <w:t>Figure 1b Proportion of UK meat imports from international trade partners</w:t>
      </w:r>
    </w:p>
    <w:p w14:paraId="7F1F68B2" w14:textId="0DAD6431" w:rsidR="002662C1" w:rsidRDefault="002662C1" w:rsidP="002662C1">
      <w:pPr>
        <w:pStyle w:val="FootnoteText"/>
        <w:rPr>
          <w:sz w:val="24"/>
          <w:szCs w:val="24"/>
        </w:rPr>
      </w:pPr>
    </w:p>
    <w:p w14:paraId="4FE96D83" w14:textId="3D46D707" w:rsidR="002662C1" w:rsidRDefault="002662C1" w:rsidP="002662C1">
      <w:pPr>
        <w:pStyle w:val="FootnoteText"/>
        <w:rPr>
          <w:sz w:val="24"/>
          <w:szCs w:val="24"/>
        </w:rPr>
      </w:pPr>
      <w:r w:rsidRPr="002662C1">
        <w:rPr>
          <w:sz w:val="24"/>
          <w:szCs w:val="24"/>
        </w:rPr>
        <w:t xml:space="preserve">(Label to others on the key) *others is an aggregation of all those countries of origin contributing less than 0.5% </w:t>
      </w:r>
      <w:r w:rsidR="008879F1" w:rsidRPr="002662C1">
        <w:rPr>
          <w:sz w:val="24"/>
          <w:szCs w:val="24"/>
        </w:rPr>
        <w:t>of imports</w:t>
      </w:r>
      <w:r w:rsidRPr="002662C1">
        <w:rPr>
          <w:sz w:val="24"/>
          <w:szCs w:val="24"/>
        </w:rPr>
        <w:t xml:space="preserve"> to our market</w:t>
      </w:r>
    </w:p>
    <w:p w14:paraId="1E733341" w14:textId="24E8B36C" w:rsidR="008879F1" w:rsidRDefault="008879F1" w:rsidP="002662C1">
      <w:pPr>
        <w:pStyle w:val="FootnoteText"/>
        <w:rPr>
          <w:sz w:val="24"/>
          <w:szCs w:val="24"/>
        </w:rPr>
      </w:pPr>
    </w:p>
    <w:p w14:paraId="0E3805BD" w14:textId="42764A7F" w:rsidR="008879F1" w:rsidRPr="005800C0" w:rsidRDefault="008879F1" w:rsidP="002662C1">
      <w:pPr>
        <w:pStyle w:val="FootnoteText"/>
        <w:rPr>
          <w:sz w:val="24"/>
          <w:szCs w:val="24"/>
        </w:rPr>
      </w:pPr>
      <w:r w:rsidRPr="009128ED">
        <w:rPr>
          <w:sz w:val="24"/>
          <w:szCs w:val="24"/>
        </w:rPr>
        <w:t>Figure 2a % Share of pork sent to UK ($)</w:t>
      </w:r>
    </w:p>
    <w:p w14:paraId="4F14BE35" w14:textId="03242370" w:rsidR="008879F1" w:rsidRPr="006128A2" w:rsidRDefault="008879F1" w:rsidP="002662C1">
      <w:pPr>
        <w:pStyle w:val="FootnoteText"/>
        <w:rPr>
          <w:sz w:val="24"/>
          <w:szCs w:val="24"/>
        </w:rPr>
      </w:pPr>
    </w:p>
    <w:p w14:paraId="1C702A8D" w14:textId="6D7EAC64" w:rsidR="008879F1" w:rsidRPr="006128A2" w:rsidRDefault="008879F1" w:rsidP="002662C1">
      <w:pPr>
        <w:pStyle w:val="FootnoteText"/>
        <w:rPr>
          <w:sz w:val="24"/>
          <w:szCs w:val="24"/>
        </w:rPr>
      </w:pPr>
      <w:r w:rsidRPr="006128A2">
        <w:rPr>
          <w:sz w:val="24"/>
          <w:szCs w:val="24"/>
        </w:rPr>
        <w:t>Sub heading: EU composite total = 99.8%</w:t>
      </w:r>
    </w:p>
    <w:p w14:paraId="0E3F0063" w14:textId="222958FF" w:rsidR="008879F1" w:rsidRPr="006128A2" w:rsidRDefault="008879F1" w:rsidP="002662C1">
      <w:pPr>
        <w:pStyle w:val="FootnoteText"/>
        <w:rPr>
          <w:sz w:val="24"/>
          <w:szCs w:val="24"/>
        </w:rPr>
      </w:pPr>
    </w:p>
    <w:p w14:paraId="2747E70F" w14:textId="0BC5CCAA" w:rsidR="008879F1" w:rsidRPr="006128A2" w:rsidRDefault="008879F1" w:rsidP="002662C1">
      <w:pPr>
        <w:pStyle w:val="FootnoteText"/>
        <w:rPr>
          <w:sz w:val="24"/>
          <w:szCs w:val="24"/>
        </w:rPr>
      </w:pPr>
      <w:r w:rsidRPr="006128A2">
        <w:rPr>
          <w:sz w:val="24"/>
          <w:szCs w:val="24"/>
        </w:rPr>
        <w:t>(Label to others on the key) *others is an aggregation of all those countries of origin contributing less than 0.5% of imports to our market</w:t>
      </w:r>
    </w:p>
    <w:p w14:paraId="574B9903" w14:textId="77777777" w:rsidR="008879F1" w:rsidRPr="006128A2" w:rsidRDefault="008879F1" w:rsidP="002662C1">
      <w:pPr>
        <w:pStyle w:val="FootnoteText"/>
        <w:rPr>
          <w:sz w:val="24"/>
          <w:szCs w:val="24"/>
        </w:rPr>
      </w:pPr>
    </w:p>
    <w:p w14:paraId="4CB95B52" w14:textId="7D70ABB5" w:rsidR="008879F1" w:rsidRPr="006128A2" w:rsidRDefault="008879F1" w:rsidP="002662C1">
      <w:pPr>
        <w:pStyle w:val="FootnoteText"/>
        <w:rPr>
          <w:sz w:val="24"/>
          <w:szCs w:val="24"/>
        </w:rPr>
      </w:pPr>
      <w:r w:rsidRPr="006128A2">
        <w:rPr>
          <w:sz w:val="24"/>
          <w:szCs w:val="24"/>
        </w:rPr>
        <w:t xml:space="preserve">Figure 2b % Share of beef sent to UK ($) </w:t>
      </w:r>
    </w:p>
    <w:p w14:paraId="66784699" w14:textId="2BA47391" w:rsidR="008879F1" w:rsidRPr="006128A2" w:rsidRDefault="008879F1" w:rsidP="002662C1">
      <w:pPr>
        <w:pStyle w:val="FootnoteText"/>
        <w:rPr>
          <w:sz w:val="24"/>
          <w:szCs w:val="24"/>
        </w:rPr>
      </w:pPr>
    </w:p>
    <w:p w14:paraId="5EF24E8D" w14:textId="49326224" w:rsidR="008879F1" w:rsidRPr="006128A2" w:rsidRDefault="008879F1" w:rsidP="002662C1">
      <w:pPr>
        <w:pStyle w:val="FootnoteText"/>
        <w:rPr>
          <w:sz w:val="24"/>
          <w:szCs w:val="24"/>
        </w:rPr>
      </w:pPr>
      <w:r w:rsidRPr="006128A2">
        <w:rPr>
          <w:sz w:val="24"/>
          <w:szCs w:val="24"/>
        </w:rPr>
        <w:lastRenderedPageBreak/>
        <w:t>Sub heading: EU composite total = 86.2%</w:t>
      </w:r>
    </w:p>
    <w:p w14:paraId="1165E0B3" w14:textId="6B5654E6" w:rsidR="008879F1" w:rsidRPr="006128A2" w:rsidRDefault="008879F1" w:rsidP="002662C1">
      <w:pPr>
        <w:pStyle w:val="FootnoteText"/>
        <w:rPr>
          <w:sz w:val="24"/>
          <w:szCs w:val="24"/>
        </w:rPr>
      </w:pPr>
    </w:p>
    <w:p w14:paraId="4563406C" w14:textId="77777777" w:rsidR="008879F1" w:rsidRPr="006128A2" w:rsidRDefault="008879F1" w:rsidP="008879F1">
      <w:pPr>
        <w:pStyle w:val="FootnoteText"/>
        <w:rPr>
          <w:sz w:val="24"/>
          <w:szCs w:val="24"/>
        </w:rPr>
      </w:pPr>
      <w:r w:rsidRPr="006128A2">
        <w:rPr>
          <w:sz w:val="24"/>
          <w:szCs w:val="24"/>
        </w:rPr>
        <w:t>(Label to others on the key) *others is an aggregation of all those countries of origin contributing less than 0.5% of imports to our market</w:t>
      </w:r>
    </w:p>
    <w:p w14:paraId="6A03F649" w14:textId="77777777" w:rsidR="008879F1" w:rsidRPr="006128A2" w:rsidRDefault="008879F1" w:rsidP="002662C1">
      <w:pPr>
        <w:pStyle w:val="FootnoteText"/>
        <w:rPr>
          <w:sz w:val="24"/>
          <w:szCs w:val="24"/>
        </w:rPr>
      </w:pPr>
    </w:p>
    <w:p w14:paraId="65412C24" w14:textId="720624EB" w:rsidR="008879F1" w:rsidRPr="006128A2" w:rsidRDefault="008879F1" w:rsidP="002662C1">
      <w:pPr>
        <w:pStyle w:val="FootnoteText"/>
        <w:rPr>
          <w:sz w:val="24"/>
          <w:szCs w:val="24"/>
        </w:rPr>
      </w:pPr>
      <w:r w:rsidRPr="006128A2">
        <w:rPr>
          <w:sz w:val="24"/>
          <w:szCs w:val="24"/>
        </w:rPr>
        <w:t>Figure 2c % Share of sheep meat sent to UK ($)</w:t>
      </w:r>
    </w:p>
    <w:p w14:paraId="70C34700" w14:textId="31992D0C" w:rsidR="008879F1" w:rsidRPr="006128A2" w:rsidRDefault="008879F1" w:rsidP="002662C1">
      <w:pPr>
        <w:pStyle w:val="FootnoteText"/>
        <w:rPr>
          <w:sz w:val="24"/>
          <w:szCs w:val="24"/>
        </w:rPr>
      </w:pPr>
    </w:p>
    <w:p w14:paraId="5C61F41C" w14:textId="531386B9" w:rsidR="008879F1" w:rsidRPr="006128A2" w:rsidRDefault="008879F1" w:rsidP="002662C1">
      <w:pPr>
        <w:pStyle w:val="FootnoteText"/>
        <w:rPr>
          <w:sz w:val="24"/>
          <w:szCs w:val="24"/>
        </w:rPr>
      </w:pPr>
      <w:r w:rsidRPr="006128A2">
        <w:rPr>
          <w:sz w:val="24"/>
          <w:szCs w:val="24"/>
        </w:rPr>
        <w:t>Sub heading: EU composite total = 11.1%</w:t>
      </w:r>
    </w:p>
    <w:p w14:paraId="2F243FB3" w14:textId="38616CC9" w:rsidR="008879F1" w:rsidRPr="006128A2" w:rsidRDefault="008879F1" w:rsidP="002662C1">
      <w:pPr>
        <w:pStyle w:val="FootnoteText"/>
        <w:rPr>
          <w:sz w:val="24"/>
          <w:szCs w:val="24"/>
        </w:rPr>
      </w:pPr>
    </w:p>
    <w:p w14:paraId="0C9735B0" w14:textId="2E7251A9" w:rsidR="008879F1" w:rsidRPr="006128A2" w:rsidRDefault="008879F1" w:rsidP="002662C1">
      <w:pPr>
        <w:pStyle w:val="FootnoteText"/>
        <w:rPr>
          <w:sz w:val="24"/>
          <w:szCs w:val="24"/>
        </w:rPr>
      </w:pPr>
      <w:r w:rsidRPr="006128A2">
        <w:rPr>
          <w:sz w:val="24"/>
          <w:szCs w:val="24"/>
        </w:rPr>
        <w:t>(Label to others on the key) *others is an aggregation of all those countries of origin contributing less than 0.5% of imports to our market</w:t>
      </w:r>
    </w:p>
    <w:p w14:paraId="65149C0D" w14:textId="13D00BE3" w:rsidR="008879F1" w:rsidRPr="006128A2" w:rsidRDefault="008879F1" w:rsidP="002662C1">
      <w:pPr>
        <w:pStyle w:val="FootnoteText"/>
        <w:rPr>
          <w:sz w:val="24"/>
          <w:szCs w:val="24"/>
        </w:rPr>
      </w:pPr>
    </w:p>
    <w:p w14:paraId="2F64ACFA" w14:textId="74F44092" w:rsidR="008879F1" w:rsidRPr="006128A2" w:rsidRDefault="008879F1" w:rsidP="002662C1">
      <w:pPr>
        <w:pStyle w:val="FootnoteText"/>
        <w:rPr>
          <w:sz w:val="24"/>
          <w:szCs w:val="24"/>
        </w:rPr>
      </w:pPr>
      <w:r w:rsidRPr="006128A2">
        <w:rPr>
          <w:sz w:val="24"/>
          <w:szCs w:val="24"/>
        </w:rPr>
        <w:t>Figure 2d % Share of poultry sent to UK ($)</w:t>
      </w:r>
    </w:p>
    <w:p w14:paraId="595E06B7" w14:textId="53B7E587" w:rsidR="008879F1" w:rsidRPr="006128A2" w:rsidRDefault="008879F1" w:rsidP="002662C1">
      <w:pPr>
        <w:pStyle w:val="FootnoteText"/>
        <w:rPr>
          <w:sz w:val="24"/>
          <w:szCs w:val="24"/>
        </w:rPr>
      </w:pPr>
    </w:p>
    <w:p w14:paraId="50ED44C2" w14:textId="44EDC2B8" w:rsidR="008879F1" w:rsidRPr="006128A2" w:rsidRDefault="008879F1" w:rsidP="002662C1">
      <w:pPr>
        <w:pStyle w:val="FootnoteText"/>
        <w:rPr>
          <w:sz w:val="24"/>
          <w:szCs w:val="24"/>
        </w:rPr>
      </w:pPr>
      <w:r w:rsidRPr="006128A2">
        <w:rPr>
          <w:sz w:val="24"/>
          <w:szCs w:val="24"/>
        </w:rPr>
        <w:t>Sub heading:  EU composite total = 95.5%</w:t>
      </w:r>
    </w:p>
    <w:p w14:paraId="7053D97E" w14:textId="43C1FE64" w:rsidR="008879F1" w:rsidRPr="006128A2" w:rsidRDefault="008879F1" w:rsidP="002662C1">
      <w:pPr>
        <w:pStyle w:val="FootnoteText"/>
        <w:rPr>
          <w:sz w:val="24"/>
          <w:szCs w:val="24"/>
        </w:rPr>
      </w:pPr>
    </w:p>
    <w:p w14:paraId="04492A55" w14:textId="6C320D03" w:rsidR="008879F1" w:rsidRDefault="008879F1" w:rsidP="002662C1">
      <w:pPr>
        <w:pStyle w:val="FootnoteText"/>
        <w:rPr>
          <w:sz w:val="24"/>
          <w:szCs w:val="24"/>
        </w:rPr>
      </w:pPr>
      <w:r w:rsidRPr="006128A2">
        <w:rPr>
          <w:sz w:val="24"/>
          <w:szCs w:val="24"/>
        </w:rPr>
        <w:t>(Label to others on the key) *others is an aggregation of all those countries of origin contributing less than 0.5% of imports to our market</w:t>
      </w:r>
    </w:p>
    <w:p w14:paraId="572A19DC" w14:textId="17CF148B" w:rsidR="008879F1" w:rsidRDefault="008879F1" w:rsidP="002662C1">
      <w:pPr>
        <w:pStyle w:val="FootnoteText"/>
        <w:rPr>
          <w:sz w:val="24"/>
          <w:szCs w:val="24"/>
        </w:rPr>
      </w:pPr>
    </w:p>
    <w:p w14:paraId="7E53C513" w14:textId="7CB9879F" w:rsidR="008879F1" w:rsidRDefault="008879F1" w:rsidP="002662C1">
      <w:pPr>
        <w:pStyle w:val="FootnoteText"/>
        <w:rPr>
          <w:sz w:val="24"/>
          <w:szCs w:val="24"/>
        </w:rPr>
      </w:pPr>
      <w:r>
        <w:rPr>
          <w:sz w:val="24"/>
          <w:szCs w:val="24"/>
        </w:rPr>
        <w:t xml:space="preserve">Figure 3a </w:t>
      </w:r>
      <w:r w:rsidRPr="008879F1">
        <w:rPr>
          <w:sz w:val="24"/>
          <w:szCs w:val="24"/>
        </w:rPr>
        <w:t>Major flows of meat imported to the UK from EU member states as a share of the exporters total exports of a similar kind and secondly as a share of the UK's total imports of that meat importer for demand to the importer's dependence on the exporter for supply</w:t>
      </w:r>
    </w:p>
    <w:p w14:paraId="61FF0999" w14:textId="76B1BF41" w:rsidR="008879F1" w:rsidRDefault="008879F1" w:rsidP="002662C1">
      <w:pPr>
        <w:pStyle w:val="FootnoteText"/>
        <w:rPr>
          <w:sz w:val="24"/>
          <w:szCs w:val="24"/>
        </w:rPr>
      </w:pPr>
    </w:p>
    <w:p w14:paraId="1C03155B" w14:textId="7AFB8A51" w:rsidR="008879F1" w:rsidRDefault="008879F1" w:rsidP="002662C1">
      <w:pPr>
        <w:pStyle w:val="FootnoteText"/>
        <w:rPr>
          <w:sz w:val="24"/>
          <w:szCs w:val="24"/>
        </w:rPr>
      </w:pPr>
      <w:r>
        <w:rPr>
          <w:sz w:val="24"/>
          <w:szCs w:val="24"/>
        </w:rPr>
        <w:t xml:space="preserve">Figure 3b </w:t>
      </w:r>
      <w:r w:rsidRPr="008879F1">
        <w:rPr>
          <w:sz w:val="24"/>
          <w:szCs w:val="24"/>
        </w:rPr>
        <w:t>Comparison of the UK's current importation of each type of meat from the EU with the total amount exported by QUAD countries to countries other than the UK</w:t>
      </w:r>
    </w:p>
    <w:p w14:paraId="1EF64375" w14:textId="58CD4A5C" w:rsidR="008879F1" w:rsidRDefault="008879F1" w:rsidP="002662C1">
      <w:pPr>
        <w:pStyle w:val="FootnoteText"/>
        <w:rPr>
          <w:sz w:val="24"/>
          <w:szCs w:val="24"/>
        </w:rPr>
      </w:pPr>
    </w:p>
    <w:p w14:paraId="553C4657" w14:textId="2A273EA7" w:rsidR="008879F1" w:rsidRDefault="009128ED" w:rsidP="002662C1">
      <w:pPr>
        <w:pStyle w:val="FootnoteText"/>
        <w:rPr>
          <w:sz w:val="24"/>
          <w:szCs w:val="24"/>
        </w:rPr>
      </w:pPr>
      <w:r w:rsidRPr="009128ED">
        <w:rPr>
          <w:sz w:val="24"/>
          <w:szCs w:val="24"/>
        </w:rPr>
        <w:t>Figure 4a Non-EU sources of Dutch Beef Imports ($)</w:t>
      </w:r>
      <w:r w:rsidRPr="009128ED" w:rsidDel="009128ED">
        <w:rPr>
          <w:sz w:val="24"/>
          <w:szCs w:val="24"/>
        </w:rPr>
        <w:t xml:space="preserve"> </w:t>
      </w:r>
    </w:p>
    <w:p w14:paraId="3E9B63CF" w14:textId="77777777" w:rsidR="009128ED" w:rsidRDefault="009128ED" w:rsidP="002662C1">
      <w:pPr>
        <w:pStyle w:val="FootnoteText"/>
        <w:rPr>
          <w:sz w:val="24"/>
          <w:szCs w:val="24"/>
        </w:rPr>
      </w:pPr>
    </w:p>
    <w:p w14:paraId="69F38228" w14:textId="1DE45EFC" w:rsidR="008879F1" w:rsidRDefault="009128ED" w:rsidP="002662C1">
      <w:pPr>
        <w:pStyle w:val="FootnoteText"/>
        <w:rPr>
          <w:sz w:val="24"/>
          <w:szCs w:val="24"/>
        </w:rPr>
      </w:pPr>
      <w:r w:rsidRPr="009128ED">
        <w:rPr>
          <w:sz w:val="24"/>
          <w:szCs w:val="24"/>
        </w:rPr>
        <w:t>Figure 4b Non-EU sources of Dutch Poultry Imports ($)</w:t>
      </w:r>
      <w:r w:rsidRPr="009128ED" w:rsidDel="009128ED">
        <w:rPr>
          <w:sz w:val="24"/>
          <w:szCs w:val="24"/>
        </w:rPr>
        <w:t xml:space="preserve"> </w:t>
      </w:r>
    </w:p>
    <w:p w14:paraId="5D1CBE70" w14:textId="77777777" w:rsidR="009128ED" w:rsidRDefault="009128ED" w:rsidP="002662C1">
      <w:pPr>
        <w:pStyle w:val="FootnoteText"/>
        <w:rPr>
          <w:sz w:val="24"/>
          <w:szCs w:val="24"/>
        </w:rPr>
      </w:pPr>
    </w:p>
    <w:p w14:paraId="15AE24DD" w14:textId="07DA0B9B" w:rsidR="008879F1" w:rsidRPr="002662C1" w:rsidRDefault="008879F1" w:rsidP="002662C1">
      <w:pPr>
        <w:pStyle w:val="FootnoteText"/>
        <w:rPr>
          <w:sz w:val="24"/>
          <w:szCs w:val="24"/>
        </w:rPr>
      </w:pPr>
      <w:r>
        <w:rPr>
          <w:sz w:val="24"/>
          <w:szCs w:val="24"/>
        </w:rPr>
        <w:t xml:space="preserve">Figure 5 </w:t>
      </w:r>
      <w:r w:rsidR="005F4501" w:rsidRPr="005F4501">
        <w:rPr>
          <w:sz w:val="24"/>
          <w:szCs w:val="24"/>
        </w:rPr>
        <w:t>Total value of selected products from selected no</w:t>
      </w:r>
      <w:r w:rsidR="009128ED">
        <w:rPr>
          <w:sz w:val="24"/>
          <w:szCs w:val="24"/>
        </w:rPr>
        <w:t>n</w:t>
      </w:r>
      <w:r w:rsidR="005F4501" w:rsidRPr="005F4501">
        <w:rPr>
          <w:sz w:val="24"/>
          <w:szCs w:val="24"/>
        </w:rPr>
        <w:t>-EU countries export currently offering major sources of meat products for Dutch importation compared to the value of the product the UK imports from the EU. The graph is intended to see whether a particular country has the export capacity to replace the EU as a major trading partner following Brexit</w:t>
      </w:r>
    </w:p>
    <w:sectPr w:rsidR="008879F1" w:rsidRPr="002662C1" w:rsidSect="00F97C59">
      <w:pgSz w:w="11900" w:h="16840"/>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8D598" w14:textId="77777777" w:rsidR="004E01D7" w:rsidRDefault="004E01D7" w:rsidP="00F30F43">
      <w:r>
        <w:separator/>
      </w:r>
    </w:p>
  </w:endnote>
  <w:endnote w:type="continuationSeparator" w:id="0">
    <w:p w14:paraId="0466F08F" w14:textId="77777777" w:rsidR="004E01D7" w:rsidRDefault="004E01D7" w:rsidP="00F3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560BF" w14:textId="77777777" w:rsidR="004E01D7" w:rsidRDefault="004E01D7" w:rsidP="00F30F43">
      <w:r>
        <w:separator/>
      </w:r>
    </w:p>
  </w:footnote>
  <w:footnote w:type="continuationSeparator" w:id="0">
    <w:p w14:paraId="1ED27AB4" w14:textId="77777777" w:rsidR="004E01D7" w:rsidRDefault="004E01D7" w:rsidP="00F30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F69D2"/>
    <w:multiLevelType w:val="multilevel"/>
    <w:tmpl w:val="E9F63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0A6D4C"/>
    <w:multiLevelType w:val="hybridMultilevel"/>
    <w:tmpl w:val="A096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BB662A"/>
    <w:multiLevelType w:val="hybridMultilevel"/>
    <w:tmpl w:val="ECF61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3E"/>
    <w:rsid w:val="0000634D"/>
    <w:rsid w:val="000114EE"/>
    <w:rsid w:val="00035C51"/>
    <w:rsid w:val="0003601D"/>
    <w:rsid w:val="00053EAC"/>
    <w:rsid w:val="00054B7F"/>
    <w:rsid w:val="000623AF"/>
    <w:rsid w:val="000750DF"/>
    <w:rsid w:val="000F0ED1"/>
    <w:rsid w:val="000F2A45"/>
    <w:rsid w:val="000F52D6"/>
    <w:rsid w:val="001078F3"/>
    <w:rsid w:val="0011461D"/>
    <w:rsid w:val="00116BCF"/>
    <w:rsid w:val="001351E3"/>
    <w:rsid w:val="0016005C"/>
    <w:rsid w:val="001600AC"/>
    <w:rsid w:val="00163FF8"/>
    <w:rsid w:val="00183600"/>
    <w:rsid w:val="001A23BB"/>
    <w:rsid w:val="001B2E43"/>
    <w:rsid w:val="001C1FE3"/>
    <w:rsid w:val="001C5794"/>
    <w:rsid w:val="001C75D4"/>
    <w:rsid w:val="002057ED"/>
    <w:rsid w:val="00234437"/>
    <w:rsid w:val="00244FAA"/>
    <w:rsid w:val="002472E2"/>
    <w:rsid w:val="00262E5A"/>
    <w:rsid w:val="00265D09"/>
    <w:rsid w:val="002662C1"/>
    <w:rsid w:val="0028343F"/>
    <w:rsid w:val="00293E7D"/>
    <w:rsid w:val="002B1142"/>
    <w:rsid w:val="002B3359"/>
    <w:rsid w:val="002B55D3"/>
    <w:rsid w:val="002D2CD4"/>
    <w:rsid w:val="002E120B"/>
    <w:rsid w:val="002E51F1"/>
    <w:rsid w:val="00301234"/>
    <w:rsid w:val="00301DFF"/>
    <w:rsid w:val="00317B7F"/>
    <w:rsid w:val="00337254"/>
    <w:rsid w:val="00362163"/>
    <w:rsid w:val="00387354"/>
    <w:rsid w:val="0039304B"/>
    <w:rsid w:val="003A1A72"/>
    <w:rsid w:val="003A299C"/>
    <w:rsid w:val="003C7313"/>
    <w:rsid w:val="003F678D"/>
    <w:rsid w:val="00405483"/>
    <w:rsid w:val="00447AF5"/>
    <w:rsid w:val="0045008E"/>
    <w:rsid w:val="00476415"/>
    <w:rsid w:val="004921FF"/>
    <w:rsid w:val="00492436"/>
    <w:rsid w:val="004A08D8"/>
    <w:rsid w:val="004B1329"/>
    <w:rsid w:val="004B573F"/>
    <w:rsid w:val="004E01D7"/>
    <w:rsid w:val="004E27F3"/>
    <w:rsid w:val="0051225C"/>
    <w:rsid w:val="00514E06"/>
    <w:rsid w:val="00517E89"/>
    <w:rsid w:val="00522A36"/>
    <w:rsid w:val="0052713C"/>
    <w:rsid w:val="00540E2F"/>
    <w:rsid w:val="005456F9"/>
    <w:rsid w:val="005712FB"/>
    <w:rsid w:val="00572E22"/>
    <w:rsid w:val="005800C0"/>
    <w:rsid w:val="005A219F"/>
    <w:rsid w:val="005B0C4F"/>
    <w:rsid w:val="005C79D2"/>
    <w:rsid w:val="005F4501"/>
    <w:rsid w:val="00610BE3"/>
    <w:rsid w:val="00611F34"/>
    <w:rsid w:val="006128A2"/>
    <w:rsid w:val="006251B3"/>
    <w:rsid w:val="00626768"/>
    <w:rsid w:val="00632159"/>
    <w:rsid w:val="00634841"/>
    <w:rsid w:val="00636448"/>
    <w:rsid w:val="00662C24"/>
    <w:rsid w:val="00670D4F"/>
    <w:rsid w:val="00683FA3"/>
    <w:rsid w:val="00684FD4"/>
    <w:rsid w:val="006B7DC6"/>
    <w:rsid w:val="006C2E57"/>
    <w:rsid w:val="006C63A1"/>
    <w:rsid w:val="00713298"/>
    <w:rsid w:val="00726FC9"/>
    <w:rsid w:val="007270E2"/>
    <w:rsid w:val="00784576"/>
    <w:rsid w:val="0078701B"/>
    <w:rsid w:val="007B7640"/>
    <w:rsid w:val="007D7720"/>
    <w:rsid w:val="007E1430"/>
    <w:rsid w:val="007E5680"/>
    <w:rsid w:val="007F73FD"/>
    <w:rsid w:val="008257E4"/>
    <w:rsid w:val="0083224F"/>
    <w:rsid w:val="00837792"/>
    <w:rsid w:val="00842668"/>
    <w:rsid w:val="00847D13"/>
    <w:rsid w:val="008634AE"/>
    <w:rsid w:val="008678AC"/>
    <w:rsid w:val="008700D6"/>
    <w:rsid w:val="00876D0F"/>
    <w:rsid w:val="00880C43"/>
    <w:rsid w:val="008879F1"/>
    <w:rsid w:val="008A3A7D"/>
    <w:rsid w:val="008B3467"/>
    <w:rsid w:val="008C3D8E"/>
    <w:rsid w:val="008D223B"/>
    <w:rsid w:val="0090736F"/>
    <w:rsid w:val="009128ED"/>
    <w:rsid w:val="009477AF"/>
    <w:rsid w:val="009B5ED3"/>
    <w:rsid w:val="009C26B0"/>
    <w:rsid w:val="009C4049"/>
    <w:rsid w:val="009E09C7"/>
    <w:rsid w:val="009E183D"/>
    <w:rsid w:val="009E4161"/>
    <w:rsid w:val="009F4C65"/>
    <w:rsid w:val="009F69FA"/>
    <w:rsid w:val="00A11DF6"/>
    <w:rsid w:val="00A50047"/>
    <w:rsid w:val="00AA3029"/>
    <w:rsid w:val="00AD39C4"/>
    <w:rsid w:val="00AF15BA"/>
    <w:rsid w:val="00B73904"/>
    <w:rsid w:val="00B769CA"/>
    <w:rsid w:val="00BA3BB6"/>
    <w:rsid w:val="00BC3390"/>
    <w:rsid w:val="00BD05F8"/>
    <w:rsid w:val="00BF56E0"/>
    <w:rsid w:val="00C02B4E"/>
    <w:rsid w:val="00C17DFF"/>
    <w:rsid w:val="00C2140E"/>
    <w:rsid w:val="00C2245F"/>
    <w:rsid w:val="00C621B9"/>
    <w:rsid w:val="00C6518F"/>
    <w:rsid w:val="00C737E2"/>
    <w:rsid w:val="00CA54B7"/>
    <w:rsid w:val="00CA7EB8"/>
    <w:rsid w:val="00D13353"/>
    <w:rsid w:val="00D22A3F"/>
    <w:rsid w:val="00D26E16"/>
    <w:rsid w:val="00D377E5"/>
    <w:rsid w:val="00D40DA7"/>
    <w:rsid w:val="00D536E1"/>
    <w:rsid w:val="00D611E6"/>
    <w:rsid w:val="00D80F3B"/>
    <w:rsid w:val="00D94F9F"/>
    <w:rsid w:val="00DB51DE"/>
    <w:rsid w:val="00DC56F4"/>
    <w:rsid w:val="00DD2B3E"/>
    <w:rsid w:val="00DD34BB"/>
    <w:rsid w:val="00DF2BA7"/>
    <w:rsid w:val="00DF5D5B"/>
    <w:rsid w:val="00E308A9"/>
    <w:rsid w:val="00E35CA7"/>
    <w:rsid w:val="00E57C61"/>
    <w:rsid w:val="00E823C4"/>
    <w:rsid w:val="00EC42F8"/>
    <w:rsid w:val="00F10FB4"/>
    <w:rsid w:val="00F10FD9"/>
    <w:rsid w:val="00F30F43"/>
    <w:rsid w:val="00F5322D"/>
    <w:rsid w:val="00F54593"/>
    <w:rsid w:val="00F623E9"/>
    <w:rsid w:val="00F64623"/>
    <w:rsid w:val="00F77553"/>
    <w:rsid w:val="00F77BC9"/>
    <w:rsid w:val="00F95C08"/>
    <w:rsid w:val="00F97C59"/>
    <w:rsid w:val="00FA0EAB"/>
    <w:rsid w:val="00FA5DAF"/>
    <w:rsid w:val="00FB5EBA"/>
    <w:rsid w:val="00FC2785"/>
    <w:rsid w:val="00FC5757"/>
    <w:rsid w:val="00FC7ED6"/>
    <w:rsid w:val="00FE43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DFF05A"/>
  <w14:defaultImageDpi w14:val="300"/>
  <w15:docId w15:val="{232A8D6B-6D24-463F-BD33-F5EC726C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7E8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F43"/>
    <w:rPr>
      <w:rFonts w:eastAsiaTheme="minorHAnsi"/>
      <w:sz w:val="20"/>
      <w:szCs w:val="20"/>
    </w:rPr>
  </w:style>
  <w:style w:type="character" w:customStyle="1" w:styleId="FootnoteTextChar">
    <w:name w:val="Footnote Text Char"/>
    <w:basedOn w:val="DefaultParagraphFont"/>
    <w:link w:val="FootnoteText"/>
    <w:uiPriority w:val="99"/>
    <w:rsid w:val="00F30F43"/>
    <w:rPr>
      <w:rFonts w:eastAsiaTheme="minorHAnsi"/>
      <w:sz w:val="20"/>
      <w:szCs w:val="20"/>
    </w:rPr>
  </w:style>
  <w:style w:type="character" w:styleId="FootnoteReference">
    <w:name w:val="footnote reference"/>
    <w:basedOn w:val="DefaultParagraphFont"/>
    <w:uiPriority w:val="99"/>
    <w:semiHidden/>
    <w:unhideWhenUsed/>
    <w:rsid w:val="00F30F43"/>
    <w:rPr>
      <w:vertAlign w:val="superscript"/>
    </w:rPr>
  </w:style>
  <w:style w:type="character" w:styleId="Hyperlink">
    <w:name w:val="Hyperlink"/>
    <w:basedOn w:val="DefaultParagraphFont"/>
    <w:uiPriority w:val="99"/>
    <w:unhideWhenUsed/>
    <w:rsid w:val="00F30F43"/>
    <w:rPr>
      <w:color w:val="0000FF" w:themeColor="hyperlink"/>
      <w:u w:val="single"/>
    </w:rPr>
  </w:style>
  <w:style w:type="character" w:styleId="CommentReference">
    <w:name w:val="annotation reference"/>
    <w:basedOn w:val="DefaultParagraphFont"/>
    <w:uiPriority w:val="99"/>
    <w:semiHidden/>
    <w:unhideWhenUsed/>
    <w:rsid w:val="00265D09"/>
    <w:rPr>
      <w:sz w:val="18"/>
      <w:szCs w:val="18"/>
    </w:rPr>
  </w:style>
  <w:style w:type="paragraph" w:styleId="CommentText">
    <w:name w:val="annotation text"/>
    <w:basedOn w:val="Normal"/>
    <w:link w:val="CommentTextChar"/>
    <w:uiPriority w:val="99"/>
    <w:semiHidden/>
    <w:unhideWhenUsed/>
    <w:rsid w:val="00265D09"/>
  </w:style>
  <w:style w:type="character" w:customStyle="1" w:styleId="CommentTextChar">
    <w:name w:val="Comment Text Char"/>
    <w:basedOn w:val="DefaultParagraphFont"/>
    <w:link w:val="CommentText"/>
    <w:uiPriority w:val="99"/>
    <w:semiHidden/>
    <w:rsid w:val="00265D09"/>
  </w:style>
  <w:style w:type="paragraph" w:styleId="CommentSubject">
    <w:name w:val="annotation subject"/>
    <w:basedOn w:val="CommentText"/>
    <w:next w:val="CommentText"/>
    <w:link w:val="CommentSubjectChar"/>
    <w:uiPriority w:val="99"/>
    <w:semiHidden/>
    <w:unhideWhenUsed/>
    <w:rsid w:val="00265D09"/>
    <w:rPr>
      <w:b/>
      <w:bCs/>
      <w:sz w:val="20"/>
      <w:szCs w:val="20"/>
    </w:rPr>
  </w:style>
  <w:style w:type="character" w:customStyle="1" w:styleId="CommentSubjectChar">
    <w:name w:val="Comment Subject Char"/>
    <w:basedOn w:val="CommentTextChar"/>
    <w:link w:val="CommentSubject"/>
    <w:uiPriority w:val="99"/>
    <w:semiHidden/>
    <w:rsid w:val="00265D09"/>
    <w:rPr>
      <w:b/>
      <w:bCs/>
      <w:sz w:val="20"/>
      <w:szCs w:val="20"/>
    </w:rPr>
  </w:style>
  <w:style w:type="paragraph" w:styleId="BalloonText">
    <w:name w:val="Balloon Text"/>
    <w:basedOn w:val="Normal"/>
    <w:link w:val="BalloonTextChar"/>
    <w:uiPriority w:val="99"/>
    <w:semiHidden/>
    <w:unhideWhenUsed/>
    <w:rsid w:val="00265D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5D09"/>
    <w:rPr>
      <w:rFonts w:ascii="Lucida Grande" w:hAnsi="Lucida Grande" w:cs="Lucida Grande"/>
      <w:sz w:val="18"/>
      <w:szCs w:val="18"/>
    </w:rPr>
  </w:style>
  <w:style w:type="paragraph" w:styleId="NormalWeb">
    <w:name w:val="Normal (Web)"/>
    <w:basedOn w:val="Normal"/>
    <w:uiPriority w:val="99"/>
    <w:semiHidden/>
    <w:unhideWhenUsed/>
    <w:rsid w:val="001B2E43"/>
    <w:rPr>
      <w:rFonts w:ascii="Times New Roman" w:hAnsi="Times New Roman" w:cs="Times New Roman"/>
    </w:rPr>
  </w:style>
  <w:style w:type="character" w:customStyle="1" w:styleId="Heading1Char">
    <w:name w:val="Heading 1 Char"/>
    <w:basedOn w:val="DefaultParagraphFont"/>
    <w:link w:val="Heading1"/>
    <w:uiPriority w:val="9"/>
    <w:rsid w:val="00517E89"/>
    <w:rPr>
      <w:rFonts w:asciiTheme="majorHAnsi" w:eastAsiaTheme="majorEastAsia" w:hAnsiTheme="majorHAnsi" w:cstheme="majorBidi"/>
      <w:b/>
      <w:bCs/>
      <w:color w:val="345A8A" w:themeColor="accent1" w:themeShade="B5"/>
      <w:sz w:val="32"/>
      <w:szCs w:val="32"/>
    </w:rPr>
  </w:style>
  <w:style w:type="character" w:customStyle="1" w:styleId="apple-converted-space">
    <w:name w:val="apple-converted-space"/>
    <w:basedOn w:val="DefaultParagraphFont"/>
    <w:rsid w:val="00713298"/>
  </w:style>
  <w:style w:type="paragraph" w:styleId="Header">
    <w:name w:val="header"/>
    <w:basedOn w:val="Normal"/>
    <w:link w:val="HeaderChar"/>
    <w:uiPriority w:val="99"/>
    <w:unhideWhenUsed/>
    <w:rsid w:val="00514E06"/>
    <w:pPr>
      <w:tabs>
        <w:tab w:val="center" w:pos="4513"/>
        <w:tab w:val="right" w:pos="9026"/>
      </w:tabs>
    </w:pPr>
  </w:style>
  <w:style w:type="character" w:customStyle="1" w:styleId="HeaderChar">
    <w:name w:val="Header Char"/>
    <w:basedOn w:val="DefaultParagraphFont"/>
    <w:link w:val="Header"/>
    <w:uiPriority w:val="99"/>
    <w:rsid w:val="00514E06"/>
  </w:style>
  <w:style w:type="paragraph" w:styleId="Footer">
    <w:name w:val="footer"/>
    <w:basedOn w:val="Normal"/>
    <w:link w:val="FooterChar"/>
    <w:uiPriority w:val="99"/>
    <w:unhideWhenUsed/>
    <w:rsid w:val="00514E06"/>
    <w:pPr>
      <w:tabs>
        <w:tab w:val="center" w:pos="4513"/>
        <w:tab w:val="right" w:pos="9026"/>
      </w:tabs>
    </w:pPr>
  </w:style>
  <w:style w:type="character" w:customStyle="1" w:styleId="FooterChar">
    <w:name w:val="Footer Char"/>
    <w:basedOn w:val="DefaultParagraphFont"/>
    <w:link w:val="Footer"/>
    <w:uiPriority w:val="99"/>
    <w:rsid w:val="00514E06"/>
  </w:style>
  <w:style w:type="character" w:styleId="FollowedHyperlink">
    <w:name w:val="FollowedHyperlink"/>
    <w:basedOn w:val="DefaultParagraphFont"/>
    <w:uiPriority w:val="99"/>
    <w:semiHidden/>
    <w:unhideWhenUsed/>
    <w:rsid w:val="00FA5DAF"/>
    <w:rPr>
      <w:color w:val="800080" w:themeColor="followedHyperlink"/>
      <w:u w:val="single"/>
    </w:rPr>
  </w:style>
  <w:style w:type="paragraph" w:styleId="ListParagraph">
    <w:name w:val="List Paragraph"/>
    <w:basedOn w:val="Normal"/>
    <w:uiPriority w:val="34"/>
    <w:qFormat/>
    <w:rsid w:val="002472E2"/>
    <w:pPr>
      <w:ind w:left="720"/>
      <w:contextualSpacing/>
    </w:pPr>
  </w:style>
  <w:style w:type="paragraph" w:styleId="Revision">
    <w:name w:val="Revision"/>
    <w:hidden/>
    <w:uiPriority w:val="99"/>
    <w:semiHidden/>
    <w:rsid w:val="0003601D"/>
  </w:style>
  <w:style w:type="character" w:customStyle="1" w:styleId="current-selection">
    <w:name w:val="current-selection"/>
    <w:basedOn w:val="DefaultParagraphFont"/>
    <w:rsid w:val="00C02B4E"/>
  </w:style>
  <w:style w:type="paragraph" w:customStyle="1" w:styleId="Default">
    <w:name w:val="Default"/>
    <w:rsid w:val="008C3D8E"/>
    <w:pPr>
      <w:autoSpaceDE w:val="0"/>
      <w:autoSpaceDN w:val="0"/>
      <w:adjustRightInd w:val="0"/>
    </w:pPr>
    <w:rPr>
      <w:rFonts w:ascii="Times New Roman" w:hAnsi="Times New Roman" w:cs="Times New Roman"/>
      <w:color w:val="000000"/>
    </w:rPr>
  </w:style>
  <w:style w:type="character" w:styleId="LineNumber">
    <w:name w:val="line number"/>
    <w:basedOn w:val="DefaultParagraphFont"/>
    <w:uiPriority w:val="99"/>
    <w:semiHidden/>
    <w:unhideWhenUsed/>
    <w:rsid w:val="0016005C"/>
  </w:style>
  <w:style w:type="character" w:customStyle="1" w:styleId="UnresolvedMention">
    <w:name w:val="Unresolved Mention"/>
    <w:basedOn w:val="DefaultParagraphFont"/>
    <w:uiPriority w:val="99"/>
    <w:semiHidden/>
    <w:unhideWhenUsed/>
    <w:rsid w:val="00011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2110">
      <w:bodyDiv w:val="1"/>
      <w:marLeft w:val="0"/>
      <w:marRight w:val="0"/>
      <w:marTop w:val="0"/>
      <w:marBottom w:val="0"/>
      <w:divBdr>
        <w:top w:val="none" w:sz="0" w:space="0" w:color="auto"/>
        <w:left w:val="none" w:sz="0" w:space="0" w:color="auto"/>
        <w:bottom w:val="none" w:sz="0" w:space="0" w:color="auto"/>
        <w:right w:val="none" w:sz="0" w:space="0" w:color="auto"/>
      </w:divBdr>
      <w:divsChild>
        <w:div w:id="277373028">
          <w:marLeft w:val="0"/>
          <w:marRight w:val="0"/>
          <w:marTop w:val="0"/>
          <w:marBottom w:val="0"/>
          <w:divBdr>
            <w:top w:val="none" w:sz="0" w:space="0" w:color="auto"/>
            <w:left w:val="none" w:sz="0" w:space="0" w:color="auto"/>
            <w:bottom w:val="none" w:sz="0" w:space="0" w:color="auto"/>
            <w:right w:val="none" w:sz="0" w:space="0" w:color="auto"/>
          </w:divBdr>
          <w:divsChild>
            <w:div w:id="1932158870">
              <w:marLeft w:val="0"/>
              <w:marRight w:val="0"/>
              <w:marTop w:val="0"/>
              <w:marBottom w:val="0"/>
              <w:divBdr>
                <w:top w:val="none" w:sz="0" w:space="0" w:color="auto"/>
                <w:left w:val="none" w:sz="0" w:space="0" w:color="auto"/>
                <w:bottom w:val="none" w:sz="0" w:space="0" w:color="auto"/>
                <w:right w:val="none" w:sz="0" w:space="0" w:color="auto"/>
              </w:divBdr>
              <w:divsChild>
                <w:div w:id="4579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0491">
      <w:bodyDiv w:val="1"/>
      <w:marLeft w:val="0"/>
      <w:marRight w:val="0"/>
      <w:marTop w:val="0"/>
      <w:marBottom w:val="0"/>
      <w:divBdr>
        <w:top w:val="none" w:sz="0" w:space="0" w:color="auto"/>
        <w:left w:val="none" w:sz="0" w:space="0" w:color="auto"/>
        <w:bottom w:val="none" w:sz="0" w:space="0" w:color="auto"/>
        <w:right w:val="none" w:sz="0" w:space="0" w:color="auto"/>
      </w:divBdr>
    </w:div>
    <w:div w:id="242645626">
      <w:bodyDiv w:val="1"/>
      <w:marLeft w:val="0"/>
      <w:marRight w:val="0"/>
      <w:marTop w:val="0"/>
      <w:marBottom w:val="0"/>
      <w:divBdr>
        <w:top w:val="none" w:sz="0" w:space="0" w:color="auto"/>
        <w:left w:val="none" w:sz="0" w:space="0" w:color="auto"/>
        <w:bottom w:val="none" w:sz="0" w:space="0" w:color="auto"/>
        <w:right w:val="none" w:sz="0" w:space="0" w:color="auto"/>
      </w:divBdr>
    </w:div>
    <w:div w:id="265625287">
      <w:bodyDiv w:val="1"/>
      <w:marLeft w:val="0"/>
      <w:marRight w:val="0"/>
      <w:marTop w:val="0"/>
      <w:marBottom w:val="0"/>
      <w:divBdr>
        <w:top w:val="none" w:sz="0" w:space="0" w:color="auto"/>
        <w:left w:val="none" w:sz="0" w:space="0" w:color="auto"/>
        <w:bottom w:val="none" w:sz="0" w:space="0" w:color="auto"/>
        <w:right w:val="none" w:sz="0" w:space="0" w:color="auto"/>
      </w:divBdr>
      <w:divsChild>
        <w:div w:id="1354647254">
          <w:marLeft w:val="0"/>
          <w:marRight w:val="0"/>
          <w:marTop w:val="0"/>
          <w:marBottom w:val="0"/>
          <w:divBdr>
            <w:top w:val="none" w:sz="0" w:space="0" w:color="auto"/>
            <w:left w:val="none" w:sz="0" w:space="0" w:color="auto"/>
            <w:bottom w:val="none" w:sz="0" w:space="0" w:color="auto"/>
            <w:right w:val="none" w:sz="0" w:space="0" w:color="auto"/>
          </w:divBdr>
          <w:divsChild>
            <w:div w:id="1665626602">
              <w:marLeft w:val="0"/>
              <w:marRight w:val="0"/>
              <w:marTop w:val="0"/>
              <w:marBottom w:val="0"/>
              <w:divBdr>
                <w:top w:val="none" w:sz="0" w:space="0" w:color="auto"/>
                <w:left w:val="none" w:sz="0" w:space="0" w:color="auto"/>
                <w:bottom w:val="none" w:sz="0" w:space="0" w:color="auto"/>
                <w:right w:val="none" w:sz="0" w:space="0" w:color="auto"/>
              </w:divBdr>
              <w:divsChild>
                <w:div w:id="1820656179">
                  <w:marLeft w:val="0"/>
                  <w:marRight w:val="0"/>
                  <w:marTop w:val="0"/>
                  <w:marBottom w:val="0"/>
                  <w:divBdr>
                    <w:top w:val="none" w:sz="0" w:space="0" w:color="auto"/>
                    <w:left w:val="none" w:sz="0" w:space="0" w:color="auto"/>
                    <w:bottom w:val="none" w:sz="0" w:space="0" w:color="auto"/>
                    <w:right w:val="none" w:sz="0" w:space="0" w:color="auto"/>
                  </w:divBdr>
                  <w:divsChild>
                    <w:div w:id="1871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00742">
      <w:bodyDiv w:val="1"/>
      <w:marLeft w:val="0"/>
      <w:marRight w:val="0"/>
      <w:marTop w:val="0"/>
      <w:marBottom w:val="0"/>
      <w:divBdr>
        <w:top w:val="none" w:sz="0" w:space="0" w:color="auto"/>
        <w:left w:val="none" w:sz="0" w:space="0" w:color="auto"/>
        <w:bottom w:val="none" w:sz="0" w:space="0" w:color="auto"/>
        <w:right w:val="none" w:sz="0" w:space="0" w:color="auto"/>
      </w:divBdr>
    </w:div>
    <w:div w:id="323818188">
      <w:bodyDiv w:val="1"/>
      <w:marLeft w:val="0"/>
      <w:marRight w:val="0"/>
      <w:marTop w:val="0"/>
      <w:marBottom w:val="0"/>
      <w:divBdr>
        <w:top w:val="none" w:sz="0" w:space="0" w:color="auto"/>
        <w:left w:val="none" w:sz="0" w:space="0" w:color="auto"/>
        <w:bottom w:val="none" w:sz="0" w:space="0" w:color="auto"/>
        <w:right w:val="none" w:sz="0" w:space="0" w:color="auto"/>
      </w:divBdr>
    </w:div>
    <w:div w:id="433019273">
      <w:bodyDiv w:val="1"/>
      <w:marLeft w:val="0"/>
      <w:marRight w:val="0"/>
      <w:marTop w:val="0"/>
      <w:marBottom w:val="0"/>
      <w:divBdr>
        <w:top w:val="none" w:sz="0" w:space="0" w:color="auto"/>
        <w:left w:val="none" w:sz="0" w:space="0" w:color="auto"/>
        <w:bottom w:val="none" w:sz="0" w:space="0" w:color="auto"/>
        <w:right w:val="none" w:sz="0" w:space="0" w:color="auto"/>
      </w:divBdr>
    </w:div>
    <w:div w:id="528110394">
      <w:bodyDiv w:val="1"/>
      <w:marLeft w:val="0"/>
      <w:marRight w:val="0"/>
      <w:marTop w:val="0"/>
      <w:marBottom w:val="0"/>
      <w:divBdr>
        <w:top w:val="none" w:sz="0" w:space="0" w:color="auto"/>
        <w:left w:val="none" w:sz="0" w:space="0" w:color="auto"/>
        <w:bottom w:val="none" w:sz="0" w:space="0" w:color="auto"/>
        <w:right w:val="none" w:sz="0" w:space="0" w:color="auto"/>
      </w:divBdr>
    </w:div>
    <w:div w:id="626736453">
      <w:bodyDiv w:val="1"/>
      <w:marLeft w:val="0"/>
      <w:marRight w:val="0"/>
      <w:marTop w:val="0"/>
      <w:marBottom w:val="0"/>
      <w:divBdr>
        <w:top w:val="none" w:sz="0" w:space="0" w:color="auto"/>
        <w:left w:val="none" w:sz="0" w:space="0" w:color="auto"/>
        <w:bottom w:val="none" w:sz="0" w:space="0" w:color="auto"/>
        <w:right w:val="none" w:sz="0" w:space="0" w:color="auto"/>
      </w:divBdr>
    </w:div>
    <w:div w:id="795100661">
      <w:bodyDiv w:val="1"/>
      <w:marLeft w:val="0"/>
      <w:marRight w:val="0"/>
      <w:marTop w:val="0"/>
      <w:marBottom w:val="0"/>
      <w:divBdr>
        <w:top w:val="none" w:sz="0" w:space="0" w:color="auto"/>
        <w:left w:val="none" w:sz="0" w:space="0" w:color="auto"/>
        <w:bottom w:val="none" w:sz="0" w:space="0" w:color="auto"/>
        <w:right w:val="none" w:sz="0" w:space="0" w:color="auto"/>
      </w:divBdr>
      <w:divsChild>
        <w:div w:id="993411782">
          <w:marLeft w:val="0"/>
          <w:marRight w:val="0"/>
          <w:marTop w:val="0"/>
          <w:marBottom w:val="0"/>
          <w:divBdr>
            <w:top w:val="none" w:sz="0" w:space="0" w:color="auto"/>
            <w:left w:val="none" w:sz="0" w:space="0" w:color="auto"/>
            <w:bottom w:val="none" w:sz="0" w:space="0" w:color="auto"/>
            <w:right w:val="none" w:sz="0" w:space="0" w:color="auto"/>
          </w:divBdr>
          <w:divsChild>
            <w:div w:id="1426993357">
              <w:marLeft w:val="0"/>
              <w:marRight w:val="0"/>
              <w:marTop w:val="0"/>
              <w:marBottom w:val="0"/>
              <w:divBdr>
                <w:top w:val="none" w:sz="0" w:space="0" w:color="auto"/>
                <w:left w:val="none" w:sz="0" w:space="0" w:color="auto"/>
                <w:bottom w:val="none" w:sz="0" w:space="0" w:color="auto"/>
                <w:right w:val="none" w:sz="0" w:space="0" w:color="auto"/>
              </w:divBdr>
              <w:divsChild>
                <w:div w:id="1899049319">
                  <w:marLeft w:val="0"/>
                  <w:marRight w:val="0"/>
                  <w:marTop w:val="0"/>
                  <w:marBottom w:val="0"/>
                  <w:divBdr>
                    <w:top w:val="none" w:sz="0" w:space="0" w:color="auto"/>
                    <w:left w:val="none" w:sz="0" w:space="0" w:color="auto"/>
                    <w:bottom w:val="none" w:sz="0" w:space="0" w:color="auto"/>
                    <w:right w:val="none" w:sz="0" w:space="0" w:color="auto"/>
                  </w:divBdr>
                  <w:divsChild>
                    <w:div w:id="9565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80577">
      <w:bodyDiv w:val="1"/>
      <w:marLeft w:val="0"/>
      <w:marRight w:val="0"/>
      <w:marTop w:val="0"/>
      <w:marBottom w:val="0"/>
      <w:divBdr>
        <w:top w:val="none" w:sz="0" w:space="0" w:color="auto"/>
        <w:left w:val="none" w:sz="0" w:space="0" w:color="auto"/>
        <w:bottom w:val="none" w:sz="0" w:space="0" w:color="auto"/>
        <w:right w:val="none" w:sz="0" w:space="0" w:color="auto"/>
      </w:divBdr>
      <w:divsChild>
        <w:div w:id="80372240">
          <w:marLeft w:val="0"/>
          <w:marRight w:val="0"/>
          <w:marTop w:val="0"/>
          <w:marBottom w:val="0"/>
          <w:divBdr>
            <w:top w:val="none" w:sz="0" w:space="0" w:color="auto"/>
            <w:left w:val="none" w:sz="0" w:space="0" w:color="auto"/>
            <w:bottom w:val="none" w:sz="0" w:space="0" w:color="auto"/>
            <w:right w:val="none" w:sz="0" w:space="0" w:color="auto"/>
          </w:divBdr>
          <w:divsChild>
            <w:div w:id="2010480409">
              <w:marLeft w:val="0"/>
              <w:marRight w:val="0"/>
              <w:marTop w:val="0"/>
              <w:marBottom w:val="0"/>
              <w:divBdr>
                <w:top w:val="none" w:sz="0" w:space="0" w:color="auto"/>
                <w:left w:val="none" w:sz="0" w:space="0" w:color="auto"/>
                <w:bottom w:val="none" w:sz="0" w:space="0" w:color="auto"/>
                <w:right w:val="none" w:sz="0" w:space="0" w:color="auto"/>
              </w:divBdr>
              <w:divsChild>
                <w:div w:id="932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5567">
      <w:bodyDiv w:val="1"/>
      <w:marLeft w:val="0"/>
      <w:marRight w:val="0"/>
      <w:marTop w:val="0"/>
      <w:marBottom w:val="0"/>
      <w:divBdr>
        <w:top w:val="none" w:sz="0" w:space="0" w:color="auto"/>
        <w:left w:val="none" w:sz="0" w:space="0" w:color="auto"/>
        <w:bottom w:val="none" w:sz="0" w:space="0" w:color="auto"/>
        <w:right w:val="none" w:sz="0" w:space="0" w:color="auto"/>
      </w:divBdr>
    </w:div>
    <w:div w:id="1025978603">
      <w:bodyDiv w:val="1"/>
      <w:marLeft w:val="0"/>
      <w:marRight w:val="0"/>
      <w:marTop w:val="0"/>
      <w:marBottom w:val="0"/>
      <w:divBdr>
        <w:top w:val="none" w:sz="0" w:space="0" w:color="auto"/>
        <w:left w:val="none" w:sz="0" w:space="0" w:color="auto"/>
        <w:bottom w:val="none" w:sz="0" w:space="0" w:color="auto"/>
        <w:right w:val="none" w:sz="0" w:space="0" w:color="auto"/>
      </w:divBdr>
    </w:div>
    <w:div w:id="1067268999">
      <w:bodyDiv w:val="1"/>
      <w:marLeft w:val="0"/>
      <w:marRight w:val="0"/>
      <w:marTop w:val="0"/>
      <w:marBottom w:val="0"/>
      <w:divBdr>
        <w:top w:val="none" w:sz="0" w:space="0" w:color="auto"/>
        <w:left w:val="none" w:sz="0" w:space="0" w:color="auto"/>
        <w:bottom w:val="none" w:sz="0" w:space="0" w:color="auto"/>
        <w:right w:val="none" w:sz="0" w:space="0" w:color="auto"/>
      </w:divBdr>
    </w:div>
    <w:div w:id="1133212242">
      <w:bodyDiv w:val="1"/>
      <w:marLeft w:val="0"/>
      <w:marRight w:val="0"/>
      <w:marTop w:val="0"/>
      <w:marBottom w:val="0"/>
      <w:divBdr>
        <w:top w:val="none" w:sz="0" w:space="0" w:color="auto"/>
        <w:left w:val="none" w:sz="0" w:space="0" w:color="auto"/>
        <w:bottom w:val="none" w:sz="0" w:space="0" w:color="auto"/>
        <w:right w:val="none" w:sz="0" w:space="0" w:color="auto"/>
      </w:divBdr>
      <w:divsChild>
        <w:div w:id="1728844099">
          <w:marLeft w:val="0"/>
          <w:marRight w:val="0"/>
          <w:marTop w:val="0"/>
          <w:marBottom w:val="0"/>
          <w:divBdr>
            <w:top w:val="none" w:sz="0" w:space="0" w:color="auto"/>
            <w:left w:val="none" w:sz="0" w:space="0" w:color="auto"/>
            <w:bottom w:val="none" w:sz="0" w:space="0" w:color="auto"/>
            <w:right w:val="none" w:sz="0" w:space="0" w:color="auto"/>
          </w:divBdr>
          <w:divsChild>
            <w:div w:id="2052609773">
              <w:marLeft w:val="0"/>
              <w:marRight w:val="0"/>
              <w:marTop w:val="0"/>
              <w:marBottom w:val="0"/>
              <w:divBdr>
                <w:top w:val="none" w:sz="0" w:space="0" w:color="auto"/>
                <w:left w:val="none" w:sz="0" w:space="0" w:color="auto"/>
                <w:bottom w:val="none" w:sz="0" w:space="0" w:color="auto"/>
                <w:right w:val="none" w:sz="0" w:space="0" w:color="auto"/>
              </w:divBdr>
              <w:divsChild>
                <w:div w:id="21051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4386">
      <w:bodyDiv w:val="1"/>
      <w:marLeft w:val="0"/>
      <w:marRight w:val="0"/>
      <w:marTop w:val="0"/>
      <w:marBottom w:val="0"/>
      <w:divBdr>
        <w:top w:val="none" w:sz="0" w:space="0" w:color="auto"/>
        <w:left w:val="none" w:sz="0" w:space="0" w:color="auto"/>
        <w:bottom w:val="none" w:sz="0" w:space="0" w:color="auto"/>
        <w:right w:val="none" w:sz="0" w:space="0" w:color="auto"/>
      </w:divBdr>
    </w:div>
    <w:div w:id="1279752890">
      <w:bodyDiv w:val="1"/>
      <w:marLeft w:val="0"/>
      <w:marRight w:val="0"/>
      <w:marTop w:val="0"/>
      <w:marBottom w:val="0"/>
      <w:divBdr>
        <w:top w:val="none" w:sz="0" w:space="0" w:color="auto"/>
        <w:left w:val="none" w:sz="0" w:space="0" w:color="auto"/>
        <w:bottom w:val="none" w:sz="0" w:space="0" w:color="auto"/>
        <w:right w:val="none" w:sz="0" w:space="0" w:color="auto"/>
      </w:divBdr>
      <w:divsChild>
        <w:div w:id="963925043">
          <w:marLeft w:val="0"/>
          <w:marRight w:val="0"/>
          <w:marTop w:val="0"/>
          <w:marBottom w:val="0"/>
          <w:divBdr>
            <w:top w:val="none" w:sz="0" w:space="0" w:color="auto"/>
            <w:left w:val="none" w:sz="0" w:space="0" w:color="auto"/>
            <w:bottom w:val="none" w:sz="0" w:space="0" w:color="auto"/>
            <w:right w:val="none" w:sz="0" w:space="0" w:color="auto"/>
          </w:divBdr>
          <w:divsChild>
            <w:div w:id="1514759703">
              <w:marLeft w:val="0"/>
              <w:marRight w:val="0"/>
              <w:marTop w:val="0"/>
              <w:marBottom w:val="0"/>
              <w:divBdr>
                <w:top w:val="none" w:sz="0" w:space="0" w:color="auto"/>
                <w:left w:val="none" w:sz="0" w:space="0" w:color="auto"/>
                <w:bottom w:val="none" w:sz="0" w:space="0" w:color="auto"/>
                <w:right w:val="none" w:sz="0" w:space="0" w:color="auto"/>
              </w:divBdr>
              <w:divsChild>
                <w:div w:id="642659471">
                  <w:marLeft w:val="0"/>
                  <w:marRight w:val="0"/>
                  <w:marTop w:val="0"/>
                  <w:marBottom w:val="0"/>
                  <w:divBdr>
                    <w:top w:val="none" w:sz="0" w:space="0" w:color="auto"/>
                    <w:left w:val="none" w:sz="0" w:space="0" w:color="auto"/>
                    <w:bottom w:val="none" w:sz="0" w:space="0" w:color="auto"/>
                    <w:right w:val="none" w:sz="0" w:space="0" w:color="auto"/>
                  </w:divBdr>
                  <w:divsChild>
                    <w:div w:id="18223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741931">
      <w:bodyDiv w:val="1"/>
      <w:marLeft w:val="0"/>
      <w:marRight w:val="0"/>
      <w:marTop w:val="0"/>
      <w:marBottom w:val="0"/>
      <w:divBdr>
        <w:top w:val="none" w:sz="0" w:space="0" w:color="auto"/>
        <w:left w:val="none" w:sz="0" w:space="0" w:color="auto"/>
        <w:bottom w:val="none" w:sz="0" w:space="0" w:color="auto"/>
        <w:right w:val="none" w:sz="0" w:space="0" w:color="auto"/>
      </w:divBdr>
    </w:div>
    <w:div w:id="1568682288">
      <w:bodyDiv w:val="1"/>
      <w:marLeft w:val="0"/>
      <w:marRight w:val="0"/>
      <w:marTop w:val="0"/>
      <w:marBottom w:val="0"/>
      <w:divBdr>
        <w:top w:val="none" w:sz="0" w:space="0" w:color="auto"/>
        <w:left w:val="none" w:sz="0" w:space="0" w:color="auto"/>
        <w:bottom w:val="none" w:sz="0" w:space="0" w:color="auto"/>
        <w:right w:val="none" w:sz="0" w:space="0" w:color="auto"/>
      </w:divBdr>
      <w:divsChild>
        <w:div w:id="1376812957">
          <w:marLeft w:val="0"/>
          <w:marRight w:val="0"/>
          <w:marTop w:val="0"/>
          <w:marBottom w:val="0"/>
          <w:divBdr>
            <w:top w:val="none" w:sz="0" w:space="0" w:color="auto"/>
            <w:left w:val="none" w:sz="0" w:space="0" w:color="auto"/>
            <w:bottom w:val="none" w:sz="0" w:space="0" w:color="auto"/>
            <w:right w:val="none" w:sz="0" w:space="0" w:color="auto"/>
          </w:divBdr>
          <w:divsChild>
            <w:div w:id="1119031226">
              <w:marLeft w:val="0"/>
              <w:marRight w:val="0"/>
              <w:marTop w:val="0"/>
              <w:marBottom w:val="0"/>
              <w:divBdr>
                <w:top w:val="none" w:sz="0" w:space="0" w:color="auto"/>
                <w:left w:val="none" w:sz="0" w:space="0" w:color="auto"/>
                <w:bottom w:val="none" w:sz="0" w:space="0" w:color="auto"/>
                <w:right w:val="none" w:sz="0" w:space="0" w:color="auto"/>
              </w:divBdr>
              <w:divsChild>
                <w:div w:id="1326783271">
                  <w:marLeft w:val="0"/>
                  <w:marRight w:val="0"/>
                  <w:marTop w:val="0"/>
                  <w:marBottom w:val="0"/>
                  <w:divBdr>
                    <w:top w:val="none" w:sz="0" w:space="0" w:color="auto"/>
                    <w:left w:val="none" w:sz="0" w:space="0" w:color="auto"/>
                    <w:bottom w:val="none" w:sz="0" w:space="0" w:color="auto"/>
                    <w:right w:val="none" w:sz="0" w:space="0" w:color="auto"/>
                  </w:divBdr>
                  <w:divsChild>
                    <w:div w:id="2636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307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139">
          <w:marLeft w:val="0"/>
          <w:marRight w:val="0"/>
          <w:marTop w:val="0"/>
          <w:marBottom w:val="0"/>
          <w:divBdr>
            <w:top w:val="none" w:sz="0" w:space="0" w:color="auto"/>
            <w:left w:val="none" w:sz="0" w:space="0" w:color="auto"/>
            <w:bottom w:val="none" w:sz="0" w:space="0" w:color="auto"/>
            <w:right w:val="none" w:sz="0" w:space="0" w:color="auto"/>
          </w:divBdr>
          <w:divsChild>
            <w:div w:id="402727488">
              <w:marLeft w:val="0"/>
              <w:marRight w:val="0"/>
              <w:marTop w:val="0"/>
              <w:marBottom w:val="0"/>
              <w:divBdr>
                <w:top w:val="none" w:sz="0" w:space="0" w:color="auto"/>
                <w:left w:val="none" w:sz="0" w:space="0" w:color="auto"/>
                <w:bottom w:val="none" w:sz="0" w:space="0" w:color="auto"/>
                <w:right w:val="none" w:sz="0" w:space="0" w:color="auto"/>
              </w:divBdr>
              <w:divsChild>
                <w:div w:id="11012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5493">
      <w:bodyDiv w:val="1"/>
      <w:marLeft w:val="0"/>
      <w:marRight w:val="0"/>
      <w:marTop w:val="0"/>
      <w:marBottom w:val="0"/>
      <w:divBdr>
        <w:top w:val="none" w:sz="0" w:space="0" w:color="auto"/>
        <w:left w:val="none" w:sz="0" w:space="0" w:color="auto"/>
        <w:bottom w:val="none" w:sz="0" w:space="0" w:color="auto"/>
        <w:right w:val="none" w:sz="0" w:space="0" w:color="auto"/>
      </w:divBdr>
    </w:div>
    <w:div w:id="1992445720">
      <w:bodyDiv w:val="1"/>
      <w:marLeft w:val="0"/>
      <w:marRight w:val="0"/>
      <w:marTop w:val="0"/>
      <w:marBottom w:val="0"/>
      <w:divBdr>
        <w:top w:val="none" w:sz="0" w:space="0" w:color="auto"/>
        <w:left w:val="none" w:sz="0" w:space="0" w:color="auto"/>
        <w:bottom w:val="none" w:sz="0" w:space="0" w:color="auto"/>
        <w:right w:val="none" w:sz="0" w:space="0" w:color="auto"/>
      </w:divBdr>
    </w:div>
    <w:div w:id="2001350400">
      <w:bodyDiv w:val="1"/>
      <w:marLeft w:val="0"/>
      <w:marRight w:val="0"/>
      <w:marTop w:val="0"/>
      <w:marBottom w:val="0"/>
      <w:divBdr>
        <w:top w:val="none" w:sz="0" w:space="0" w:color="auto"/>
        <w:left w:val="none" w:sz="0" w:space="0" w:color="auto"/>
        <w:bottom w:val="none" w:sz="0" w:space="0" w:color="auto"/>
        <w:right w:val="none" w:sz="0" w:space="0" w:color="auto"/>
      </w:divBdr>
      <w:divsChild>
        <w:div w:id="665521646">
          <w:marLeft w:val="0"/>
          <w:marRight w:val="0"/>
          <w:marTop w:val="0"/>
          <w:marBottom w:val="0"/>
          <w:divBdr>
            <w:top w:val="none" w:sz="0" w:space="0" w:color="auto"/>
            <w:left w:val="none" w:sz="0" w:space="0" w:color="auto"/>
            <w:bottom w:val="none" w:sz="0" w:space="0" w:color="auto"/>
            <w:right w:val="none" w:sz="0" w:space="0" w:color="auto"/>
          </w:divBdr>
          <w:divsChild>
            <w:div w:id="2002125375">
              <w:marLeft w:val="0"/>
              <w:marRight w:val="0"/>
              <w:marTop w:val="0"/>
              <w:marBottom w:val="0"/>
              <w:divBdr>
                <w:top w:val="none" w:sz="0" w:space="0" w:color="auto"/>
                <w:left w:val="none" w:sz="0" w:space="0" w:color="auto"/>
                <w:bottom w:val="none" w:sz="0" w:space="0" w:color="auto"/>
                <w:right w:val="none" w:sz="0" w:space="0" w:color="auto"/>
              </w:divBdr>
              <w:divsChild>
                <w:div w:id="3978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8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forum.org/reports/the-global-enabling-trade-report-2016" TargetMode="External"/><Relationship Id="rId13" Type="http://schemas.openxmlformats.org/officeDocument/2006/relationships/hyperlink" Target="http://researchbriefings.files.parliament.uk/documents/POST-PN-0556/POST-PN-0556.pdf" TargetMode="External"/><Relationship Id="rId18" Type="http://schemas.openxmlformats.org/officeDocument/2006/relationships/hyperlink" Target="https://ec.europa.eu/agriculture/sites/agriculture/files/external-studies/2014/farmer-costs/fulltext_en.pdf" TargetMode="External"/><Relationship Id="rId26" Type="http://schemas.openxmlformats.org/officeDocument/2006/relationships/hyperlink" Target="https://ec.europa.eu/food/sites/food/files/safety/docs/sci-com_scv_out14_en.pdf" TargetMode="External"/><Relationship Id="rId3" Type="http://schemas.openxmlformats.org/officeDocument/2006/relationships/styles" Target="styles.xml"/><Relationship Id="rId21" Type="http://schemas.openxmlformats.org/officeDocument/2006/relationships/hyperlink" Target="https://www.sussex.ac.uk/webteam/gateway/file.php?name=foodbrexitreport-langmillstonemarsden-july2017pdf.pdf&amp;site=25" TargetMode="External"/><Relationship Id="rId34" Type="http://schemas.openxmlformats.org/officeDocument/2006/relationships/hyperlink" Target="http://www.foodmanufacture.co.uk/Food-Safety/European-Commission-under-pressure-to-permit-lactic-acid-wash-use-in-poultry" TargetMode="External"/><Relationship Id="rId7" Type="http://schemas.openxmlformats.org/officeDocument/2006/relationships/endnotes" Target="endnotes.xml"/><Relationship Id="rId12" Type="http://schemas.openxmlformats.org/officeDocument/2006/relationships/hyperlink" Target="https://www.food.gov.uk/sites/default/files/fsa-food-crime-assessment-2016.pdf" TargetMode="External"/><Relationship Id="rId17" Type="http://schemas.openxmlformats.org/officeDocument/2006/relationships/hyperlink" Target="https://publications.parliament.uk/pa/cm201415/cmselect/cmenvfru/243/24305.htm" TargetMode="External"/><Relationship Id="rId25" Type="http://schemas.openxmlformats.org/officeDocument/2006/relationships/hyperlink" Target="https://www.theguardian.com/environment/2017/jan/29/britain-us-trade-deal-gm-food-eu-rules" TargetMode="External"/><Relationship Id="rId33" Type="http://schemas.openxmlformats.org/officeDocument/2006/relationships/hyperlink" Target="https://efsa.onlinelibrary.wiley.com/doi/epdf/10.2903/j.efsa.2009.1041" TargetMode="External"/><Relationship Id="rId2" Type="http://schemas.openxmlformats.org/officeDocument/2006/relationships/numbering" Target="numbering.xml"/><Relationship Id="rId16" Type="http://schemas.openxmlformats.org/officeDocument/2006/relationships/hyperlink" Target="https://ahdb.org.uk/documents/Horizon_Brexit_Analysis_20September2016.pdf" TargetMode="External"/><Relationship Id="rId20" Type="http://schemas.openxmlformats.org/officeDocument/2006/relationships/hyperlink" Target="http://ec.europa.eu/trade/policy/countries-and-regions/countries/ukraine/index_en.htm" TargetMode="External"/><Relationship Id="rId29" Type="http://schemas.openxmlformats.org/officeDocument/2006/relationships/hyperlink" Target="http://eur-lex.europa.eu/legal-content/en/ALL/?uri=CELEX:32005R01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350726/elliot-review-final-report-july2014.pdf" TargetMode="External"/><Relationship Id="rId24" Type="http://schemas.openxmlformats.org/officeDocument/2006/relationships/hyperlink" Target="http://ipts.jrc.ec.europa.eu/publications/pub.cfm?CFID=59641346-4577-4d6f-af97-8542903d8cd9&amp;CFTOKEN=0&amp;id=1203" TargetMode="External"/><Relationship Id="rId32" Type="http://schemas.openxmlformats.org/officeDocument/2006/relationships/hyperlink" Target="http://www.inspection.gc.ca/animals/feeds/medicating-ingredients/mib/mib-82/eng/1331129686310/133112974112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depot.wur.nl/377860" TargetMode="External"/><Relationship Id="rId23" Type="http://schemas.openxmlformats.org/officeDocument/2006/relationships/hyperlink" Target="https://ec.europa.eu/food/sites/food/files/safety/docs/cs_meat_hormone-out21_en.pdf" TargetMode="External"/><Relationship Id="rId28" Type="http://schemas.openxmlformats.org/officeDocument/2006/relationships/hyperlink" Target="https://eur-lex.europa.eu/legal-content/EN/TXT/?uri=CELEX%3A32003R1831" TargetMode="External"/><Relationship Id="rId36" Type="http://schemas.openxmlformats.org/officeDocument/2006/relationships/fontTable" Target="fontTable.xml"/><Relationship Id="rId10" Type="http://schemas.openxmlformats.org/officeDocument/2006/relationships/hyperlink" Target="http://www.fao.org/faostat/en/" TargetMode="External"/><Relationship Id="rId19" Type="http://schemas.openxmlformats.org/officeDocument/2006/relationships/hyperlink" Target="https://ahdb.org.uk/documents/Horizon_Brexit_Analysis_Report-Oct2016.pdf" TargetMode="External"/><Relationship Id="rId31" Type="http://schemas.openxmlformats.org/officeDocument/2006/relationships/hyperlink" Target="http://eur-lex.europa.eu/legal-content/en/ALL/?uri=CELEX:31996L0022" TargetMode="External"/><Relationship Id="rId4" Type="http://schemas.openxmlformats.org/officeDocument/2006/relationships/settings" Target="settings.xml"/><Relationship Id="rId9" Type="http://schemas.openxmlformats.org/officeDocument/2006/relationships/hyperlink" Target="http://www.fao.org/docrep/018/al999e/al999e.pdf" TargetMode="External"/><Relationship Id="rId14" Type="http://schemas.openxmlformats.org/officeDocument/2006/relationships/hyperlink" Target="https://ec.europa.eu/commission/sites/beta-political/files/draft_withdrawal_agreement_0.pdf" TargetMode="External"/><Relationship Id="rId22" Type="http://schemas.openxmlformats.org/officeDocument/2006/relationships/hyperlink" Target="http://eur-lex.europa.eu/legal-content/EN/ALL/?uri=CELEX:32008L0119" TargetMode="External"/><Relationship Id="rId27" Type="http://schemas.openxmlformats.org/officeDocument/2006/relationships/hyperlink" Target="https://www.efsa.europa.eu/en/efsajournal/pub/2105" TargetMode="External"/><Relationship Id="rId30" Type="http://schemas.openxmlformats.org/officeDocument/2006/relationships/hyperlink" Target="http://eur-lex.europa.eu/legal-content/EN/TXT/?uri=CELEX:32002L0032" TargetMode="External"/><Relationship Id="rId35" Type="http://schemas.openxmlformats.org/officeDocument/2006/relationships/hyperlink" Target="http://journals.plos.org/plosone/article?id=10.1371/journal.pone.0082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72BFE-BE30-4A80-8E1C-42D7D60F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7326</Words>
  <Characters>41764</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Lapage K.P.</dc:creator>
  <cp:lastModifiedBy>Lapage K.P.</cp:lastModifiedBy>
  <cp:revision>2</cp:revision>
  <cp:lastPrinted>2018-04-18T09:42:00Z</cp:lastPrinted>
  <dcterms:created xsi:type="dcterms:W3CDTF">2018-12-21T12:18:00Z</dcterms:created>
  <dcterms:modified xsi:type="dcterms:W3CDTF">2018-12-21T12:18:00Z</dcterms:modified>
</cp:coreProperties>
</file>