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33765" w14:textId="313BA07F" w:rsidR="007248B7" w:rsidRPr="006C74FA" w:rsidRDefault="00170032" w:rsidP="005914AE">
      <w:pPr>
        <w:jc w:val="center"/>
        <w:rPr>
          <w:b/>
          <w:sz w:val="32"/>
          <w:szCs w:val="32"/>
        </w:rPr>
      </w:pPr>
      <w:bookmarkStart w:id="0" w:name="_GoBack"/>
      <w:bookmarkEnd w:id="0"/>
      <w:r w:rsidRPr="006C74FA">
        <w:rPr>
          <w:b/>
          <w:sz w:val="32"/>
          <w:szCs w:val="32"/>
        </w:rPr>
        <w:t xml:space="preserve">Growing </w:t>
      </w:r>
      <w:r w:rsidR="00912A41">
        <w:rPr>
          <w:b/>
          <w:sz w:val="32"/>
          <w:szCs w:val="32"/>
        </w:rPr>
        <w:t xml:space="preserve">research in </w:t>
      </w:r>
      <w:r w:rsidRPr="006C74FA">
        <w:rPr>
          <w:b/>
          <w:sz w:val="32"/>
          <w:szCs w:val="32"/>
        </w:rPr>
        <w:t>geriatric medicine</w:t>
      </w:r>
      <w:r w:rsidR="00912A41">
        <w:rPr>
          <w:b/>
          <w:sz w:val="32"/>
          <w:szCs w:val="32"/>
        </w:rPr>
        <w:t xml:space="preserve"> </w:t>
      </w:r>
    </w:p>
    <w:p w14:paraId="70F0E7F1" w14:textId="77777777" w:rsidR="007248B7" w:rsidRDefault="007248B7"/>
    <w:p w14:paraId="64FF08FA" w14:textId="682C765C" w:rsidR="007248B7" w:rsidRDefault="007248B7" w:rsidP="00170032">
      <w:pPr>
        <w:jc w:val="center"/>
      </w:pPr>
    </w:p>
    <w:p w14:paraId="72703ACE" w14:textId="71DBDFA8" w:rsidR="00323BEA" w:rsidRDefault="00323BEA" w:rsidP="00170032">
      <w:pPr>
        <w:jc w:val="center"/>
      </w:pPr>
      <w:r>
        <w:t>Miles D Witham</w:t>
      </w:r>
      <w:r w:rsidR="00A01D27" w:rsidRPr="00A01D27">
        <w:rPr>
          <w:vertAlign w:val="superscript"/>
        </w:rPr>
        <w:t>1</w:t>
      </w:r>
    </w:p>
    <w:p w14:paraId="2708458D" w14:textId="3BF00AAB" w:rsidR="007F1EDA" w:rsidRDefault="007F1EDA" w:rsidP="00170032">
      <w:pPr>
        <w:jc w:val="center"/>
      </w:pPr>
      <w:r>
        <w:t xml:space="preserve">Helen </w:t>
      </w:r>
      <w:r w:rsidR="00825DE6">
        <w:t xml:space="preserve">C </w:t>
      </w:r>
      <w:r>
        <w:t>Roberts</w:t>
      </w:r>
      <w:r w:rsidR="00A01D27" w:rsidRPr="00A01D27">
        <w:rPr>
          <w:vertAlign w:val="superscript"/>
        </w:rPr>
        <w:t>2</w:t>
      </w:r>
    </w:p>
    <w:p w14:paraId="0360E6D4" w14:textId="02D60543" w:rsidR="007248B7" w:rsidRDefault="007248B7" w:rsidP="00170032">
      <w:pPr>
        <w:jc w:val="center"/>
      </w:pPr>
      <w:r>
        <w:t>John Gladman</w:t>
      </w:r>
      <w:r w:rsidR="00A01D27" w:rsidRPr="00A01D27">
        <w:rPr>
          <w:vertAlign w:val="superscript"/>
        </w:rPr>
        <w:t>3</w:t>
      </w:r>
    </w:p>
    <w:p w14:paraId="3783F3C3" w14:textId="67948539" w:rsidR="00825DE6" w:rsidRDefault="00825DE6" w:rsidP="00170032">
      <w:pPr>
        <w:jc w:val="center"/>
      </w:pPr>
      <w:r>
        <w:t>David J Stott</w:t>
      </w:r>
      <w:r w:rsidR="00A01D27" w:rsidRPr="00A01D27">
        <w:rPr>
          <w:vertAlign w:val="superscript"/>
        </w:rPr>
        <w:t>4</w:t>
      </w:r>
    </w:p>
    <w:p w14:paraId="5512CEDC" w14:textId="1B2029CB" w:rsidR="00323BEA" w:rsidRDefault="00323BEA" w:rsidP="00170032">
      <w:pPr>
        <w:jc w:val="center"/>
      </w:pPr>
      <w:r>
        <w:t>Avan Aihie Sayer</w:t>
      </w:r>
      <w:r w:rsidR="00A01D27" w:rsidRPr="00A01D27">
        <w:rPr>
          <w:vertAlign w:val="superscript"/>
        </w:rPr>
        <w:t>1</w:t>
      </w:r>
    </w:p>
    <w:p w14:paraId="5C2B41C6" w14:textId="25925D4C" w:rsidR="00825DE6" w:rsidRDefault="00825DE6" w:rsidP="00170032">
      <w:pPr>
        <w:jc w:val="center"/>
      </w:pPr>
    </w:p>
    <w:p w14:paraId="3EB84B87" w14:textId="2351CA77" w:rsidR="00A01D27" w:rsidRDefault="00A01D27" w:rsidP="00A01D27">
      <w:r>
        <w:t xml:space="preserve">1. </w:t>
      </w:r>
      <w:r w:rsidRPr="00A01D27">
        <w:t>AGE Research Group, Institute of Neuroscience, Newcastle University, United Kingdom; NIHR Newcastle Biomedical Research Centre, Newcastle upon Tyne Hospitals NHS Foundation Trust and Newcastle University, United Kingdom; Newcastle University Institute for Ageing, United Kingdom</w:t>
      </w:r>
    </w:p>
    <w:p w14:paraId="2475FD2B" w14:textId="4A6A92BE" w:rsidR="00A01D27" w:rsidRDefault="00671D81" w:rsidP="00343A99">
      <w:r w:rsidRPr="00A135AE">
        <w:t>2</w:t>
      </w:r>
      <w:r w:rsidR="00A01D27" w:rsidRPr="00A135AE">
        <w:t>.</w:t>
      </w:r>
      <w:r w:rsidR="00343A99" w:rsidRPr="00A135AE">
        <w:t xml:space="preserve"> Academic Geriatric Medicine and CLAHRC Wessex, University of Southampton, UK; Southampton BRC, University Hospital Southampton</w:t>
      </w:r>
      <w:r w:rsidR="00343A99" w:rsidRPr="006E2B3A">
        <w:t xml:space="preserve"> NHS Foundation Trust, Southampton, UK.</w:t>
      </w:r>
    </w:p>
    <w:p w14:paraId="4C117729" w14:textId="031882D0" w:rsidR="00A01D27" w:rsidRDefault="00671D81" w:rsidP="00A01D27">
      <w:r>
        <w:t>3</w:t>
      </w:r>
      <w:r w:rsidR="00A01D27">
        <w:t>.</w:t>
      </w:r>
      <w:r w:rsidR="00055157">
        <w:t xml:space="preserve"> School of Medicine, University of Nottingham, UK; CLAHRC East Midlands, UK; Nottingham BRC, UK</w:t>
      </w:r>
    </w:p>
    <w:p w14:paraId="6567F186" w14:textId="18AB9E25" w:rsidR="00A01D27" w:rsidRDefault="00671D81" w:rsidP="00A01D27">
      <w:r>
        <w:t>4</w:t>
      </w:r>
      <w:r w:rsidR="00A01D27">
        <w:t>.</w:t>
      </w:r>
      <w:r w:rsidR="005751B3" w:rsidRPr="005751B3">
        <w:t xml:space="preserve"> Institute of Cardiovascular and Medical Sciences, University of Glasgow, UK</w:t>
      </w:r>
    </w:p>
    <w:p w14:paraId="4B34AC06" w14:textId="77777777" w:rsidR="00A01D27" w:rsidRDefault="00A01D27" w:rsidP="00A01D27"/>
    <w:p w14:paraId="4BA2CF12" w14:textId="47C7CA27" w:rsidR="006961E1" w:rsidRDefault="006961E1" w:rsidP="00A01D27">
      <w:r>
        <w:t xml:space="preserve">On behalf of the </w:t>
      </w:r>
      <w:r w:rsidR="003D3F4E">
        <w:t>meeting</w:t>
      </w:r>
      <w:r>
        <w:t xml:space="preserve"> working group*</w:t>
      </w:r>
    </w:p>
    <w:p w14:paraId="455BDBF8" w14:textId="77777777" w:rsidR="006961E1" w:rsidRDefault="006961E1" w:rsidP="00170032">
      <w:pPr>
        <w:jc w:val="center"/>
      </w:pPr>
    </w:p>
    <w:p w14:paraId="54DD2946" w14:textId="695DCC94" w:rsidR="006961E1" w:rsidRDefault="00946C04" w:rsidP="00170032">
      <w:pPr>
        <w:jc w:val="center"/>
      </w:pPr>
      <w:r>
        <w:t>*</w:t>
      </w:r>
      <w:r w:rsidR="006961E1">
        <w:t>Other members of the working group:</w:t>
      </w:r>
    </w:p>
    <w:p w14:paraId="68520127" w14:textId="26444C53" w:rsidR="006961E1" w:rsidRDefault="006961E1" w:rsidP="007368E7">
      <w:r>
        <w:t>Terry J Aspray</w:t>
      </w:r>
      <w:r w:rsidR="0022741F">
        <w:tab/>
      </w:r>
      <w:r w:rsidR="0022741F">
        <w:tab/>
      </w:r>
      <w:hyperlink r:id="rId6" w:history="1">
        <w:r w:rsidR="0022741F" w:rsidRPr="00F605B6">
          <w:rPr>
            <w:rStyle w:val="Hyperlink"/>
          </w:rPr>
          <w:t>terry.aspray@newcastle.ac.uk</w:t>
        </w:r>
      </w:hyperlink>
      <w:r w:rsidR="0022741F">
        <w:tab/>
      </w:r>
      <w:r w:rsidR="0022741F" w:rsidRPr="0022741F">
        <w:t>AGE Research Group, Institute of Neuroscience, Newcastle University, United Kingdom; NIHR Newcastle Biomedical Research Centre, Newcastle upon Tyne Hospitals NHS Foundation Trust and Newcastle University, United Kingdom; Newcastle University Institute for Ageing, United Kingdom</w:t>
      </w:r>
    </w:p>
    <w:p w14:paraId="6B1E3D7B" w14:textId="540EEBBF" w:rsidR="006961E1" w:rsidRDefault="003851DB" w:rsidP="00F23C41">
      <w:r>
        <w:t>Peter</w:t>
      </w:r>
      <w:r w:rsidR="006961E1">
        <w:t xml:space="preserve"> Brock</w:t>
      </w:r>
      <w:r w:rsidR="00F23C41">
        <w:tab/>
      </w:r>
      <w:r w:rsidR="00F23C41">
        <w:tab/>
      </w:r>
      <w:hyperlink r:id="rId7" w:history="1">
        <w:r w:rsidR="00F23C41" w:rsidRPr="00CF597B">
          <w:rPr>
            <w:rStyle w:val="Hyperlink"/>
          </w:rPr>
          <w:t>peter.brock@nhs.net</w:t>
        </w:r>
      </w:hyperlink>
      <w:r w:rsidR="00F23C41">
        <w:tab/>
        <w:t>Research and Development, Northumbria Healthcare NHS Foundation Trust, North Tyneside Hospital, Rake Lane, Newcastle-upon-Tyne, NE29 8NH</w:t>
      </w:r>
    </w:p>
    <w:p w14:paraId="0D8455F2" w14:textId="517D92BF" w:rsidR="006961E1" w:rsidRDefault="006961E1" w:rsidP="007368E7">
      <w:r>
        <w:t>Andrew Clegg</w:t>
      </w:r>
      <w:r w:rsidR="001066F6">
        <w:tab/>
      </w:r>
      <w:r w:rsidR="001066F6">
        <w:tab/>
      </w:r>
      <w:hyperlink r:id="rId8" w:history="1">
        <w:r w:rsidR="007368E7" w:rsidRPr="00CF597B">
          <w:rPr>
            <w:rStyle w:val="Hyperlink"/>
          </w:rPr>
          <w:t>a.p.clegg@leeds.ac.uk</w:t>
        </w:r>
      </w:hyperlink>
      <w:r w:rsidR="007368E7">
        <w:tab/>
      </w:r>
      <w:r w:rsidR="007368E7" w:rsidRPr="007368E7">
        <w:t>Academic Unit for Elderly Care &amp; Rehabilitation (University of Leeds), Bradford Institute for Health Research, BD9 6RJ</w:t>
      </w:r>
    </w:p>
    <w:p w14:paraId="795D1257" w14:textId="170195E2" w:rsidR="006961E1" w:rsidRDefault="006961E1" w:rsidP="007368E7">
      <w:r>
        <w:t>Natalie Cox</w:t>
      </w:r>
      <w:r w:rsidR="001066F6">
        <w:tab/>
      </w:r>
      <w:r w:rsidR="001066F6">
        <w:tab/>
      </w:r>
      <w:hyperlink r:id="rId9" w:history="1">
        <w:r w:rsidR="002B0B49" w:rsidRPr="004A5B02">
          <w:rPr>
            <w:rStyle w:val="Hyperlink"/>
          </w:rPr>
          <w:t>n.cox@soton.ac.uk</w:t>
        </w:r>
      </w:hyperlink>
      <w:r w:rsidR="002B0B49">
        <w:tab/>
      </w:r>
      <w:r w:rsidR="002B0B49" w:rsidRPr="002B0B49">
        <w:t>Academic Geriatric Medicine and CLAHRC Wessex, University of Southampton, UK; Southampton BRC, University Hospital Southampton NHS Foundation Trust, Southampton, UK.</w:t>
      </w:r>
    </w:p>
    <w:p w14:paraId="3C51E09B" w14:textId="0FC5ABAA" w:rsidR="006961E1" w:rsidRDefault="006961E1" w:rsidP="007368E7">
      <w:r w:rsidRPr="00935F2F">
        <w:t>Victoria Ewan</w:t>
      </w:r>
      <w:r w:rsidR="00935F2F" w:rsidRPr="00935F2F">
        <w:tab/>
      </w:r>
      <w:r w:rsidR="00935F2F" w:rsidRPr="00935F2F">
        <w:tab/>
      </w:r>
      <w:hyperlink r:id="rId10" w:history="1">
        <w:r w:rsidR="00935F2F" w:rsidRPr="00935F2F">
          <w:rPr>
            <w:rStyle w:val="Hyperlink"/>
          </w:rPr>
          <w:t>victoria.ewan@ncl.ac.uk</w:t>
        </w:r>
      </w:hyperlink>
      <w:r w:rsidR="00935F2F" w:rsidRPr="00935F2F">
        <w:tab/>
        <w:t>Department of Older Person’s Medicine, James Cook University Hospital, Marton Road, Middlesbrough, TS3 4BW</w:t>
      </w:r>
    </w:p>
    <w:p w14:paraId="40926132" w14:textId="38A29C69" w:rsidR="006961E1" w:rsidRDefault="006961E1" w:rsidP="007368E7">
      <w:r>
        <w:lastRenderedPageBreak/>
        <w:t>James Frith</w:t>
      </w:r>
      <w:r w:rsidR="00AD2888">
        <w:tab/>
      </w:r>
      <w:r w:rsidR="00AD2888">
        <w:tab/>
      </w:r>
      <w:hyperlink r:id="rId11" w:history="1">
        <w:r w:rsidR="00AD2888" w:rsidRPr="00CF597B">
          <w:rPr>
            <w:rStyle w:val="Hyperlink"/>
          </w:rPr>
          <w:t>james.frith@newcastle.ac.uk</w:t>
        </w:r>
      </w:hyperlink>
      <w:r w:rsidR="00AD2888">
        <w:tab/>
      </w:r>
      <w:r w:rsidR="003D47CB" w:rsidRPr="003D47CB">
        <w:t xml:space="preserve">Institute of </w:t>
      </w:r>
      <w:r w:rsidR="003D47CB">
        <w:t>Cellular Medicine</w:t>
      </w:r>
      <w:r w:rsidR="003D47CB" w:rsidRPr="003D47CB">
        <w:t>, Newcastle University, United Kingdom</w:t>
      </w:r>
    </w:p>
    <w:p w14:paraId="1A179885" w14:textId="6690412A" w:rsidR="006961E1" w:rsidRDefault="006961E1" w:rsidP="007368E7">
      <w:r>
        <w:t>Jennifer K Burton</w:t>
      </w:r>
      <w:r w:rsidR="00F76B3D">
        <w:tab/>
      </w:r>
      <w:hyperlink r:id="rId12" w:history="1">
        <w:r w:rsidR="00F76B3D" w:rsidRPr="00CF597B">
          <w:rPr>
            <w:rStyle w:val="Hyperlink"/>
          </w:rPr>
          <w:t>jenni.harrison@ed.ac.uk</w:t>
        </w:r>
      </w:hyperlink>
      <w:r w:rsidR="00F76B3D" w:rsidRPr="00F76B3D">
        <w:t xml:space="preserve"> </w:t>
      </w:r>
      <w:r w:rsidR="00F76B3D">
        <w:tab/>
      </w:r>
      <w:r w:rsidR="00F76B3D" w:rsidRPr="00F76B3D">
        <w:t>Geriatric Medicine, Royal Infirmary of Edinburgh, University of Edinburgh, EH16 4SB</w:t>
      </w:r>
    </w:p>
    <w:p w14:paraId="3534AE8F" w14:textId="35F352B9" w:rsidR="006961E1" w:rsidRDefault="006961E1" w:rsidP="007368E7">
      <w:r>
        <w:t>Thomas Jackson</w:t>
      </w:r>
      <w:r w:rsidR="007368E7">
        <w:tab/>
      </w:r>
      <w:hyperlink r:id="rId13" w:history="1">
        <w:r w:rsidR="000A65EC" w:rsidRPr="004A5B02">
          <w:rPr>
            <w:rStyle w:val="Hyperlink"/>
          </w:rPr>
          <w:t>t.jackson@bham.ac.uk</w:t>
        </w:r>
      </w:hyperlink>
      <w:r w:rsidR="000A65EC">
        <w:tab/>
      </w:r>
      <w:r w:rsidR="000A65EC" w:rsidRPr="000A65EC">
        <w:t>Institute of Inflammation and Ageing</w:t>
      </w:r>
      <w:r w:rsidR="000A65EC">
        <w:t xml:space="preserve">, </w:t>
      </w:r>
      <w:r w:rsidR="003D47CB">
        <w:t>University of Birmingham, Birmingham, UK</w:t>
      </w:r>
    </w:p>
    <w:p w14:paraId="12A4E012" w14:textId="1F1668C1" w:rsidR="006961E1" w:rsidRDefault="00F76B3D" w:rsidP="007368E7">
      <w:r>
        <w:t xml:space="preserve">Emma </w:t>
      </w:r>
      <w:r w:rsidR="006961E1">
        <w:t>Grace Lewis</w:t>
      </w:r>
      <w:r>
        <w:tab/>
      </w:r>
      <w:hyperlink r:id="rId14" w:history="1">
        <w:r w:rsidR="003D47CB" w:rsidRPr="004A5B02">
          <w:rPr>
            <w:rStyle w:val="Hyperlink"/>
          </w:rPr>
          <w:t>grace.lewis@ncl.ac.uk</w:t>
        </w:r>
      </w:hyperlink>
      <w:r w:rsidR="003D47CB">
        <w:tab/>
      </w:r>
      <w:r w:rsidR="003D47CB" w:rsidRPr="003D47CB">
        <w:t>Institute of Health and Society, Newcastle University; Northumbria Healthcare NHS Foundation Trust, North Tyneside General Hospital, NE28 9NH</w:t>
      </w:r>
    </w:p>
    <w:p w14:paraId="349AA4C4" w14:textId="3E3E420F" w:rsidR="006961E1" w:rsidRDefault="006961E1" w:rsidP="00005B02">
      <w:r>
        <w:t>Steven E Lim</w:t>
      </w:r>
      <w:r w:rsidR="00005B02">
        <w:tab/>
      </w:r>
      <w:hyperlink r:id="rId15" w:history="1">
        <w:r w:rsidR="00005B02" w:rsidRPr="00CF597B">
          <w:rPr>
            <w:rStyle w:val="Hyperlink"/>
          </w:rPr>
          <w:t>s.e.lim@soton.ac.uk</w:t>
        </w:r>
      </w:hyperlink>
      <w:r w:rsidR="00005B02">
        <w:tab/>
        <w:t>Academic Geriatric Medicine, University of Southampton, University Hospital Southampton NHS Trust, Tremona Road, Southampton, SO16 6YD</w:t>
      </w:r>
    </w:p>
    <w:p w14:paraId="1513D39C" w14:textId="78370198" w:rsidR="0092229A" w:rsidRDefault="006961E1" w:rsidP="007368E7">
      <w:r>
        <w:t>Stephen Makin</w:t>
      </w:r>
      <w:r w:rsidR="0092229A">
        <w:tab/>
      </w:r>
      <w:r w:rsidR="00EA4C33">
        <w:tab/>
      </w:r>
      <w:hyperlink r:id="rId16" w:history="1">
        <w:r w:rsidR="00EA4C33" w:rsidRPr="00A45AE9">
          <w:rPr>
            <w:rStyle w:val="Hyperlink"/>
          </w:rPr>
          <w:t>Stephen.Makin@glasgow.ac.uk</w:t>
        </w:r>
      </w:hyperlink>
      <w:r w:rsidR="00EA4C33">
        <w:tab/>
      </w:r>
      <w:r w:rsidR="00EA4C33" w:rsidRPr="00EA4C33">
        <w:t>Clinical Lecturer Academic Institute of Cardiovascular and Medical Sciences, University of Glasgow, UK</w:t>
      </w:r>
    </w:p>
    <w:p w14:paraId="7309E322" w14:textId="7A135746" w:rsidR="006961E1" w:rsidRDefault="006961E1" w:rsidP="007368E7">
      <w:r>
        <w:t>Mary Ni Lochlainn</w:t>
      </w:r>
      <w:r w:rsidR="007368E7">
        <w:tab/>
      </w:r>
      <w:hyperlink r:id="rId17" w:history="1">
        <w:r w:rsidR="007368E7" w:rsidRPr="00CF597B">
          <w:rPr>
            <w:rStyle w:val="Hyperlink"/>
          </w:rPr>
          <w:t>mary.ni_lochlainn@kcl.ac.uk</w:t>
        </w:r>
      </w:hyperlink>
      <w:r w:rsidR="007368E7">
        <w:tab/>
      </w:r>
      <w:r w:rsidR="007368E7" w:rsidRPr="007368E7">
        <w:t>Department of Twin Research, Kings College London, 3-4th Floor South Wing Block D, St Thomas' Hospital, Westminster Bridge Road, SE1 7EH</w:t>
      </w:r>
    </w:p>
    <w:p w14:paraId="48506760" w14:textId="490A21FB" w:rsidR="006961E1" w:rsidRDefault="006961E1" w:rsidP="007368E7">
      <w:r>
        <w:t>Sarah Richardson</w:t>
      </w:r>
      <w:r w:rsidR="007C4C46">
        <w:tab/>
      </w:r>
      <w:hyperlink r:id="rId18" w:history="1">
        <w:r w:rsidR="00AB5040" w:rsidRPr="00CF597B">
          <w:rPr>
            <w:rStyle w:val="Hyperlink"/>
          </w:rPr>
          <w:t>sarah.richardson1@newcastle.ac.uk</w:t>
        </w:r>
      </w:hyperlink>
      <w:r w:rsidR="007C4C46">
        <w:tab/>
      </w:r>
      <w:r w:rsidR="002B0B49" w:rsidRPr="002B0B49">
        <w:t>Institute of Neuroscience, Newcastle University, United Kingdom; NIHR Newcastle Biomedical Research Centre, Newcastle upon Tyne Hospitals NHS Foundation Trust and Newcastle University, United Kingdom; Newcastle University Institute for Ageing, United Kingdom</w:t>
      </w:r>
    </w:p>
    <w:p w14:paraId="6F5810EB" w14:textId="25578DC6" w:rsidR="006961E1" w:rsidRDefault="006961E1" w:rsidP="001C457B">
      <w:r>
        <w:t>Susan D Shenkin</w:t>
      </w:r>
      <w:r w:rsidR="001C457B">
        <w:tab/>
      </w:r>
      <w:hyperlink r:id="rId19" w:history="1">
        <w:r w:rsidR="001C457B" w:rsidRPr="00A45AE9">
          <w:rPr>
            <w:rStyle w:val="Hyperlink"/>
          </w:rPr>
          <w:t>susan.shenkin@ed.ac.uk</w:t>
        </w:r>
      </w:hyperlink>
      <w:r w:rsidR="001C457B">
        <w:t xml:space="preserve"> </w:t>
      </w:r>
      <w:r w:rsidR="001C457B">
        <w:tab/>
        <w:t>Geriatric Medicine, The University of Edinburgh, Royal Infirmary of Edinburgh, 51 Little France Crescent, Edinburgh, EH16 4SB</w:t>
      </w:r>
    </w:p>
    <w:p w14:paraId="342E71ED" w14:textId="6826F6E3" w:rsidR="006961E1" w:rsidRDefault="006961E1" w:rsidP="007368E7">
      <w:r>
        <w:t>Claire J Steves</w:t>
      </w:r>
      <w:r w:rsidR="007368E7">
        <w:tab/>
      </w:r>
      <w:hyperlink r:id="rId20" w:history="1">
        <w:r w:rsidR="007368E7" w:rsidRPr="00CF597B">
          <w:rPr>
            <w:rStyle w:val="Hyperlink"/>
          </w:rPr>
          <w:t>claire.j.steves@kcl.ac.uk</w:t>
        </w:r>
      </w:hyperlink>
      <w:r w:rsidR="007368E7">
        <w:tab/>
      </w:r>
      <w:r w:rsidR="007368E7" w:rsidRPr="007368E7">
        <w:t>Department of Twin Research, Kings College London, 3-4th Floor South Wing Block D, St Thomas' Hospital, Westminster Bridge Road, SE1 7EH</w:t>
      </w:r>
    </w:p>
    <w:p w14:paraId="3A0CCF84" w14:textId="6345A5E4" w:rsidR="006961E1" w:rsidRDefault="006961E1" w:rsidP="007368E7">
      <w:r>
        <w:t>Oliver Todd</w:t>
      </w:r>
      <w:r w:rsidR="007368E7">
        <w:tab/>
      </w:r>
      <w:hyperlink r:id="rId21" w:history="1">
        <w:r w:rsidR="007368E7" w:rsidRPr="00CF597B">
          <w:rPr>
            <w:rStyle w:val="Hyperlink"/>
          </w:rPr>
          <w:t>o.todd@leeds.ac.uk</w:t>
        </w:r>
      </w:hyperlink>
      <w:r w:rsidR="007368E7">
        <w:tab/>
      </w:r>
      <w:r w:rsidR="007368E7" w:rsidRPr="007368E7">
        <w:t xml:space="preserve">  Academic Unit for Elderly Care &amp; Rehabilitation (University of Leeds), Bradford Institute for Health Research, BD9 6RJ</w:t>
      </w:r>
    </w:p>
    <w:p w14:paraId="46FE4ABB" w14:textId="3D325EA2" w:rsidR="006961E1" w:rsidRDefault="006961E1" w:rsidP="007368E7">
      <w:r>
        <w:t>Ellen Tullo</w:t>
      </w:r>
      <w:r w:rsidR="008D2322">
        <w:tab/>
      </w:r>
      <w:hyperlink r:id="rId22" w:history="1">
        <w:r w:rsidR="008D2322" w:rsidRPr="00CF597B">
          <w:rPr>
            <w:rStyle w:val="Hyperlink"/>
          </w:rPr>
          <w:t>ellen.tullo@newcastle.ac.uk</w:t>
        </w:r>
      </w:hyperlink>
      <w:r w:rsidR="008D2322">
        <w:tab/>
      </w:r>
      <w:r w:rsidR="002B0B49" w:rsidRPr="002B0B49">
        <w:t>NIHR Newcastle Biomedical Research Centre, Newcastle upon Tyne Hospitals NHS Foundation Trust and Newcastle University, United Kingdom; Newcastle University Institute for Ageing, United Kingdom</w:t>
      </w:r>
    </w:p>
    <w:p w14:paraId="38CF6CF7" w14:textId="6AB78873" w:rsidR="006961E1" w:rsidRDefault="006961E1" w:rsidP="002B0B49">
      <w:r w:rsidRPr="002B0B49">
        <w:t>Richard Walker</w:t>
      </w:r>
      <w:r w:rsidR="002B0B49" w:rsidRPr="002B0B49">
        <w:t xml:space="preserve"> </w:t>
      </w:r>
      <w:r w:rsidR="002B0B49" w:rsidRPr="002B0B49">
        <w:tab/>
      </w:r>
      <w:hyperlink r:id="rId23" w:history="1">
        <w:r w:rsidR="002B0B49" w:rsidRPr="002B0B49">
          <w:rPr>
            <w:rStyle w:val="Hyperlink"/>
          </w:rPr>
          <w:t>Richard.Walker@northumbria-healthcare.nhs.uk</w:t>
        </w:r>
      </w:hyperlink>
      <w:r w:rsidR="002B0B49">
        <w:tab/>
      </w:r>
      <w:r w:rsidR="002B0B49" w:rsidRPr="002B0B49">
        <w:t>Institute of Health and Society, Newcastle University</w:t>
      </w:r>
      <w:r w:rsidR="003D47CB">
        <w:t>;</w:t>
      </w:r>
      <w:r w:rsidR="002B0B49" w:rsidRPr="002B0B49">
        <w:t xml:space="preserve"> </w:t>
      </w:r>
      <w:r w:rsidR="002B0B49">
        <w:t>Northumbria Healthcare NHS Foundation Trust, North Tyneside General Hospital, NE28 9NH</w:t>
      </w:r>
    </w:p>
    <w:p w14:paraId="360A37AD" w14:textId="1ABE8DC2" w:rsidR="006961E1" w:rsidRDefault="006961E1" w:rsidP="007368E7">
      <w:r>
        <w:t>Alison Yarnall</w:t>
      </w:r>
      <w:r w:rsidR="00EA4C33">
        <w:tab/>
      </w:r>
      <w:hyperlink r:id="rId24" w:history="1">
        <w:r w:rsidR="00EA4C33" w:rsidRPr="00A45AE9">
          <w:rPr>
            <w:rStyle w:val="Hyperlink"/>
          </w:rPr>
          <w:t>alison.yarnall@ncl.ac.uk</w:t>
        </w:r>
      </w:hyperlink>
      <w:r w:rsidR="00EA4C33" w:rsidRPr="00EA4C33">
        <w:t xml:space="preserve"> </w:t>
      </w:r>
      <w:r w:rsidR="00EA4C33">
        <w:tab/>
      </w:r>
      <w:r w:rsidR="00EA4C33" w:rsidRPr="00EA4C33">
        <w:t>Clinical Ageing Research Unit, Campus for Ageing &amp; Vitality, Institute of Neuroscience, Newcastle University, United Kingdom; NIHR Newcastle Biomedical Research Centre, Newcastle upon Tyne Hospitals NHS Foundation Trust and Newcastle University, United Kingdom; Newcastle University Institute for Ageing, United Kingdom</w:t>
      </w:r>
    </w:p>
    <w:p w14:paraId="3958A498" w14:textId="77777777" w:rsidR="006961E1" w:rsidRDefault="006961E1" w:rsidP="006961E1">
      <w:pPr>
        <w:jc w:val="center"/>
      </w:pPr>
    </w:p>
    <w:p w14:paraId="03FC01C5" w14:textId="77777777" w:rsidR="006961E1" w:rsidRDefault="006961E1" w:rsidP="006961E1">
      <w:pPr>
        <w:jc w:val="center"/>
      </w:pPr>
    </w:p>
    <w:p w14:paraId="02874324" w14:textId="7B11E6FA" w:rsidR="00FE366F" w:rsidRDefault="00FE366F" w:rsidP="00170032">
      <w:pPr>
        <w:jc w:val="center"/>
      </w:pPr>
    </w:p>
    <w:p w14:paraId="1A27795F" w14:textId="77777777" w:rsidR="0096701C" w:rsidRDefault="0096701C" w:rsidP="00170032">
      <w:pPr>
        <w:jc w:val="center"/>
      </w:pPr>
    </w:p>
    <w:p w14:paraId="7767FB51" w14:textId="57890353" w:rsidR="0096701C" w:rsidRDefault="00946C04">
      <w:r>
        <w:t xml:space="preserve">Correspondence to: Professor </w:t>
      </w:r>
      <w:r w:rsidR="00906A6A">
        <w:t>Avan Sayer</w:t>
      </w:r>
      <w:r>
        <w:t>, NIHR Newcastle Biomedical Research Centre, Campus for Ageing and Vitality, Newcastle upon Tyne NE4 5PL, UK</w:t>
      </w:r>
    </w:p>
    <w:p w14:paraId="4E7E33F0" w14:textId="083B8AFC" w:rsidR="00946C04" w:rsidRPr="00505355" w:rsidRDefault="00946C04">
      <w:pPr>
        <w:rPr>
          <w:lang w:val="fr-FR"/>
        </w:rPr>
      </w:pPr>
      <w:r w:rsidRPr="00505355">
        <w:rPr>
          <w:lang w:val="fr-FR"/>
        </w:rPr>
        <w:t xml:space="preserve">Email: </w:t>
      </w:r>
      <w:r w:rsidR="001D1047">
        <w:rPr>
          <w:lang w:val="fr-FR"/>
        </w:rPr>
        <w:t>a</w:t>
      </w:r>
      <w:r w:rsidR="00EB1BC1">
        <w:rPr>
          <w:lang w:val="fr-FR"/>
        </w:rPr>
        <w:t>van.</w:t>
      </w:r>
      <w:r w:rsidR="001D1047">
        <w:rPr>
          <w:lang w:val="fr-FR"/>
        </w:rPr>
        <w:t>s</w:t>
      </w:r>
      <w:r w:rsidR="00EB1BC1">
        <w:rPr>
          <w:lang w:val="fr-FR"/>
        </w:rPr>
        <w:t>ayer</w:t>
      </w:r>
      <w:r w:rsidRPr="00505355">
        <w:rPr>
          <w:lang w:val="fr-FR"/>
        </w:rPr>
        <w:t>@newcastle.ac.uk</w:t>
      </w:r>
    </w:p>
    <w:p w14:paraId="21FD1F8A" w14:textId="77777777" w:rsidR="00981563" w:rsidRPr="00505355" w:rsidRDefault="00981563">
      <w:pPr>
        <w:rPr>
          <w:lang w:val="fr-FR"/>
        </w:rPr>
      </w:pPr>
    </w:p>
    <w:p w14:paraId="75907BB3" w14:textId="7D5D6E8C" w:rsidR="00AC0940" w:rsidRDefault="00057B0C">
      <w:r>
        <w:t>Word count: 15</w:t>
      </w:r>
      <w:r w:rsidR="00164D88">
        <w:t>4</w:t>
      </w:r>
      <w:r w:rsidR="00A62244">
        <w:t>9</w:t>
      </w:r>
      <w:r w:rsidR="00AC0940">
        <w:br w:type="page"/>
      </w:r>
    </w:p>
    <w:p w14:paraId="6B21400B" w14:textId="17010600" w:rsidR="00EB79BC" w:rsidRDefault="00EB79BC" w:rsidP="001533D4">
      <w:pPr>
        <w:spacing w:after="0" w:line="480" w:lineRule="auto"/>
        <w:jc w:val="both"/>
      </w:pPr>
      <w:r>
        <w:lastRenderedPageBreak/>
        <w:t xml:space="preserve">Caring for older people is now the predominant activity of health systems in high-income countries, and </w:t>
      </w:r>
      <w:r w:rsidR="00B91282">
        <w:t xml:space="preserve">will soon become the predominant activity in </w:t>
      </w:r>
      <w:r>
        <w:t xml:space="preserve">many lower and middle income countries </w:t>
      </w:r>
      <w:r w:rsidRPr="00946C04">
        <w:t>[</w:t>
      </w:r>
      <w:r w:rsidR="00946C04" w:rsidRPr="006C74FA">
        <w:t>1</w:t>
      </w:r>
      <w:r w:rsidRPr="00946C04">
        <w:t xml:space="preserve">]. </w:t>
      </w:r>
      <w:r>
        <w:t>At present there is a mismatch between the scale of healthcare need</w:t>
      </w:r>
      <w:r w:rsidR="00323BEA">
        <w:t xml:space="preserve"> for older people</w:t>
      </w:r>
      <w:r>
        <w:t xml:space="preserve">, and the </w:t>
      </w:r>
      <w:r w:rsidR="0076596F">
        <w:t xml:space="preserve">relatively modest </w:t>
      </w:r>
      <w:r>
        <w:t>amount of research funding</w:t>
      </w:r>
      <w:r w:rsidR="00832B13">
        <w:t xml:space="preserve"> and activity in this area</w:t>
      </w:r>
      <w:r w:rsidR="00383BF5">
        <w:t xml:space="preserve"> which is holding back much</w:t>
      </w:r>
      <w:r w:rsidR="00906A6A">
        <w:t>-</w:t>
      </w:r>
      <w:r w:rsidR="00383BF5">
        <w:t>needed innovation</w:t>
      </w:r>
      <w:r w:rsidR="00A62244">
        <w:t>. A</w:t>
      </w:r>
      <w:r w:rsidR="007368CB">
        <w:t xml:space="preserve"> number of initiatives ha</w:t>
      </w:r>
      <w:r w:rsidR="00A62244">
        <w:t>ve aimed to redress the balance - i</w:t>
      </w:r>
      <w:r w:rsidR="007368CB">
        <w:t>n Europe</w:t>
      </w:r>
      <w:r w:rsidR="00A62244">
        <w:t xml:space="preserve"> for example</w:t>
      </w:r>
      <w:r w:rsidR="007368CB">
        <w:t xml:space="preserve"> the Increasing Participation of the Elderly in Clinical Trials (PREDICT) consortium studied </w:t>
      </w:r>
      <w:r w:rsidR="007368CB" w:rsidRPr="007368CB">
        <w:t xml:space="preserve">the participation of </w:t>
      </w:r>
      <w:r w:rsidR="001D1047">
        <w:t>older</w:t>
      </w:r>
      <w:r w:rsidR="007368CB" w:rsidRPr="007368CB">
        <w:t xml:space="preserve"> people in clinical trials and propos</w:t>
      </w:r>
      <w:r w:rsidR="007368CB">
        <w:t xml:space="preserve">ed </w:t>
      </w:r>
      <w:r w:rsidR="007368CB" w:rsidRPr="007368CB">
        <w:t>ways of boosting recruitment</w:t>
      </w:r>
      <w:r w:rsidR="00906A6A">
        <w:t xml:space="preserve"> [2]</w:t>
      </w:r>
      <w:r w:rsidR="0055105A" w:rsidRPr="001B19C9">
        <w:t xml:space="preserve">. </w:t>
      </w:r>
      <w:r w:rsidR="007C445D" w:rsidRPr="001B19C9">
        <w:t xml:space="preserve">In </w:t>
      </w:r>
      <w:r w:rsidR="00663E8F" w:rsidRPr="001B19C9">
        <w:t xml:space="preserve">the UK in </w:t>
      </w:r>
      <w:r w:rsidR="007C445D" w:rsidRPr="001B19C9">
        <w:t>2</w:t>
      </w:r>
      <w:r w:rsidR="007C445D">
        <w:t>017-18</w:t>
      </w:r>
      <w:r w:rsidR="00663E8F">
        <w:t>,</w:t>
      </w:r>
      <w:r w:rsidR="007C445D">
        <w:t xml:space="preserve"> over 22,000 older p</w:t>
      </w:r>
      <w:r w:rsidR="00A01D27">
        <w:t>eople were recruited to studies</w:t>
      </w:r>
      <w:r w:rsidR="00DF4330">
        <w:t xml:space="preserve"> on the </w:t>
      </w:r>
      <w:r w:rsidR="00DF4330" w:rsidRPr="00DF4330">
        <w:t>National Institute of Health Research (NIHR) Clinical Research Network</w:t>
      </w:r>
      <w:r w:rsidR="00DF4330">
        <w:t xml:space="preserve"> portfolio</w:t>
      </w:r>
      <w:r w:rsidR="00A01D27">
        <w:t xml:space="preserve">, </w:t>
      </w:r>
      <w:r w:rsidR="007C445D">
        <w:t xml:space="preserve">but only 7,000 were recruited to studies primarily </w:t>
      </w:r>
      <w:r w:rsidR="001533D4">
        <w:t xml:space="preserve">categorised </w:t>
      </w:r>
      <w:r w:rsidR="00A01D27">
        <w:t>under</w:t>
      </w:r>
      <w:r w:rsidR="001533D4">
        <w:t xml:space="preserve"> Ageing</w:t>
      </w:r>
      <w:r w:rsidR="001B19C9">
        <w:t>;</w:t>
      </w:r>
      <w:r w:rsidR="00B12E44">
        <w:t xml:space="preserve"> </w:t>
      </w:r>
      <w:r w:rsidR="006E459E">
        <w:t>t</w:t>
      </w:r>
      <w:r w:rsidR="00832B13">
        <w:t xml:space="preserve">he number of clinical studies </w:t>
      </w:r>
      <w:r w:rsidR="00B661BC">
        <w:t xml:space="preserve">primarily </w:t>
      </w:r>
      <w:r w:rsidR="00663E8F">
        <w:t xml:space="preserve">categorised </w:t>
      </w:r>
      <w:r w:rsidR="00122914">
        <w:t>under</w:t>
      </w:r>
      <w:r w:rsidR="00832B13">
        <w:t xml:space="preserve"> </w:t>
      </w:r>
      <w:r w:rsidR="00B661BC">
        <w:t>Ageing</w:t>
      </w:r>
      <w:r w:rsidR="00832B13">
        <w:t xml:space="preserve"> on the NIHR </w:t>
      </w:r>
      <w:r w:rsidR="00832B13" w:rsidRPr="00A135AE">
        <w:t>portfolio</w:t>
      </w:r>
      <w:r w:rsidR="00663E8F" w:rsidRPr="00A135AE">
        <w:t xml:space="preserve"> [3]</w:t>
      </w:r>
      <w:r w:rsidR="00832B13" w:rsidRPr="006E2B3A">
        <w:t xml:space="preserve"> is </w:t>
      </w:r>
      <w:r w:rsidR="00343A99" w:rsidRPr="006E2B3A">
        <w:t>29%</w:t>
      </w:r>
      <w:r w:rsidR="007B4263">
        <w:t xml:space="preserve"> and 16%</w:t>
      </w:r>
      <w:r w:rsidR="00A135AE" w:rsidRPr="006E2B3A">
        <w:t xml:space="preserve"> </w:t>
      </w:r>
      <w:r w:rsidR="006755E6">
        <w:t>of the number for respiratory medicine</w:t>
      </w:r>
      <w:r w:rsidR="007B4263">
        <w:t xml:space="preserve"> and cardiovascular medicine respectively.</w:t>
      </w:r>
    </w:p>
    <w:p w14:paraId="75A2DC4E" w14:textId="77777777" w:rsidR="00205A47" w:rsidRDefault="00205A47" w:rsidP="00205A47">
      <w:pPr>
        <w:spacing w:after="0" w:line="480" w:lineRule="auto"/>
        <w:jc w:val="both"/>
      </w:pPr>
    </w:p>
    <w:p w14:paraId="03EA9559" w14:textId="2EB28D11" w:rsidR="00832B13" w:rsidRDefault="001B0AC4" w:rsidP="00205A47">
      <w:pPr>
        <w:spacing w:after="0" w:line="480" w:lineRule="auto"/>
        <w:jc w:val="both"/>
      </w:pPr>
      <w:r w:rsidRPr="0055105A">
        <w:t>Why might this be, and what can we do about</w:t>
      </w:r>
      <w:r>
        <w:t xml:space="preserve"> it? These questions were considered by a group of </w:t>
      </w:r>
      <w:r w:rsidR="00331E14">
        <w:t xml:space="preserve">UK </w:t>
      </w:r>
      <w:r w:rsidR="00A01D27">
        <w:t>research-active</w:t>
      </w:r>
      <w:r>
        <w:t xml:space="preserve"> geriatricians in March 2018, gathered under the auspices of the NIHR </w:t>
      </w:r>
      <w:r w:rsidR="00A31EDB">
        <w:t xml:space="preserve">Newcastle </w:t>
      </w:r>
      <w:r>
        <w:t>Biomedical Research Centre, UK</w:t>
      </w:r>
      <w:r w:rsidR="00AC0940">
        <w:t xml:space="preserve"> -</w:t>
      </w:r>
      <w:r w:rsidR="00A31EDB">
        <w:t xml:space="preserve"> which has a particular focus on ageing and long-term conditions</w:t>
      </w:r>
      <w:r>
        <w:t xml:space="preserve">. </w:t>
      </w:r>
      <w:r w:rsidR="0046713D">
        <w:t>Invited s</w:t>
      </w:r>
      <w:r>
        <w:t>enior investigators, trainees and PhD candidates met for an intensive one-day meeting, and this commentary describes some potential solutions generated by the group.</w:t>
      </w:r>
    </w:p>
    <w:p w14:paraId="5970384B" w14:textId="77777777" w:rsidR="00205A47" w:rsidRDefault="00205A47" w:rsidP="00205A47">
      <w:pPr>
        <w:spacing w:after="0" w:line="480" w:lineRule="auto"/>
        <w:jc w:val="both"/>
        <w:rPr>
          <w:i/>
        </w:rPr>
      </w:pPr>
    </w:p>
    <w:p w14:paraId="412C8198" w14:textId="77777777" w:rsidR="0096701C" w:rsidRPr="001B0AC4" w:rsidRDefault="001B0AC4" w:rsidP="00205A47">
      <w:pPr>
        <w:spacing w:after="0" w:line="480" w:lineRule="auto"/>
        <w:jc w:val="both"/>
        <w:rPr>
          <w:i/>
        </w:rPr>
      </w:pPr>
      <w:r w:rsidRPr="001B0AC4">
        <w:rPr>
          <w:i/>
        </w:rPr>
        <w:t>What are the problems?</w:t>
      </w:r>
    </w:p>
    <w:p w14:paraId="05152E25" w14:textId="2811D322" w:rsidR="008A3CE2" w:rsidRDefault="00205A47" w:rsidP="00205A47">
      <w:pPr>
        <w:spacing w:after="0" w:line="480" w:lineRule="auto"/>
        <w:jc w:val="both"/>
      </w:pPr>
      <w:r>
        <w:t xml:space="preserve">The first </w:t>
      </w:r>
      <w:r w:rsidR="008A3CE2">
        <w:t>problem</w:t>
      </w:r>
      <w:r>
        <w:t xml:space="preserve"> is one of capacity. There are few </w:t>
      </w:r>
      <w:r w:rsidR="00A01D27">
        <w:t>research-active clinicians</w:t>
      </w:r>
      <w:r w:rsidR="008A3CE2">
        <w:t xml:space="preserve"> compared to the volume of clinical activity; this shortage</w:t>
      </w:r>
      <w:r w:rsidR="00BC3BE3">
        <w:t xml:space="preserve"> is evident for academic nurses and allied healthcare professionals (AHPs)</w:t>
      </w:r>
      <w:r w:rsidR="008A3CE2">
        <w:t xml:space="preserve"> </w:t>
      </w:r>
      <w:r w:rsidR="00A31EDB">
        <w:t>in the field</w:t>
      </w:r>
      <w:r w:rsidR="00A01D27">
        <w:t xml:space="preserve"> as well as doctors. Research</w:t>
      </w:r>
      <w:r w:rsidR="008A3CE2">
        <w:t xml:space="preserve"> work </w:t>
      </w:r>
      <w:r w:rsidR="00A01D27">
        <w:t xml:space="preserve">in geriatric medicine </w:t>
      </w:r>
      <w:r w:rsidR="008A3CE2">
        <w:t xml:space="preserve">is vital for patients and society, but may not always translate into the metrics by which </w:t>
      </w:r>
      <w:r w:rsidR="00B12E44">
        <w:t>u</w:t>
      </w:r>
      <w:r w:rsidR="008A3CE2">
        <w:t>niversities value and appoint staff</w:t>
      </w:r>
      <w:r w:rsidR="00BC3BE3">
        <w:t>, such as reports in journals with a high impact factor</w:t>
      </w:r>
      <w:r w:rsidR="008A3CE2">
        <w:t xml:space="preserve">. </w:t>
      </w:r>
      <w:r w:rsidR="007B4263">
        <w:t xml:space="preserve">Lack of visibility may contribute to academically inclined trainees not perceiving </w:t>
      </w:r>
      <w:r w:rsidR="00BC3BE3" w:rsidRPr="00BC3BE3">
        <w:t xml:space="preserve">geriatric medicine </w:t>
      </w:r>
      <w:r w:rsidR="007B4263">
        <w:t>as a research-active specialty to pursue</w:t>
      </w:r>
      <w:r w:rsidR="008A3533">
        <w:t>, and consequently diverting into other specialities</w:t>
      </w:r>
      <w:r w:rsidR="007B4263">
        <w:t>.</w:t>
      </w:r>
    </w:p>
    <w:p w14:paraId="29FFA0C6" w14:textId="77777777" w:rsidR="00A16CAC" w:rsidRDefault="00A16CAC" w:rsidP="00205A47">
      <w:pPr>
        <w:spacing w:after="0" w:line="480" w:lineRule="auto"/>
        <w:jc w:val="both"/>
      </w:pPr>
    </w:p>
    <w:p w14:paraId="3D9AB5C5" w14:textId="4C721CB0" w:rsidR="00BC3BE3" w:rsidRDefault="00A16CAC" w:rsidP="00205A47">
      <w:pPr>
        <w:spacing w:after="0" w:line="480" w:lineRule="auto"/>
        <w:jc w:val="both"/>
      </w:pPr>
      <w:r w:rsidRPr="00A16CAC">
        <w:t xml:space="preserve">The </w:t>
      </w:r>
      <w:r>
        <w:t>second</w:t>
      </w:r>
      <w:r w:rsidRPr="00A16CAC">
        <w:t xml:space="preserve"> problem is one of culture. There is a perception amongst some clinicians that geriatric medicine is not a speciality that needs to do research – a view perhaps driven by the problems outlined above. Research is too often seen as distant from practice, findings are not effectively disseminated or embedded into teaching or care, and the research agenda is not always perceived to </w:t>
      </w:r>
      <w:r w:rsidR="000F162F">
        <w:t>align</w:t>
      </w:r>
      <w:r w:rsidRPr="00A16CAC">
        <w:t xml:space="preserve"> with the priorities of patients, policymakers or clinicians.</w:t>
      </w:r>
    </w:p>
    <w:p w14:paraId="225C8104" w14:textId="77777777" w:rsidR="00A16CAC" w:rsidRDefault="00A16CAC" w:rsidP="00205A47">
      <w:pPr>
        <w:spacing w:after="0" w:line="480" w:lineRule="auto"/>
        <w:jc w:val="both"/>
      </w:pPr>
    </w:p>
    <w:p w14:paraId="193CA5CE" w14:textId="6CC4D9BF" w:rsidR="00205A47" w:rsidRDefault="008A3CE2" w:rsidP="00205A47">
      <w:pPr>
        <w:spacing w:after="0" w:line="480" w:lineRule="auto"/>
        <w:jc w:val="both"/>
      </w:pPr>
      <w:r>
        <w:t xml:space="preserve">The </w:t>
      </w:r>
      <w:r w:rsidR="00A16CAC">
        <w:t>third</w:t>
      </w:r>
      <w:r>
        <w:t xml:space="preserve"> problem is a failure of translation. Much </w:t>
      </w:r>
      <w:r w:rsidR="006C74FA">
        <w:t>ageing research</w:t>
      </w:r>
      <w:r>
        <w:t xml:space="preserve"> is done in discovery science, </w:t>
      </w:r>
      <w:r w:rsidR="007B4263">
        <w:t xml:space="preserve">but </w:t>
      </w:r>
      <w:r w:rsidR="00C52D13">
        <w:t>with few clinicians directly involved</w:t>
      </w:r>
      <w:r>
        <w:t xml:space="preserve"> this work has had little impact on patient care to date. Similarly,</w:t>
      </w:r>
      <w:r w:rsidR="007B4263">
        <w:t xml:space="preserve"> at practice level,</w:t>
      </w:r>
      <w:r>
        <w:t xml:space="preserve"> geriatric medicine is constantly innovating and developing new models of service, yet little rigorous </w:t>
      </w:r>
      <w:r w:rsidR="0046713D">
        <w:t>evaluation</w:t>
      </w:r>
      <w:r>
        <w:t xml:space="preserve"> takes place.</w:t>
      </w:r>
      <w:r w:rsidR="00BC3BE3">
        <w:t xml:space="preserve"> Much of the research that is conducted </w:t>
      </w:r>
      <w:r w:rsidR="00FA1126">
        <w:t xml:space="preserve">lacks the scale or impact to </w:t>
      </w:r>
      <w:r w:rsidR="00BC3BE3">
        <w:t>influence practice.</w:t>
      </w:r>
    </w:p>
    <w:p w14:paraId="22DF278C" w14:textId="77777777" w:rsidR="00825DE6" w:rsidRDefault="00825DE6" w:rsidP="00205A47">
      <w:pPr>
        <w:spacing w:after="0" w:line="480" w:lineRule="auto"/>
        <w:jc w:val="both"/>
      </w:pPr>
    </w:p>
    <w:p w14:paraId="65FCEC37" w14:textId="77777777" w:rsidR="0096701C" w:rsidRDefault="00205A47" w:rsidP="00205A47">
      <w:pPr>
        <w:spacing w:after="0" w:line="480" w:lineRule="auto"/>
        <w:jc w:val="both"/>
      </w:pPr>
      <w:r>
        <w:t>What</w:t>
      </w:r>
      <w:r w:rsidR="00170032">
        <w:t xml:space="preserve"> then might </w:t>
      </w:r>
      <w:r>
        <w:t>the s</w:t>
      </w:r>
      <w:r w:rsidR="0096701C">
        <w:t>olutions</w:t>
      </w:r>
      <w:r w:rsidR="00170032">
        <w:t xml:space="preserve"> be</w:t>
      </w:r>
      <w:r>
        <w:t>? The meeting considered four major areas of activity, which we outline below:</w:t>
      </w:r>
    </w:p>
    <w:p w14:paraId="32FEE953" w14:textId="77777777" w:rsidR="00205A47" w:rsidRDefault="00205A47" w:rsidP="00205A47">
      <w:pPr>
        <w:spacing w:after="0" w:line="480" w:lineRule="auto"/>
        <w:jc w:val="both"/>
      </w:pPr>
    </w:p>
    <w:p w14:paraId="7849EBD7" w14:textId="77777777" w:rsidR="0096701C" w:rsidRPr="00205A47" w:rsidRDefault="0096701C" w:rsidP="00205A47">
      <w:pPr>
        <w:pStyle w:val="ListParagraph"/>
        <w:numPr>
          <w:ilvl w:val="0"/>
          <w:numId w:val="1"/>
        </w:numPr>
        <w:spacing w:after="0" w:line="480" w:lineRule="auto"/>
        <w:ind w:left="0" w:firstLine="0"/>
        <w:jc w:val="both"/>
        <w:rPr>
          <w:i/>
        </w:rPr>
      </w:pPr>
      <w:r w:rsidRPr="00205A47">
        <w:rPr>
          <w:i/>
        </w:rPr>
        <w:t>Involving clinicians in research</w:t>
      </w:r>
    </w:p>
    <w:p w14:paraId="46E99D60" w14:textId="4EDD9A50" w:rsidR="00331E14" w:rsidRDefault="00760645" w:rsidP="00D474E6">
      <w:pPr>
        <w:spacing w:after="0" w:line="480" w:lineRule="auto"/>
        <w:jc w:val="both"/>
      </w:pPr>
      <w:r>
        <w:t>C</w:t>
      </w:r>
      <w:r w:rsidR="00331E14">
        <w:t xml:space="preserve">linical research at scale requires recruitment at multiple sites, many of which may not be affiliated to </w:t>
      </w:r>
      <w:r w:rsidR="00B12E44">
        <w:t>u</w:t>
      </w:r>
      <w:r w:rsidR="009A37BF">
        <w:t>niversities</w:t>
      </w:r>
      <w:r w:rsidR="00331E14">
        <w:t xml:space="preserve">. Hence </w:t>
      </w:r>
      <w:r w:rsidR="000F162F">
        <w:t>we</w:t>
      </w:r>
      <w:r w:rsidR="00331E14">
        <w:t xml:space="preserve"> need to ensure that </w:t>
      </w:r>
      <w:r w:rsidR="00A31EDB">
        <w:t xml:space="preserve">all </w:t>
      </w:r>
      <w:r w:rsidR="00331E14">
        <w:t>clinicians can be active in research</w:t>
      </w:r>
      <w:r w:rsidR="008A3533">
        <w:t>; such an approach is also likely to facilitate implementation of findings</w:t>
      </w:r>
      <w:r w:rsidR="00DF4330">
        <w:t xml:space="preserve">. In the UK, the </w:t>
      </w:r>
      <w:r w:rsidR="00DF4330" w:rsidRPr="00A135AE">
        <w:t xml:space="preserve">NIHR </w:t>
      </w:r>
      <w:r w:rsidR="00FA1126">
        <w:t>CRN</w:t>
      </w:r>
      <w:r w:rsidR="00D474E6" w:rsidRPr="006E2B3A">
        <w:t xml:space="preserve"> Ageing </w:t>
      </w:r>
      <w:r w:rsidR="00DF4330" w:rsidRPr="006E2B3A">
        <w:t xml:space="preserve">Speciality Group </w:t>
      </w:r>
      <w:r w:rsidR="00C52D13">
        <w:t>and parallel structures in the devolved nations assist</w:t>
      </w:r>
      <w:r w:rsidR="00DF4330">
        <w:t xml:space="preserve"> this process by providing</w:t>
      </w:r>
      <w:r w:rsidR="00DF4330" w:rsidRPr="00DF4330">
        <w:t xml:space="preserve"> infrastructure support for clinical ageing research delivery</w:t>
      </w:r>
      <w:r w:rsidR="00331E14">
        <w:t>.</w:t>
      </w:r>
      <w:r w:rsidR="00B041DD">
        <w:t xml:space="preserve"> </w:t>
      </w:r>
      <w:r w:rsidR="000F162F">
        <w:t>I</w:t>
      </w:r>
      <w:r w:rsidR="004C4F25">
        <w:t xml:space="preserve">nvolvement in research </w:t>
      </w:r>
      <w:r w:rsidR="007B4263">
        <w:t>by</w:t>
      </w:r>
      <w:r w:rsidR="004C4F25">
        <w:t xml:space="preserve"> </w:t>
      </w:r>
      <w:r w:rsidR="007B4263">
        <w:t>early career staff across all professions</w:t>
      </w:r>
      <w:r w:rsidR="00B041DD">
        <w:t xml:space="preserve"> </w:t>
      </w:r>
      <w:r w:rsidR="004C4F25">
        <w:t>would develop a larger</w:t>
      </w:r>
      <w:r w:rsidR="00C52D13">
        <w:t xml:space="preserve"> </w:t>
      </w:r>
      <w:r w:rsidR="00B041DD">
        <w:t xml:space="preserve">group </w:t>
      </w:r>
      <w:r w:rsidR="00C52D13" w:rsidRPr="00C52D13">
        <w:t>representative of those delivering ca</w:t>
      </w:r>
      <w:r w:rsidR="007B4263">
        <w:t xml:space="preserve">re </w:t>
      </w:r>
      <w:r w:rsidR="004C4F25">
        <w:t>who are familiar</w:t>
      </w:r>
      <w:r w:rsidR="00B041DD">
        <w:t xml:space="preserve"> with research processes such as recruiting to clinical trials</w:t>
      </w:r>
      <w:r w:rsidR="00C52D13">
        <w:t>; a spin-off benefit would be enhanced awareness of, and skills to interpret, research evidence</w:t>
      </w:r>
      <w:r w:rsidR="00B041DD">
        <w:t xml:space="preserve">. Support networks have been successful in supporting clinicians to engage with research in some disease areas, such as </w:t>
      </w:r>
      <w:r w:rsidR="00912A41">
        <w:t xml:space="preserve">stroke, </w:t>
      </w:r>
      <w:r w:rsidR="00B041DD">
        <w:t>Parkinson</w:t>
      </w:r>
      <w:r w:rsidR="00205A47">
        <w:t>’</w:t>
      </w:r>
      <w:r w:rsidR="00B041DD">
        <w:t>s, dementia, and osteoporosis</w:t>
      </w:r>
      <w:r w:rsidR="00C52D13">
        <w:t xml:space="preserve"> – and in delivering </w:t>
      </w:r>
      <w:r w:rsidR="00B041DD">
        <w:t>focussed training for clinicians to support resear</w:t>
      </w:r>
      <w:r w:rsidR="000F162F">
        <w:t>ch activity. The challenge is to ensure</w:t>
      </w:r>
      <w:r w:rsidR="00B041DD">
        <w:t xml:space="preserve"> that a</w:t>
      </w:r>
      <w:r w:rsidR="00A31EDB">
        <w:t>geing syndromes and a</w:t>
      </w:r>
      <w:r w:rsidR="00B041DD">
        <w:t xml:space="preserve"> wider range of disease areas are represented.</w:t>
      </w:r>
    </w:p>
    <w:p w14:paraId="0B4758E6" w14:textId="77777777" w:rsidR="00205A47" w:rsidRDefault="00205A47" w:rsidP="00205A47">
      <w:pPr>
        <w:spacing w:after="0" w:line="480" w:lineRule="auto"/>
        <w:jc w:val="both"/>
      </w:pPr>
    </w:p>
    <w:p w14:paraId="4B2A2E0B" w14:textId="3B729676" w:rsidR="00B041DD" w:rsidRDefault="009A37BF" w:rsidP="00205A47">
      <w:pPr>
        <w:spacing w:after="0" w:line="480" w:lineRule="auto"/>
        <w:jc w:val="both"/>
      </w:pPr>
      <w:r>
        <w:t>F</w:t>
      </w:r>
      <w:r w:rsidR="009A08C5">
        <w:t>unding</w:t>
      </w:r>
      <w:r w:rsidR="00B041DD">
        <w:t xml:space="preserve"> </w:t>
      </w:r>
      <w:r>
        <w:t xml:space="preserve">is necessary </w:t>
      </w:r>
      <w:r w:rsidR="00B041DD">
        <w:t xml:space="preserve">either </w:t>
      </w:r>
      <w:r>
        <w:t xml:space="preserve">to </w:t>
      </w:r>
      <w:r w:rsidR="00B041DD">
        <w:t xml:space="preserve">support research time directly, or to allow cover for research time by others. Although mechanisms in the UK do exist to allow funds to ‘follow the participant’, service pressures often make it difficult to </w:t>
      </w:r>
      <w:r>
        <w:t>release</w:t>
      </w:r>
      <w:r w:rsidR="00B041DD">
        <w:t xml:space="preserve"> time even when funds allow. In healthcare systems where private practice or clinician-level billing are prevalent, funding is essential </w:t>
      </w:r>
      <w:r w:rsidR="00C52D13">
        <w:t>to make</w:t>
      </w:r>
      <w:r w:rsidR="00B041DD">
        <w:t xml:space="preserve"> research activity an attractive and viable alternative to </w:t>
      </w:r>
      <w:r w:rsidR="000F162F">
        <w:t>service delivery</w:t>
      </w:r>
      <w:r w:rsidR="00B041DD">
        <w:t xml:space="preserve">. </w:t>
      </w:r>
    </w:p>
    <w:p w14:paraId="2C354892" w14:textId="77777777" w:rsidR="00205A47" w:rsidRDefault="00205A47" w:rsidP="00205A47">
      <w:pPr>
        <w:spacing w:after="0" w:line="480" w:lineRule="auto"/>
        <w:jc w:val="both"/>
      </w:pPr>
    </w:p>
    <w:p w14:paraId="132DC416" w14:textId="77777777" w:rsidR="0096701C" w:rsidRPr="00205A47" w:rsidRDefault="00205A47" w:rsidP="00205A47">
      <w:pPr>
        <w:pStyle w:val="ListParagraph"/>
        <w:numPr>
          <w:ilvl w:val="0"/>
          <w:numId w:val="1"/>
        </w:numPr>
        <w:spacing w:after="0" w:line="480" w:lineRule="auto"/>
        <w:ind w:left="0" w:firstLine="0"/>
        <w:jc w:val="both"/>
        <w:rPr>
          <w:i/>
        </w:rPr>
      </w:pPr>
      <w:r>
        <w:rPr>
          <w:i/>
        </w:rPr>
        <w:t>Developing</w:t>
      </w:r>
      <w:r w:rsidR="004029E4" w:rsidRPr="00205A47">
        <w:rPr>
          <w:i/>
        </w:rPr>
        <w:t xml:space="preserve"> early-career researchers</w:t>
      </w:r>
    </w:p>
    <w:p w14:paraId="5DC83890" w14:textId="64B4CE34" w:rsidR="004029E4" w:rsidRDefault="004029E4" w:rsidP="00205A47">
      <w:pPr>
        <w:spacing w:after="0" w:line="480" w:lineRule="auto"/>
        <w:jc w:val="both"/>
      </w:pPr>
      <w:r>
        <w:t xml:space="preserve">The decision to specialise in geriatric medicine is made relatively late compared to some </w:t>
      </w:r>
      <w:r w:rsidRPr="00946C04">
        <w:t>specialities [</w:t>
      </w:r>
      <w:r w:rsidR="0094032C">
        <w:t>4</w:t>
      </w:r>
      <w:r w:rsidR="00946C04" w:rsidRPr="006C74FA">
        <w:t>,</w:t>
      </w:r>
      <w:r w:rsidR="0094032C">
        <w:t>5</w:t>
      </w:r>
      <w:r w:rsidRPr="00A92DCC">
        <w:t xml:space="preserve">]. </w:t>
      </w:r>
      <w:r w:rsidR="00D61B55">
        <w:t>A</w:t>
      </w:r>
      <w:r w:rsidR="000F162F">
        <w:t>cademics focussing on</w:t>
      </w:r>
      <w:r>
        <w:t xml:space="preserve"> ageing and the care of older people are in competition with </w:t>
      </w:r>
      <w:r w:rsidR="00D61B55">
        <w:t xml:space="preserve">these </w:t>
      </w:r>
      <w:r>
        <w:t xml:space="preserve">other specialities – for fellowships, awards and for </w:t>
      </w:r>
      <w:r w:rsidR="00B12E44">
        <w:t>u</w:t>
      </w:r>
      <w:r>
        <w:t xml:space="preserve">niversity tenure. </w:t>
      </w:r>
      <w:r w:rsidR="00FA1126" w:rsidRPr="00FA1126">
        <w:t>Furthermore, they do not typically have access to the considerable funding resources of, for example, the major cardiovascular health and oncology research charities for early career support.</w:t>
      </w:r>
      <w:r w:rsidR="00FA1126">
        <w:t xml:space="preserve"> </w:t>
      </w:r>
      <w:r>
        <w:t>Any successful approach to building capacity therefore has</w:t>
      </w:r>
      <w:r w:rsidR="00A17697">
        <w:t xml:space="preserve"> to start early. T</w:t>
      </w:r>
      <w:r>
        <w:t>he pipeline of trained investigators could be st</w:t>
      </w:r>
      <w:r w:rsidR="00A17697">
        <w:t xml:space="preserve">rengthened by </w:t>
      </w:r>
      <w:r>
        <w:t>en</w:t>
      </w:r>
      <w:r w:rsidR="009A37BF">
        <w:t xml:space="preserve">hancing the </w:t>
      </w:r>
      <w:r>
        <w:t xml:space="preserve">visibility of the speciality in undergraduate medical, nursing and AHP education; </w:t>
      </w:r>
      <w:r w:rsidR="009A37BF">
        <w:t xml:space="preserve">offering </w:t>
      </w:r>
      <w:r>
        <w:t xml:space="preserve">undergraduate </w:t>
      </w:r>
      <w:r w:rsidR="00FA1126">
        <w:t xml:space="preserve">research </w:t>
      </w:r>
      <w:r>
        <w:t>project</w:t>
      </w:r>
      <w:r w:rsidR="00760645">
        <w:t xml:space="preserve">s </w:t>
      </w:r>
      <w:r>
        <w:t>relevan</w:t>
      </w:r>
      <w:r w:rsidR="00FA1126">
        <w:t>t to ageing</w:t>
      </w:r>
      <w:r>
        <w:t xml:space="preserve">, and </w:t>
      </w:r>
      <w:r w:rsidR="009A37BF">
        <w:t xml:space="preserve">providing </w:t>
      </w:r>
      <w:r>
        <w:t xml:space="preserve">research </w:t>
      </w:r>
      <w:r w:rsidR="009A37BF">
        <w:t xml:space="preserve">training </w:t>
      </w:r>
      <w:r>
        <w:t>for v</w:t>
      </w:r>
      <w:r w:rsidR="00205A47">
        <w:t xml:space="preserve">ery early-career practitioners. </w:t>
      </w:r>
      <w:r w:rsidR="00FA1126">
        <w:t xml:space="preserve">The resulting </w:t>
      </w:r>
      <w:r w:rsidR="009A37BF">
        <w:t>candidates would</w:t>
      </w:r>
      <w:r>
        <w:t xml:space="preserve"> have </w:t>
      </w:r>
      <w:r w:rsidR="000F162F">
        <w:t xml:space="preserve">better </w:t>
      </w:r>
      <w:r>
        <w:t xml:space="preserve">awareness </w:t>
      </w:r>
      <w:r w:rsidR="000F162F">
        <w:t>and experience</w:t>
      </w:r>
      <w:r>
        <w:t xml:space="preserve">, and </w:t>
      </w:r>
      <w:r w:rsidR="009A37BF">
        <w:t>be</w:t>
      </w:r>
      <w:r>
        <w:t xml:space="preserve"> competitive for higher research training at PhD level. </w:t>
      </w:r>
      <w:r w:rsidR="00055157">
        <w:t>E</w:t>
      </w:r>
      <w:r>
        <w:t xml:space="preserve">xpanding the numbers of PhD posts relevant to translational ageing research is </w:t>
      </w:r>
      <w:r w:rsidR="009A37BF">
        <w:t xml:space="preserve">necessary, but is </w:t>
      </w:r>
      <w:r>
        <w:t>unli</w:t>
      </w:r>
      <w:r w:rsidR="009A37BF">
        <w:t>kely to be sufficient</w:t>
      </w:r>
      <w:r w:rsidR="0022751D">
        <w:t>.</w:t>
      </w:r>
    </w:p>
    <w:p w14:paraId="652ECB78" w14:textId="77777777" w:rsidR="00205A47" w:rsidRDefault="00205A47" w:rsidP="00205A47">
      <w:pPr>
        <w:spacing w:after="0" w:line="480" w:lineRule="auto"/>
        <w:jc w:val="both"/>
      </w:pPr>
    </w:p>
    <w:p w14:paraId="4F40AEA8" w14:textId="718F8C80" w:rsidR="0022751D" w:rsidRDefault="0022751D" w:rsidP="00205A47">
      <w:pPr>
        <w:spacing w:after="0" w:line="480" w:lineRule="auto"/>
        <w:jc w:val="both"/>
      </w:pPr>
      <w:r>
        <w:t>The transition from PhD to independent researcher remains a major challenge</w:t>
      </w:r>
      <w:r w:rsidR="009A37BF">
        <w:t xml:space="preserve"> in many </w:t>
      </w:r>
      <w:r>
        <w:t xml:space="preserve">scientific </w:t>
      </w:r>
      <w:r w:rsidRPr="0055105A">
        <w:t>disciplines [</w:t>
      </w:r>
      <w:r w:rsidR="0094032C">
        <w:t>6</w:t>
      </w:r>
      <w:r w:rsidRPr="006C74FA">
        <w:t>]</w:t>
      </w:r>
      <w:r w:rsidR="00A62244">
        <w:t>. G</w:t>
      </w:r>
      <w:r w:rsidR="00750909">
        <w:t>ood mentorship</w:t>
      </w:r>
      <w:r w:rsidR="00A62244">
        <w:t xml:space="preserve"> for academics at this</w:t>
      </w:r>
      <w:r w:rsidR="00750909">
        <w:t xml:space="preserve"> career</w:t>
      </w:r>
      <w:r w:rsidR="00A62244">
        <w:t xml:space="preserve"> stage</w:t>
      </w:r>
      <w:r w:rsidR="00750909">
        <w:t xml:space="preserve"> is critical to drive successful intermediate fellowship bids</w:t>
      </w:r>
      <w:r w:rsidR="00DC57FA">
        <w:t>; models</w:t>
      </w:r>
      <w:r w:rsidR="00B6657C">
        <w:t xml:space="preserve"> such as the establishment of an </w:t>
      </w:r>
      <w:r w:rsidR="00DC57FA">
        <w:t>Ageing Academy</w:t>
      </w:r>
      <w:r w:rsidR="00B6657C">
        <w:t xml:space="preserve"> or School for Ageing Research</w:t>
      </w:r>
      <w:r w:rsidR="00DC57FA">
        <w:t xml:space="preserve"> may be required to deliver this support</w:t>
      </w:r>
      <w:r w:rsidR="00760645">
        <w:t>. R</w:t>
      </w:r>
      <w:r w:rsidR="00750909">
        <w:t>epresentation of geriatric medicine on sel</w:t>
      </w:r>
      <w:r w:rsidR="009A37BF">
        <w:t>ection panels is also necessary</w:t>
      </w:r>
      <w:r w:rsidR="00750909">
        <w:t xml:space="preserve"> </w:t>
      </w:r>
      <w:r w:rsidR="00760645">
        <w:t>to provide</w:t>
      </w:r>
      <w:r w:rsidR="00750909">
        <w:t xml:space="preserve"> relevant expertise </w:t>
      </w:r>
      <w:r w:rsidR="00D61B55">
        <w:t>for</w:t>
      </w:r>
      <w:r w:rsidR="00750909">
        <w:t xml:space="preserve"> </w:t>
      </w:r>
      <w:r w:rsidR="00760645">
        <w:t xml:space="preserve">funding </w:t>
      </w:r>
      <w:r w:rsidR="00FA1126">
        <w:t>decisions</w:t>
      </w:r>
      <w:r w:rsidR="00FA1126" w:rsidRPr="00FA1126">
        <w:t>, taking into account the often highly complex mechanisms and pathways involved in ageing biology and common geriatric syndromes.</w:t>
      </w:r>
    </w:p>
    <w:p w14:paraId="7F794ABA" w14:textId="77777777" w:rsidR="00205A47" w:rsidRDefault="00205A47" w:rsidP="00205A47">
      <w:pPr>
        <w:spacing w:after="0" w:line="480" w:lineRule="auto"/>
        <w:jc w:val="both"/>
      </w:pPr>
    </w:p>
    <w:p w14:paraId="6B34D0C2" w14:textId="77777777" w:rsidR="0096701C" w:rsidRPr="00205A47" w:rsidRDefault="0096701C" w:rsidP="00205A47">
      <w:pPr>
        <w:pStyle w:val="ListParagraph"/>
        <w:numPr>
          <w:ilvl w:val="0"/>
          <w:numId w:val="1"/>
        </w:numPr>
        <w:spacing w:after="0" w:line="480" w:lineRule="auto"/>
        <w:ind w:left="0" w:firstLine="0"/>
        <w:jc w:val="both"/>
        <w:rPr>
          <w:i/>
        </w:rPr>
      </w:pPr>
      <w:r w:rsidRPr="00205A47">
        <w:rPr>
          <w:i/>
        </w:rPr>
        <w:t>Getting research into clinical practice</w:t>
      </w:r>
    </w:p>
    <w:p w14:paraId="643980CF" w14:textId="04C63378" w:rsidR="00401F17" w:rsidRDefault="009040AC" w:rsidP="0096602D">
      <w:pPr>
        <w:spacing w:after="0" w:line="480" w:lineRule="auto"/>
        <w:jc w:val="both"/>
      </w:pPr>
      <w:r>
        <w:t>B</w:t>
      </w:r>
      <w:r w:rsidR="00841413">
        <w:t>ridging the ‘know-do’ gap [7,8</w:t>
      </w:r>
      <w:r w:rsidRPr="009040AC">
        <w:t>]</w:t>
      </w:r>
      <w:r>
        <w:t xml:space="preserve"> is essential if research</w:t>
      </w:r>
      <w:r w:rsidR="00E8198B">
        <w:t xml:space="preserve"> benefits are to reach patients. Choosing </w:t>
      </w:r>
      <w:r w:rsidR="0096602D" w:rsidRPr="00A135AE">
        <w:t>appropriate research</w:t>
      </w:r>
      <w:r w:rsidR="00E8198B" w:rsidRPr="00A135AE">
        <w:t xml:space="preserve"> ques</w:t>
      </w:r>
      <w:r w:rsidR="00E8198B" w:rsidRPr="006E2B3A">
        <w:t>tions is important</w:t>
      </w:r>
      <w:r w:rsidR="00E8198B">
        <w:t xml:space="preserve">, and </w:t>
      </w:r>
      <w:r w:rsidR="00E8198B" w:rsidRPr="00E8198B">
        <w:t>the James Lind Alliance on priority-setting for research</w:t>
      </w:r>
      <w:r w:rsidR="00E8198B">
        <w:t xml:space="preserve"> is an excellent model for this</w:t>
      </w:r>
      <w:r w:rsidR="00841413">
        <w:t xml:space="preserve"> [9</w:t>
      </w:r>
      <w:r w:rsidR="00E8198B">
        <w:t xml:space="preserve">]; the alliance has recently published the top ten priorities for research for people with multiple conditions </w:t>
      </w:r>
      <w:r w:rsidR="00841413">
        <w:t>[10</w:t>
      </w:r>
      <w:r w:rsidR="00E8198B" w:rsidRPr="00E8198B">
        <w:t>].</w:t>
      </w:r>
      <w:r w:rsidR="00E8198B">
        <w:t xml:space="preserve"> Co-production of research </w:t>
      </w:r>
      <w:r w:rsidR="00766FC6">
        <w:t>by</w:t>
      </w:r>
      <w:r w:rsidR="00E8198B">
        <w:t xml:space="preserve"> knowledge users and research teams helps to ensure that the results will be relevant to both clinicians and patients. </w:t>
      </w:r>
      <w:r w:rsidR="00E00206">
        <w:t>Embedding assessment of</w:t>
      </w:r>
      <w:r w:rsidR="00DC57FA">
        <w:t xml:space="preserve"> implementation strategies (</w:t>
      </w:r>
      <w:r w:rsidR="00E00206">
        <w:t xml:space="preserve">in particular </w:t>
      </w:r>
      <w:r w:rsidR="001D1047">
        <w:t>areas</w:t>
      </w:r>
      <w:r w:rsidR="00E00206">
        <w:t xml:space="preserve"> of implementation failure including cost, training and workflow) is another key component</w:t>
      </w:r>
      <w:r w:rsidR="00D61B55">
        <w:t>, as is the use of linked, routinely collected health and social care data to evaluate interventions in real-world populations</w:t>
      </w:r>
      <w:r w:rsidR="00E00206">
        <w:t>. Co-production</w:t>
      </w:r>
      <w:r w:rsidR="00750909" w:rsidRPr="00D60841">
        <w:t xml:space="preserve"> </w:t>
      </w:r>
      <w:r w:rsidR="005D2B33">
        <w:t xml:space="preserve">can </w:t>
      </w:r>
      <w:r w:rsidR="00750909" w:rsidRPr="00D60841">
        <w:t>also</w:t>
      </w:r>
      <w:r w:rsidR="00750909">
        <w:t xml:space="preserve"> </w:t>
      </w:r>
      <w:r w:rsidR="00E00206">
        <w:t xml:space="preserve">help with dissemination - targeting research findings to research users </w:t>
      </w:r>
      <w:r w:rsidR="00750909">
        <w:t xml:space="preserve">in ways that </w:t>
      </w:r>
      <w:r w:rsidR="00E00206">
        <w:t>they find useful</w:t>
      </w:r>
      <w:r w:rsidR="00A63B4E">
        <w:t>. R</w:t>
      </w:r>
      <w:r w:rsidR="00750909">
        <w:t xml:space="preserve">esearch users </w:t>
      </w:r>
      <w:r w:rsidR="00A63B4E">
        <w:t xml:space="preserve">need to be </w:t>
      </w:r>
      <w:r w:rsidR="00750909">
        <w:t>ready to receive and engage with research findings</w:t>
      </w:r>
      <w:r w:rsidR="00A62244">
        <w:t xml:space="preserve">; </w:t>
      </w:r>
      <w:r w:rsidR="00A63B4E">
        <w:t xml:space="preserve">this can be facilitated by </w:t>
      </w:r>
      <w:r w:rsidR="00E00206">
        <w:t xml:space="preserve">delivering research findings </w:t>
      </w:r>
      <w:r w:rsidR="00A63B4E">
        <w:t>that are both relevant and accessible</w:t>
      </w:r>
      <w:r w:rsidR="00E00206">
        <w:t xml:space="preserve"> to practitioners.</w:t>
      </w:r>
      <w:r w:rsidR="009A37BF" w:rsidRPr="009A37BF">
        <w:t xml:space="preserve"> In the UK the applied healthcare research programmes of several regional NIHR Collaborations for Leadership in Applied Health Research and Care (CLAHRC</w:t>
      </w:r>
      <w:r w:rsidR="00DC57FA">
        <w:t>s</w:t>
      </w:r>
      <w:r w:rsidR="009A37BF" w:rsidRPr="009A37BF">
        <w:t>) seek to address this translational gap.</w:t>
      </w:r>
    </w:p>
    <w:p w14:paraId="2B58273E" w14:textId="77777777" w:rsidR="00205A47" w:rsidRDefault="00205A47" w:rsidP="00205A47">
      <w:pPr>
        <w:spacing w:after="0" w:line="480" w:lineRule="auto"/>
        <w:jc w:val="both"/>
      </w:pPr>
    </w:p>
    <w:p w14:paraId="6FE62E2B" w14:textId="77777777" w:rsidR="0096701C" w:rsidRPr="00205A47" w:rsidRDefault="0096701C" w:rsidP="00205A47">
      <w:pPr>
        <w:pStyle w:val="ListParagraph"/>
        <w:numPr>
          <w:ilvl w:val="0"/>
          <w:numId w:val="1"/>
        </w:numPr>
        <w:spacing w:after="0" w:line="480" w:lineRule="auto"/>
        <w:ind w:left="0" w:firstLine="0"/>
        <w:jc w:val="both"/>
        <w:rPr>
          <w:i/>
        </w:rPr>
      </w:pPr>
      <w:r w:rsidRPr="00205A47">
        <w:rPr>
          <w:i/>
        </w:rPr>
        <w:t>Expanding the funding envelope</w:t>
      </w:r>
    </w:p>
    <w:p w14:paraId="698D10C8" w14:textId="1D6FCCA6" w:rsidR="000B4770" w:rsidRDefault="00A62244" w:rsidP="00205A47">
      <w:pPr>
        <w:spacing w:after="0" w:line="480" w:lineRule="auto"/>
        <w:jc w:val="both"/>
      </w:pPr>
      <w:r>
        <w:t>There is</w:t>
      </w:r>
      <w:r w:rsidR="00734793">
        <w:t xml:space="preserve"> growing </w:t>
      </w:r>
      <w:r w:rsidR="00F675AE">
        <w:t>awareness of</w:t>
      </w:r>
      <w:r w:rsidR="00734793">
        <w:t xml:space="preserve"> the importance of ageing and c</w:t>
      </w:r>
      <w:r w:rsidR="00766FC6">
        <w:t xml:space="preserve">are of older people by funders. </w:t>
      </w:r>
      <w:r w:rsidR="0007475D">
        <w:t xml:space="preserve">European Union funding streams </w:t>
      </w:r>
      <w:r w:rsidR="00CB1A75">
        <w:t>have included a substantial component of research which is directly relevant for older people. Within</w:t>
      </w:r>
      <w:r w:rsidR="00F675AE">
        <w:t xml:space="preserve"> </w:t>
      </w:r>
      <w:r w:rsidR="00A3218D">
        <w:t>the UK</w:t>
      </w:r>
      <w:r w:rsidR="00D14D28">
        <w:t>,</w:t>
      </w:r>
      <w:r w:rsidR="00A3218D">
        <w:t xml:space="preserve"> </w:t>
      </w:r>
      <w:r w:rsidR="00C3147D">
        <w:t xml:space="preserve">the </w:t>
      </w:r>
      <w:r w:rsidR="00766FC6">
        <w:t xml:space="preserve">recent </w:t>
      </w:r>
      <w:r w:rsidR="00C3147D">
        <w:t>Aca</w:t>
      </w:r>
      <w:r w:rsidR="00766FC6">
        <w:t xml:space="preserve">demy of Medical Sciences </w:t>
      </w:r>
      <w:r w:rsidR="00C3147D">
        <w:t>report on multimorbidity [11] presages increased interest from a ra</w:t>
      </w:r>
      <w:r w:rsidR="00766FC6">
        <w:t xml:space="preserve">nge of funders in this </w:t>
      </w:r>
      <w:r w:rsidR="00C3147D">
        <w:t>area</w:t>
      </w:r>
      <w:r w:rsidR="00A3218D">
        <w:t xml:space="preserve">. </w:t>
      </w:r>
      <w:r w:rsidR="00D1640E">
        <w:t>In his 2017 Harveian Oration [</w:t>
      </w:r>
      <w:r w:rsidR="00C3147D">
        <w:t>12</w:t>
      </w:r>
      <w:r w:rsidR="00D1640E">
        <w:t xml:space="preserve">], </w:t>
      </w:r>
      <w:r w:rsidR="00F675AE">
        <w:t xml:space="preserve">Professor Chris </w:t>
      </w:r>
      <w:r w:rsidR="00F675AE" w:rsidRPr="006C74FA">
        <w:t xml:space="preserve">Whitty, </w:t>
      </w:r>
      <w:r w:rsidR="00A3218D" w:rsidRPr="006C74FA">
        <w:t xml:space="preserve">Head of NIHR and </w:t>
      </w:r>
      <w:r w:rsidR="00F675AE" w:rsidRPr="006C74FA">
        <w:t xml:space="preserve">Chief Scientific Advisor for the </w:t>
      </w:r>
      <w:r w:rsidR="00CB1A75">
        <w:t xml:space="preserve">UK </w:t>
      </w:r>
      <w:r w:rsidR="00F675AE" w:rsidRPr="006C74FA">
        <w:t>Depa</w:t>
      </w:r>
      <w:r w:rsidR="00A3218D" w:rsidRPr="006C74FA">
        <w:t>rtment of Health and Social Care</w:t>
      </w:r>
      <w:r w:rsidR="00766FC6">
        <w:t>,</w:t>
      </w:r>
      <w:r w:rsidR="00A3218D" w:rsidRPr="006C74FA">
        <w:t xml:space="preserve"> </w:t>
      </w:r>
      <w:r w:rsidR="00F675AE" w:rsidRPr="006C74FA">
        <w:t>spoke of</w:t>
      </w:r>
      <w:r w:rsidR="005952DE" w:rsidRPr="006C74FA">
        <w:t xml:space="preserve"> the </w:t>
      </w:r>
      <w:r w:rsidR="00D1640E" w:rsidRPr="006C74FA">
        <w:t xml:space="preserve">urgent need to focus on the health of older people, particularly those with multiple conditions, and of the need to drastically increase the capacity of the research community to tackle the health problems of old age. </w:t>
      </w:r>
      <w:r w:rsidR="00734793" w:rsidRPr="006C74FA">
        <w:t>If these funding</w:t>
      </w:r>
      <w:r w:rsidR="00734793">
        <w:t xml:space="preserve"> streams are to fully benefit older people,</w:t>
      </w:r>
      <w:r w:rsidR="000B4770">
        <w:t xml:space="preserve"> </w:t>
      </w:r>
      <w:r w:rsidR="00A3218D">
        <w:t>academic geriatricians</w:t>
      </w:r>
      <w:r w:rsidR="000B4770">
        <w:t xml:space="preserve"> need to </w:t>
      </w:r>
      <w:r w:rsidR="00597821">
        <w:t>drive</w:t>
      </w:r>
      <w:r w:rsidR="00A3218D">
        <w:t xml:space="preserve"> multidisciplinary, multicentre bids to address </w:t>
      </w:r>
      <w:r w:rsidR="00DC57FA">
        <w:t>key</w:t>
      </w:r>
      <w:r w:rsidR="00A3218D">
        <w:t xml:space="preserve"> </w:t>
      </w:r>
      <w:r w:rsidR="000B4770">
        <w:t>resear</w:t>
      </w:r>
      <w:r w:rsidR="00E00206">
        <w:t>ch question</w:t>
      </w:r>
      <w:r w:rsidR="00D14D28">
        <w:t xml:space="preserve">s at scale and pace, as well as </w:t>
      </w:r>
      <w:r w:rsidR="00DC57FA">
        <w:t xml:space="preserve">providing representation </w:t>
      </w:r>
      <w:r w:rsidR="00D14D28">
        <w:t>on the</w:t>
      </w:r>
      <w:r w:rsidR="00E00206">
        <w:t xml:space="preserve"> </w:t>
      </w:r>
      <w:r w:rsidR="000B4770">
        <w:t xml:space="preserve">funding panels </w:t>
      </w:r>
      <w:r w:rsidR="00D14D28">
        <w:t>that consider such bids.</w:t>
      </w:r>
    </w:p>
    <w:p w14:paraId="4C85101D" w14:textId="77777777" w:rsidR="000B4770" w:rsidRDefault="000B4770" w:rsidP="00205A47">
      <w:pPr>
        <w:spacing w:after="0" w:line="480" w:lineRule="auto"/>
        <w:jc w:val="both"/>
      </w:pPr>
    </w:p>
    <w:p w14:paraId="6C860DBF" w14:textId="13F5FC33" w:rsidR="0096701C" w:rsidRDefault="00734793" w:rsidP="00205A47">
      <w:pPr>
        <w:spacing w:after="0" w:line="480" w:lineRule="auto"/>
        <w:jc w:val="both"/>
      </w:pPr>
      <w:r>
        <w:t xml:space="preserve">There is </w:t>
      </w:r>
      <w:r w:rsidR="000B4770">
        <w:t xml:space="preserve">also </w:t>
      </w:r>
      <w:r w:rsidR="00A62244">
        <w:t>scope to widen</w:t>
      </w:r>
      <w:r>
        <w:t xml:space="preserve"> </w:t>
      </w:r>
      <w:r w:rsidR="00A62244">
        <w:t>our funding sources</w:t>
      </w:r>
      <w:r w:rsidR="00023306">
        <w:t>. I</w:t>
      </w:r>
      <w:r>
        <w:t>n the UK, individual philanthropy is relatively under-used compared to the USA, and industry is not c</w:t>
      </w:r>
      <w:r w:rsidR="00766FC6">
        <w:t xml:space="preserve">urrently a major </w:t>
      </w:r>
      <w:r w:rsidR="00597821">
        <w:t>funding source</w:t>
      </w:r>
      <w:r>
        <w:t xml:space="preserve"> – although care is needed </w:t>
      </w:r>
      <w:r w:rsidR="00B62D9E">
        <w:t xml:space="preserve">to ensure high-quality science and to avoid </w:t>
      </w:r>
      <w:r>
        <w:t xml:space="preserve">conflicts of interest and intellectual property. </w:t>
      </w:r>
      <w:r w:rsidR="00023306">
        <w:t>A</w:t>
      </w:r>
      <w:r>
        <w:t>s instinctive collaborators</w:t>
      </w:r>
      <w:r w:rsidR="000B4770">
        <w:t xml:space="preserve"> used to working in multidisciplinary clinical teams</w:t>
      </w:r>
      <w:r>
        <w:t xml:space="preserve">, geriatricians are well placed to exploit the current interest in interdisciplinary funding, as well as working with other specialists in accessing funding from organ-specific charities.  </w:t>
      </w:r>
      <w:r w:rsidR="0055105A" w:rsidRPr="0055105A">
        <w:t>In the US the</w:t>
      </w:r>
      <w:r w:rsidR="00A62244">
        <w:t>re is</w:t>
      </w:r>
      <w:r w:rsidR="0055105A" w:rsidRPr="0055105A">
        <w:t xml:space="preserve"> a dedicated National I</w:t>
      </w:r>
      <w:r w:rsidR="0055105A">
        <w:t xml:space="preserve">nstitute on Aging (NIA). </w:t>
      </w:r>
      <w:r w:rsidR="00CB1A75">
        <w:t>O</w:t>
      </w:r>
      <w:r w:rsidR="0055105A">
        <w:t xml:space="preserve">pportunities exist for </w:t>
      </w:r>
      <w:r w:rsidR="0060215F">
        <w:t>international</w:t>
      </w:r>
      <w:r w:rsidR="0055105A">
        <w:t xml:space="preserve"> collaborative work accessing NIA funds via partnering with US colleagues</w:t>
      </w:r>
      <w:r w:rsidR="00912A41">
        <w:t xml:space="preserve">, even with current </w:t>
      </w:r>
      <w:r w:rsidR="00912A41" w:rsidRPr="00912A41">
        <w:t>budgetary pressures</w:t>
      </w:r>
      <w:r w:rsidR="00C3147D">
        <w:t xml:space="preserve"> [13</w:t>
      </w:r>
      <w:r w:rsidR="0094032C">
        <w:t>]</w:t>
      </w:r>
    </w:p>
    <w:p w14:paraId="63AF6229" w14:textId="77777777" w:rsidR="006C74FA" w:rsidRDefault="006C74FA" w:rsidP="00205A47">
      <w:pPr>
        <w:spacing w:after="0" w:line="480" w:lineRule="auto"/>
        <w:jc w:val="both"/>
      </w:pPr>
    </w:p>
    <w:p w14:paraId="6D5E1DFE" w14:textId="259A83BD" w:rsidR="00332488" w:rsidRDefault="005D2B33" w:rsidP="00205A47">
      <w:pPr>
        <w:spacing w:after="0" w:line="480" w:lineRule="auto"/>
        <w:jc w:val="both"/>
      </w:pPr>
      <w:r>
        <w:t xml:space="preserve">In summary, </w:t>
      </w:r>
      <w:r w:rsidR="002953CE">
        <w:t>g</w:t>
      </w:r>
      <w:r w:rsidR="00D837EF">
        <w:t xml:space="preserve">rowing </w:t>
      </w:r>
      <w:r w:rsidR="00912A41">
        <w:t>research in</w:t>
      </w:r>
      <w:r w:rsidR="009238CA">
        <w:t xml:space="preserve"> geriatric medicine </w:t>
      </w:r>
      <w:r w:rsidR="00912A41">
        <w:t xml:space="preserve">and </w:t>
      </w:r>
      <w:r w:rsidR="001D1047">
        <w:t>interdisciplinary gerontology</w:t>
      </w:r>
      <w:r w:rsidR="00912A41">
        <w:t xml:space="preserve"> </w:t>
      </w:r>
      <w:r w:rsidR="009238CA">
        <w:t>is a</w:t>
      </w:r>
      <w:r w:rsidR="00D1640E">
        <w:t>n essential</w:t>
      </w:r>
      <w:r w:rsidR="009238CA">
        <w:t xml:space="preserve"> component of</w:t>
      </w:r>
      <w:r w:rsidR="00D837EF">
        <w:t xml:space="preserve"> improving healthcare for older people</w:t>
      </w:r>
      <w:r w:rsidR="00D1640E">
        <w:t>. T</w:t>
      </w:r>
      <w:r w:rsidR="002E5D09">
        <w:t>his</w:t>
      </w:r>
      <w:r w:rsidR="009238CA">
        <w:t xml:space="preserve"> is now </w:t>
      </w:r>
      <w:r w:rsidR="002E5D09">
        <w:t>being prioritised by governments and funders</w:t>
      </w:r>
      <w:r w:rsidR="00D1640E">
        <w:t>. T</w:t>
      </w:r>
      <w:r w:rsidR="009238CA">
        <w:t xml:space="preserve">here has never been a </w:t>
      </w:r>
      <w:r w:rsidR="00D1640E">
        <w:t xml:space="preserve">more opportune </w:t>
      </w:r>
      <w:r w:rsidR="009238CA">
        <w:t>time to demonstrate that as a community we can bring academic and clinical activity together to provide better care for our patients</w:t>
      </w:r>
      <w:r w:rsidR="006B5B47">
        <w:t xml:space="preserve">. We must be both </w:t>
      </w:r>
      <w:r w:rsidR="00D61B55">
        <w:t>innovative</w:t>
      </w:r>
      <w:r w:rsidR="006B5B47">
        <w:t xml:space="preserve"> and bold in developing capacity to deliver research into practice – our patients deserve no less.</w:t>
      </w:r>
    </w:p>
    <w:p w14:paraId="4EB18C83" w14:textId="77777777" w:rsidR="00332488" w:rsidRDefault="00332488" w:rsidP="00205A47">
      <w:pPr>
        <w:spacing w:after="0" w:line="480" w:lineRule="auto"/>
        <w:jc w:val="both"/>
      </w:pPr>
    </w:p>
    <w:p w14:paraId="261BECB3" w14:textId="71B04D27" w:rsidR="00B91282" w:rsidRDefault="00B91282" w:rsidP="00205A47">
      <w:pPr>
        <w:spacing w:after="0" w:line="480" w:lineRule="auto"/>
        <w:jc w:val="both"/>
      </w:pPr>
      <w:r>
        <w:t>Acknowledgements: None</w:t>
      </w:r>
    </w:p>
    <w:p w14:paraId="2EBBB234" w14:textId="1C20BD12" w:rsidR="00B91282" w:rsidRDefault="00B91282" w:rsidP="00205A47">
      <w:pPr>
        <w:spacing w:after="0" w:line="480" w:lineRule="auto"/>
        <w:jc w:val="both"/>
      </w:pPr>
      <w:r>
        <w:t>Conflicts of interest: None</w:t>
      </w:r>
    </w:p>
    <w:p w14:paraId="138CD053" w14:textId="77777777" w:rsidR="00B91282" w:rsidRDefault="00B91282" w:rsidP="00205A47">
      <w:pPr>
        <w:spacing w:after="0" w:line="480" w:lineRule="auto"/>
        <w:jc w:val="both"/>
      </w:pPr>
    </w:p>
    <w:p w14:paraId="74B9BDC8" w14:textId="77777777" w:rsidR="006E2B3A" w:rsidRDefault="006E2B3A">
      <w:pPr>
        <w:rPr>
          <w:b/>
        </w:rPr>
      </w:pPr>
      <w:r>
        <w:rPr>
          <w:b/>
        </w:rPr>
        <w:br w:type="page"/>
      </w:r>
    </w:p>
    <w:p w14:paraId="69114EC9" w14:textId="19412F21" w:rsidR="006C74FA" w:rsidRPr="003574B2" w:rsidRDefault="006C74FA" w:rsidP="003574B2">
      <w:pPr>
        <w:spacing w:after="0" w:line="480" w:lineRule="auto"/>
        <w:jc w:val="both"/>
        <w:rPr>
          <w:b/>
        </w:rPr>
      </w:pPr>
      <w:r w:rsidRPr="003574B2">
        <w:rPr>
          <w:b/>
        </w:rPr>
        <w:t>References</w:t>
      </w:r>
    </w:p>
    <w:p w14:paraId="150D210B" w14:textId="401B0EBD" w:rsidR="00415CE9" w:rsidRPr="00505355" w:rsidRDefault="006C74FA" w:rsidP="003574B2">
      <w:pPr>
        <w:spacing w:after="0" w:line="480" w:lineRule="auto"/>
        <w:jc w:val="both"/>
      </w:pPr>
      <w:r>
        <w:t xml:space="preserve"> </w:t>
      </w:r>
      <w:r w:rsidR="00946C04">
        <w:t>[</w:t>
      </w:r>
      <w:r w:rsidR="00946C04" w:rsidRPr="00906A6A">
        <w:t xml:space="preserve">1] </w:t>
      </w:r>
      <w:r w:rsidR="00415CE9" w:rsidRPr="00553133">
        <w:t xml:space="preserve">Prince MJ, Wu F, Guo Y, Gutierrez Robledo LM, O’Donnell M, Sullivan R, Yusuf S. The burden of disease in older people and implications for health </w:t>
      </w:r>
      <w:r w:rsidR="00761B5C" w:rsidRPr="00505355">
        <w:t>policy and practice. Lancet 2015</w:t>
      </w:r>
      <w:r w:rsidR="00415CE9" w:rsidRPr="00505355">
        <w:t>; 385: 549-62</w:t>
      </w:r>
    </w:p>
    <w:p w14:paraId="04501551" w14:textId="3B36E86F" w:rsidR="00946C04" w:rsidRDefault="00946C04" w:rsidP="003574B2">
      <w:pPr>
        <w:spacing w:after="0" w:line="480" w:lineRule="auto"/>
        <w:jc w:val="both"/>
      </w:pPr>
      <w:r w:rsidRPr="00505355">
        <w:t>[2]</w:t>
      </w:r>
      <w:r w:rsidR="006C74FA" w:rsidRPr="00505355">
        <w:t xml:space="preserve"> </w:t>
      </w:r>
      <w:r w:rsidR="00906A6A" w:rsidRPr="00553133">
        <w:t>Crome P, Cherubini A, Oristrell J. The PREDICT (increasing the participation of the elderly in clinical trials) study: the charter and beyond. Expert Rev Clin Pharmacol. 2014;7</w:t>
      </w:r>
      <w:r w:rsidR="00906A6A" w:rsidRPr="00663E8F">
        <w:t>:457-68.</w:t>
      </w:r>
    </w:p>
    <w:p w14:paraId="3214B289" w14:textId="3BD3D7EF" w:rsidR="00663E8F" w:rsidRDefault="00663E8F" w:rsidP="003574B2">
      <w:pPr>
        <w:spacing w:after="0" w:line="480" w:lineRule="auto"/>
        <w:jc w:val="both"/>
      </w:pPr>
      <w:r>
        <w:t xml:space="preserve">[3] NIHR Clinical Research Network Ageing portfolio. </w:t>
      </w:r>
      <w:hyperlink r:id="rId25" w:history="1">
        <w:r w:rsidRPr="00F56A78">
          <w:rPr>
            <w:rStyle w:val="Hyperlink"/>
          </w:rPr>
          <w:t>www.crn.nihr.ac.uk/ageing</w:t>
        </w:r>
      </w:hyperlink>
      <w:r>
        <w:t>. Accessed 3</w:t>
      </w:r>
      <w:r w:rsidRPr="00505355">
        <w:rPr>
          <w:vertAlign w:val="superscript"/>
        </w:rPr>
        <w:t>rd</w:t>
      </w:r>
      <w:r>
        <w:t xml:space="preserve"> July 2018</w:t>
      </w:r>
    </w:p>
    <w:p w14:paraId="77C0080E" w14:textId="447FCB82" w:rsidR="003E69FA" w:rsidRDefault="00946C04" w:rsidP="003574B2">
      <w:pPr>
        <w:spacing w:after="0" w:line="480" w:lineRule="auto"/>
        <w:jc w:val="both"/>
      </w:pPr>
      <w:r>
        <w:t>[</w:t>
      </w:r>
      <w:r w:rsidR="0094032C">
        <w:t>4</w:t>
      </w:r>
      <w:r>
        <w:t>] F</w:t>
      </w:r>
      <w:r w:rsidR="003E69FA" w:rsidRPr="003E69FA">
        <w:t>isher JM, Garside MJ, Brock P, Gibson V, Hunt K, Briggs S, Gordon AL.</w:t>
      </w:r>
      <w:r w:rsidR="003E69FA">
        <w:t xml:space="preserve"> Why geriatric medicine? A survey of UK specialist trainees in geriatric medicine. Age Ageing 2017; 46: 672-677</w:t>
      </w:r>
    </w:p>
    <w:p w14:paraId="1F4ED873" w14:textId="75AF0441" w:rsidR="00E6601A" w:rsidRDefault="00946C04" w:rsidP="003574B2">
      <w:pPr>
        <w:spacing w:after="0" w:line="480" w:lineRule="auto"/>
        <w:jc w:val="both"/>
      </w:pPr>
      <w:r>
        <w:t>[</w:t>
      </w:r>
      <w:r w:rsidR="0094032C">
        <w:t>5</w:t>
      </w:r>
      <w:r>
        <w:t xml:space="preserve">] </w:t>
      </w:r>
      <w:r w:rsidR="00E6601A">
        <w:t xml:space="preserve">Lambert TW, Smith F, Goldacre MJ. </w:t>
      </w:r>
      <w:r w:rsidR="00E6601A" w:rsidRPr="00E6601A">
        <w:t>Career specialty choices of UK medical graduates of 2015 compared with earlier cohorts: questionnaire surveys.</w:t>
      </w:r>
      <w:r w:rsidR="00E6601A">
        <w:t xml:space="preserve"> Postgrad Med J 2018; 94: 191-7</w:t>
      </w:r>
    </w:p>
    <w:p w14:paraId="59A121D2" w14:textId="56431D22" w:rsidR="003E69FA" w:rsidRDefault="00946C04" w:rsidP="003574B2">
      <w:pPr>
        <w:spacing w:after="0" w:line="480" w:lineRule="auto"/>
        <w:jc w:val="both"/>
      </w:pPr>
      <w:r>
        <w:t>[</w:t>
      </w:r>
      <w:r w:rsidR="0094032C">
        <w:t>6</w:t>
      </w:r>
      <w:r>
        <w:t xml:space="preserve">] </w:t>
      </w:r>
      <w:r w:rsidR="003E69FA" w:rsidRPr="003E69FA">
        <w:t>Powell K.</w:t>
      </w:r>
      <w:r w:rsidR="003E69FA">
        <w:t xml:space="preserve"> The future of the postdoc. Nature 2015; 520: 144-7</w:t>
      </w:r>
    </w:p>
    <w:p w14:paraId="34F8DB21" w14:textId="7AB2787F" w:rsidR="00516E4A" w:rsidRDefault="00946C04" w:rsidP="003574B2">
      <w:pPr>
        <w:spacing w:after="0" w:line="480" w:lineRule="auto"/>
        <w:jc w:val="both"/>
      </w:pPr>
      <w:r>
        <w:t>[</w:t>
      </w:r>
      <w:r w:rsidR="00841413">
        <w:t>7</w:t>
      </w:r>
      <w:r>
        <w:t xml:space="preserve">] </w:t>
      </w:r>
      <w:r w:rsidR="00583ED3" w:rsidRPr="00583ED3">
        <w:t>Spyridonidis D, Hendy J, Barlow J. Leadership for knowledge translation: the ca</w:t>
      </w:r>
      <w:r w:rsidR="00505355">
        <w:t xml:space="preserve">se of CLAHRCs. Qual Health Res. </w:t>
      </w:r>
      <w:r w:rsidR="00583ED3" w:rsidRPr="00583ED3">
        <w:t>2015; 25: 1492–505.</w:t>
      </w:r>
    </w:p>
    <w:p w14:paraId="76943B46" w14:textId="57547EF9" w:rsidR="00583ED3" w:rsidRDefault="00946C04" w:rsidP="003574B2">
      <w:pPr>
        <w:spacing w:after="0" w:line="480" w:lineRule="auto"/>
        <w:jc w:val="both"/>
      </w:pPr>
      <w:r>
        <w:t>[</w:t>
      </w:r>
      <w:r w:rsidR="00841413">
        <w:t>8</w:t>
      </w:r>
      <w:r>
        <w:t xml:space="preserve">] </w:t>
      </w:r>
      <w:r w:rsidR="00583ED3">
        <w:t xml:space="preserve">Gladman JR, Conroy SP, Ranhoff AH, Gordon AL. </w:t>
      </w:r>
      <w:r w:rsidR="00583ED3" w:rsidRPr="00583ED3">
        <w:t>New horizons in the implementation and research of comprehensive geriatric assessment: knowing, doing and the 'know-do' gap.</w:t>
      </w:r>
      <w:r w:rsidR="00583ED3">
        <w:t xml:space="preserve"> Age Ageing 2016; 45: 194-200</w:t>
      </w:r>
    </w:p>
    <w:p w14:paraId="6F0A36AF" w14:textId="63EFF983" w:rsidR="00841413" w:rsidRDefault="00841413" w:rsidP="003574B2">
      <w:pPr>
        <w:spacing w:after="0" w:line="480" w:lineRule="auto"/>
        <w:jc w:val="both"/>
      </w:pPr>
      <w:r>
        <w:t>[9</w:t>
      </w:r>
      <w:r w:rsidRPr="00841413">
        <w:t>] Petit-Zeman S, Firkins L, Scadding JW. The James Lind Alliance: tackling research mismatches. Lancet 2010; 376: 667-9</w:t>
      </w:r>
    </w:p>
    <w:p w14:paraId="0843F89A" w14:textId="51E5F07F" w:rsidR="00841413" w:rsidRDefault="00841413" w:rsidP="003574B2">
      <w:pPr>
        <w:spacing w:after="0" w:line="480" w:lineRule="auto"/>
        <w:jc w:val="both"/>
      </w:pPr>
      <w:r>
        <w:t>[10</w:t>
      </w:r>
      <w:r w:rsidRPr="00841413">
        <w:t>] James Lind Alliance. Multiple Conditions in Later Life top 10 priorities. http://www.jla.nihr.ac.uk/priority-setting-partnerships/health-with-multiple-conditions-in-old-age/top-10-priorities.htm. Accessed 6th June 2018</w:t>
      </w:r>
    </w:p>
    <w:p w14:paraId="49FB3DE8" w14:textId="5236C65C" w:rsidR="00516E4A" w:rsidRDefault="00946C04" w:rsidP="003574B2">
      <w:pPr>
        <w:spacing w:after="0" w:line="480" w:lineRule="auto"/>
        <w:jc w:val="both"/>
      </w:pPr>
      <w:r>
        <w:t>[</w:t>
      </w:r>
      <w:r w:rsidR="00841413">
        <w:t>11</w:t>
      </w:r>
      <w:r>
        <w:t xml:space="preserve">] </w:t>
      </w:r>
      <w:r w:rsidR="005B306D">
        <w:t xml:space="preserve">Whitty CJM.  </w:t>
      </w:r>
      <w:r w:rsidR="001B6E23">
        <w:t>Harveian Oration 2017:</w:t>
      </w:r>
      <w:r w:rsidR="005B306D">
        <w:t xml:space="preserve"> Triumphs and challenges in a world shaped by medicine. Clin Medicine 2017; 17: 537-44</w:t>
      </w:r>
    </w:p>
    <w:p w14:paraId="413A5BED" w14:textId="1A64A173" w:rsidR="0094032C" w:rsidRDefault="0094032C" w:rsidP="003574B2">
      <w:pPr>
        <w:spacing w:after="0" w:line="480" w:lineRule="auto"/>
        <w:jc w:val="both"/>
      </w:pPr>
      <w:r>
        <w:t xml:space="preserve">[12] </w:t>
      </w:r>
      <w:r w:rsidRPr="0094032C">
        <w:t>Zerzan JT, Rich EC</w:t>
      </w:r>
      <w:r>
        <w:t xml:space="preserve">. </w:t>
      </w:r>
      <w:r w:rsidRPr="0094032C">
        <w:t>Advancing Geriatrics Research, Education, and Practice: Policy Challenges After the Great Recession J Gen Intern Med. 2014; 29: 920–925.</w:t>
      </w:r>
    </w:p>
    <w:p w14:paraId="4DA097AC" w14:textId="669B5BD4" w:rsidR="00C3147D" w:rsidRDefault="00C3147D" w:rsidP="003574B2">
      <w:pPr>
        <w:spacing w:after="0" w:line="480" w:lineRule="auto"/>
        <w:jc w:val="both"/>
      </w:pPr>
      <w:r>
        <w:t xml:space="preserve">[13] </w:t>
      </w:r>
      <w:r w:rsidR="0023504D">
        <w:t>A</w:t>
      </w:r>
      <w:r w:rsidR="00DE3EB4">
        <w:t>cademy of Medical Sciences</w:t>
      </w:r>
      <w:r w:rsidR="0023504D">
        <w:t>. Multimorbidity: a priority for global health research.</w:t>
      </w:r>
      <w:r w:rsidR="00DE3EB4">
        <w:t xml:space="preserve"> April 2018.</w:t>
      </w:r>
    </w:p>
    <w:sectPr w:rsidR="00C31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A7C8F"/>
    <w:multiLevelType w:val="hybridMultilevel"/>
    <w:tmpl w:val="54BC34FE"/>
    <w:lvl w:ilvl="0" w:tplc="5528335E">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GB" w:vendorID="64" w:dllVersion="131078" w:nlCheck="1" w:checkStyle="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8B7"/>
    <w:rsid w:val="00005B02"/>
    <w:rsid w:val="00023306"/>
    <w:rsid w:val="00042444"/>
    <w:rsid w:val="000454C4"/>
    <w:rsid w:val="00055157"/>
    <w:rsid w:val="00057B0C"/>
    <w:rsid w:val="0007475D"/>
    <w:rsid w:val="000A5473"/>
    <w:rsid w:val="000A65EC"/>
    <w:rsid w:val="000B4770"/>
    <w:rsid w:val="000F162F"/>
    <w:rsid w:val="001066F6"/>
    <w:rsid w:val="00122914"/>
    <w:rsid w:val="00141C3B"/>
    <w:rsid w:val="001533D4"/>
    <w:rsid w:val="00164D88"/>
    <w:rsid w:val="00170032"/>
    <w:rsid w:val="001B0AC4"/>
    <w:rsid w:val="001B19C9"/>
    <w:rsid w:val="001B53C6"/>
    <w:rsid w:val="001B6E23"/>
    <w:rsid w:val="001C457B"/>
    <w:rsid w:val="001C7F1E"/>
    <w:rsid w:val="001D1047"/>
    <w:rsid w:val="001E531D"/>
    <w:rsid w:val="001F18A1"/>
    <w:rsid w:val="00205A47"/>
    <w:rsid w:val="0022741F"/>
    <w:rsid w:val="0022751D"/>
    <w:rsid w:val="0023504D"/>
    <w:rsid w:val="00261C35"/>
    <w:rsid w:val="002953CE"/>
    <w:rsid w:val="002A7787"/>
    <w:rsid w:val="002B0B49"/>
    <w:rsid w:val="002E5D09"/>
    <w:rsid w:val="002F7F55"/>
    <w:rsid w:val="00301336"/>
    <w:rsid w:val="00323BEA"/>
    <w:rsid w:val="00331E14"/>
    <w:rsid w:val="00332488"/>
    <w:rsid w:val="00343A99"/>
    <w:rsid w:val="003574B2"/>
    <w:rsid w:val="00383BF5"/>
    <w:rsid w:val="003851DB"/>
    <w:rsid w:val="003902F7"/>
    <w:rsid w:val="003A1FB9"/>
    <w:rsid w:val="003C596B"/>
    <w:rsid w:val="003D0FBD"/>
    <w:rsid w:val="003D3F4E"/>
    <w:rsid w:val="003D47CB"/>
    <w:rsid w:val="003E69FA"/>
    <w:rsid w:val="00401F17"/>
    <w:rsid w:val="004029E4"/>
    <w:rsid w:val="00415CE9"/>
    <w:rsid w:val="0046713D"/>
    <w:rsid w:val="004802B4"/>
    <w:rsid w:val="00492BE5"/>
    <w:rsid w:val="004B23CB"/>
    <w:rsid w:val="004C4F25"/>
    <w:rsid w:val="004C6105"/>
    <w:rsid w:val="00505355"/>
    <w:rsid w:val="00516E4A"/>
    <w:rsid w:val="0055105A"/>
    <w:rsid w:val="00553133"/>
    <w:rsid w:val="0056637C"/>
    <w:rsid w:val="005751B3"/>
    <w:rsid w:val="00583ED3"/>
    <w:rsid w:val="005914AE"/>
    <w:rsid w:val="005952DE"/>
    <w:rsid w:val="00597821"/>
    <w:rsid w:val="005B306D"/>
    <w:rsid w:val="005B7350"/>
    <w:rsid w:val="005D2B33"/>
    <w:rsid w:val="0060215F"/>
    <w:rsid w:val="00616F1F"/>
    <w:rsid w:val="00663E8F"/>
    <w:rsid w:val="00671D81"/>
    <w:rsid w:val="006755E6"/>
    <w:rsid w:val="00692FE3"/>
    <w:rsid w:val="006961E1"/>
    <w:rsid w:val="006B5B47"/>
    <w:rsid w:val="006C2984"/>
    <w:rsid w:val="006C74FA"/>
    <w:rsid w:val="006E2B3A"/>
    <w:rsid w:val="006E459E"/>
    <w:rsid w:val="00722F89"/>
    <w:rsid w:val="007248B7"/>
    <w:rsid w:val="00734793"/>
    <w:rsid w:val="007368CB"/>
    <w:rsid w:val="007368E7"/>
    <w:rsid w:val="007459BA"/>
    <w:rsid w:val="00750909"/>
    <w:rsid w:val="00757BF5"/>
    <w:rsid w:val="00760645"/>
    <w:rsid w:val="00761B5C"/>
    <w:rsid w:val="0076596F"/>
    <w:rsid w:val="00766FC6"/>
    <w:rsid w:val="007A005D"/>
    <w:rsid w:val="007B4263"/>
    <w:rsid w:val="007C445D"/>
    <w:rsid w:val="007C4C46"/>
    <w:rsid w:val="007D51AF"/>
    <w:rsid w:val="007F1EDA"/>
    <w:rsid w:val="00825DE6"/>
    <w:rsid w:val="00832B13"/>
    <w:rsid w:val="00841413"/>
    <w:rsid w:val="008503E7"/>
    <w:rsid w:val="00864215"/>
    <w:rsid w:val="008A3533"/>
    <w:rsid w:val="008A3CE2"/>
    <w:rsid w:val="008D2322"/>
    <w:rsid w:val="009040AC"/>
    <w:rsid w:val="00906A6A"/>
    <w:rsid w:val="00912A41"/>
    <w:rsid w:val="0092229A"/>
    <w:rsid w:val="009238CA"/>
    <w:rsid w:val="00935F2F"/>
    <w:rsid w:val="0094032C"/>
    <w:rsid w:val="00946C04"/>
    <w:rsid w:val="009522F0"/>
    <w:rsid w:val="0096602D"/>
    <w:rsid w:val="0096701C"/>
    <w:rsid w:val="00981563"/>
    <w:rsid w:val="009A08C5"/>
    <w:rsid w:val="009A37BF"/>
    <w:rsid w:val="009E40C5"/>
    <w:rsid w:val="00A01D27"/>
    <w:rsid w:val="00A135AE"/>
    <w:rsid w:val="00A16CAC"/>
    <w:rsid w:val="00A17697"/>
    <w:rsid w:val="00A25B95"/>
    <w:rsid w:val="00A31EDB"/>
    <w:rsid w:val="00A3218D"/>
    <w:rsid w:val="00A41227"/>
    <w:rsid w:val="00A62244"/>
    <w:rsid w:val="00A63B4E"/>
    <w:rsid w:val="00A92DCC"/>
    <w:rsid w:val="00AB5040"/>
    <w:rsid w:val="00AC0940"/>
    <w:rsid w:val="00AD2888"/>
    <w:rsid w:val="00AF5106"/>
    <w:rsid w:val="00B041DD"/>
    <w:rsid w:val="00B0646D"/>
    <w:rsid w:val="00B10E55"/>
    <w:rsid w:val="00B12E44"/>
    <w:rsid w:val="00B62D9E"/>
    <w:rsid w:val="00B661BC"/>
    <w:rsid w:val="00B6657C"/>
    <w:rsid w:val="00B91282"/>
    <w:rsid w:val="00BC3BE3"/>
    <w:rsid w:val="00C3147D"/>
    <w:rsid w:val="00C52D13"/>
    <w:rsid w:val="00CB1832"/>
    <w:rsid w:val="00CB1A75"/>
    <w:rsid w:val="00CC1341"/>
    <w:rsid w:val="00D14D28"/>
    <w:rsid w:val="00D1640E"/>
    <w:rsid w:val="00D25DF6"/>
    <w:rsid w:val="00D474E6"/>
    <w:rsid w:val="00D60841"/>
    <w:rsid w:val="00D61B55"/>
    <w:rsid w:val="00D6536F"/>
    <w:rsid w:val="00D837EF"/>
    <w:rsid w:val="00DC57FA"/>
    <w:rsid w:val="00DE3EB4"/>
    <w:rsid w:val="00DF4330"/>
    <w:rsid w:val="00E00206"/>
    <w:rsid w:val="00E6601A"/>
    <w:rsid w:val="00E8198B"/>
    <w:rsid w:val="00E97517"/>
    <w:rsid w:val="00EA4C33"/>
    <w:rsid w:val="00EB1BC1"/>
    <w:rsid w:val="00EB79BC"/>
    <w:rsid w:val="00F23C41"/>
    <w:rsid w:val="00F26C80"/>
    <w:rsid w:val="00F463A5"/>
    <w:rsid w:val="00F675AE"/>
    <w:rsid w:val="00F7277A"/>
    <w:rsid w:val="00F73333"/>
    <w:rsid w:val="00F76B3D"/>
    <w:rsid w:val="00FA1126"/>
    <w:rsid w:val="00FE36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6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01C"/>
    <w:pPr>
      <w:ind w:left="720"/>
      <w:contextualSpacing/>
    </w:pPr>
  </w:style>
  <w:style w:type="character" w:styleId="CommentReference">
    <w:name w:val="annotation reference"/>
    <w:basedOn w:val="DefaultParagraphFont"/>
    <w:uiPriority w:val="99"/>
    <w:semiHidden/>
    <w:unhideWhenUsed/>
    <w:rsid w:val="00864215"/>
    <w:rPr>
      <w:sz w:val="16"/>
      <w:szCs w:val="16"/>
    </w:rPr>
  </w:style>
  <w:style w:type="paragraph" w:styleId="CommentText">
    <w:name w:val="annotation text"/>
    <w:basedOn w:val="Normal"/>
    <w:link w:val="CommentTextChar"/>
    <w:uiPriority w:val="99"/>
    <w:semiHidden/>
    <w:unhideWhenUsed/>
    <w:rsid w:val="00864215"/>
    <w:pPr>
      <w:spacing w:line="240" w:lineRule="auto"/>
    </w:pPr>
    <w:rPr>
      <w:sz w:val="20"/>
      <w:szCs w:val="20"/>
    </w:rPr>
  </w:style>
  <w:style w:type="character" w:customStyle="1" w:styleId="CommentTextChar">
    <w:name w:val="Comment Text Char"/>
    <w:basedOn w:val="DefaultParagraphFont"/>
    <w:link w:val="CommentText"/>
    <w:uiPriority w:val="99"/>
    <w:semiHidden/>
    <w:rsid w:val="00864215"/>
    <w:rPr>
      <w:sz w:val="20"/>
      <w:szCs w:val="20"/>
    </w:rPr>
  </w:style>
  <w:style w:type="paragraph" w:styleId="CommentSubject">
    <w:name w:val="annotation subject"/>
    <w:basedOn w:val="CommentText"/>
    <w:next w:val="CommentText"/>
    <w:link w:val="CommentSubjectChar"/>
    <w:uiPriority w:val="99"/>
    <w:semiHidden/>
    <w:unhideWhenUsed/>
    <w:rsid w:val="00864215"/>
    <w:rPr>
      <w:b/>
      <w:bCs/>
    </w:rPr>
  </w:style>
  <w:style w:type="character" w:customStyle="1" w:styleId="CommentSubjectChar">
    <w:name w:val="Comment Subject Char"/>
    <w:basedOn w:val="CommentTextChar"/>
    <w:link w:val="CommentSubject"/>
    <w:uiPriority w:val="99"/>
    <w:semiHidden/>
    <w:rsid w:val="00864215"/>
    <w:rPr>
      <w:b/>
      <w:bCs/>
      <w:sz w:val="20"/>
      <w:szCs w:val="20"/>
    </w:rPr>
  </w:style>
  <w:style w:type="paragraph" w:styleId="BalloonText">
    <w:name w:val="Balloon Text"/>
    <w:basedOn w:val="Normal"/>
    <w:link w:val="BalloonTextChar"/>
    <w:uiPriority w:val="99"/>
    <w:semiHidden/>
    <w:unhideWhenUsed/>
    <w:rsid w:val="00864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215"/>
    <w:rPr>
      <w:rFonts w:ascii="Segoe UI" w:hAnsi="Segoe UI" w:cs="Segoe UI"/>
      <w:sz w:val="18"/>
      <w:szCs w:val="18"/>
    </w:rPr>
  </w:style>
  <w:style w:type="character" w:styleId="Hyperlink">
    <w:name w:val="Hyperlink"/>
    <w:basedOn w:val="DefaultParagraphFont"/>
    <w:uiPriority w:val="99"/>
    <w:unhideWhenUsed/>
    <w:rsid w:val="00516E4A"/>
    <w:rPr>
      <w:color w:val="0563C1" w:themeColor="hyperlink"/>
      <w:u w:val="single"/>
    </w:rPr>
  </w:style>
  <w:style w:type="paragraph" w:styleId="Revision">
    <w:name w:val="Revision"/>
    <w:hidden/>
    <w:uiPriority w:val="99"/>
    <w:semiHidden/>
    <w:rsid w:val="00B12E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01C"/>
    <w:pPr>
      <w:ind w:left="720"/>
      <w:contextualSpacing/>
    </w:pPr>
  </w:style>
  <w:style w:type="character" w:styleId="CommentReference">
    <w:name w:val="annotation reference"/>
    <w:basedOn w:val="DefaultParagraphFont"/>
    <w:uiPriority w:val="99"/>
    <w:semiHidden/>
    <w:unhideWhenUsed/>
    <w:rsid w:val="00864215"/>
    <w:rPr>
      <w:sz w:val="16"/>
      <w:szCs w:val="16"/>
    </w:rPr>
  </w:style>
  <w:style w:type="paragraph" w:styleId="CommentText">
    <w:name w:val="annotation text"/>
    <w:basedOn w:val="Normal"/>
    <w:link w:val="CommentTextChar"/>
    <w:uiPriority w:val="99"/>
    <w:semiHidden/>
    <w:unhideWhenUsed/>
    <w:rsid w:val="00864215"/>
    <w:pPr>
      <w:spacing w:line="240" w:lineRule="auto"/>
    </w:pPr>
    <w:rPr>
      <w:sz w:val="20"/>
      <w:szCs w:val="20"/>
    </w:rPr>
  </w:style>
  <w:style w:type="character" w:customStyle="1" w:styleId="CommentTextChar">
    <w:name w:val="Comment Text Char"/>
    <w:basedOn w:val="DefaultParagraphFont"/>
    <w:link w:val="CommentText"/>
    <w:uiPriority w:val="99"/>
    <w:semiHidden/>
    <w:rsid w:val="00864215"/>
    <w:rPr>
      <w:sz w:val="20"/>
      <w:szCs w:val="20"/>
    </w:rPr>
  </w:style>
  <w:style w:type="paragraph" w:styleId="CommentSubject">
    <w:name w:val="annotation subject"/>
    <w:basedOn w:val="CommentText"/>
    <w:next w:val="CommentText"/>
    <w:link w:val="CommentSubjectChar"/>
    <w:uiPriority w:val="99"/>
    <w:semiHidden/>
    <w:unhideWhenUsed/>
    <w:rsid w:val="00864215"/>
    <w:rPr>
      <w:b/>
      <w:bCs/>
    </w:rPr>
  </w:style>
  <w:style w:type="character" w:customStyle="1" w:styleId="CommentSubjectChar">
    <w:name w:val="Comment Subject Char"/>
    <w:basedOn w:val="CommentTextChar"/>
    <w:link w:val="CommentSubject"/>
    <w:uiPriority w:val="99"/>
    <w:semiHidden/>
    <w:rsid w:val="00864215"/>
    <w:rPr>
      <w:b/>
      <w:bCs/>
      <w:sz w:val="20"/>
      <w:szCs w:val="20"/>
    </w:rPr>
  </w:style>
  <w:style w:type="paragraph" w:styleId="BalloonText">
    <w:name w:val="Balloon Text"/>
    <w:basedOn w:val="Normal"/>
    <w:link w:val="BalloonTextChar"/>
    <w:uiPriority w:val="99"/>
    <w:semiHidden/>
    <w:unhideWhenUsed/>
    <w:rsid w:val="00864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215"/>
    <w:rPr>
      <w:rFonts w:ascii="Segoe UI" w:hAnsi="Segoe UI" w:cs="Segoe UI"/>
      <w:sz w:val="18"/>
      <w:szCs w:val="18"/>
    </w:rPr>
  </w:style>
  <w:style w:type="character" w:styleId="Hyperlink">
    <w:name w:val="Hyperlink"/>
    <w:basedOn w:val="DefaultParagraphFont"/>
    <w:uiPriority w:val="99"/>
    <w:unhideWhenUsed/>
    <w:rsid w:val="00516E4A"/>
    <w:rPr>
      <w:color w:val="0563C1" w:themeColor="hyperlink"/>
      <w:u w:val="single"/>
    </w:rPr>
  </w:style>
  <w:style w:type="paragraph" w:styleId="Revision">
    <w:name w:val="Revision"/>
    <w:hidden/>
    <w:uiPriority w:val="99"/>
    <w:semiHidden/>
    <w:rsid w:val="00B12E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clegg@leeds.ac.uk" TargetMode="External"/><Relationship Id="rId13" Type="http://schemas.openxmlformats.org/officeDocument/2006/relationships/hyperlink" Target="mailto:t.jackson@bham.ac.uk" TargetMode="External"/><Relationship Id="rId18" Type="http://schemas.openxmlformats.org/officeDocument/2006/relationships/hyperlink" Target="mailto:sarah.richardson1@newcastle.ac.uk"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o.todd@leeds.ac.uk" TargetMode="External"/><Relationship Id="rId7" Type="http://schemas.openxmlformats.org/officeDocument/2006/relationships/hyperlink" Target="mailto:peter.brock@nhs.net" TargetMode="External"/><Relationship Id="rId12" Type="http://schemas.openxmlformats.org/officeDocument/2006/relationships/hyperlink" Target="mailto:jenni.harrison@ed.ac.uk" TargetMode="External"/><Relationship Id="rId17" Type="http://schemas.openxmlformats.org/officeDocument/2006/relationships/hyperlink" Target="mailto:mary.ni_lochlainn@kcl.ac.uk" TargetMode="External"/><Relationship Id="rId25" Type="http://schemas.openxmlformats.org/officeDocument/2006/relationships/hyperlink" Target="http://www.crn.nihr.ac.uk/ageing" TargetMode="External"/><Relationship Id="rId2" Type="http://schemas.openxmlformats.org/officeDocument/2006/relationships/styles" Target="styles.xml"/><Relationship Id="rId16" Type="http://schemas.openxmlformats.org/officeDocument/2006/relationships/hyperlink" Target="mailto:Stephen.Makin@glasgow.ac.uk" TargetMode="External"/><Relationship Id="rId20" Type="http://schemas.openxmlformats.org/officeDocument/2006/relationships/hyperlink" Target="mailto:claire.j.steves@kcl.ac.uk" TargetMode="External"/><Relationship Id="rId1" Type="http://schemas.openxmlformats.org/officeDocument/2006/relationships/numbering" Target="numbering.xml"/><Relationship Id="rId6" Type="http://schemas.openxmlformats.org/officeDocument/2006/relationships/hyperlink" Target="mailto:terry.aspray@newcastle.ac.uk" TargetMode="External"/><Relationship Id="rId11" Type="http://schemas.openxmlformats.org/officeDocument/2006/relationships/hyperlink" Target="mailto:james.frith@newcastle.ac.uk" TargetMode="External"/><Relationship Id="rId24" Type="http://schemas.openxmlformats.org/officeDocument/2006/relationships/hyperlink" Target="mailto:alison.yarnall@ncl.ac.uk" TargetMode="External"/><Relationship Id="rId5" Type="http://schemas.openxmlformats.org/officeDocument/2006/relationships/webSettings" Target="webSettings.xml"/><Relationship Id="rId15" Type="http://schemas.openxmlformats.org/officeDocument/2006/relationships/hyperlink" Target="mailto:s.e.lim@soton.ac.uk" TargetMode="External"/><Relationship Id="rId23" Type="http://schemas.openxmlformats.org/officeDocument/2006/relationships/hyperlink" Target="mailto:Richard.Walker@northumbria-healthcare.nhs.uk" TargetMode="External"/><Relationship Id="rId10" Type="http://schemas.openxmlformats.org/officeDocument/2006/relationships/hyperlink" Target="mailto:victoria.ewan@ncl.ac.uk" TargetMode="External"/><Relationship Id="rId19" Type="http://schemas.openxmlformats.org/officeDocument/2006/relationships/hyperlink" Target="mailto:susan.shenkin@ed.ac.uk" TargetMode="External"/><Relationship Id="rId4" Type="http://schemas.openxmlformats.org/officeDocument/2006/relationships/settings" Target="settings.xml"/><Relationship Id="rId9" Type="http://schemas.openxmlformats.org/officeDocument/2006/relationships/hyperlink" Target="mailto:n.cox@soton.ac.uk" TargetMode="External"/><Relationship Id="rId14" Type="http://schemas.openxmlformats.org/officeDocument/2006/relationships/hyperlink" Target="mailto:grace.lewis@ncl.ac.uk" TargetMode="External"/><Relationship Id="rId22" Type="http://schemas.openxmlformats.org/officeDocument/2006/relationships/hyperlink" Target="mailto:ellen.tullo@newcastle.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2687</Words>
  <Characters>15316</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Witham</dc:creator>
  <cp:lastModifiedBy>Roberts H.C.</cp:lastModifiedBy>
  <cp:revision>2</cp:revision>
  <dcterms:created xsi:type="dcterms:W3CDTF">2019-01-02T15:59:00Z</dcterms:created>
  <dcterms:modified xsi:type="dcterms:W3CDTF">2019-01-02T15:59:00Z</dcterms:modified>
</cp:coreProperties>
</file>