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45F8BD" w14:textId="4094E469" w:rsidR="005E2FC0" w:rsidRPr="00EB0495" w:rsidRDefault="005E2FC0" w:rsidP="005E2FC0">
      <w:pPr>
        <w:spacing w:before="240"/>
        <w:rPr>
          <w:rFonts w:ascii="Arial" w:hAnsi="Arial" w:cs="Arial"/>
          <w:b/>
          <w:sz w:val="24"/>
          <w:szCs w:val="20"/>
        </w:rPr>
      </w:pPr>
      <w:r w:rsidRPr="00EB0495">
        <w:rPr>
          <w:rFonts w:ascii="Arial" w:hAnsi="Arial" w:cs="Arial"/>
          <w:b/>
          <w:sz w:val="24"/>
          <w:szCs w:val="20"/>
          <w:lang w:val="en-US"/>
        </w:rPr>
        <w:t xml:space="preserve">Association of </w:t>
      </w:r>
      <w:r w:rsidR="00F024E3" w:rsidRPr="00EB0495">
        <w:rPr>
          <w:rFonts w:ascii="Arial" w:hAnsi="Arial" w:cs="Arial"/>
          <w:b/>
          <w:sz w:val="24"/>
          <w:szCs w:val="20"/>
          <w:lang w:val="en-US"/>
        </w:rPr>
        <w:t>e</w:t>
      </w:r>
      <w:r w:rsidRPr="00EB0495">
        <w:rPr>
          <w:rFonts w:ascii="Arial" w:hAnsi="Arial" w:cs="Arial"/>
          <w:b/>
          <w:sz w:val="24"/>
          <w:szCs w:val="20"/>
          <w:lang w:val="en-US"/>
        </w:rPr>
        <w:t xml:space="preserve">arly </w:t>
      </w:r>
      <w:r w:rsidR="00F024E3" w:rsidRPr="00EB0495">
        <w:rPr>
          <w:rFonts w:ascii="Arial" w:hAnsi="Arial" w:cs="Arial"/>
          <w:b/>
          <w:sz w:val="24"/>
          <w:szCs w:val="20"/>
          <w:lang w:val="en-US"/>
        </w:rPr>
        <w:t>d</w:t>
      </w:r>
      <w:r w:rsidRPr="00EB0495">
        <w:rPr>
          <w:rFonts w:ascii="Arial" w:hAnsi="Arial" w:cs="Arial"/>
          <w:b/>
          <w:sz w:val="24"/>
          <w:szCs w:val="20"/>
          <w:lang w:val="en-US"/>
        </w:rPr>
        <w:t xml:space="preserve">isease </w:t>
      </w:r>
      <w:r w:rsidR="00F024E3" w:rsidRPr="00EB0495">
        <w:rPr>
          <w:rFonts w:ascii="Arial" w:hAnsi="Arial" w:cs="Arial"/>
          <w:b/>
          <w:sz w:val="24"/>
          <w:szCs w:val="20"/>
          <w:lang w:val="en-US"/>
        </w:rPr>
        <w:t>p</w:t>
      </w:r>
      <w:r w:rsidRPr="00EB0495">
        <w:rPr>
          <w:rFonts w:ascii="Arial" w:hAnsi="Arial" w:cs="Arial"/>
          <w:b/>
          <w:sz w:val="24"/>
          <w:szCs w:val="20"/>
          <w:lang w:val="en-US"/>
        </w:rPr>
        <w:t xml:space="preserve">rogression and </w:t>
      </w:r>
      <w:r w:rsidR="00F024E3" w:rsidRPr="00EB0495">
        <w:rPr>
          <w:rFonts w:ascii="Arial" w:hAnsi="Arial" w:cs="Arial"/>
          <w:b/>
          <w:sz w:val="24"/>
          <w:szCs w:val="20"/>
          <w:lang w:val="en-US"/>
        </w:rPr>
        <w:t>v</w:t>
      </w:r>
      <w:r w:rsidRPr="00EB0495">
        <w:rPr>
          <w:rFonts w:ascii="Arial" w:hAnsi="Arial" w:cs="Arial"/>
          <w:b/>
          <w:sz w:val="24"/>
          <w:szCs w:val="20"/>
          <w:lang w:val="en-US"/>
        </w:rPr>
        <w:t xml:space="preserve">ery </w:t>
      </w:r>
      <w:r w:rsidR="00F024E3" w:rsidRPr="00EB0495">
        <w:rPr>
          <w:rFonts w:ascii="Arial" w:hAnsi="Arial" w:cs="Arial"/>
          <w:b/>
          <w:sz w:val="24"/>
          <w:szCs w:val="20"/>
          <w:lang w:val="en-US"/>
        </w:rPr>
        <w:t>p</w:t>
      </w:r>
      <w:r w:rsidRPr="00EB0495">
        <w:rPr>
          <w:rFonts w:ascii="Arial" w:hAnsi="Arial" w:cs="Arial"/>
          <w:b/>
          <w:sz w:val="24"/>
          <w:szCs w:val="20"/>
          <w:lang w:val="en-US"/>
        </w:rPr>
        <w:t xml:space="preserve">oor </w:t>
      </w:r>
      <w:r w:rsidR="00F024E3" w:rsidRPr="00EB0495">
        <w:rPr>
          <w:rFonts w:ascii="Arial" w:hAnsi="Arial" w:cs="Arial"/>
          <w:b/>
          <w:sz w:val="24"/>
          <w:szCs w:val="20"/>
          <w:lang w:val="en-US"/>
        </w:rPr>
        <w:t>s</w:t>
      </w:r>
      <w:r w:rsidRPr="00EB0495">
        <w:rPr>
          <w:rFonts w:ascii="Arial" w:hAnsi="Arial" w:cs="Arial"/>
          <w:b/>
          <w:sz w:val="24"/>
          <w:szCs w:val="20"/>
          <w:lang w:val="en-US"/>
        </w:rPr>
        <w:t xml:space="preserve">urvival in the GALLIUM </w:t>
      </w:r>
      <w:r w:rsidR="00F024E3" w:rsidRPr="00EB0495">
        <w:rPr>
          <w:rFonts w:ascii="Arial" w:hAnsi="Arial" w:cs="Arial"/>
          <w:b/>
          <w:sz w:val="24"/>
          <w:szCs w:val="20"/>
          <w:lang w:val="en-US"/>
        </w:rPr>
        <w:t>s</w:t>
      </w:r>
      <w:r w:rsidRPr="00EB0495">
        <w:rPr>
          <w:rFonts w:ascii="Arial" w:hAnsi="Arial" w:cs="Arial"/>
          <w:b/>
          <w:sz w:val="24"/>
          <w:szCs w:val="20"/>
          <w:lang w:val="en-US"/>
        </w:rPr>
        <w:t xml:space="preserve">tudy in </w:t>
      </w:r>
      <w:r w:rsidR="00F024E3" w:rsidRPr="00EB0495">
        <w:rPr>
          <w:rFonts w:ascii="Arial" w:hAnsi="Arial" w:cs="Arial"/>
          <w:b/>
          <w:sz w:val="24"/>
          <w:szCs w:val="20"/>
          <w:lang w:val="en-US"/>
        </w:rPr>
        <w:t>f</w:t>
      </w:r>
      <w:r w:rsidRPr="00EB0495">
        <w:rPr>
          <w:rFonts w:ascii="Arial" w:hAnsi="Arial" w:cs="Arial"/>
          <w:b/>
          <w:sz w:val="24"/>
          <w:szCs w:val="20"/>
          <w:lang w:val="en-US"/>
        </w:rPr>
        <w:t xml:space="preserve">ollicular </w:t>
      </w:r>
      <w:r w:rsidR="00F024E3" w:rsidRPr="00EB0495">
        <w:rPr>
          <w:rFonts w:ascii="Arial" w:hAnsi="Arial" w:cs="Arial"/>
          <w:b/>
          <w:sz w:val="24"/>
          <w:szCs w:val="20"/>
          <w:lang w:val="en-US"/>
        </w:rPr>
        <w:t>l</w:t>
      </w:r>
      <w:r w:rsidRPr="00EB0495">
        <w:rPr>
          <w:rFonts w:ascii="Arial" w:hAnsi="Arial" w:cs="Arial"/>
          <w:b/>
          <w:sz w:val="24"/>
          <w:szCs w:val="20"/>
          <w:lang w:val="en-US"/>
        </w:rPr>
        <w:t>ymphom</w:t>
      </w:r>
      <w:bookmarkStart w:id="0" w:name="_GoBack"/>
      <w:bookmarkEnd w:id="0"/>
      <w:r w:rsidRPr="00EB0495">
        <w:rPr>
          <w:rFonts w:ascii="Arial" w:hAnsi="Arial" w:cs="Arial"/>
          <w:b/>
          <w:sz w:val="24"/>
          <w:szCs w:val="20"/>
          <w:lang w:val="en-US"/>
        </w:rPr>
        <w:t>a: Benefi</w:t>
      </w:r>
      <w:r w:rsidR="00196190" w:rsidRPr="00EB0495">
        <w:rPr>
          <w:rFonts w:ascii="Arial" w:hAnsi="Arial" w:cs="Arial"/>
          <w:b/>
          <w:sz w:val="24"/>
          <w:szCs w:val="20"/>
          <w:lang w:val="en-US"/>
        </w:rPr>
        <w:t>t</w:t>
      </w:r>
      <w:r w:rsidRPr="00EB0495">
        <w:rPr>
          <w:rFonts w:ascii="Arial" w:hAnsi="Arial" w:cs="Arial"/>
          <w:b/>
          <w:sz w:val="24"/>
          <w:szCs w:val="20"/>
          <w:lang w:val="en-US"/>
        </w:rPr>
        <w:t xml:space="preserve"> of </w:t>
      </w:r>
      <w:r w:rsidR="00F024E3" w:rsidRPr="00EB0495">
        <w:rPr>
          <w:rFonts w:ascii="Arial" w:hAnsi="Arial" w:cs="Arial"/>
          <w:b/>
          <w:sz w:val="24"/>
          <w:szCs w:val="20"/>
          <w:lang w:val="en-US"/>
        </w:rPr>
        <w:t>o</w:t>
      </w:r>
      <w:r w:rsidRPr="00EB0495">
        <w:rPr>
          <w:rFonts w:ascii="Arial" w:hAnsi="Arial" w:cs="Arial"/>
          <w:b/>
          <w:sz w:val="24"/>
          <w:szCs w:val="20"/>
          <w:lang w:val="en-US"/>
        </w:rPr>
        <w:t xml:space="preserve">binutuzumab in </w:t>
      </w:r>
      <w:r w:rsidR="00F024E3" w:rsidRPr="00EB0495">
        <w:rPr>
          <w:rFonts w:ascii="Arial" w:hAnsi="Arial" w:cs="Arial"/>
          <w:b/>
          <w:sz w:val="24"/>
          <w:szCs w:val="20"/>
          <w:lang w:val="en-US"/>
        </w:rPr>
        <w:t>r</w:t>
      </w:r>
      <w:r w:rsidRPr="00EB0495">
        <w:rPr>
          <w:rFonts w:ascii="Arial" w:hAnsi="Arial" w:cs="Arial"/>
          <w:b/>
          <w:sz w:val="24"/>
          <w:szCs w:val="20"/>
          <w:lang w:val="en-US"/>
        </w:rPr>
        <w:t xml:space="preserve">educing </w:t>
      </w:r>
      <w:r w:rsidR="00E4612C" w:rsidRPr="00EB0495">
        <w:rPr>
          <w:rFonts w:ascii="Arial" w:hAnsi="Arial" w:cs="Arial"/>
          <w:b/>
          <w:sz w:val="24"/>
          <w:szCs w:val="20"/>
          <w:lang w:val="en-US"/>
        </w:rPr>
        <w:t xml:space="preserve">the </w:t>
      </w:r>
      <w:r w:rsidR="00F024E3" w:rsidRPr="00EB0495">
        <w:rPr>
          <w:rFonts w:ascii="Arial" w:hAnsi="Arial" w:cs="Arial"/>
          <w:b/>
          <w:sz w:val="24"/>
          <w:szCs w:val="20"/>
          <w:lang w:val="en-US"/>
        </w:rPr>
        <w:t>r</w:t>
      </w:r>
      <w:r w:rsidRPr="00EB0495">
        <w:rPr>
          <w:rFonts w:ascii="Arial" w:hAnsi="Arial" w:cs="Arial"/>
          <w:b/>
          <w:sz w:val="24"/>
          <w:szCs w:val="20"/>
          <w:lang w:val="en-US"/>
        </w:rPr>
        <w:t xml:space="preserve">ate of </w:t>
      </w:r>
      <w:r w:rsidR="00F024E3" w:rsidRPr="00EB0495">
        <w:rPr>
          <w:rFonts w:ascii="Arial" w:hAnsi="Arial" w:cs="Arial"/>
          <w:b/>
          <w:sz w:val="24"/>
          <w:szCs w:val="20"/>
          <w:lang w:val="en-US"/>
        </w:rPr>
        <w:t>e</w:t>
      </w:r>
      <w:r w:rsidRPr="00EB0495">
        <w:rPr>
          <w:rFonts w:ascii="Arial" w:hAnsi="Arial" w:cs="Arial"/>
          <w:b/>
          <w:sz w:val="24"/>
          <w:szCs w:val="20"/>
          <w:lang w:val="en-US"/>
        </w:rPr>
        <w:t xml:space="preserve">arly </w:t>
      </w:r>
      <w:r w:rsidR="00F024E3" w:rsidRPr="00EB0495">
        <w:rPr>
          <w:rFonts w:ascii="Arial" w:hAnsi="Arial" w:cs="Arial"/>
          <w:b/>
          <w:sz w:val="24"/>
          <w:szCs w:val="20"/>
          <w:lang w:val="en-US"/>
        </w:rPr>
        <w:t>p</w:t>
      </w:r>
      <w:r w:rsidRPr="00EB0495">
        <w:rPr>
          <w:rFonts w:ascii="Arial" w:hAnsi="Arial" w:cs="Arial"/>
          <w:b/>
          <w:sz w:val="24"/>
          <w:szCs w:val="20"/>
          <w:lang w:val="en-US"/>
        </w:rPr>
        <w:t>rogression</w:t>
      </w:r>
    </w:p>
    <w:p w14:paraId="1E644C25" w14:textId="6556ADC9" w:rsidR="005E2FC0" w:rsidRPr="00EB0495" w:rsidRDefault="005E2FC0" w:rsidP="005E2FC0">
      <w:pPr>
        <w:spacing w:before="240" w:after="240"/>
        <w:rPr>
          <w:rFonts w:ascii="Arial" w:hAnsi="Arial" w:cs="Arial"/>
          <w:i/>
          <w:sz w:val="24"/>
          <w:szCs w:val="20"/>
          <w:vertAlign w:val="superscript"/>
          <w:lang w:val="en-US"/>
        </w:rPr>
      </w:pPr>
      <w:r w:rsidRPr="00EB0495">
        <w:rPr>
          <w:rFonts w:ascii="Arial" w:hAnsi="Arial" w:cs="Arial"/>
          <w:i/>
          <w:sz w:val="24"/>
          <w:szCs w:val="20"/>
          <w:lang w:val="en-US"/>
        </w:rPr>
        <w:t>John F. Seymour</w:t>
      </w:r>
      <w:r w:rsidR="00902FF5" w:rsidRPr="00EB0495">
        <w:rPr>
          <w:rFonts w:ascii="Arial" w:hAnsi="Arial" w:cs="Arial"/>
          <w:i/>
          <w:sz w:val="24"/>
          <w:szCs w:val="20"/>
          <w:lang w:val="en-US"/>
        </w:rPr>
        <w:t>;</w:t>
      </w:r>
      <w:r w:rsidR="00902FF5" w:rsidRPr="00EB0495">
        <w:rPr>
          <w:rFonts w:ascii="Arial" w:hAnsi="Arial" w:cs="Arial"/>
          <w:i/>
          <w:sz w:val="24"/>
          <w:szCs w:val="20"/>
          <w:vertAlign w:val="superscript"/>
          <w:lang w:val="en-US"/>
        </w:rPr>
        <w:t>1</w:t>
      </w:r>
      <w:r w:rsidRPr="00EB0495">
        <w:rPr>
          <w:rFonts w:ascii="Arial" w:hAnsi="Arial" w:cs="Arial"/>
          <w:i/>
          <w:sz w:val="24"/>
          <w:szCs w:val="20"/>
          <w:lang w:val="en-US"/>
        </w:rPr>
        <w:t xml:space="preserve"> Robert Marcus</w:t>
      </w:r>
      <w:r w:rsidR="00902FF5" w:rsidRPr="00EB0495">
        <w:rPr>
          <w:rFonts w:ascii="Arial" w:hAnsi="Arial" w:cs="Arial"/>
          <w:i/>
          <w:sz w:val="24"/>
          <w:szCs w:val="20"/>
          <w:lang w:val="en-US"/>
        </w:rPr>
        <w:t>;</w:t>
      </w:r>
      <w:r w:rsidR="00902FF5" w:rsidRPr="00EB0495">
        <w:rPr>
          <w:rFonts w:ascii="Arial" w:hAnsi="Arial" w:cs="Arial"/>
          <w:i/>
          <w:sz w:val="24"/>
          <w:szCs w:val="20"/>
          <w:vertAlign w:val="superscript"/>
          <w:lang w:val="en-US"/>
        </w:rPr>
        <w:t>2</w:t>
      </w:r>
      <w:r w:rsidRPr="00EB0495">
        <w:rPr>
          <w:rFonts w:ascii="Arial" w:hAnsi="Arial" w:cs="Arial"/>
          <w:i/>
          <w:sz w:val="24"/>
          <w:szCs w:val="20"/>
          <w:lang w:val="en-US"/>
        </w:rPr>
        <w:t xml:space="preserve"> Andrew Davies</w:t>
      </w:r>
      <w:r w:rsidR="00902FF5" w:rsidRPr="00EB0495">
        <w:rPr>
          <w:rFonts w:ascii="Arial" w:hAnsi="Arial" w:cs="Arial"/>
          <w:i/>
          <w:sz w:val="24"/>
          <w:szCs w:val="20"/>
          <w:lang w:val="en-US"/>
        </w:rPr>
        <w:t>;</w:t>
      </w:r>
      <w:r w:rsidR="00902FF5" w:rsidRPr="00EB0495">
        <w:rPr>
          <w:rFonts w:ascii="Arial" w:hAnsi="Arial" w:cs="Arial"/>
          <w:i/>
          <w:sz w:val="24"/>
          <w:szCs w:val="20"/>
          <w:vertAlign w:val="superscript"/>
          <w:lang w:val="en-US"/>
        </w:rPr>
        <w:t>3</w:t>
      </w:r>
      <w:r w:rsidRPr="00EB0495">
        <w:rPr>
          <w:rFonts w:ascii="Arial" w:hAnsi="Arial" w:cs="Arial"/>
          <w:i/>
          <w:sz w:val="24"/>
          <w:szCs w:val="20"/>
          <w:lang w:val="en-US"/>
        </w:rPr>
        <w:t xml:space="preserve"> Eve Gallop-Evans</w:t>
      </w:r>
      <w:r w:rsidR="00902FF5" w:rsidRPr="00EB0495">
        <w:rPr>
          <w:rFonts w:ascii="Arial" w:hAnsi="Arial" w:cs="Arial"/>
          <w:i/>
          <w:sz w:val="24"/>
          <w:szCs w:val="20"/>
          <w:lang w:val="en-US"/>
        </w:rPr>
        <w:t>;</w:t>
      </w:r>
      <w:r w:rsidR="00902FF5" w:rsidRPr="00EB0495">
        <w:rPr>
          <w:rFonts w:ascii="Arial" w:hAnsi="Arial" w:cs="Arial"/>
          <w:i/>
          <w:sz w:val="24"/>
          <w:szCs w:val="20"/>
          <w:vertAlign w:val="superscript"/>
          <w:lang w:val="en-US"/>
        </w:rPr>
        <w:t>4</w:t>
      </w:r>
      <w:r w:rsidRPr="00EB0495">
        <w:rPr>
          <w:rFonts w:ascii="Arial" w:hAnsi="Arial" w:cs="Arial"/>
          <w:i/>
          <w:sz w:val="24"/>
          <w:szCs w:val="20"/>
          <w:lang w:val="en-US"/>
        </w:rPr>
        <w:t xml:space="preserve"> Andrew Grigg</w:t>
      </w:r>
      <w:r w:rsidR="00902FF5" w:rsidRPr="00EB0495">
        <w:rPr>
          <w:rFonts w:ascii="Arial" w:hAnsi="Arial" w:cs="Arial"/>
          <w:i/>
          <w:sz w:val="24"/>
          <w:szCs w:val="20"/>
          <w:lang w:val="en-US"/>
        </w:rPr>
        <w:t>;</w:t>
      </w:r>
      <w:r w:rsidR="00902FF5" w:rsidRPr="00EB0495">
        <w:rPr>
          <w:rFonts w:ascii="Arial" w:hAnsi="Arial" w:cs="Arial"/>
          <w:i/>
          <w:sz w:val="24"/>
          <w:szCs w:val="20"/>
          <w:vertAlign w:val="superscript"/>
          <w:lang w:val="en-US"/>
        </w:rPr>
        <w:t>5</w:t>
      </w:r>
      <w:r w:rsidRPr="00EB0495">
        <w:rPr>
          <w:rFonts w:ascii="Arial" w:hAnsi="Arial" w:cs="Arial"/>
          <w:i/>
          <w:sz w:val="24"/>
          <w:szCs w:val="20"/>
          <w:lang w:val="en-US"/>
        </w:rPr>
        <w:t xml:space="preserve"> Andrew Haynes</w:t>
      </w:r>
      <w:r w:rsidR="00902FF5" w:rsidRPr="00EB0495">
        <w:rPr>
          <w:rFonts w:ascii="Arial" w:hAnsi="Arial" w:cs="Arial"/>
          <w:i/>
          <w:sz w:val="24"/>
          <w:szCs w:val="20"/>
          <w:lang w:val="en-US"/>
        </w:rPr>
        <w:t>;</w:t>
      </w:r>
      <w:r w:rsidR="00902FF5" w:rsidRPr="00EB0495">
        <w:rPr>
          <w:rFonts w:ascii="Arial" w:hAnsi="Arial" w:cs="Arial"/>
          <w:i/>
          <w:sz w:val="24"/>
          <w:szCs w:val="20"/>
          <w:vertAlign w:val="superscript"/>
          <w:lang w:val="en-US"/>
        </w:rPr>
        <w:t>6</w:t>
      </w:r>
      <w:r w:rsidRPr="00EB0495">
        <w:rPr>
          <w:rFonts w:ascii="Arial" w:hAnsi="Arial" w:cs="Arial"/>
          <w:i/>
          <w:sz w:val="24"/>
          <w:szCs w:val="20"/>
          <w:lang w:val="en-US"/>
        </w:rPr>
        <w:t xml:space="preserve"> Michael Herold</w:t>
      </w:r>
      <w:r w:rsidR="00902FF5" w:rsidRPr="00EB0495">
        <w:rPr>
          <w:rFonts w:ascii="Arial" w:hAnsi="Arial" w:cs="Arial"/>
          <w:i/>
          <w:sz w:val="24"/>
          <w:szCs w:val="20"/>
          <w:lang w:val="en-US"/>
        </w:rPr>
        <w:t>;</w:t>
      </w:r>
      <w:r w:rsidR="00902FF5" w:rsidRPr="00EB0495">
        <w:rPr>
          <w:rFonts w:ascii="Arial" w:hAnsi="Arial" w:cs="Arial"/>
          <w:i/>
          <w:sz w:val="24"/>
          <w:szCs w:val="20"/>
          <w:vertAlign w:val="superscript"/>
          <w:lang w:val="en-US"/>
        </w:rPr>
        <w:t>7</w:t>
      </w:r>
      <w:r w:rsidRPr="00EB0495">
        <w:rPr>
          <w:rFonts w:ascii="Arial" w:hAnsi="Arial" w:cs="Arial"/>
          <w:i/>
          <w:sz w:val="24"/>
          <w:szCs w:val="20"/>
          <w:lang w:val="en-US"/>
        </w:rPr>
        <w:t xml:space="preserve"> Thomas Illmer</w:t>
      </w:r>
      <w:r w:rsidR="00902FF5" w:rsidRPr="00EB0495">
        <w:rPr>
          <w:rFonts w:ascii="Arial" w:hAnsi="Arial" w:cs="Arial"/>
          <w:i/>
          <w:sz w:val="24"/>
          <w:szCs w:val="20"/>
          <w:lang w:val="en-US"/>
        </w:rPr>
        <w:t>;</w:t>
      </w:r>
      <w:r w:rsidR="00902FF5" w:rsidRPr="00EB0495">
        <w:rPr>
          <w:rFonts w:ascii="Arial" w:hAnsi="Arial" w:cs="Arial"/>
          <w:i/>
          <w:sz w:val="24"/>
          <w:szCs w:val="20"/>
          <w:vertAlign w:val="superscript"/>
          <w:lang w:val="en-US"/>
        </w:rPr>
        <w:t>8</w:t>
      </w:r>
      <w:r w:rsidRPr="00EB0495">
        <w:rPr>
          <w:rFonts w:ascii="Arial" w:hAnsi="Arial" w:cs="Arial"/>
          <w:i/>
          <w:sz w:val="24"/>
          <w:szCs w:val="20"/>
          <w:lang w:val="en-US"/>
        </w:rPr>
        <w:t xml:space="preserve"> Herman Nilsson-Ehle</w:t>
      </w:r>
      <w:r w:rsidR="00902FF5" w:rsidRPr="00EB0495">
        <w:rPr>
          <w:rFonts w:ascii="Arial" w:hAnsi="Arial" w:cs="Arial"/>
          <w:i/>
          <w:sz w:val="24"/>
          <w:szCs w:val="20"/>
          <w:lang w:val="en-US"/>
        </w:rPr>
        <w:t>;</w:t>
      </w:r>
      <w:r w:rsidR="00902FF5" w:rsidRPr="00EB0495">
        <w:rPr>
          <w:rFonts w:ascii="Arial" w:hAnsi="Arial" w:cs="Arial"/>
          <w:i/>
          <w:sz w:val="24"/>
          <w:szCs w:val="20"/>
          <w:vertAlign w:val="superscript"/>
          <w:lang w:val="en-US"/>
        </w:rPr>
        <w:t>9</w:t>
      </w:r>
      <w:r w:rsidRPr="00EB0495">
        <w:rPr>
          <w:rFonts w:ascii="Arial" w:hAnsi="Arial" w:cs="Arial"/>
          <w:i/>
          <w:sz w:val="24"/>
          <w:szCs w:val="20"/>
          <w:lang w:val="en-US"/>
        </w:rPr>
        <w:t xml:space="preserve"> Martin Sökler</w:t>
      </w:r>
      <w:r w:rsidR="00902FF5" w:rsidRPr="00EB0495">
        <w:rPr>
          <w:rFonts w:ascii="Arial" w:hAnsi="Arial" w:cs="Arial"/>
          <w:i/>
          <w:sz w:val="24"/>
          <w:szCs w:val="20"/>
          <w:lang w:val="en-US"/>
        </w:rPr>
        <w:t>;</w:t>
      </w:r>
      <w:r w:rsidR="00902FF5" w:rsidRPr="00EB0495">
        <w:rPr>
          <w:rFonts w:ascii="Arial" w:hAnsi="Arial" w:cs="Arial"/>
          <w:i/>
          <w:sz w:val="24"/>
          <w:szCs w:val="20"/>
          <w:vertAlign w:val="superscript"/>
          <w:lang w:val="en-US"/>
        </w:rPr>
        <w:t>10</w:t>
      </w:r>
      <w:r w:rsidRPr="00EB0495">
        <w:rPr>
          <w:rFonts w:ascii="Arial" w:hAnsi="Arial" w:cs="Arial"/>
          <w:i/>
          <w:sz w:val="24"/>
          <w:szCs w:val="20"/>
          <w:lang w:val="en-US"/>
        </w:rPr>
        <w:t xml:space="preserve"> Ulrich Dünzinger</w:t>
      </w:r>
      <w:r w:rsidR="00902FF5" w:rsidRPr="00EB0495">
        <w:rPr>
          <w:rFonts w:ascii="Arial" w:hAnsi="Arial" w:cs="Arial"/>
          <w:i/>
          <w:sz w:val="24"/>
          <w:szCs w:val="20"/>
          <w:lang w:val="en-US"/>
        </w:rPr>
        <w:t>;</w:t>
      </w:r>
      <w:r w:rsidR="00902FF5" w:rsidRPr="00EB0495">
        <w:rPr>
          <w:rFonts w:ascii="Arial" w:hAnsi="Arial" w:cs="Arial"/>
          <w:i/>
          <w:sz w:val="24"/>
          <w:szCs w:val="20"/>
          <w:vertAlign w:val="superscript"/>
          <w:lang w:val="en-US"/>
        </w:rPr>
        <w:t>11</w:t>
      </w:r>
      <w:r w:rsidRPr="00EB0495">
        <w:rPr>
          <w:rFonts w:ascii="Arial" w:hAnsi="Arial" w:cs="Arial"/>
          <w:i/>
          <w:sz w:val="24"/>
          <w:szCs w:val="20"/>
          <w:lang w:val="en-US"/>
        </w:rPr>
        <w:t xml:space="preserve"> Tina Nielsen</w:t>
      </w:r>
      <w:r w:rsidR="00902FF5" w:rsidRPr="00EB0495">
        <w:rPr>
          <w:rFonts w:ascii="Arial" w:hAnsi="Arial" w:cs="Arial"/>
          <w:i/>
          <w:sz w:val="24"/>
          <w:szCs w:val="20"/>
          <w:lang w:val="en-US"/>
        </w:rPr>
        <w:t>;</w:t>
      </w:r>
      <w:r w:rsidR="00902FF5" w:rsidRPr="00EB0495">
        <w:rPr>
          <w:rFonts w:ascii="Arial" w:hAnsi="Arial" w:cs="Arial"/>
          <w:i/>
          <w:sz w:val="24"/>
          <w:szCs w:val="20"/>
          <w:vertAlign w:val="superscript"/>
          <w:lang w:val="en-US"/>
        </w:rPr>
        <w:t>12</w:t>
      </w:r>
      <w:r w:rsidRPr="00EB0495">
        <w:rPr>
          <w:rFonts w:ascii="Arial" w:hAnsi="Arial" w:cs="Arial"/>
          <w:i/>
          <w:sz w:val="24"/>
          <w:szCs w:val="20"/>
          <w:lang w:val="en-US"/>
        </w:rPr>
        <w:t xml:space="preserve"> Aino Launonen</w:t>
      </w:r>
      <w:r w:rsidR="00902FF5" w:rsidRPr="00EB0495">
        <w:rPr>
          <w:rFonts w:ascii="Arial" w:hAnsi="Arial" w:cs="Arial"/>
          <w:i/>
          <w:sz w:val="24"/>
          <w:szCs w:val="20"/>
          <w:lang w:val="en-US"/>
        </w:rPr>
        <w:t>;</w:t>
      </w:r>
      <w:r w:rsidR="00902FF5" w:rsidRPr="00EB0495">
        <w:rPr>
          <w:rFonts w:ascii="Arial" w:hAnsi="Arial" w:cs="Arial"/>
          <w:i/>
          <w:sz w:val="24"/>
          <w:szCs w:val="20"/>
          <w:vertAlign w:val="superscript"/>
          <w:lang w:val="en-US"/>
        </w:rPr>
        <w:t>12</w:t>
      </w:r>
      <w:r w:rsidRPr="00EB0495">
        <w:rPr>
          <w:rFonts w:ascii="Arial" w:hAnsi="Arial" w:cs="Arial"/>
          <w:i/>
          <w:sz w:val="24"/>
          <w:szCs w:val="20"/>
          <w:vertAlign w:val="superscript"/>
          <w:lang w:val="en-US"/>
        </w:rPr>
        <w:t xml:space="preserve"> </w:t>
      </w:r>
      <w:r w:rsidRPr="00EB0495">
        <w:rPr>
          <w:rFonts w:ascii="Arial" w:hAnsi="Arial" w:cs="Arial"/>
          <w:i/>
          <w:sz w:val="24"/>
          <w:szCs w:val="20"/>
          <w:lang w:val="en-US"/>
        </w:rPr>
        <w:t>and Wolfgang Hiddemann</w:t>
      </w:r>
      <w:r w:rsidR="00902FF5" w:rsidRPr="00EB0495">
        <w:rPr>
          <w:rFonts w:ascii="Arial" w:hAnsi="Arial" w:cs="Arial"/>
          <w:i/>
          <w:sz w:val="24"/>
          <w:szCs w:val="20"/>
          <w:vertAlign w:val="superscript"/>
          <w:lang w:val="en-US"/>
        </w:rPr>
        <w:t>13</w:t>
      </w:r>
    </w:p>
    <w:p w14:paraId="08C9E6FC" w14:textId="77777777" w:rsidR="005E2FC0" w:rsidRPr="00EB0495" w:rsidRDefault="005E2FC0" w:rsidP="005E2FC0">
      <w:pPr>
        <w:rPr>
          <w:rFonts w:ascii="Arial" w:hAnsi="Arial" w:cs="Arial"/>
          <w:i/>
          <w:sz w:val="24"/>
          <w:szCs w:val="20"/>
          <w:vertAlign w:val="superscript"/>
          <w:lang w:val="en-US"/>
        </w:rPr>
      </w:pPr>
      <w:r w:rsidRPr="00EB0495">
        <w:rPr>
          <w:rFonts w:ascii="Arial" w:hAnsi="Arial" w:cs="Arial"/>
          <w:b/>
          <w:i/>
          <w:sz w:val="24"/>
          <w:szCs w:val="20"/>
          <w:lang w:val="en-US"/>
        </w:rPr>
        <w:t>Affiliations</w:t>
      </w:r>
    </w:p>
    <w:p w14:paraId="30EC7AC1" w14:textId="39F0E072" w:rsidR="00A80AC3" w:rsidRPr="00EB0495" w:rsidRDefault="00902FF5" w:rsidP="00A80AC3">
      <w:pPr>
        <w:spacing w:after="240"/>
        <w:ind w:firstLine="720"/>
        <w:rPr>
          <w:rFonts w:ascii="Arial" w:hAnsi="Arial" w:cs="Arial"/>
          <w:sz w:val="24"/>
          <w:szCs w:val="20"/>
          <w:lang w:val="en-US"/>
        </w:rPr>
      </w:pPr>
      <w:r w:rsidRPr="00EB0495">
        <w:rPr>
          <w:rFonts w:ascii="Arial" w:hAnsi="Arial" w:cs="Arial"/>
          <w:b/>
          <w:sz w:val="24"/>
          <w:szCs w:val="20"/>
          <w:vertAlign w:val="superscript"/>
          <w:lang w:val="en-US"/>
        </w:rPr>
        <w:t>1</w:t>
      </w:r>
      <w:r w:rsidR="00A80AC3" w:rsidRPr="00EB0495">
        <w:rPr>
          <w:rFonts w:ascii="Arial" w:hAnsi="Arial" w:cs="Arial"/>
          <w:sz w:val="24"/>
          <w:szCs w:val="20"/>
          <w:lang w:val="en-US"/>
        </w:rPr>
        <w:t xml:space="preserve">Peter MacCallum Cancer Centre, Royal Melbourne Hospital and University of Melbourne, Melbourne, Victoria; </w:t>
      </w:r>
      <w:r w:rsidRPr="00EB0495">
        <w:rPr>
          <w:rFonts w:ascii="Arial" w:hAnsi="Arial" w:cs="Arial"/>
          <w:sz w:val="24"/>
          <w:szCs w:val="20"/>
          <w:vertAlign w:val="superscript"/>
          <w:lang w:val="en-US"/>
        </w:rPr>
        <w:t>2</w:t>
      </w:r>
      <w:r w:rsidRPr="00EB0495">
        <w:rPr>
          <w:rFonts w:ascii="Arial" w:hAnsi="Arial" w:cs="Arial"/>
          <w:sz w:val="24"/>
          <w:szCs w:val="20"/>
          <w:lang w:val="en-US"/>
        </w:rPr>
        <w:t xml:space="preserve">Kings College Hospital, London; </w:t>
      </w:r>
      <w:r w:rsidRPr="00EB0495">
        <w:rPr>
          <w:rFonts w:ascii="Arial" w:hAnsi="Arial" w:cs="Arial"/>
          <w:sz w:val="24"/>
          <w:szCs w:val="20"/>
          <w:vertAlign w:val="superscript"/>
          <w:lang w:val="en-US"/>
        </w:rPr>
        <w:t>3</w:t>
      </w:r>
      <w:r w:rsidR="00A80AC3" w:rsidRPr="00EB0495">
        <w:rPr>
          <w:rFonts w:ascii="Arial" w:hAnsi="Arial" w:cs="Arial"/>
          <w:sz w:val="24"/>
          <w:szCs w:val="20"/>
          <w:lang w:val="en-US"/>
        </w:rPr>
        <w:t>Cancer Research UK Centre, University of Southampton, Southampton;</w:t>
      </w:r>
      <w:r w:rsidR="00A80AC3" w:rsidRPr="00EB0495">
        <w:rPr>
          <w:rFonts w:ascii="Arial" w:hAnsi="Arial" w:cs="Arial"/>
          <w:b/>
          <w:sz w:val="24"/>
          <w:szCs w:val="20"/>
          <w:lang w:val="en-US"/>
        </w:rPr>
        <w:t>,</w:t>
      </w:r>
      <w:r w:rsidRPr="00EB0495">
        <w:rPr>
          <w:rFonts w:ascii="Arial" w:hAnsi="Arial" w:cs="Arial"/>
          <w:sz w:val="24"/>
          <w:szCs w:val="20"/>
          <w:vertAlign w:val="superscript"/>
          <w:lang w:val="en-US"/>
        </w:rPr>
        <w:t>4</w:t>
      </w:r>
      <w:r w:rsidR="00A80AC3" w:rsidRPr="00EB0495">
        <w:rPr>
          <w:rFonts w:ascii="Arial" w:hAnsi="Arial" w:cs="Arial"/>
          <w:sz w:val="24"/>
          <w:lang w:val="en-US"/>
        </w:rPr>
        <w:t xml:space="preserve">Velindre Cancer Centre, Cardiff; </w:t>
      </w:r>
      <w:r w:rsidRPr="00EB0495">
        <w:rPr>
          <w:rFonts w:ascii="Arial" w:hAnsi="Arial" w:cs="Arial"/>
          <w:sz w:val="24"/>
          <w:vertAlign w:val="superscript"/>
          <w:lang w:val="en-US"/>
        </w:rPr>
        <w:t>5</w:t>
      </w:r>
      <w:r w:rsidRPr="00EB0495">
        <w:rPr>
          <w:rFonts w:ascii="Arial" w:hAnsi="Arial" w:cs="Arial"/>
          <w:sz w:val="24"/>
          <w:szCs w:val="20"/>
          <w:lang w:val="en-US"/>
        </w:rPr>
        <w:t xml:space="preserve">Austin Hospital, Melbourne, Victoria, Australia; </w:t>
      </w:r>
      <w:r w:rsidRPr="00EB0495">
        <w:rPr>
          <w:rFonts w:ascii="Arial" w:hAnsi="Arial" w:cs="Arial"/>
          <w:sz w:val="24"/>
          <w:szCs w:val="20"/>
          <w:vertAlign w:val="superscript"/>
          <w:lang w:val="en-US"/>
        </w:rPr>
        <w:t>6</w:t>
      </w:r>
      <w:r w:rsidR="00A80AC3" w:rsidRPr="00EB0495">
        <w:rPr>
          <w:rFonts w:ascii="Arial" w:hAnsi="Arial" w:cs="Arial"/>
          <w:sz w:val="24"/>
          <w:szCs w:val="20"/>
          <w:lang w:val="en-US"/>
        </w:rPr>
        <w:t xml:space="preserve">Nottingham University Hospitals NHS Trust, Nottingham, United Kingdom; </w:t>
      </w:r>
      <w:r w:rsidRPr="00EB0495">
        <w:rPr>
          <w:rFonts w:ascii="Arial" w:hAnsi="Arial" w:cs="Arial"/>
          <w:sz w:val="24"/>
          <w:szCs w:val="20"/>
          <w:vertAlign w:val="superscript"/>
          <w:lang w:val="en-US"/>
        </w:rPr>
        <w:t>7</w:t>
      </w:r>
      <w:r w:rsidR="00A80AC3" w:rsidRPr="00EB0495" w:rsidDel="00D91F89">
        <w:rPr>
          <w:rFonts w:ascii="Arial" w:hAnsi="Arial" w:cs="Arial"/>
          <w:b/>
          <w:sz w:val="24"/>
          <w:szCs w:val="20"/>
          <w:lang w:val="en-US"/>
        </w:rPr>
        <w:t xml:space="preserve"> </w:t>
      </w:r>
      <w:r w:rsidR="00A80AC3" w:rsidRPr="00EB0495">
        <w:rPr>
          <w:rFonts w:ascii="Arial" w:hAnsi="Arial" w:cs="Arial"/>
          <w:sz w:val="24"/>
          <w:szCs w:val="20"/>
          <w:lang w:val="en-US"/>
        </w:rPr>
        <w:t xml:space="preserve">HELIOS-Klinikum Erfurt, Erfurt; </w:t>
      </w:r>
      <w:r w:rsidRPr="00EB0495">
        <w:rPr>
          <w:rFonts w:ascii="Arial" w:hAnsi="Arial" w:cs="Arial"/>
          <w:sz w:val="24"/>
          <w:szCs w:val="20"/>
          <w:vertAlign w:val="superscript"/>
          <w:lang w:val="en-US"/>
        </w:rPr>
        <w:t>8</w:t>
      </w:r>
      <w:r w:rsidR="00A80AC3" w:rsidRPr="00EB0495">
        <w:rPr>
          <w:rFonts w:ascii="Arial" w:hAnsi="Arial" w:cs="Arial"/>
          <w:sz w:val="24"/>
          <w:szCs w:val="20"/>
          <w:lang w:val="en-US"/>
        </w:rPr>
        <w:t xml:space="preserve">BAG Freiberg-Richter, Jacobasch, Illmer and Wolf, Dresden; </w:t>
      </w:r>
      <w:r w:rsidRPr="00EB0495">
        <w:rPr>
          <w:rFonts w:ascii="Arial" w:hAnsi="Arial" w:cs="Arial"/>
          <w:sz w:val="24"/>
          <w:szCs w:val="20"/>
          <w:vertAlign w:val="superscript"/>
        </w:rPr>
        <w:t>9</w:t>
      </w:r>
      <w:r w:rsidR="003E7D30" w:rsidRPr="00EB0495">
        <w:rPr>
          <w:rFonts w:ascii="Arial" w:hAnsi="Arial" w:cs="Arial"/>
          <w:sz w:val="24"/>
          <w:szCs w:val="20"/>
        </w:rPr>
        <w:t xml:space="preserve">Section of Hematology and Coagulation, Department of Medicine, </w:t>
      </w:r>
      <w:r w:rsidR="00A80AC3" w:rsidRPr="00EB0495">
        <w:rPr>
          <w:rFonts w:ascii="Arial" w:hAnsi="Arial" w:cs="Arial"/>
          <w:sz w:val="24"/>
          <w:szCs w:val="20"/>
        </w:rPr>
        <w:t xml:space="preserve">Sahlgrenska University Hospital, Gothenburg, Sweden; </w:t>
      </w:r>
      <w:r w:rsidRPr="00EB0495">
        <w:rPr>
          <w:rFonts w:ascii="Arial" w:hAnsi="Arial" w:cs="Arial"/>
          <w:sz w:val="24"/>
          <w:szCs w:val="20"/>
          <w:vertAlign w:val="superscript"/>
        </w:rPr>
        <w:t>10</w:t>
      </w:r>
      <w:r w:rsidRPr="00EB0495">
        <w:rPr>
          <w:rFonts w:ascii="Arial" w:hAnsi="Arial" w:cs="Arial"/>
          <w:sz w:val="24"/>
          <w:szCs w:val="20"/>
          <w:lang w:val="en-US"/>
        </w:rPr>
        <w:t xml:space="preserve">Eberhard-Karls-University Tübingen, Tübingen; </w:t>
      </w:r>
      <w:r w:rsidRPr="00EB0495">
        <w:rPr>
          <w:rFonts w:ascii="Arial" w:hAnsi="Arial" w:cs="Arial"/>
          <w:sz w:val="24"/>
          <w:szCs w:val="20"/>
          <w:vertAlign w:val="superscript"/>
          <w:lang w:val="en-US"/>
        </w:rPr>
        <w:t>11</w:t>
      </w:r>
      <w:r w:rsidRPr="00EB0495">
        <w:rPr>
          <w:rFonts w:ascii="Arial" w:hAnsi="Arial" w:cs="Arial"/>
          <w:sz w:val="24"/>
          <w:szCs w:val="20"/>
        </w:rPr>
        <w:t>Roche Pharma AG, Grenzach-Wyhlen, Germany</w:t>
      </w:r>
      <w:r w:rsidRPr="00EB0495">
        <w:rPr>
          <w:rFonts w:ascii="Arial" w:hAnsi="Arial" w:cs="Arial"/>
          <w:b/>
          <w:sz w:val="24"/>
          <w:szCs w:val="20"/>
        </w:rPr>
        <w:t>;</w:t>
      </w:r>
      <w:r w:rsidRPr="00EB0495">
        <w:rPr>
          <w:rFonts w:ascii="Arial" w:hAnsi="Arial" w:cs="Arial"/>
          <w:sz w:val="24"/>
          <w:szCs w:val="20"/>
          <w:vertAlign w:val="superscript"/>
        </w:rPr>
        <w:t>12</w:t>
      </w:r>
      <w:r w:rsidR="00A80AC3" w:rsidRPr="00EB0495">
        <w:rPr>
          <w:rFonts w:ascii="Arial" w:hAnsi="Arial" w:cs="Arial"/>
          <w:sz w:val="24"/>
          <w:szCs w:val="20"/>
        </w:rPr>
        <w:t>F. Hoffmann-La Roche Ltd, Basel, Switzerland</w:t>
      </w:r>
      <w:r w:rsidRPr="00EB0495">
        <w:rPr>
          <w:rFonts w:ascii="Arial" w:hAnsi="Arial" w:cs="Arial"/>
          <w:sz w:val="24"/>
          <w:szCs w:val="20"/>
        </w:rPr>
        <w:t xml:space="preserve">; </w:t>
      </w:r>
      <w:r w:rsidRPr="00EB0495">
        <w:rPr>
          <w:rFonts w:ascii="Arial" w:hAnsi="Arial" w:cs="Arial"/>
          <w:sz w:val="24"/>
          <w:szCs w:val="20"/>
          <w:vertAlign w:val="superscript"/>
        </w:rPr>
        <w:t>13</w:t>
      </w:r>
      <w:r w:rsidRPr="00EB0495">
        <w:rPr>
          <w:rFonts w:ascii="Arial" w:hAnsi="Arial" w:cs="Arial"/>
          <w:sz w:val="24"/>
          <w:szCs w:val="20"/>
          <w:lang w:val="en-US"/>
        </w:rPr>
        <w:t xml:space="preserve"> Department of Medicine III, Ludwig-Maximilians-University, Munich</w:t>
      </w:r>
      <w:r w:rsidR="00A80AC3" w:rsidRPr="00EB0495">
        <w:rPr>
          <w:rFonts w:ascii="Arial" w:hAnsi="Arial" w:cs="Arial"/>
          <w:sz w:val="24"/>
          <w:szCs w:val="20"/>
        </w:rPr>
        <w:t>.</w:t>
      </w:r>
    </w:p>
    <w:p w14:paraId="098E86C9" w14:textId="456A3217" w:rsidR="005E2FC0" w:rsidRPr="00EB0495" w:rsidRDefault="005E2FC0" w:rsidP="005E2FC0">
      <w:pPr>
        <w:spacing w:after="240"/>
        <w:rPr>
          <w:rFonts w:ascii="Arial" w:hAnsi="Arial" w:cs="Arial"/>
          <w:sz w:val="24"/>
          <w:szCs w:val="20"/>
          <w:lang w:val="en-US"/>
        </w:rPr>
      </w:pPr>
      <w:r w:rsidRPr="00EB0495">
        <w:rPr>
          <w:rFonts w:ascii="Arial" w:hAnsi="Arial" w:cs="Arial"/>
          <w:b/>
          <w:sz w:val="24"/>
          <w:szCs w:val="20"/>
          <w:lang w:val="en-US"/>
        </w:rPr>
        <w:t xml:space="preserve">Corresponding </w:t>
      </w:r>
      <w:r w:rsidR="003C37FE" w:rsidRPr="00EB0495">
        <w:rPr>
          <w:rFonts w:ascii="Arial" w:hAnsi="Arial" w:cs="Arial"/>
          <w:b/>
          <w:sz w:val="24"/>
          <w:szCs w:val="20"/>
          <w:lang w:val="en-US"/>
        </w:rPr>
        <w:t>A</w:t>
      </w:r>
      <w:r w:rsidRPr="00EB0495">
        <w:rPr>
          <w:rFonts w:ascii="Arial" w:hAnsi="Arial" w:cs="Arial"/>
          <w:b/>
          <w:sz w:val="24"/>
          <w:szCs w:val="20"/>
          <w:lang w:val="en-US"/>
        </w:rPr>
        <w:t>uthor</w:t>
      </w:r>
      <w:r w:rsidRPr="00EB0495">
        <w:rPr>
          <w:rFonts w:ascii="Arial" w:hAnsi="Arial" w:cs="Arial"/>
          <w:sz w:val="24"/>
          <w:szCs w:val="20"/>
          <w:lang w:val="en-US"/>
        </w:rPr>
        <w:t>: John Seymour (</w:t>
      </w:r>
      <w:r w:rsidR="00372AA7" w:rsidRPr="00EB0495">
        <w:rPr>
          <w:rFonts w:ascii="Arial" w:hAnsi="Arial" w:cs="Arial"/>
          <w:sz w:val="24"/>
          <w:szCs w:val="20"/>
          <w:lang w:val="en-US"/>
        </w:rPr>
        <w:t>MBBS, FRACP, PhD</w:t>
      </w:r>
      <w:r w:rsidRPr="00EB0495">
        <w:rPr>
          <w:rFonts w:ascii="Arial" w:hAnsi="Arial" w:cs="Arial"/>
          <w:sz w:val="24"/>
          <w:szCs w:val="20"/>
          <w:lang w:val="en-US"/>
        </w:rPr>
        <w:t>), Dep</w:t>
      </w:r>
      <w:r w:rsidR="003C37FE" w:rsidRPr="00EB0495">
        <w:rPr>
          <w:rFonts w:ascii="Arial" w:hAnsi="Arial" w:cs="Arial"/>
          <w:sz w:val="24"/>
          <w:szCs w:val="20"/>
          <w:lang w:val="en-US"/>
        </w:rPr>
        <w:t>artment</w:t>
      </w:r>
      <w:r w:rsidRPr="00EB0495">
        <w:rPr>
          <w:rFonts w:ascii="Arial" w:hAnsi="Arial" w:cs="Arial"/>
          <w:sz w:val="24"/>
          <w:szCs w:val="20"/>
          <w:lang w:val="en-US"/>
        </w:rPr>
        <w:t xml:space="preserve"> of Haematology, Peter MacCallum Cancer Centre, 305 Grattan Street</w:t>
      </w:r>
      <w:r w:rsidR="00EE2420" w:rsidRPr="00EB0495">
        <w:rPr>
          <w:rFonts w:ascii="Arial" w:hAnsi="Arial" w:cs="Arial"/>
          <w:sz w:val="24"/>
          <w:szCs w:val="20"/>
          <w:lang w:val="en-US"/>
        </w:rPr>
        <w:t>,</w:t>
      </w:r>
      <w:r w:rsidRPr="00EB0495">
        <w:rPr>
          <w:rFonts w:ascii="Arial" w:hAnsi="Arial" w:cs="Arial"/>
          <w:sz w:val="24"/>
          <w:szCs w:val="20"/>
          <w:lang w:val="en-US"/>
        </w:rPr>
        <w:t xml:space="preserve"> Melbourne, Victoria 3000, Australia; tel: +613 8559 7809; fax: +613 8559 7739; e-mail: </w:t>
      </w:r>
      <w:hyperlink r:id="rId9" w:history="1">
        <w:r w:rsidRPr="00EB0495">
          <w:rPr>
            <w:rStyle w:val="Hyperlink"/>
            <w:rFonts w:ascii="Arial" w:hAnsi="Arial" w:cs="Arial"/>
            <w:sz w:val="24"/>
            <w:szCs w:val="20"/>
            <w:lang w:val="en-US"/>
          </w:rPr>
          <w:t>john.seymour@petermac.org</w:t>
        </w:r>
      </w:hyperlink>
    </w:p>
    <w:p w14:paraId="3BD58AD6" w14:textId="0F87D815" w:rsidR="005E2FC0" w:rsidRPr="00EB0495" w:rsidRDefault="005E2FC0" w:rsidP="005E2FC0">
      <w:pPr>
        <w:autoSpaceDE w:val="0"/>
        <w:autoSpaceDN w:val="0"/>
        <w:adjustRightInd w:val="0"/>
        <w:spacing w:after="120"/>
        <w:rPr>
          <w:rFonts w:ascii="Arial" w:eastAsia="Calibri" w:hAnsi="Arial" w:cs="Arial"/>
          <w:b/>
          <w:i/>
          <w:sz w:val="24"/>
          <w:lang w:val="en-US"/>
        </w:rPr>
      </w:pPr>
      <w:r w:rsidRPr="00EB0495">
        <w:rPr>
          <w:rFonts w:ascii="Arial" w:eastAsia="Calibri" w:hAnsi="Arial" w:cs="Arial"/>
          <w:b/>
          <w:i/>
          <w:sz w:val="24"/>
          <w:lang w:val="en-US"/>
        </w:rPr>
        <w:lastRenderedPageBreak/>
        <w:t xml:space="preserve">Running </w:t>
      </w:r>
      <w:r w:rsidR="0055224C" w:rsidRPr="00EB0495">
        <w:rPr>
          <w:rFonts w:ascii="Arial" w:eastAsia="Calibri" w:hAnsi="Arial" w:cs="Arial"/>
          <w:b/>
          <w:i/>
          <w:sz w:val="24"/>
          <w:lang w:val="en-US"/>
        </w:rPr>
        <w:t>H</w:t>
      </w:r>
      <w:r w:rsidRPr="00EB0495">
        <w:rPr>
          <w:rFonts w:ascii="Arial" w:eastAsia="Calibri" w:hAnsi="Arial" w:cs="Arial"/>
          <w:b/>
          <w:i/>
          <w:sz w:val="24"/>
          <w:lang w:val="en-US"/>
        </w:rPr>
        <w:t>ead</w:t>
      </w:r>
      <w:r w:rsidRPr="00EB0495">
        <w:rPr>
          <w:rFonts w:ascii="Arial" w:hAnsi="Arial" w:cs="Arial"/>
          <w:b/>
          <w:i/>
          <w:sz w:val="24"/>
          <w:lang w:val="en-US"/>
        </w:rPr>
        <w:t xml:space="preserve"> </w:t>
      </w:r>
    </w:p>
    <w:p w14:paraId="0A3C07F7" w14:textId="313C1047" w:rsidR="005E2FC0" w:rsidRPr="00EB0495" w:rsidRDefault="005E2FC0" w:rsidP="00682FCB">
      <w:pPr>
        <w:spacing w:after="120"/>
        <w:ind w:left="720"/>
        <w:rPr>
          <w:rFonts w:ascii="Arial" w:eastAsiaTheme="minorEastAsia" w:hAnsi="Arial" w:cs="Arial"/>
          <w:sz w:val="24"/>
          <w:lang w:val="en-US"/>
        </w:rPr>
      </w:pPr>
      <w:r w:rsidRPr="00EB0495">
        <w:rPr>
          <w:rFonts w:ascii="Arial" w:hAnsi="Arial" w:cs="Arial"/>
          <w:sz w:val="24"/>
          <w:lang w:val="en-US"/>
        </w:rPr>
        <w:t xml:space="preserve">Obinutuzumab reduces POD24 risk in </w:t>
      </w:r>
      <w:r w:rsidR="005079AB" w:rsidRPr="00EB0495">
        <w:rPr>
          <w:rFonts w:ascii="Arial" w:hAnsi="Arial" w:cs="Arial"/>
          <w:sz w:val="24"/>
          <w:lang w:val="en-US"/>
        </w:rPr>
        <w:t>FL</w:t>
      </w:r>
      <w:r w:rsidRPr="00EB0495">
        <w:rPr>
          <w:rFonts w:ascii="Arial" w:hAnsi="Arial" w:cs="Arial"/>
          <w:sz w:val="24"/>
          <w:lang w:val="en-US"/>
        </w:rPr>
        <w:t xml:space="preserve"> patients</w:t>
      </w:r>
    </w:p>
    <w:p w14:paraId="2A69684E" w14:textId="3A91EF1E" w:rsidR="005E2FC0" w:rsidRPr="00EB0495" w:rsidRDefault="0055224C" w:rsidP="005E2FC0">
      <w:pPr>
        <w:autoSpaceDE w:val="0"/>
        <w:autoSpaceDN w:val="0"/>
        <w:adjustRightInd w:val="0"/>
        <w:spacing w:after="120"/>
        <w:rPr>
          <w:rFonts w:ascii="Arial" w:hAnsi="Arial" w:cs="Arial"/>
          <w:b/>
          <w:i/>
          <w:sz w:val="24"/>
          <w:lang w:val="en-US"/>
        </w:rPr>
      </w:pPr>
      <w:r w:rsidRPr="00EB0495">
        <w:rPr>
          <w:rFonts w:ascii="Arial" w:hAnsi="Arial" w:cs="Arial"/>
          <w:b/>
          <w:i/>
          <w:sz w:val="24"/>
          <w:lang w:val="en-US"/>
        </w:rPr>
        <w:t xml:space="preserve">Research </w:t>
      </w:r>
      <w:r w:rsidR="005E2FC0" w:rsidRPr="00EB0495">
        <w:rPr>
          <w:rFonts w:ascii="Arial" w:hAnsi="Arial" w:cs="Arial"/>
          <w:b/>
          <w:i/>
          <w:sz w:val="24"/>
          <w:lang w:val="en-US"/>
        </w:rPr>
        <w:t>Support</w:t>
      </w:r>
    </w:p>
    <w:p w14:paraId="28D33FBF" w14:textId="4D237F98" w:rsidR="005E2FC0" w:rsidRPr="00EB0495" w:rsidRDefault="005E2FC0" w:rsidP="005E2FC0">
      <w:pPr>
        <w:autoSpaceDE w:val="0"/>
        <w:autoSpaceDN w:val="0"/>
        <w:adjustRightInd w:val="0"/>
        <w:spacing w:after="120"/>
        <w:ind w:firstLine="720"/>
        <w:rPr>
          <w:rFonts w:ascii="Arial" w:eastAsia="Calibri" w:hAnsi="Arial" w:cs="Arial"/>
          <w:sz w:val="24"/>
          <w:lang w:val="en-US"/>
        </w:rPr>
      </w:pPr>
      <w:r w:rsidRPr="00EB0495">
        <w:rPr>
          <w:rFonts w:ascii="Arial" w:eastAsia="Calibri" w:hAnsi="Arial" w:cs="Arial"/>
          <w:sz w:val="24"/>
          <w:lang w:val="en-US"/>
        </w:rPr>
        <w:t>GA</w:t>
      </w:r>
      <w:r w:rsidRPr="00EB0495">
        <w:rPr>
          <w:rFonts w:ascii="Arial" w:hAnsi="Arial" w:cs="Arial"/>
          <w:sz w:val="24"/>
          <w:lang w:val="en-US"/>
        </w:rPr>
        <w:t xml:space="preserve">LLIUM </w:t>
      </w:r>
      <w:r w:rsidRPr="00EB0495">
        <w:rPr>
          <w:rFonts w:ascii="Arial" w:eastAsia="Calibri" w:hAnsi="Arial" w:cs="Arial"/>
          <w:sz w:val="24"/>
          <w:lang w:val="en-US"/>
        </w:rPr>
        <w:t xml:space="preserve">was sponsored by F. Hoffmann-La Roche Ltd. </w:t>
      </w:r>
    </w:p>
    <w:p w14:paraId="4B4139D5" w14:textId="77777777" w:rsidR="005E2FC0" w:rsidRPr="00EB0495" w:rsidRDefault="005E2FC0" w:rsidP="005E2FC0">
      <w:pPr>
        <w:autoSpaceDE w:val="0"/>
        <w:autoSpaceDN w:val="0"/>
        <w:adjustRightInd w:val="0"/>
        <w:spacing w:after="120"/>
        <w:rPr>
          <w:rFonts w:ascii="Arial" w:eastAsia="Calibri" w:hAnsi="Arial" w:cs="Arial"/>
          <w:b/>
          <w:i/>
          <w:sz w:val="24"/>
          <w:lang w:val="en-US"/>
        </w:rPr>
      </w:pPr>
      <w:r w:rsidRPr="00EB0495">
        <w:rPr>
          <w:rFonts w:ascii="Arial" w:eastAsia="Calibri" w:hAnsi="Arial" w:cs="Arial"/>
          <w:b/>
          <w:i/>
          <w:sz w:val="24"/>
          <w:lang w:val="en-US"/>
        </w:rPr>
        <w:t>Prior Presentation</w:t>
      </w:r>
    </w:p>
    <w:p w14:paraId="20548A1B" w14:textId="3DBCCCCC" w:rsidR="005E2FC0" w:rsidRPr="00EB0495" w:rsidRDefault="005E2FC0" w:rsidP="005E2FC0">
      <w:pPr>
        <w:spacing w:after="240"/>
        <w:ind w:firstLine="720"/>
        <w:rPr>
          <w:rFonts w:ascii="Arial" w:eastAsia="Calibri" w:hAnsi="Arial" w:cs="Arial"/>
          <w:sz w:val="24"/>
          <w:lang w:val="en-US"/>
        </w:rPr>
      </w:pPr>
      <w:r w:rsidRPr="00EB0495">
        <w:rPr>
          <w:rFonts w:ascii="Arial" w:eastAsia="Calibri" w:hAnsi="Arial" w:cs="Arial"/>
          <w:sz w:val="24"/>
          <w:lang w:val="en-US"/>
        </w:rPr>
        <w:t>Presented in part at the 5</w:t>
      </w:r>
      <w:r w:rsidRPr="00EB0495">
        <w:rPr>
          <w:rFonts w:ascii="Arial" w:hAnsi="Arial" w:cs="Arial"/>
          <w:sz w:val="24"/>
          <w:lang w:val="en-US"/>
        </w:rPr>
        <w:t>9</w:t>
      </w:r>
      <w:r w:rsidRPr="00EB0495">
        <w:rPr>
          <w:rFonts w:ascii="Arial" w:eastAsia="Calibri" w:hAnsi="Arial" w:cs="Arial"/>
          <w:sz w:val="24"/>
          <w:vertAlign w:val="superscript"/>
          <w:lang w:val="en-US"/>
        </w:rPr>
        <w:t>th</w:t>
      </w:r>
      <w:r w:rsidRPr="00EB0495">
        <w:rPr>
          <w:rFonts w:ascii="Arial" w:eastAsia="Calibri" w:hAnsi="Arial" w:cs="Arial"/>
          <w:sz w:val="24"/>
          <w:lang w:val="en-US"/>
        </w:rPr>
        <w:t xml:space="preserve"> Annual Meeti</w:t>
      </w:r>
      <w:r w:rsidRPr="00EB0495">
        <w:rPr>
          <w:rFonts w:ascii="Arial" w:hAnsi="Arial" w:cs="Arial"/>
          <w:sz w:val="24"/>
          <w:lang w:val="en-US"/>
        </w:rPr>
        <w:t>ng and Exposition of the American Society of Hematology, December 9-12, 2017, Atlanta, GA</w:t>
      </w:r>
      <w:r w:rsidRPr="00EB0495">
        <w:rPr>
          <w:rFonts w:ascii="Arial" w:eastAsia="Calibri" w:hAnsi="Arial" w:cs="Arial"/>
          <w:sz w:val="24"/>
          <w:lang w:val="en-US"/>
        </w:rPr>
        <w:t>.</w:t>
      </w:r>
    </w:p>
    <w:p w14:paraId="31002FBC" w14:textId="3D76B93E" w:rsidR="007B5299" w:rsidRPr="00EB0495" w:rsidRDefault="007B5299" w:rsidP="005E2FC0">
      <w:pPr>
        <w:autoSpaceDE w:val="0"/>
        <w:autoSpaceDN w:val="0"/>
        <w:adjustRightInd w:val="0"/>
        <w:spacing w:after="120"/>
        <w:rPr>
          <w:rFonts w:ascii="Arial" w:eastAsia="Calibri" w:hAnsi="Arial" w:cs="Arial"/>
          <w:b/>
          <w:i/>
          <w:sz w:val="24"/>
          <w:lang w:val="en-US"/>
        </w:rPr>
      </w:pPr>
      <w:r w:rsidRPr="00EB0495">
        <w:rPr>
          <w:rFonts w:ascii="Arial" w:eastAsia="Calibri" w:hAnsi="Arial" w:cs="Arial"/>
          <w:b/>
          <w:i/>
          <w:sz w:val="24"/>
          <w:lang w:val="en-US"/>
        </w:rPr>
        <w:t xml:space="preserve">AUTHOR COI </w:t>
      </w:r>
    </w:p>
    <w:p w14:paraId="2D35A058" w14:textId="0D458882" w:rsidR="00065CE0" w:rsidRPr="00EB0495" w:rsidRDefault="00065CE0" w:rsidP="003F263C">
      <w:pPr>
        <w:autoSpaceDE w:val="0"/>
        <w:autoSpaceDN w:val="0"/>
        <w:adjustRightInd w:val="0"/>
        <w:spacing w:after="120"/>
        <w:ind w:firstLine="720"/>
        <w:rPr>
          <w:rFonts w:ascii="Arial" w:eastAsia="Calibri" w:hAnsi="Arial" w:cs="Arial"/>
          <w:sz w:val="24"/>
          <w:lang w:val="en-US"/>
        </w:rPr>
      </w:pPr>
      <w:r w:rsidRPr="00EB0495">
        <w:rPr>
          <w:rFonts w:ascii="Arial" w:eastAsia="Calibri" w:hAnsi="Arial" w:cs="Arial"/>
          <w:sz w:val="24"/>
          <w:lang w:val="en-US"/>
        </w:rPr>
        <w:t xml:space="preserve">JFS has received honoraria and consulting or advisory fees from AbbVie, Celgene, Genentech, Gilead, Janssen, Roche, and Takeda; received research funding from AbbVie and Janssen; and received travel support from Celgene and Roche. AG has received consulting or advisory fees and travel support from Roche. RM has received honoraria, consulting or advisory fees, and speakers’ bureau from Roche. AD has received honoraria from Celgene, CTI, Mundipharma, Roche, Gilead, Takeda, Janssen, and Pfizer; consulting or advisory fees from Karyopharma, KiTe, and Acerta; and research funding from Celgene, Roche, Gilead, Takeda, GSK, Bayer, Janssen, Pfizer, and Acerta. EG has received consulting or advisory fees from Roche. MH has received consulting or advisory fees, speakers’ bureau, and research funding from Roche. TI has received research funding from Roche. HN has received honoraria from Pfizer, Mundipharma, and Roche; and consulting or advisory fees from Mundipharma, Roche, and Gilead. WH has received honoraria, consulting or advisory fees, and research funding from Roche, Janssen, and Celgene. AH and MS have no relationships to disclose. TN, UD, and AL are employees of </w:t>
      </w:r>
      <w:r w:rsidR="00C11059" w:rsidRPr="00EB0495">
        <w:rPr>
          <w:rFonts w:ascii="Arial" w:eastAsia="Calibri" w:hAnsi="Arial" w:cs="Arial"/>
          <w:sz w:val="24"/>
          <w:lang w:val="en-US"/>
        </w:rPr>
        <w:t>Roche.</w:t>
      </w:r>
    </w:p>
    <w:p w14:paraId="0EAD662E" w14:textId="77777777" w:rsidR="00065CE0" w:rsidRPr="00EB0495" w:rsidRDefault="00065CE0" w:rsidP="005E2FC0">
      <w:pPr>
        <w:autoSpaceDE w:val="0"/>
        <w:autoSpaceDN w:val="0"/>
        <w:adjustRightInd w:val="0"/>
        <w:spacing w:after="120"/>
        <w:rPr>
          <w:rFonts w:ascii="Arial" w:eastAsia="Calibri" w:hAnsi="Arial" w:cs="Arial"/>
          <w:b/>
          <w:i/>
          <w:sz w:val="24"/>
          <w:lang w:val="en-US"/>
        </w:rPr>
      </w:pPr>
    </w:p>
    <w:p w14:paraId="22AAF8A5" w14:textId="699F49D1" w:rsidR="005E2FC0" w:rsidRPr="00EB0495" w:rsidRDefault="005E2FC0" w:rsidP="005E2FC0">
      <w:pPr>
        <w:autoSpaceDE w:val="0"/>
        <w:autoSpaceDN w:val="0"/>
        <w:adjustRightInd w:val="0"/>
        <w:spacing w:after="120"/>
        <w:rPr>
          <w:rFonts w:ascii="Arial" w:eastAsia="Calibri" w:hAnsi="Arial" w:cs="Arial"/>
          <w:b/>
          <w:i/>
          <w:sz w:val="24"/>
          <w:lang w:val="en-US"/>
        </w:rPr>
      </w:pPr>
      <w:r w:rsidRPr="00EB0495">
        <w:rPr>
          <w:rFonts w:ascii="Arial" w:eastAsia="Calibri" w:hAnsi="Arial" w:cs="Arial"/>
          <w:b/>
          <w:i/>
          <w:sz w:val="24"/>
          <w:lang w:val="en-US"/>
        </w:rPr>
        <w:t>AUTHOR CONTRIBUTIONS</w:t>
      </w:r>
      <w:r w:rsidR="00736BDB" w:rsidRPr="00EB0495">
        <w:rPr>
          <w:rFonts w:ascii="Arial" w:eastAsia="Calibri" w:hAnsi="Arial" w:cs="Arial"/>
          <w:b/>
          <w:i/>
          <w:sz w:val="24"/>
          <w:lang w:val="en-US"/>
        </w:rPr>
        <w:t xml:space="preserve"> </w:t>
      </w:r>
    </w:p>
    <w:p w14:paraId="1411A304" w14:textId="0DD72881" w:rsidR="005E2FC0" w:rsidRPr="00EB0495" w:rsidRDefault="005E2FC0" w:rsidP="005E2FC0">
      <w:pPr>
        <w:autoSpaceDE w:val="0"/>
        <w:autoSpaceDN w:val="0"/>
        <w:adjustRightInd w:val="0"/>
        <w:rPr>
          <w:rFonts w:ascii="Arial" w:hAnsi="Arial" w:cs="Arial"/>
          <w:sz w:val="24"/>
          <w:szCs w:val="24"/>
        </w:rPr>
      </w:pPr>
      <w:r w:rsidRPr="00EB0495">
        <w:rPr>
          <w:rFonts w:ascii="Arial" w:hAnsi="Arial" w:cs="Arial"/>
          <w:b/>
          <w:sz w:val="24"/>
          <w:szCs w:val="24"/>
        </w:rPr>
        <w:t xml:space="preserve">Conception and </w:t>
      </w:r>
      <w:r w:rsidR="007D34DD" w:rsidRPr="00EB0495">
        <w:rPr>
          <w:rFonts w:ascii="Arial" w:hAnsi="Arial" w:cs="Arial"/>
          <w:b/>
          <w:sz w:val="24"/>
          <w:szCs w:val="24"/>
        </w:rPr>
        <w:t>D</w:t>
      </w:r>
      <w:r w:rsidRPr="00EB0495">
        <w:rPr>
          <w:rFonts w:ascii="Arial" w:hAnsi="Arial" w:cs="Arial"/>
          <w:b/>
          <w:sz w:val="24"/>
          <w:szCs w:val="24"/>
        </w:rPr>
        <w:t>esign</w:t>
      </w:r>
      <w:r w:rsidRPr="00EB0495">
        <w:rPr>
          <w:rFonts w:ascii="Arial" w:hAnsi="Arial" w:cs="Arial"/>
          <w:sz w:val="24"/>
          <w:szCs w:val="24"/>
        </w:rPr>
        <w:t xml:space="preserve">: </w:t>
      </w:r>
      <w:r w:rsidR="00870AEC" w:rsidRPr="00EB0495">
        <w:rPr>
          <w:rFonts w:ascii="Arial" w:hAnsi="Arial" w:cs="Arial"/>
          <w:sz w:val="24"/>
          <w:szCs w:val="24"/>
        </w:rPr>
        <w:t>JFS</w:t>
      </w:r>
    </w:p>
    <w:p w14:paraId="03A79877" w14:textId="2A528A07" w:rsidR="005E2FC0" w:rsidRPr="00EB0495" w:rsidRDefault="005E2FC0" w:rsidP="005E2FC0">
      <w:pPr>
        <w:autoSpaceDE w:val="0"/>
        <w:autoSpaceDN w:val="0"/>
        <w:adjustRightInd w:val="0"/>
        <w:rPr>
          <w:rFonts w:ascii="Arial" w:hAnsi="Arial" w:cs="Arial"/>
          <w:sz w:val="24"/>
          <w:szCs w:val="24"/>
        </w:rPr>
      </w:pPr>
      <w:r w:rsidRPr="00EB0495">
        <w:rPr>
          <w:rFonts w:ascii="Arial" w:hAnsi="Arial" w:cs="Arial"/>
          <w:b/>
          <w:sz w:val="24"/>
          <w:szCs w:val="24"/>
        </w:rPr>
        <w:t xml:space="preserve">Provision of </w:t>
      </w:r>
      <w:r w:rsidR="007D34DD" w:rsidRPr="00EB0495">
        <w:rPr>
          <w:rFonts w:ascii="Arial" w:hAnsi="Arial" w:cs="Arial"/>
          <w:b/>
          <w:sz w:val="24"/>
          <w:szCs w:val="24"/>
        </w:rPr>
        <w:t>S</w:t>
      </w:r>
      <w:r w:rsidRPr="00EB0495">
        <w:rPr>
          <w:rFonts w:ascii="Arial" w:hAnsi="Arial" w:cs="Arial"/>
          <w:b/>
          <w:sz w:val="24"/>
          <w:szCs w:val="24"/>
        </w:rPr>
        <w:t xml:space="preserve">tudy </w:t>
      </w:r>
      <w:r w:rsidR="007D34DD" w:rsidRPr="00EB0495">
        <w:rPr>
          <w:rFonts w:ascii="Arial" w:hAnsi="Arial" w:cs="Arial"/>
          <w:b/>
          <w:sz w:val="24"/>
          <w:szCs w:val="24"/>
        </w:rPr>
        <w:t>M</w:t>
      </w:r>
      <w:r w:rsidRPr="00EB0495">
        <w:rPr>
          <w:rFonts w:ascii="Arial" w:hAnsi="Arial" w:cs="Arial"/>
          <w:b/>
          <w:sz w:val="24"/>
          <w:szCs w:val="24"/>
        </w:rPr>
        <w:t xml:space="preserve">aterials or </w:t>
      </w:r>
      <w:r w:rsidR="007D34DD" w:rsidRPr="00EB0495">
        <w:rPr>
          <w:rFonts w:ascii="Arial" w:hAnsi="Arial" w:cs="Arial"/>
          <w:b/>
          <w:sz w:val="24"/>
          <w:szCs w:val="24"/>
        </w:rPr>
        <w:t>P</w:t>
      </w:r>
      <w:r w:rsidRPr="00EB0495">
        <w:rPr>
          <w:rFonts w:ascii="Arial" w:hAnsi="Arial" w:cs="Arial"/>
          <w:b/>
          <w:sz w:val="24"/>
          <w:szCs w:val="24"/>
        </w:rPr>
        <w:t>atients</w:t>
      </w:r>
      <w:r w:rsidRPr="00EB0495">
        <w:rPr>
          <w:rFonts w:ascii="Arial" w:hAnsi="Arial" w:cs="Arial"/>
          <w:sz w:val="24"/>
          <w:szCs w:val="24"/>
        </w:rPr>
        <w:t>:</w:t>
      </w:r>
      <w:r w:rsidR="00870AEC" w:rsidRPr="00EB0495">
        <w:rPr>
          <w:rFonts w:ascii="Arial" w:hAnsi="Arial" w:cs="Arial"/>
          <w:sz w:val="24"/>
          <w:szCs w:val="24"/>
        </w:rPr>
        <w:t xml:space="preserve"> JFS</w:t>
      </w:r>
    </w:p>
    <w:p w14:paraId="4F90AFB2" w14:textId="65C101E9" w:rsidR="005E2FC0" w:rsidRPr="00EB0495" w:rsidRDefault="005E2FC0" w:rsidP="005E2FC0">
      <w:pPr>
        <w:autoSpaceDE w:val="0"/>
        <w:autoSpaceDN w:val="0"/>
        <w:adjustRightInd w:val="0"/>
        <w:rPr>
          <w:rFonts w:ascii="Arial" w:hAnsi="Arial" w:cs="Arial"/>
          <w:sz w:val="24"/>
          <w:szCs w:val="24"/>
        </w:rPr>
      </w:pPr>
      <w:r w:rsidRPr="00EB0495">
        <w:rPr>
          <w:rFonts w:ascii="Arial" w:hAnsi="Arial" w:cs="Arial"/>
          <w:b/>
          <w:sz w:val="24"/>
          <w:szCs w:val="24"/>
        </w:rPr>
        <w:t xml:space="preserve">Collection and </w:t>
      </w:r>
      <w:r w:rsidR="007D34DD" w:rsidRPr="00EB0495">
        <w:rPr>
          <w:rFonts w:ascii="Arial" w:hAnsi="Arial" w:cs="Arial"/>
          <w:b/>
          <w:sz w:val="24"/>
          <w:szCs w:val="24"/>
        </w:rPr>
        <w:t>A</w:t>
      </w:r>
      <w:r w:rsidRPr="00EB0495">
        <w:rPr>
          <w:rFonts w:ascii="Arial" w:hAnsi="Arial" w:cs="Arial"/>
          <w:b/>
          <w:sz w:val="24"/>
          <w:szCs w:val="24"/>
        </w:rPr>
        <w:t xml:space="preserve">ssembly of </w:t>
      </w:r>
      <w:r w:rsidR="007D34DD" w:rsidRPr="00EB0495">
        <w:rPr>
          <w:rFonts w:ascii="Arial" w:hAnsi="Arial" w:cs="Arial"/>
          <w:b/>
          <w:sz w:val="24"/>
          <w:szCs w:val="24"/>
        </w:rPr>
        <w:t>D</w:t>
      </w:r>
      <w:r w:rsidRPr="00EB0495">
        <w:rPr>
          <w:rFonts w:ascii="Arial" w:hAnsi="Arial" w:cs="Arial"/>
          <w:b/>
          <w:sz w:val="24"/>
          <w:szCs w:val="24"/>
        </w:rPr>
        <w:t>ata</w:t>
      </w:r>
      <w:r w:rsidRPr="00EB0495">
        <w:rPr>
          <w:rFonts w:ascii="Arial" w:hAnsi="Arial" w:cs="Arial"/>
          <w:sz w:val="24"/>
          <w:szCs w:val="24"/>
        </w:rPr>
        <w:t xml:space="preserve">: </w:t>
      </w:r>
    </w:p>
    <w:p w14:paraId="7CB12EC8" w14:textId="072766AD" w:rsidR="005E2FC0" w:rsidRPr="00EB0495" w:rsidRDefault="005E2FC0" w:rsidP="005E2FC0">
      <w:pPr>
        <w:autoSpaceDE w:val="0"/>
        <w:autoSpaceDN w:val="0"/>
        <w:adjustRightInd w:val="0"/>
        <w:rPr>
          <w:rFonts w:ascii="Arial" w:hAnsi="Arial" w:cs="Arial"/>
          <w:sz w:val="24"/>
          <w:szCs w:val="24"/>
        </w:rPr>
      </w:pPr>
      <w:r w:rsidRPr="00EB0495">
        <w:rPr>
          <w:rFonts w:ascii="Arial" w:hAnsi="Arial" w:cs="Arial"/>
          <w:b/>
          <w:sz w:val="24"/>
          <w:szCs w:val="24"/>
        </w:rPr>
        <w:t xml:space="preserve">Data </w:t>
      </w:r>
      <w:r w:rsidR="007D34DD" w:rsidRPr="00EB0495">
        <w:rPr>
          <w:rFonts w:ascii="Arial" w:hAnsi="Arial" w:cs="Arial"/>
          <w:b/>
          <w:sz w:val="24"/>
          <w:szCs w:val="24"/>
        </w:rPr>
        <w:t>A</w:t>
      </w:r>
      <w:r w:rsidRPr="00EB0495">
        <w:rPr>
          <w:rFonts w:ascii="Arial" w:hAnsi="Arial" w:cs="Arial"/>
          <w:b/>
          <w:sz w:val="24"/>
          <w:szCs w:val="24"/>
        </w:rPr>
        <w:t xml:space="preserve">nalysis and </w:t>
      </w:r>
      <w:r w:rsidR="007D34DD" w:rsidRPr="00EB0495">
        <w:rPr>
          <w:rFonts w:ascii="Arial" w:hAnsi="Arial" w:cs="Arial"/>
          <w:b/>
          <w:sz w:val="24"/>
          <w:szCs w:val="24"/>
        </w:rPr>
        <w:t>I</w:t>
      </w:r>
      <w:r w:rsidRPr="00EB0495">
        <w:rPr>
          <w:rFonts w:ascii="Arial" w:hAnsi="Arial" w:cs="Arial"/>
          <w:b/>
          <w:sz w:val="24"/>
          <w:szCs w:val="24"/>
        </w:rPr>
        <w:t>nterpretation</w:t>
      </w:r>
      <w:r w:rsidRPr="00EB0495">
        <w:rPr>
          <w:rFonts w:ascii="Arial" w:hAnsi="Arial" w:cs="Arial"/>
          <w:sz w:val="24"/>
          <w:szCs w:val="24"/>
        </w:rPr>
        <w:t xml:space="preserve">: </w:t>
      </w:r>
      <w:r w:rsidR="00870AEC" w:rsidRPr="00EB0495">
        <w:rPr>
          <w:rFonts w:ascii="Arial" w:hAnsi="Arial" w:cs="Arial"/>
          <w:sz w:val="24"/>
          <w:szCs w:val="24"/>
        </w:rPr>
        <w:t>JFS</w:t>
      </w:r>
    </w:p>
    <w:p w14:paraId="345C96CF" w14:textId="3A21F379" w:rsidR="005E2FC0" w:rsidRPr="00EB0495" w:rsidRDefault="005E2FC0" w:rsidP="005E2FC0">
      <w:pPr>
        <w:autoSpaceDE w:val="0"/>
        <w:autoSpaceDN w:val="0"/>
        <w:adjustRightInd w:val="0"/>
        <w:rPr>
          <w:rFonts w:ascii="Arial" w:hAnsi="Arial" w:cs="Arial"/>
          <w:sz w:val="24"/>
          <w:szCs w:val="24"/>
        </w:rPr>
      </w:pPr>
      <w:r w:rsidRPr="00EB0495">
        <w:rPr>
          <w:rFonts w:ascii="Arial" w:hAnsi="Arial" w:cs="Arial"/>
          <w:b/>
          <w:sz w:val="24"/>
          <w:szCs w:val="24"/>
        </w:rPr>
        <w:t xml:space="preserve">Manuscript </w:t>
      </w:r>
      <w:r w:rsidR="007D34DD" w:rsidRPr="00EB0495">
        <w:rPr>
          <w:rFonts w:ascii="Arial" w:hAnsi="Arial" w:cs="Arial"/>
          <w:b/>
          <w:sz w:val="24"/>
          <w:szCs w:val="24"/>
        </w:rPr>
        <w:t>W</w:t>
      </w:r>
      <w:r w:rsidRPr="00EB0495">
        <w:rPr>
          <w:rFonts w:ascii="Arial" w:hAnsi="Arial" w:cs="Arial"/>
          <w:b/>
          <w:sz w:val="24"/>
          <w:szCs w:val="24"/>
        </w:rPr>
        <w:t>riting</w:t>
      </w:r>
      <w:r w:rsidRPr="00EB0495">
        <w:rPr>
          <w:rFonts w:ascii="Arial" w:hAnsi="Arial" w:cs="Arial"/>
          <w:sz w:val="24"/>
          <w:szCs w:val="24"/>
        </w:rPr>
        <w:t xml:space="preserve">: All </w:t>
      </w:r>
      <w:r w:rsidR="007D34DD" w:rsidRPr="00EB0495">
        <w:rPr>
          <w:rFonts w:ascii="Arial" w:hAnsi="Arial" w:cs="Arial"/>
          <w:sz w:val="24"/>
          <w:szCs w:val="24"/>
        </w:rPr>
        <w:t>A</w:t>
      </w:r>
      <w:r w:rsidRPr="00EB0495">
        <w:rPr>
          <w:rFonts w:ascii="Arial" w:hAnsi="Arial" w:cs="Arial"/>
          <w:sz w:val="24"/>
          <w:szCs w:val="24"/>
        </w:rPr>
        <w:t>uthors</w:t>
      </w:r>
    </w:p>
    <w:p w14:paraId="5F124941" w14:textId="119D93B2" w:rsidR="005E2FC0" w:rsidRPr="00EB0495" w:rsidRDefault="005E2FC0" w:rsidP="005E2FC0">
      <w:pPr>
        <w:autoSpaceDE w:val="0"/>
        <w:autoSpaceDN w:val="0"/>
        <w:adjustRightInd w:val="0"/>
        <w:rPr>
          <w:rFonts w:ascii="Arial" w:hAnsi="Arial" w:cs="Arial"/>
          <w:sz w:val="24"/>
          <w:szCs w:val="24"/>
        </w:rPr>
      </w:pPr>
      <w:r w:rsidRPr="00EB0495">
        <w:rPr>
          <w:rFonts w:ascii="Arial" w:hAnsi="Arial" w:cs="Arial"/>
          <w:b/>
          <w:sz w:val="24"/>
          <w:szCs w:val="24"/>
        </w:rPr>
        <w:t xml:space="preserve">Final </w:t>
      </w:r>
      <w:r w:rsidR="007D34DD" w:rsidRPr="00EB0495">
        <w:rPr>
          <w:rFonts w:ascii="Arial" w:hAnsi="Arial" w:cs="Arial"/>
          <w:b/>
          <w:sz w:val="24"/>
          <w:szCs w:val="24"/>
        </w:rPr>
        <w:t>A</w:t>
      </w:r>
      <w:r w:rsidRPr="00EB0495">
        <w:rPr>
          <w:rFonts w:ascii="Arial" w:hAnsi="Arial" w:cs="Arial"/>
          <w:b/>
          <w:sz w:val="24"/>
          <w:szCs w:val="24"/>
        </w:rPr>
        <w:t xml:space="preserve">pproval of </w:t>
      </w:r>
      <w:r w:rsidR="007D34DD" w:rsidRPr="00EB0495">
        <w:rPr>
          <w:rFonts w:ascii="Arial" w:hAnsi="Arial" w:cs="Arial"/>
          <w:b/>
          <w:sz w:val="24"/>
          <w:szCs w:val="24"/>
        </w:rPr>
        <w:t>M</w:t>
      </w:r>
      <w:r w:rsidRPr="00EB0495">
        <w:rPr>
          <w:rFonts w:ascii="Arial" w:hAnsi="Arial" w:cs="Arial"/>
          <w:b/>
          <w:sz w:val="24"/>
          <w:szCs w:val="24"/>
        </w:rPr>
        <w:t>anuscript</w:t>
      </w:r>
      <w:r w:rsidRPr="00EB0495">
        <w:rPr>
          <w:rFonts w:ascii="Arial" w:hAnsi="Arial" w:cs="Arial"/>
          <w:sz w:val="24"/>
          <w:szCs w:val="24"/>
        </w:rPr>
        <w:t xml:space="preserve">: All </w:t>
      </w:r>
      <w:r w:rsidR="007D34DD" w:rsidRPr="00EB0495">
        <w:rPr>
          <w:rFonts w:ascii="Arial" w:hAnsi="Arial" w:cs="Arial"/>
          <w:sz w:val="24"/>
          <w:szCs w:val="24"/>
        </w:rPr>
        <w:t>A</w:t>
      </w:r>
      <w:r w:rsidRPr="00EB0495">
        <w:rPr>
          <w:rFonts w:ascii="Arial" w:hAnsi="Arial" w:cs="Arial"/>
          <w:sz w:val="24"/>
          <w:szCs w:val="24"/>
        </w:rPr>
        <w:t>uthors</w:t>
      </w:r>
    </w:p>
    <w:p w14:paraId="5B913C72" w14:textId="2B605967" w:rsidR="005E2FC0" w:rsidRPr="00EB0495" w:rsidRDefault="005E2FC0" w:rsidP="005E2FC0">
      <w:pPr>
        <w:autoSpaceDE w:val="0"/>
        <w:autoSpaceDN w:val="0"/>
        <w:adjustRightInd w:val="0"/>
        <w:spacing w:after="120"/>
        <w:rPr>
          <w:rFonts w:ascii="Arial" w:eastAsia="Calibri" w:hAnsi="Arial" w:cs="Arial"/>
          <w:b/>
          <w:i/>
          <w:sz w:val="24"/>
          <w:szCs w:val="24"/>
          <w:lang w:val="en-US"/>
        </w:rPr>
      </w:pPr>
      <w:r w:rsidRPr="00EB0495">
        <w:rPr>
          <w:rFonts w:ascii="Arial" w:hAnsi="Arial" w:cs="Arial"/>
          <w:b/>
          <w:sz w:val="24"/>
          <w:szCs w:val="24"/>
        </w:rPr>
        <w:t xml:space="preserve">Accountable for all </w:t>
      </w:r>
      <w:r w:rsidR="007D34DD" w:rsidRPr="00EB0495">
        <w:rPr>
          <w:rFonts w:ascii="Arial" w:hAnsi="Arial" w:cs="Arial"/>
          <w:b/>
          <w:sz w:val="24"/>
          <w:szCs w:val="24"/>
        </w:rPr>
        <w:t>A</w:t>
      </w:r>
      <w:r w:rsidRPr="00EB0495">
        <w:rPr>
          <w:rFonts w:ascii="Arial" w:hAnsi="Arial" w:cs="Arial"/>
          <w:b/>
          <w:sz w:val="24"/>
          <w:szCs w:val="24"/>
        </w:rPr>
        <w:t xml:space="preserve">spects of the </w:t>
      </w:r>
      <w:r w:rsidR="007D34DD" w:rsidRPr="00EB0495">
        <w:rPr>
          <w:rFonts w:ascii="Arial" w:hAnsi="Arial" w:cs="Arial"/>
          <w:b/>
          <w:sz w:val="24"/>
          <w:szCs w:val="24"/>
        </w:rPr>
        <w:t>W</w:t>
      </w:r>
      <w:r w:rsidRPr="00EB0495">
        <w:rPr>
          <w:rFonts w:ascii="Arial" w:hAnsi="Arial" w:cs="Arial"/>
          <w:b/>
          <w:sz w:val="24"/>
          <w:szCs w:val="24"/>
        </w:rPr>
        <w:t>ork</w:t>
      </w:r>
      <w:r w:rsidRPr="00EB0495">
        <w:rPr>
          <w:rFonts w:ascii="Arial" w:hAnsi="Arial" w:cs="Arial"/>
          <w:sz w:val="24"/>
          <w:szCs w:val="24"/>
        </w:rPr>
        <w:t xml:space="preserve">: All </w:t>
      </w:r>
      <w:r w:rsidR="007D34DD" w:rsidRPr="00EB0495">
        <w:rPr>
          <w:rFonts w:ascii="Arial" w:hAnsi="Arial" w:cs="Arial"/>
          <w:sz w:val="24"/>
          <w:szCs w:val="24"/>
        </w:rPr>
        <w:t>A</w:t>
      </w:r>
      <w:r w:rsidRPr="00EB0495">
        <w:rPr>
          <w:rFonts w:ascii="Arial" w:hAnsi="Arial" w:cs="Arial"/>
          <w:sz w:val="24"/>
          <w:szCs w:val="24"/>
        </w:rPr>
        <w:t>uthors</w:t>
      </w:r>
    </w:p>
    <w:p w14:paraId="548BC469" w14:textId="77777777" w:rsidR="0031502B" w:rsidRPr="00EB0495" w:rsidRDefault="0031502B" w:rsidP="0031502B">
      <w:pPr>
        <w:rPr>
          <w:rFonts w:cs="Arial"/>
          <w:b/>
          <w:szCs w:val="20"/>
          <w:lang w:val="en-US"/>
        </w:rPr>
      </w:pPr>
      <w:r w:rsidRPr="00EB0495">
        <w:rPr>
          <w:rFonts w:cs="Arial"/>
          <w:b/>
          <w:szCs w:val="20"/>
          <w:lang w:val="en-US"/>
        </w:rPr>
        <w:br w:type="page"/>
      </w:r>
    </w:p>
    <w:p w14:paraId="57714655" w14:textId="5C64DB65" w:rsidR="001E2899" w:rsidRPr="00EB0495" w:rsidRDefault="001E2899" w:rsidP="001E2899">
      <w:pPr>
        <w:rPr>
          <w:rFonts w:ascii="Arial" w:hAnsi="Arial" w:cs="Arial"/>
          <w:b/>
          <w:sz w:val="24"/>
          <w:szCs w:val="24"/>
          <w:lang w:val="en-US"/>
        </w:rPr>
      </w:pPr>
      <w:r w:rsidRPr="00EB0495">
        <w:rPr>
          <w:rFonts w:ascii="Arial" w:hAnsi="Arial" w:cs="Arial"/>
          <w:b/>
          <w:sz w:val="24"/>
          <w:szCs w:val="24"/>
          <w:lang w:val="en-US"/>
        </w:rPr>
        <w:lastRenderedPageBreak/>
        <w:t>ABSTRACT</w:t>
      </w:r>
    </w:p>
    <w:p w14:paraId="00181ABE" w14:textId="522479E3" w:rsidR="0072363E" w:rsidRPr="00EB0495" w:rsidRDefault="00331D4C" w:rsidP="003F263C">
      <w:pPr>
        <w:spacing w:after="240"/>
        <w:ind w:firstLine="720"/>
        <w:rPr>
          <w:rFonts w:ascii="Arial" w:eastAsiaTheme="minorEastAsia" w:hAnsi="Arial" w:cs="Arial"/>
          <w:sz w:val="24"/>
          <w:szCs w:val="20"/>
          <w:lang w:val="en-US"/>
        </w:rPr>
      </w:pPr>
      <w:r w:rsidRPr="00EB0495">
        <w:rPr>
          <w:rFonts w:ascii="Arial" w:eastAsiaTheme="minorEastAsia" w:hAnsi="Arial" w:cs="Arial"/>
          <w:sz w:val="24"/>
          <w:szCs w:val="20"/>
          <w:lang w:val="en-US"/>
        </w:rPr>
        <w:t>We</w:t>
      </w:r>
      <w:r w:rsidR="0072363E" w:rsidRPr="00EB0495">
        <w:rPr>
          <w:rFonts w:ascii="Arial" w:eastAsiaTheme="minorEastAsia" w:hAnsi="Arial" w:cs="Arial"/>
          <w:sz w:val="24"/>
          <w:szCs w:val="20"/>
          <w:lang w:val="en-US"/>
        </w:rPr>
        <w:t xml:space="preserve"> evaluate</w:t>
      </w:r>
      <w:r w:rsidRPr="00EB0495">
        <w:rPr>
          <w:rFonts w:ascii="Arial" w:eastAsiaTheme="minorEastAsia" w:hAnsi="Arial" w:cs="Arial"/>
          <w:sz w:val="24"/>
          <w:szCs w:val="20"/>
          <w:lang w:val="en-US"/>
        </w:rPr>
        <w:t>d</w:t>
      </w:r>
      <w:r w:rsidR="0072363E" w:rsidRPr="00EB0495">
        <w:rPr>
          <w:rFonts w:ascii="Arial" w:eastAsiaTheme="minorEastAsia" w:hAnsi="Arial" w:cs="Arial"/>
          <w:sz w:val="24"/>
          <w:szCs w:val="20"/>
          <w:lang w:val="en-US"/>
        </w:rPr>
        <w:t xml:space="preserve"> early disease progression and its impact on overall survival in previously untreated follicular lymphoma patients in GALLIUM </w:t>
      </w:r>
      <w:r w:rsidR="00225052" w:rsidRPr="00EB0495">
        <w:rPr>
          <w:rFonts w:ascii="Arial" w:eastAsiaTheme="minorEastAsia" w:hAnsi="Arial" w:cs="Arial"/>
          <w:sz w:val="24"/>
          <w:szCs w:val="20"/>
          <w:lang w:val="en-US"/>
        </w:rPr>
        <w:t>(NCT01332968)</w:t>
      </w:r>
      <w:r w:rsidR="006F3747" w:rsidRPr="00EB0495">
        <w:rPr>
          <w:rFonts w:ascii="Arial" w:eastAsiaTheme="minorEastAsia" w:hAnsi="Arial" w:cs="Arial"/>
          <w:sz w:val="24"/>
          <w:szCs w:val="20"/>
          <w:lang w:val="en-US"/>
        </w:rPr>
        <w:t>,</w:t>
      </w:r>
      <w:r w:rsidR="00225052" w:rsidRPr="00EB0495">
        <w:rPr>
          <w:rFonts w:ascii="Arial" w:eastAsiaTheme="minorEastAsia" w:hAnsi="Arial" w:cs="Arial"/>
          <w:sz w:val="24"/>
          <w:szCs w:val="20"/>
          <w:lang w:val="en-US"/>
        </w:rPr>
        <w:t xml:space="preserve"> </w:t>
      </w:r>
      <w:r w:rsidR="0072363E" w:rsidRPr="00EB0495">
        <w:rPr>
          <w:rFonts w:ascii="Arial" w:eastAsiaTheme="minorEastAsia" w:hAnsi="Arial" w:cs="Arial"/>
          <w:sz w:val="24"/>
          <w:szCs w:val="20"/>
          <w:lang w:val="en-US"/>
        </w:rPr>
        <w:t>and investigate</w:t>
      </w:r>
      <w:r w:rsidRPr="00EB0495">
        <w:rPr>
          <w:rFonts w:ascii="Arial" w:eastAsiaTheme="minorEastAsia" w:hAnsi="Arial" w:cs="Arial"/>
          <w:sz w:val="24"/>
          <w:szCs w:val="20"/>
          <w:lang w:val="en-US"/>
        </w:rPr>
        <w:t>d</w:t>
      </w:r>
      <w:r w:rsidR="0072363E" w:rsidRPr="00EB0495">
        <w:rPr>
          <w:rFonts w:ascii="Arial" w:eastAsiaTheme="minorEastAsia" w:hAnsi="Arial" w:cs="Arial"/>
          <w:sz w:val="24"/>
          <w:szCs w:val="20"/>
          <w:lang w:val="en-US"/>
        </w:rPr>
        <w:t xml:space="preserve"> the effect o</w:t>
      </w:r>
      <w:r w:rsidR="00D476F4" w:rsidRPr="00EB0495">
        <w:rPr>
          <w:rFonts w:ascii="Arial" w:eastAsiaTheme="minorEastAsia" w:hAnsi="Arial" w:cs="Arial"/>
          <w:sz w:val="24"/>
          <w:szCs w:val="20"/>
          <w:lang w:val="en-US"/>
        </w:rPr>
        <w:t>n</w:t>
      </w:r>
      <w:r w:rsidR="0072363E" w:rsidRPr="00EB0495">
        <w:rPr>
          <w:rFonts w:ascii="Arial" w:eastAsiaTheme="minorEastAsia" w:hAnsi="Arial" w:cs="Arial"/>
          <w:sz w:val="24"/>
          <w:szCs w:val="20"/>
          <w:lang w:val="en-US"/>
        </w:rPr>
        <w:t xml:space="preserve"> early </w:t>
      </w:r>
      <w:r w:rsidR="00387124" w:rsidRPr="00EB0495">
        <w:rPr>
          <w:rFonts w:ascii="Arial" w:eastAsiaTheme="minorEastAsia" w:hAnsi="Arial" w:cs="Arial"/>
          <w:sz w:val="24"/>
          <w:szCs w:val="20"/>
          <w:lang w:val="en-US"/>
        </w:rPr>
        <w:t>disease progression</w:t>
      </w:r>
      <w:r w:rsidR="0072363E" w:rsidRPr="00EB0495">
        <w:rPr>
          <w:rFonts w:ascii="Arial" w:eastAsiaTheme="minorEastAsia" w:hAnsi="Arial" w:cs="Arial"/>
          <w:sz w:val="24"/>
          <w:szCs w:val="20"/>
          <w:lang w:val="en-US"/>
        </w:rPr>
        <w:t xml:space="preserve"> o</w:t>
      </w:r>
      <w:r w:rsidR="00D476F4" w:rsidRPr="00EB0495">
        <w:rPr>
          <w:rFonts w:ascii="Arial" w:eastAsiaTheme="minorEastAsia" w:hAnsi="Arial" w:cs="Arial"/>
          <w:sz w:val="24"/>
          <w:szCs w:val="20"/>
          <w:lang w:val="en-US"/>
        </w:rPr>
        <w:t>f</w:t>
      </w:r>
      <w:r w:rsidR="0072363E" w:rsidRPr="00EB0495">
        <w:rPr>
          <w:rFonts w:ascii="Arial" w:eastAsiaTheme="minorEastAsia" w:hAnsi="Arial" w:cs="Arial"/>
          <w:sz w:val="24"/>
          <w:szCs w:val="20"/>
          <w:lang w:val="en-US"/>
        </w:rPr>
        <w:t xml:space="preserve"> </w:t>
      </w:r>
      <w:r w:rsidR="00940943" w:rsidRPr="00EB0495">
        <w:rPr>
          <w:rFonts w:ascii="Arial" w:eastAsiaTheme="minorEastAsia" w:hAnsi="Arial" w:cs="Arial"/>
          <w:sz w:val="24"/>
          <w:szCs w:val="20"/>
          <w:lang w:val="en-US"/>
        </w:rPr>
        <w:t xml:space="preserve">the </w:t>
      </w:r>
      <w:r w:rsidR="009E7900" w:rsidRPr="00EB0495">
        <w:rPr>
          <w:rFonts w:ascii="Arial" w:eastAsiaTheme="minorEastAsia" w:hAnsi="Arial" w:cs="Arial"/>
          <w:sz w:val="24"/>
          <w:szCs w:val="20"/>
          <w:lang w:val="en-US"/>
        </w:rPr>
        <w:t xml:space="preserve">2 </w:t>
      </w:r>
      <w:r w:rsidR="00940943" w:rsidRPr="00EB0495">
        <w:rPr>
          <w:rFonts w:ascii="Arial" w:eastAsiaTheme="minorEastAsia" w:hAnsi="Arial" w:cs="Arial"/>
          <w:sz w:val="24"/>
          <w:szCs w:val="20"/>
          <w:lang w:val="en-US"/>
        </w:rPr>
        <w:t xml:space="preserve">randomization arms: </w:t>
      </w:r>
      <w:r w:rsidR="00D92853" w:rsidRPr="00EB0495">
        <w:rPr>
          <w:rFonts w:ascii="Arial" w:eastAsiaTheme="minorEastAsia" w:hAnsi="Arial" w:cs="Arial"/>
          <w:sz w:val="24"/>
          <w:szCs w:val="20"/>
          <w:lang w:val="en-US"/>
        </w:rPr>
        <w:t>obinutuzumab-</w:t>
      </w:r>
      <w:r w:rsidR="00940943" w:rsidRPr="00EB0495">
        <w:rPr>
          <w:rFonts w:ascii="Arial" w:eastAsiaTheme="minorEastAsia" w:hAnsi="Arial" w:cs="Arial"/>
          <w:sz w:val="24"/>
          <w:szCs w:val="20"/>
          <w:lang w:val="en-US"/>
        </w:rPr>
        <w:t xml:space="preserve"> </w:t>
      </w:r>
      <w:r w:rsidR="00940943" w:rsidRPr="00EB0495">
        <w:rPr>
          <w:rFonts w:ascii="Arial" w:eastAsiaTheme="minorEastAsia" w:hAnsi="Arial" w:cs="Arial"/>
          <w:i/>
          <w:sz w:val="24"/>
          <w:szCs w:val="20"/>
          <w:lang w:val="en-US"/>
        </w:rPr>
        <w:t>versus</w:t>
      </w:r>
      <w:r w:rsidR="00940943" w:rsidRPr="00EB0495">
        <w:rPr>
          <w:rFonts w:ascii="Arial" w:eastAsiaTheme="minorEastAsia" w:hAnsi="Arial" w:cs="Arial"/>
          <w:sz w:val="24"/>
          <w:szCs w:val="20"/>
          <w:lang w:val="en-US"/>
        </w:rPr>
        <w:t xml:space="preserve"> rituximab-based</w:t>
      </w:r>
      <w:r w:rsidR="0072363E" w:rsidRPr="00EB0495">
        <w:rPr>
          <w:rFonts w:ascii="Arial" w:eastAsiaTheme="minorEastAsia" w:hAnsi="Arial" w:cs="Arial"/>
          <w:sz w:val="24"/>
          <w:szCs w:val="20"/>
          <w:lang w:val="en-US"/>
        </w:rPr>
        <w:t xml:space="preserve"> immunochemotherapy.</w:t>
      </w:r>
    </w:p>
    <w:p w14:paraId="5662CCB6" w14:textId="5E854F81" w:rsidR="0072363E" w:rsidRPr="00EB0495" w:rsidRDefault="00D823EF" w:rsidP="00A07CAB">
      <w:pPr>
        <w:pStyle w:val="CommentText"/>
        <w:spacing w:after="240" w:line="480" w:lineRule="auto"/>
        <w:ind w:firstLine="720"/>
        <w:rPr>
          <w:rFonts w:ascii="Arial" w:eastAsiaTheme="minorEastAsia" w:hAnsi="Arial" w:cs="Arial"/>
          <w:sz w:val="24"/>
          <w:lang w:val="en-US"/>
        </w:rPr>
      </w:pPr>
      <w:r w:rsidRPr="00EB0495">
        <w:rPr>
          <w:rFonts w:ascii="Arial" w:eastAsia="Calibri" w:hAnsi="Arial" w:cs="Arial"/>
          <w:sz w:val="24"/>
          <w:szCs w:val="24"/>
          <w:lang w:val="en-US"/>
        </w:rPr>
        <w:t>Cause-specific Cox regression was used to estimate t</w:t>
      </w:r>
      <w:r w:rsidR="002D314C" w:rsidRPr="00EB0495">
        <w:rPr>
          <w:rFonts w:ascii="Arial" w:eastAsia="Calibri" w:hAnsi="Arial" w:cs="Arial"/>
          <w:sz w:val="24"/>
          <w:szCs w:val="24"/>
          <w:lang w:val="en-US"/>
        </w:rPr>
        <w:t xml:space="preserve">he effect of treatment on the risk of </w:t>
      </w:r>
      <w:r w:rsidR="00387124" w:rsidRPr="00EB0495">
        <w:rPr>
          <w:rFonts w:ascii="Arial" w:eastAsia="Calibri" w:hAnsi="Arial" w:cs="Arial"/>
          <w:sz w:val="24"/>
          <w:szCs w:val="24"/>
          <w:lang w:val="en-US"/>
        </w:rPr>
        <w:t>disease progression</w:t>
      </w:r>
      <w:r w:rsidR="00F50327" w:rsidRPr="00EB0495">
        <w:rPr>
          <w:rFonts w:ascii="Arial" w:eastAsia="Calibri" w:hAnsi="Arial" w:cs="Arial"/>
          <w:sz w:val="24"/>
          <w:szCs w:val="24"/>
          <w:lang w:val="en-US"/>
        </w:rPr>
        <w:t xml:space="preserve"> or death due to </w:t>
      </w:r>
      <w:r w:rsidR="00387124" w:rsidRPr="00EB0495">
        <w:rPr>
          <w:rFonts w:ascii="Arial" w:eastAsia="Calibri" w:hAnsi="Arial" w:cs="Arial"/>
          <w:sz w:val="24"/>
          <w:szCs w:val="24"/>
          <w:lang w:val="en-US"/>
        </w:rPr>
        <w:t>disease progression</w:t>
      </w:r>
      <w:r w:rsidR="00F50327" w:rsidRPr="00EB0495">
        <w:rPr>
          <w:rFonts w:ascii="Arial" w:eastAsia="Calibri" w:hAnsi="Arial" w:cs="Arial"/>
          <w:sz w:val="24"/>
          <w:szCs w:val="24"/>
          <w:lang w:val="en-US"/>
        </w:rPr>
        <w:t xml:space="preserve"> within 24 months of randomization</w:t>
      </w:r>
      <w:r w:rsidR="004F7F29" w:rsidRPr="00EB0495">
        <w:rPr>
          <w:rFonts w:ascii="Arial" w:eastAsia="Calibri" w:hAnsi="Arial" w:cs="Arial"/>
          <w:sz w:val="24"/>
          <w:szCs w:val="24"/>
          <w:lang w:val="en-US"/>
        </w:rPr>
        <w:t xml:space="preserve"> </w:t>
      </w:r>
      <w:r w:rsidRPr="00EB0495">
        <w:rPr>
          <w:rFonts w:ascii="Arial" w:eastAsia="Calibri" w:hAnsi="Arial" w:cs="Arial"/>
          <w:sz w:val="24"/>
          <w:szCs w:val="24"/>
          <w:lang w:val="en-US"/>
        </w:rPr>
        <w:t>and to analyze</w:t>
      </w:r>
      <w:r w:rsidR="00387124" w:rsidRPr="00EB0495">
        <w:rPr>
          <w:rFonts w:ascii="Arial" w:eastAsia="Calibri" w:hAnsi="Arial" w:cs="Arial"/>
          <w:sz w:val="24"/>
          <w:szCs w:val="24"/>
          <w:lang w:val="en-US"/>
        </w:rPr>
        <w:t xml:space="preserve"> overall survival</w:t>
      </w:r>
      <w:r w:rsidRPr="00EB0495">
        <w:rPr>
          <w:rFonts w:ascii="Arial" w:eastAsia="Calibri" w:hAnsi="Arial" w:cs="Arial"/>
          <w:sz w:val="24"/>
          <w:szCs w:val="24"/>
          <w:lang w:val="en-US"/>
        </w:rPr>
        <w:t xml:space="preserve"> in </w:t>
      </w:r>
      <w:r w:rsidR="00D92853" w:rsidRPr="00EB0495">
        <w:rPr>
          <w:rFonts w:ascii="Arial" w:eastAsia="Calibri" w:hAnsi="Arial" w:cs="Arial"/>
          <w:sz w:val="24"/>
          <w:szCs w:val="24"/>
          <w:lang w:val="en-US"/>
        </w:rPr>
        <w:t xml:space="preserve">patients with or without </w:t>
      </w:r>
      <w:r w:rsidR="00AB560B" w:rsidRPr="00EB0495">
        <w:rPr>
          <w:rFonts w:ascii="Arial" w:eastAsia="Calibri" w:hAnsi="Arial" w:cs="Arial"/>
          <w:sz w:val="24"/>
          <w:szCs w:val="24"/>
          <w:lang w:val="en-US"/>
        </w:rPr>
        <w:t xml:space="preserve">disease progression </w:t>
      </w:r>
      <w:r w:rsidRPr="00EB0495">
        <w:rPr>
          <w:rFonts w:ascii="Arial" w:eastAsia="Calibri" w:hAnsi="Arial" w:cs="Arial"/>
          <w:sz w:val="24"/>
          <w:szCs w:val="24"/>
          <w:lang w:val="en-US"/>
        </w:rPr>
        <w:t>after 24 months.</w:t>
      </w:r>
      <w:r w:rsidRPr="00EB0495">
        <w:rPr>
          <w:rFonts w:ascii="Arial" w:eastAsiaTheme="minorEastAsia" w:hAnsi="Arial" w:cs="Arial"/>
          <w:sz w:val="24"/>
          <w:lang w:val="en-US"/>
        </w:rPr>
        <w:t xml:space="preserve"> M</w:t>
      </w:r>
      <w:r w:rsidR="009A580A" w:rsidRPr="00EB0495">
        <w:rPr>
          <w:rFonts w:ascii="Arial" w:eastAsiaTheme="minorEastAsia" w:hAnsi="Arial" w:cs="Arial"/>
          <w:sz w:val="24"/>
          <w:lang w:val="en-US"/>
        </w:rPr>
        <w:t xml:space="preserve">ortality </w:t>
      </w:r>
      <w:r w:rsidR="0072363E" w:rsidRPr="00EB0495">
        <w:rPr>
          <w:rFonts w:ascii="Arial" w:eastAsiaTheme="minorEastAsia" w:hAnsi="Arial" w:cs="Arial"/>
          <w:sz w:val="24"/>
          <w:lang w:val="en-US"/>
        </w:rPr>
        <w:t xml:space="preserve">in </w:t>
      </w:r>
      <w:r w:rsidR="00331D4C" w:rsidRPr="00EB0495">
        <w:rPr>
          <w:rFonts w:ascii="Arial" w:eastAsiaTheme="minorEastAsia" w:hAnsi="Arial" w:cs="Arial"/>
          <w:sz w:val="24"/>
          <w:lang w:val="en-US"/>
        </w:rPr>
        <w:t>both</w:t>
      </w:r>
      <w:r w:rsidR="0072363E" w:rsidRPr="00EB0495">
        <w:rPr>
          <w:rFonts w:ascii="Arial" w:eastAsiaTheme="minorEastAsia" w:hAnsi="Arial" w:cs="Arial"/>
          <w:sz w:val="24"/>
          <w:lang w:val="en-US"/>
        </w:rPr>
        <w:t xml:space="preserve"> groups </w:t>
      </w:r>
      <w:r w:rsidR="001E7A40" w:rsidRPr="00EB0495">
        <w:rPr>
          <w:rFonts w:ascii="Arial" w:eastAsiaTheme="minorEastAsia" w:hAnsi="Arial" w:cs="Arial"/>
          <w:sz w:val="24"/>
          <w:lang w:val="en-US"/>
        </w:rPr>
        <w:t>was analyzed</w:t>
      </w:r>
      <w:r w:rsidR="0072363E" w:rsidRPr="00EB0495">
        <w:rPr>
          <w:rFonts w:ascii="Arial" w:eastAsiaTheme="minorEastAsia" w:hAnsi="Arial" w:cs="Arial"/>
          <w:sz w:val="24"/>
          <w:lang w:val="en-US"/>
        </w:rPr>
        <w:t xml:space="preserve"> 6, 12</w:t>
      </w:r>
      <w:r w:rsidR="00C34EBA" w:rsidRPr="00EB0495">
        <w:rPr>
          <w:rFonts w:ascii="Arial" w:eastAsiaTheme="minorEastAsia" w:hAnsi="Arial" w:cs="Arial"/>
          <w:sz w:val="24"/>
          <w:lang w:val="en-US"/>
        </w:rPr>
        <w:t>,</w:t>
      </w:r>
      <w:r w:rsidR="0072363E" w:rsidRPr="00EB0495">
        <w:rPr>
          <w:rFonts w:ascii="Arial" w:eastAsiaTheme="minorEastAsia" w:hAnsi="Arial" w:cs="Arial"/>
          <w:sz w:val="24"/>
          <w:lang w:val="en-US"/>
        </w:rPr>
        <w:t xml:space="preserve"> and 18 months</w:t>
      </w:r>
      <w:r w:rsidR="00CA54F1" w:rsidRPr="00EB0495">
        <w:rPr>
          <w:rFonts w:ascii="Arial" w:eastAsiaTheme="minorEastAsia" w:hAnsi="Arial" w:cs="Arial"/>
          <w:sz w:val="24"/>
          <w:lang w:val="en-US"/>
        </w:rPr>
        <w:t xml:space="preserve"> </w:t>
      </w:r>
      <w:r w:rsidR="00E76826" w:rsidRPr="00EB0495">
        <w:rPr>
          <w:rFonts w:ascii="Arial" w:eastAsiaTheme="minorEastAsia" w:hAnsi="Arial" w:cs="Arial"/>
          <w:sz w:val="24"/>
          <w:lang w:val="en-US"/>
        </w:rPr>
        <w:t>post-</w:t>
      </w:r>
      <w:r w:rsidR="00CA54F1" w:rsidRPr="00EB0495">
        <w:rPr>
          <w:rFonts w:ascii="Arial" w:eastAsiaTheme="minorEastAsia" w:hAnsi="Arial" w:cs="Arial"/>
          <w:sz w:val="24"/>
          <w:lang w:val="en-US"/>
        </w:rPr>
        <w:t>randomization</w:t>
      </w:r>
      <w:r w:rsidR="0072363E" w:rsidRPr="00EB0495">
        <w:rPr>
          <w:rFonts w:ascii="Arial" w:eastAsiaTheme="minorEastAsia" w:hAnsi="Arial" w:cs="Arial"/>
          <w:sz w:val="24"/>
          <w:lang w:val="en-US"/>
        </w:rPr>
        <w:t xml:space="preserve"> (</w:t>
      </w:r>
      <w:r w:rsidR="001F26CF" w:rsidRPr="00EB0495">
        <w:rPr>
          <w:rFonts w:ascii="Arial" w:eastAsiaTheme="minorEastAsia" w:hAnsi="Arial" w:cs="Arial"/>
          <w:sz w:val="24"/>
          <w:lang w:val="en-US"/>
        </w:rPr>
        <w:t>median follow-up, 41 months).</w:t>
      </w:r>
    </w:p>
    <w:p w14:paraId="67982023" w14:textId="004E119D" w:rsidR="0072363E" w:rsidRPr="00EB0495" w:rsidRDefault="0072363E" w:rsidP="003F263C">
      <w:pPr>
        <w:spacing w:after="240"/>
        <w:ind w:firstLine="720"/>
        <w:rPr>
          <w:rFonts w:ascii="Arial" w:eastAsiaTheme="minorEastAsia" w:hAnsi="Arial" w:cs="Arial"/>
          <w:sz w:val="24"/>
          <w:szCs w:val="20"/>
          <w:lang w:val="en-US"/>
        </w:rPr>
      </w:pPr>
      <w:r w:rsidRPr="00EB0495">
        <w:rPr>
          <w:rFonts w:ascii="Arial" w:eastAsiaTheme="minorEastAsia" w:hAnsi="Arial" w:cs="Arial"/>
          <w:sz w:val="24"/>
          <w:szCs w:val="20"/>
          <w:lang w:val="en-US"/>
        </w:rPr>
        <w:t xml:space="preserve">Fewer </w:t>
      </w:r>
      <w:r w:rsidR="000C732F" w:rsidRPr="00EB0495">
        <w:rPr>
          <w:rFonts w:ascii="Arial" w:eastAsiaTheme="minorEastAsia" w:hAnsi="Arial" w:cs="Arial"/>
          <w:sz w:val="24"/>
          <w:szCs w:val="20"/>
          <w:lang w:val="en-US"/>
        </w:rPr>
        <w:t xml:space="preserve">early </w:t>
      </w:r>
      <w:r w:rsidR="00AB560B" w:rsidRPr="00EB0495">
        <w:rPr>
          <w:rFonts w:ascii="Arial" w:eastAsiaTheme="minorEastAsia" w:hAnsi="Arial" w:cs="Arial"/>
          <w:sz w:val="24"/>
          <w:szCs w:val="20"/>
          <w:lang w:val="en-US"/>
        </w:rPr>
        <w:t>disease progression</w:t>
      </w:r>
      <w:r w:rsidRPr="00EB0495">
        <w:rPr>
          <w:rFonts w:ascii="Arial" w:eastAsiaTheme="minorEastAsia" w:hAnsi="Arial" w:cs="Arial"/>
          <w:sz w:val="24"/>
          <w:szCs w:val="20"/>
          <w:lang w:val="en-US"/>
        </w:rPr>
        <w:t xml:space="preserve"> events occurred</w:t>
      </w:r>
      <w:r w:rsidR="00AB560B" w:rsidRPr="00EB0495">
        <w:rPr>
          <w:rFonts w:ascii="Arial" w:eastAsiaTheme="minorEastAsia" w:hAnsi="Arial" w:cs="Arial"/>
          <w:sz w:val="24"/>
          <w:szCs w:val="20"/>
          <w:lang w:val="en-US"/>
        </w:rPr>
        <w:t xml:space="preserve"> </w:t>
      </w:r>
      <w:r w:rsidRPr="00EB0495">
        <w:rPr>
          <w:rFonts w:ascii="Arial" w:eastAsiaTheme="minorEastAsia" w:hAnsi="Arial" w:cs="Arial"/>
          <w:sz w:val="24"/>
          <w:szCs w:val="20"/>
          <w:lang w:val="en-US"/>
        </w:rPr>
        <w:t xml:space="preserve">in </w:t>
      </w:r>
      <w:r w:rsidR="009E7900" w:rsidRPr="00EB0495">
        <w:rPr>
          <w:rFonts w:ascii="Arial" w:eastAsiaTheme="minorEastAsia" w:hAnsi="Arial" w:cs="Arial"/>
          <w:sz w:val="24"/>
          <w:szCs w:val="20"/>
          <w:lang w:val="en-US"/>
        </w:rPr>
        <w:t>obinut</w:t>
      </w:r>
      <w:r w:rsidR="004F7F29" w:rsidRPr="00EB0495">
        <w:rPr>
          <w:rFonts w:ascii="Arial" w:eastAsiaTheme="minorEastAsia" w:hAnsi="Arial" w:cs="Arial"/>
          <w:sz w:val="24"/>
          <w:szCs w:val="20"/>
          <w:lang w:val="en-US"/>
        </w:rPr>
        <w:t>u</w:t>
      </w:r>
      <w:r w:rsidR="009E7900" w:rsidRPr="00EB0495">
        <w:rPr>
          <w:rFonts w:ascii="Arial" w:eastAsiaTheme="minorEastAsia" w:hAnsi="Arial" w:cs="Arial"/>
          <w:sz w:val="24"/>
          <w:szCs w:val="20"/>
          <w:lang w:val="en-US"/>
        </w:rPr>
        <w:t xml:space="preserve">zumab </w:t>
      </w:r>
      <w:r w:rsidRPr="00EB0495">
        <w:rPr>
          <w:rFonts w:ascii="Arial" w:eastAsiaTheme="minorEastAsia" w:hAnsi="Arial" w:cs="Arial"/>
          <w:sz w:val="24"/>
          <w:szCs w:val="20"/>
          <w:lang w:val="en-US"/>
        </w:rPr>
        <w:t xml:space="preserve">(57/601) </w:t>
      </w:r>
      <w:r w:rsidR="00225052" w:rsidRPr="00EB0495">
        <w:rPr>
          <w:rFonts w:ascii="Arial" w:eastAsiaTheme="minorEastAsia" w:hAnsi="Arial" w:cs="Arial"/>
          <w:i/>
          <w:sz w:val="24"/>
          <w:szCs w:val="20"/>
          <w:lang w:val="en-US"/>
        </w:rPr>
        <w:t>v</w:t>
      </w:r>
      <w:r w:rsidR="00206A88" w:rsidRPr="00EB0495">
        <w:rPr>
          <w:rFonts w:ascii="Arial" w:eastAsiaTheme="minorEastAsia" w:hAnsi="Arial" w:cs="Arial"/>
          <w:i/>
          <w:sz w:val="24"/>
          <w:szCs w:val="20"/>
          <w:lang w:val="en-US"/>
        </w:rPr>
        <w:t>ersus</w:t>
      </w:r>
      <w:r w:rsidR="00225052" w:rsidRPr="00EB0495">
        <w:rPr>
          <w:rFonts w:ascii="Arial" w:eastAsiaTheme="minorEastAsia" w:hAnsi="Arial" w:cs="Arial"/>
          <w:sz w:val="24"/>
          <w:szCs w:val="20"/>
          <w:lang w:val="en-US"/>
        </w:rPr>
        <w:t xml:space="preserve"> </w:t>
      </w:r>
      <w:r w:rsidR="009E7900" w:rsidRPr="00EB0495">
        <w:rPr>
          <w:rFonts w:ascii="Arial" w:eastAsiaTheme="minorEastAsia" w:hAnsi="Arial" w:cs="Arial"/>
          <w:sz w:val="24"/>
          <w:szCs w:val="20"/>
          <w:lang w:val="en-US"/>
        </w:rPr>
        <w:t xml:space="preserve">rituximab </w:t>
      </w:r>
      <w:r w:rsidRPr="00EB0495">
        <w:rPr>
          <w:rFonts w:ascii="Arial" w:eastAsiaTheme="minorEastAsia" w:hAnsi="Arial" w:cs="Arial"/>
          <w:sz w:val="24"/>
          <w:szCs w:val="20"/>
          <w:lang w:val="en-US"/>
        </w:rPr>
        <w:t>(98/601)</w:t>
      </w:r>
      <w:r w:rsidR="005613B0" w:rsidRPr="00EB0495">
        <w:rPr>
          <w:rFonts w:ascii="Arial" w:eastAsiaTheme="minorEastAsia" w:hAnsi="Arial" w:cs="Arial"/>
          <w:sz w:val="24"/>
          <w:szCs w:val="20"/>
          <w:lang w:val="en-US"/>
        </w:rPr>
        <w:t xml:space="preserve"> </w:t>
      </w:r>
      <w:r w:rsidR="000C732F" w:rsidRPr="00EB0495">
        <w:rPr>
          <w:rFonts w:ascii="Arial" w:eastAsiaTheme="minorEastAsia" w:hAnsi="Arial" w:cs="Arial"/>
          <w:sz w:val="24"/>
          <w:szCs w:val="20"/>
          <w:lang w:val="en-US"/>
        </w:rPr>
        <w:t xml:space="preserve">immunochemotherapy </w:t>
      </w:r>
      <w:r w:rsidR="005613B0" w:rsidRPr="00EB0495">
        <w:rPr>
          <w:rFonts w:ascii="Arial" w:eastAsiaTheme="minorEastAsia" w:hAnsi="Arial" w:cs="Arial"/>
          <w:sz w:val="24"/>
          <w:szCs w:val="20"/>
          <w:lang w:val="en-US"/>
        </w:rPr>
        <w:t xml:space="preserve">patients, </w:t>
      </w:r>
      <w:r w:rsidRPr="00EB0495">
        <w:rPr>
          <w:rFonts w:ascii="Arial" w:eastAsiaTheme="minorEastAsia" w:hAnsi="Arial" w:cs="Arial"/>
          <w:sz w:val="24"/>
          <w:szCs w:val="20"/>
          <w:lang w:val="en-US"/>
        </w:rPr>
        <w:t>with an average risk reduction of 46</w:t>
      </w:r>
      <w:r w:rsidR="001A1251" w:rsidRPr="00EB0495">
        <w:rPr>
          <w:rFonts w:ascii="Arial" w:eastAsiaTheme="minorEastAsia" w:hAnsi="Arial" w:cs="Arial"/>
          <w:sz w:val="24"/>
          <w:szCs w:val="20"/>
          <w:lang w:val="en-US"/>
        </w:rPr>
        <w:t>.0</w:t>
      </w:r>
      <w:r w:rsidRPr="00EB0495">
        <w:rPr>
          <w:rFonts w:ascii="Arial" w:eastAsiaTheme="minorEastAsia" w:hAnsi="Arial" w:cs="Arial"/>
          <w:sz w:val="24"/>
          <w:szCs w:val="20"/>
          <w:lang w:val="en-US"/>
        </w:rPr>
        <w:t>% (95% CI</w:t>
      </w:r>
      <w:r w:rsidR="00EC07D3" w:rsidRPr="00EB0495">
        <w:rPr>
          <w:rFonts w:ascii="Arial" w:eastAsiaTheme="minorEastAsia" w:hAnsi="Arial" w:cs="Arial"/>
          <w:sz w:val="24"/>
          <w:szCs w:val="20"/>
          <w:lang w:val="en-US"/>
        </w:rPr>
        <w:t>:</w:t>
      </w:r>
      <w:r w:rsidRPr="00EB0495">
        <w:rPr>
          <w:rFonts w:ascii="Arial" w:eastAsiaTheme="minorEastAsia" w:hAnsi="Arial" w:cs="Arial"/>
          <w:sz w:val="24"/>
          <w:szCs w:val="20"/>
          <w:lang w:val="en-US"/>
        </w:rPr>
        <w:t xml:space="preserve"> 25</w:t>
      </w:r>
      <w:r w:rsidR="001A1251" w:rsidRPr="00EB0495">
        <w:rPr>
          <w:rFonts w:ascii="Arial" w:eastAsiaTheme="minorEastAsia" w:hAnsi="Arial" w:cs="Arial"/>
          <w:sz w:val="24"/>
          <w:szCs w:val="20"/>
          <w:lang w:val="en-US"/>
        </w:rPr>
        <w:t>.0</w:t>
      </w:r>
      <w:r w:rsidR="004D2ADF" w:rsidRPr="00EB0495">
        <w:rPr>
          <w:rFonts w:ascii="Arial" w:eastAsiaTheme="minorEastAsia" w:hAnsi="Arial" w:cs="Arial"/>
          <w:sz w:val="24"/>
          <w:szCs w:val="20"/>
          <w:lang w:val="en-US"/>
        </w:rPr>
        <w:t>-</w:t>
      </w:r>
      <w:r w:rsidRPr="00EB0495">
        <w:rPr>
          <w:rFonts w:ascii="Arial" w:eastAsiaTheme="minorEastAsia" w:hAnsi="Arial" w:cs="Arial"/>
          <w:sz w:val="24"/>
          <w:szCs w:val="20"/>
          <w:lang w:val="en-US"/>
        </w:rPr>
        <w:t>61</w:t>
      </w:r>
      <w:r w:rsidR="001A1251" w:rsidRPr="00EB0495">
        <w:rPr>
          <w:rFonts w:ascii="Arial" w:eastAsiaTheme="minorEastAsia" w:hAnsi="Arial" w:cs="Arial"/>
          <w:sz w:val="24"/>
          <w:szCs w:val="20"/>
          <w:lang w:val="en-US"/>
        </w:rPr>
        <w:t>.1</w:t>
      </w:r>
      <w:r w:rsidR="005613B0" w:rsidRPr="00EB0495">
        <w:rPr>
          <w:rFonts w:ascii="Arial" w:eastAsiaTheme="minorEastAsia" w:hAnsi="Arial" w:cs="Arial"/>
          <w:sz w:val="24"/>
          <w:szCs w:val="20"/>
          <w:lang w:val="en-US"/>
        </w:rPr>
        <w:t>%</w:t>
      </w:r>
      <w:r w:rsidR="00B23B88" w:rsidRPr="00EB0495">
        <w:rPr>
          <w:rFonts w:ascii="Arial" w:eastAsiaTheme="minorEastAsia" w:hAnsi="Arial" w:cs="Arial"/>
          <w:sz w:val="24"/>
          <w:szCs w:val="20"/>
          <w:lang w:val="en-US"/>
        </w:rPr>
        <w:t>; cumulative incidence rate 10.1</w:t>
      </w:r>
      <w:r w:rsidR="001A1251" w:rsidRPr="00EB0495">
        <w:rPr>
          <w:rFonts w:ascii="Arial" w:eastAsiaTheme="minorEastAsia" w:hAnsi="Arial" w:cs="Arial"/>
          <w:sz w:val="24"/>
          <w:szCs w:val="20"/>
          <w:lang w:val="en-US"/>
        </w:rPr>
        <w:t>%</w:t>
      </w:r>
      <w:r w:rsidR="00B23B88" w:rsidRPr="00EB0495">
        <w:rPr>
          <w:rFonts w:ascii="Arial" w:eastAsiaTheme="minorEastAsia" w:hAnsi="Arial" w:cs="Arial"/>
          <w:sz w:val="24"/>
          <w:szCs w:val="20"/>
          <w:lang w:val="en-US"/>
        </w:rPr>
        <w:t xml:space="preserve"> </w:t>
      </w:r>
      <w:r w:rsidR="00B23B88" w:rsidRPr="00EB0495">
        <w:rPr>
          <w:rFonts w:ascii="Arial" w:eastAsiaTheme="minorEastAsia" w:hAnsi="Arial" w:cs="Arial"/>
          <w:i/>
          <w:sz w:val="24"/>
          <w:szCs w:val="20"/>
          <w:lang w:val="en-US"/>
        </w:rPr>
        <w:t>v</w:t>
      </w:r>
      <w:r w:rsidR="00387124" w:rsidRPr="00EB0495">
        <w:rPr>
          <w:rFonts w:ascii="Arial" w:eastAsiaTheme="minorEastAsia" w:hAnsi="Arial" w:cs="Arial"/>
          <w:i/>
          <w:sz w:val="24"/>
          <w:szCs w:val="20"/>
          <w:lang w:val="en-US"/>
        </w:rPr>
        <w:t>ersus</w:t>
      </w:r>
      <w:r w:rsidR="00B23B88" w:rsidRPr="00EB0495">
        <w:rPr>
          <w:rFonts w:ascii="Arial" w:eastAsiaTheme="minorEastAsia" w:hAnsi="Arial" w:cs="Arial"/>
          <w:sz w:val="24"/>
          <w:szCs w:val="20"/>
          <w:lang w:val="en-US"/>
        </w:rPr>
        <w:t xml:space="preserve"> 17.4%</w:t>
      </w:r>
      <w:r w:rsidRPr="00EB0495">
        <w:rPr>
          <w:rFonts w:ascii="Arial" w:eastAsiaTheme="minorEastAsia" w:hAnsi="Arial" w:cs="Arial"/>
          <w:sz w:val="24"/>
          <w:szCs w:val="20"/>
          <w:lang w:val="en-US"/>
        </w:rPr>
        <w:t xml:space="preserve">). At </w:t>
      </w:r>
      <w:r w:rsidR="000A5C58" w:rsidRPr="00EB0495">
        <w:rPr>
          <w:rFonts w:ascii="Arial" w:eastAsiaTheme="minorEastAsia" w:hAnsi="Arial" w:cs="Arial"/>
          <w:sz w:val="24"/>
          <w:szCs w:val="20"/>
          <w:lang w:val="en-US"/>
        </w:rPr>
        <w:t xml:space="preserve">a </w:t>
      </w:r>
      <w:r w:rsidRPr="00EB0495">
        <w:rPr>
          <w:rFonts w:ascii="Arial" w:eastAsiaTheme="minorEastAsia" w:hAnsi="Arial" w:cs="Arial"/>
          <w:sz w:val="24"/>
          <w:szCs w:val="20"/>
          <w:lang w:val="en-US"/>
        </w:rPr>
        <w:t xml:space="preserve">median post-progression follow-up of </w:t>
      </w:r>
      <w:r w:rsidR="00954839" w:rsidRPr="00EB0495">
        <w:rPr>
          <w:rFonts w:ascii="Arial" w:eastAsiaTheme="minorEastAsia" w:hAnsi="Arial" w:cs="Arial"/>
          <w:sz w:val="24"/>
          <w:szCs w:val="20"/>
          <w:lang w:val="en-US"/>
        </w:rPr>
        <w:t>22.6 months</w:t>
      </w:r>
      <w:r w:rsidRPr="00EB0495">
        <w:rPr>
          <w:rFonts w:ascii="Arial" w:eastAsiaTheme="minorEastAsia" w:hAnsi="Arial" w:cs="Arial"/>
          <w:sz w:val="24"/>
          <w:szCs w:val="20"/>
          <w:lang w:val="en-US"/>
        </w:rPr>
        <w:t xml:space="preserve">, risk of </w:t>
      </w:r>
      <w:r w:rsidR="00DF2759" w:rsidRPr="00EB0495">
        <w:rPr>
          <w:rFonts w:ascii="Arial" w:eastAsiaTheme="minorEastAsia" w:hAnsi="Arial" w:cs="Arial"/>
          <w:sz w:val="24"/>
          <w:szCs w:val="20"/>
          <w:lang w:val="en-US"/>
        </w:rPr>
        <w:t>mortality</w:t>
      </w:r>
      <w:r w:rsidRPr="00EB0495">
        <w:rPr>
          <w:rFonts w:ascii="Arial" w:eastAsiaTheme="minorEastAsia" w:hAnsi="Arial" w:cs="Arial"/>
          <w:sz w:val="24"/>
          <w:szCs w:val="20"/>
          <w:lang w:val="en-US"/>
        </w:rPr>
        <w:t xml:space="preserve"> increased markedly following a </w:t>
      </w:r>
      <w:r w:rsidR="00AB560B" w:rsidRPr="00EB0495">
        <w:rPr>
          <w:rFonts w:ascii="Arial" w:eastAsiaTheme="minorEastAsia" w:hAnsi="Arial" w:cs="Arial"/>
          <w:sz w:val="24"/>
          <w:szCs w:val="20"/>
          <w:lang w:val="en-US"/>
        </w:rPr>
        <w:t>progression</w:t>
      </w:r>
      <w:r w:rsidRPr="00EB0495">
        <w:rPr>
          <w:rFonts w:ascii="Arial" w:eastAsiaTheme="minorEastAsia" w:hAnsi="Arial" w:cs="Arial"/>
          <w:sz w:val="24"/>
          <w:szCs w:val="20"/>
          <w:lang w:val="en-US"/>
        </w:rPr>
        <w:t xml:space="preserve"> event (HR of time-varying </w:t>
      </w:r>
      <w:r w:rsidR="00AB560B" w:rsidRPr="00EB0495">
        <w:rPr>
          <w:rFonts w:ascii="Arial" w:eastAsiaTheme="minorEastAsia" w:hAnsi="Arial" w:cs="Arial"/>
          <w:sz w:val="24"/>
          <w:szCs w:val="20"/>
          <w:lang w:val="en-US"/>
        </w:rPr>
        <w:t>progression</w:t>
      </w:r>
      <w:r w:rsidRPr="00EB0495">
        <w:rPr>
          <w:rFonts w:ascii="Arial" w:eastAsiaTheme="minorEastAsia" w:hAnsi="Arial" w:cs="Arial"/>
          <w:sz w:val="24"/>
          <w:szCs w:val="20"/>
          <w:lang w:val="en-US"/>
        </w:rPr>
        <w:t xml:space="preserve"> status</w:t>
      </w:r>
      <w:r w:rsidR="0024136B" w:rsidRPr="00EB0495">
        <w:rPr>
          <w:rFonts w:ascii="Arial" w:eastAsiaTheme="minorEastAsia" w:hAnsi="Arial" w:cs="Arial"/>
          <w:sz w:val="24"/>
          <w:szCs w:val="20"/>
          <w:lang w:val="en-US"/>
        </w:rPr>
        <w:t>,</w:t>
      </w:r>
      <w:r w:rsidRPr="00EB0495">
        <w:rPr>
          <w:rFonts w:ascii="Arial" w:eastAsiaTheme="minorEastAsia" w:hAnsi="Arial" w:cs="Arial"/>
          <w:sz w:val="24"/>
          <w:szCs w:val="20"/>
          <w:lang w:val="en-US"/>
        </w:rPr>
        <w:t xml:space="preserve"> 25.5 [95% CI</w:t>
      </w:r>
      <w:r w:rsidR="00EC07D3" w:rsidRPr="00EB0495">
        <w:rPr>
          <w:rFonts w:ascii="Arial" w:eastAsiaTheme="minorEastAsia" w:hAnsi="Arial" w:cs="Arial"/>
          <w:sz w:val="24"/>
          <w:szCs w:val="20"/>
          <w:lang w:val="en-US"/>
        </w:rPr>
        <w:t>:</w:t>
      </w:r>
      <w:r w:rsidRPr="00EB0495">
        <w:rPr>
          <w:rFonts w:ascii="Arial" w:eastAsiaTheme="minorEastAsia" w:hAnsi="Arial" w:cs="Arial"/>
          <w:sz w:val="24"/>
          <w:szCs w:val="20"/>
          <w:lang w:val="en-US"/>
        </w:rPr>
        <w:t xml:space="preserve"> 16.2</w:t>
      </w:r>
      <w:r w:rsidR="004D2ADF" w:rsidRPr="00EB0495">
        <w:rPr>
          <w:rFonts w:ascii="Arial" w:eastAsiaTheme="minorEastAsia" w:hAnsi="Arial" w:cs="Arial"/>
          <w:sz w:val="24"/>
          <w:szCs w:val="20"/>
          <w:lang w:val="en-US"/>
        </w:rPr>
        <w:t>-</w:t>
      </w:r>
      <w:r w:rsidRPr="00EB0495">
        <w:rPr>
          <w:rFonts w:ascii="Arial" w:eastAsiaTheme="minorEastAsia" w:hAnsi="Arial" w:cs="Arial"/>
          <w:sz w:val="24"/>
          <w:szCs w:val="20"/>
          <w:lang w:val="en-US"/>
        </w:rPr>
        <w:t>40.3]).</w:t>
      </w:r>
      <w:r w:rsidR="00CA54F1" w:rsidRPr="00EB0495">
        <w:rPr>
          <w:rFonts w:ascii="Arial" w:eastAsiaTheme="minorEastAsia" w:hAnsi="Arial" w:cs="Arial"/>
          <w:sz w:val="24"/>
          <w:szCs w:val="20"/>
          <w:lang w:val="en-US"/>
        </w:rPr>
        <w:t xml:space="preserve"> Mortality risk was higher the earlier patients progressed</w:t>
      </w:r>
      <w:r w:rsidR="00901DD9" w:rsidRPr="00EB0495">
        <w:rPr>
          <w:rFonts w:ascii="Arial" w:eastAsiaTheme="minorEastAsia" w:hAnsi="Arial" w:cs="Arial"/>
          <w:sz w:val="24"/>
          <w:szCs w:val="20"/>
          <w:lang w:val="en-US"/>
        </w:rPr>
        <w:t xml:space="preserve"> within the first 24 months</w:t>
      </w:r>
      <w:r w:rsidR="00CA54F1" w:rsidRPr="00EB0495">
        <w:rPr>
          <w:rFonts w:ascii="Arial" w:eastAsiaTheme="minorEastAsia" w:hAnsi="Arial" w:cs="Arial"/>
          <w:sz w:val="24"/>
          <w:szCs w:val="20"/>
          <w:lang w:val="en-US"/>
        </w:rPr>
        <w:t>.</w:t>
      </w:r>
      <w:r w:rsidRPr="00EB0495">
        <w:rPr>
          <w:rFonts w:ascii="Arial" w:eastAsiaTheme="minorEastAsia" w:hAnsi="Arial" w:cs="Arial"/>
          <w:sz w:val="24"/>
          <w:szCs w:val="20"/>
          <w:lang w:val="en-US"/>
        </w:rPr>
        <w:t xml:space="preserve"> </w:t>
      </w:r>
      <w:r w:rsidR="009F1876" w:rsidRPr="00EB0495">
        <w:rPr>
          <w:rFonts w:ascii="Arial" w:eastAsiaTheme="minorEastAsia" w:hAnsi="Arial" w:cs="Arial"/>
          <w:sz w:val="24"/>
          <w:szCs w:val="20"/>
          <w:lang w:val="en-US"/>
        </w:rPr>
        <w:t>A</w:t>
      </w:r>
      <w:r w:rsidRPr="00EB0495">
        <w:rPr>
          <w:rFonts w:ascii="Arial" w:eastAsiaTheme="minorEastAsia" w:hAnsi="Arial" w:cs="Arial"/>
          <w:sz w:val="24"/>
          <w:szCs w:val="20"/>
          <w:lang w:val="en-US"/>
        </w:rPr>
        <w:t xml:space="preserve">ge-adjusted HR for </w:t>
      </w:r>
      <w:r w:rsidR="009E7900" w:rsidRPr="00EB0495">
        <w:rPr>
          <w:rFonts w:ascii="Arial" w:eastAsiaTheme="minorEastAsia" w:hAnsi="Arial" w:cs="Arial"/>
          <w:sz w:val="24"/>
          <w:szCs w:val="20"/>
          <w:lang w:val="en-US"/>
        </w:rPr>
        <w:t>overall survival</w:t>
      </w:r>
      <w:r w:rsidRPr="00EB0495">
        <w:rPr>
          <w:rFonts w:ascii="Arial" w:eastAsiaTheme="minorEastAsia" w:hAnsi="Arial" w:cs="Arial"/>
          <w:sz w:val="24"/>
          <w:szCs w:val="20"/>
          <w:lang w:val="en-US"/>
        </w:rPr>
        <w:t xml:space="preserve"> after 24 months in surviving </w:t>
      </w:r>
      <w:r w:rsidR="00AB560B" w:rsidRPr="00EB0495">
        <w:rPr>
          <w:rFonts w:ascii="Arial" w:eastAsiaTheme="minorEastAsia" w:hAnsi="Arial" w:cs="Arial"/>
          <w:sz w:val="24"/>
          <w:szCs w:val="20"/>
          <w:lang w:val="en-US"/>
        </w:rPr>
        <w:t xml:space="preserve">patients with </w:t>
      </w:r>
      <w:r w:rsidR="00D92853" w:rsidRPr="00EB0495">
        <w:rPr>
          <w:rFonts w:ascii="Arial" w:eastAsiaTheme="minorEastAsia" w:hAnsi="Arial" w:cs="Arial"/>
          <w:sz w:val="24"/>
          <w:szCs w:val="20"/>
          <w:lang w:val="en-US"/>
        </w:rPr>
        <w:t xml:space="preserve">disease </w:t>
      </w:r>
      <w:r w:rsidR="00AB560B" w:rsidRPr="00EB0495">
        <w:rPr>
          <w:rFonts w:ascii="Arial" w:eastAsiaTheme="minorEastAsia" w:hAnsi="Arial" w:cs="Arial"/>
          <w:sz w:val="24"/>
          <w:szCs w:val="20"/>
          <w:lang w:val="en-US"/>
        </w:rPr>
        <w:t>progression</w:t>
      </w:r>
      <w:r w:rsidRPr="00EB0495">
        <w:rPr>
          <w:rFonts w:ascii="Arial" w:eastAsiaTheme="minorEastAsia" w:hAnsi="Arial" w:cs="Arial"/>
          <w:sz w:val="24"/>
          <w:szCs w:val="20"/>
          <w:lang w:val="en-US"/>
        </w:rPr>
        <w:t xml:space="preserve"> </w:t>
      </w:r>
      <w:r w:rsidR="001D3831" w:rsidRPr="00EB0495">
        <w:rPr>
          <w:rFonts w:ascii="Arial" w:eastAsiaTheme="minorEastAsia" w:hAnsi="Arial" w:cs="Arial"/>
          <w:i/>
          <w:sz w:val="24"/>
          <w:szCs w:val="20"/>
          <w:lang w:val="en-US"/>
        </w:rPr>
        <w:t>versus</w:t>
      </w:r>
      <w:r w:rsidRPr="00EB0495">
        <w:rPr>
          <w:rFonts w:ascii="Arial" w:eastAsiaTheme="minorEastAsia" w:hAnsi="Arial" w:cs="Arial"/>
          <w:sz w:val="24"/>
          <w:szCs w:val="20"/>
          <w:lang w:val="en-US"/>
        </w:rPr>
        <w:t xml:space="preserve"> </w:t>
      </w:r>
      <w:r w:rsidR="00AB560B" w:rsidRPr="00EB0495">
        <w:rPr>
          <w:rFonts w:ascii="Arial" w:eastAsiaTheme="minorEastAsia" w:hAnsi="Arial" w:cs="Arial"/>
          <w:sz w:val="24"/>
          <w:szCs w:val="20"/>
          <w:lang w:val="en-US"/>
        </w:rPr>
        <w:t>those with</w:t>
      </w:r>
      <w:r w:rsidR="00D92853" w:rsidRPr="00EB0495">
        <w:rPr>
          <w:rFonts w:ascii="Arial" w:eastAsiaTheme="minorEastAsia" w:hAnsi="Arial" w:cs="Arial"/>
          <w:sz w:val="24"/>
          <w:szCs w:val="20"/>
          <w:lang w:val="en-US"/>
        </w:rPr>
        <w:t>out</w:t>
      </w:r>
      <w:r w:rsidRPr="00EB0495">
        <w:rPr>
          <w:rFonts w:ascii="Arial" w:eastAsiaTheme="minorEastAsia" w:hAnsi="Arial" w:cs="Arial"/>
          <w:sz w:val="24"/>
          <w:szCs w:val="20"/>
          <w:lang w:val="en-US"/>
        </w:rPr>
        <w:t xml:space="preserve"> was 12.2 (95% CI</w:t>
      </w:r>
      <w:r w:rsidR="0056607F" w:rsidRPr="00EB0495">
        <w:rPr>
          <w:rFonts w:ascii="Arial" w:eastAsiaTheme="minorEastAsia" w:hAnsi="Arial" w:cs="Arial"/>
          <w:sz w:val="24"/>
          <w:szCs w:val="20"/>
          <w:lang w:val="en-US"/>
        </w:rPr>
        <w:t xml:space="preserve">: </w:t>
      </w:r>
      <w:r w:rsidRPr="00EB0495">
        <w:rPr>
          <w:rFonts w:ascii="Arial" w:eastAsiaTheme="minorEastAsia" w:hAnsi="Arial" w:cs="Arial"/>
          <w:sz w:val="24"/>
          <w:szCs w:val="20"/>
          <w:lang w:val="en-US"/>
        </w:rPr>
        <w:t>5.6</w:t>
      </w:r>
      <w:r w:rsidR="004D2ADF" w:rsidRPr="00EB0495">
        <w:rPr>
          <w:rFonts w:ascii="Arial" w:eastAsiaTheme="minorEastAsia" w:hAnsi="Arial" w:cs="Arial"/>
          <w:sz w:val="24"/>
          <w:szCs w:val="20"/>
          <w:lang w:val="en-US"/>
        </w:rPr>
        <w:t>-</w:t>
      </w:r>
      <w:r w:rsidRPr="00EB0495">
        <w:rPr>
          <w:rFonts w:ascii="Arial" w:eastAsiaTheme="minorEastAsia" w:hAnsi="Arial" w:cs="Arial"/>
          <w:sz w:val="24"/>
          <w:szCs w:val="20"/>
          <w:lang w:val="en-US"/>
        </w:rPr>
        <w:t xml:space="preserve">26.5). </w:t>
      </w:r>
      <w:r w:rsidR="008E5299" w:rsidRPr="00EB0495">
        <w:rPr>
          <w:rFonts w:ascii="Arial" w:eastAsiaTheme="minorEastAsia" w:hAnsi="Arial" w:cs="Arial"/>
          <w:sz w:val="24"/>
          <w:szCs w:val="20"/>
          <w:lang w:val="en-US"/>
        </w:rPr>
        <w:t xml:space="preserve">Post-progression survival </w:t>
      </w:r>
      <w:r w:rsidR="00CA54F1" w:rsidRPr="00EB0495">
        <w:rPr>
          <w:rFonts w:ascii="Arial" w:eastAsiaTheme="minorEastAsia" w:hAnsi="Arial" w:cs="Arial"/>
          <w:sz w:val="24"/>
          <w:szCs w:val="20"/>
          <w:lang w:val="en-US"/>
        </w:rPr>
        <w:t>was similar by treatment arm.</w:t>
      </w:r>
    </w:p>
    <w:p w14:paraId="4147FE58" w14:textId="77777777" w:rsidR="001F045E" w:rsidRPr="00EB0495" w:rsidRDefault="00B30E8E" w:rsidP="003F263C">
      <w:pPr>
        <w:spacing w:after="240"/>
        <w:ind w:firstLine="720"/>
        <w:rPr>
          <w:rFonts w:ascii="Arial" w:eastAsiaTheme="minorEastAsia" w:hAnsi="Arial" w:cs="Arial"/>
          <w:sz w:val="24"/>
          <w:szCs w:val="20"/>
          <w:lang w:val="en-US"/>
        </w:rPr>
      </w:pPr>
      <w:r w:rsidRPr="00EB0495">
        <w:rPr>
          <w:rFonts w:ascii="Arial" w:eastAsiaTheme="minorEastAsia" w:hAnsi="Arial" w:cs="Arial"/>
          <w:sz w:val="24"/>
          <w:szCs w:val="20"/>
          <w:lang w:val="en-US"/>
        </w:rPr>
        <w:t xml:space="preserve">In conclusion, </w:t>
      </w:r>
      <w:r w:rsidR="009E7900" w:rsidRPr="00EB0495">
        <w:rPr>
          <w:rFonts w:ascii="Arial" w:eastAsiaTheme="minorEastAsia" w:hAnsi="Arial" w:cs="Arial"/>
          <w:sz w:val="24"/>
          <w:szCs w:val="20"/>
          <w:lang w:val="en-US"/>
        </w:rPr>
        <w:t>obinutuzumab plus chemotherapy</w:t>
      </w:r>
      <w:r w:rsidR="0072363E" w:rsidRPr="00EB0495">
        <w:rPr>
          <w:rFonts w:ascii="Arial" w:eastAsiaTheme="minorEastAsia" w:hAnsi="Arial" w:cs="Arial"/>
          <w:sz w:val="24"/>
          <w:szCs w:val="20"/>
          <w:lang w:val="en-US"/>
        </w:rPr>
        <w:t xml:space="preserve"> was associated with a marked reduction in the rate of </w:t>
      </w:r>
      <w:r w:rsidR="00D92853" w:rsidRPr="00EB0495">
        <w:rPr>
          <w:rFonts w:ascii="Arial" w:eastAsiaTheme="minorEastAsia" w:hAnsi="Arial" w:cs="Arial"/>
          <w:sz w:val="24"/>
          <w:szCs w:val="20"/>
          <w:lang w:val="en-US"/>
        </w:rPr>
        <w:t xml:space="preserve">early disease </w:t>
      </w:r>
      <w:r w:rsidR="00AB560B" w:rsidRPr="00EB0495">
        <w:rPr>
          <w:rFonts w:ascii="Arial" w:eastAsiaTheme="minorEastAsia" w:hAnsi="Arial" w:cs="Arial"/>
          <w:sz w:val="24"/>
          <w:szCs w:val="20"/>
          <w:lang w:val="en-US"/>
        </w:rPr>
        <w:t>progression</w:t>
      </w:r>
      <w:r w:rsidR="0072363E" w:rsidRPr="00EB0495">
        <w:rPr>
          <w:rFonts w:ascii="Arial" w:eastAsiaTheme="minorEastAsia" w:hAnsi="Arial" w:cs="Arial"/>
          <w:sz w:val="24"/>
          <w:szCs w:val="20"/>
          <w:lang w:val="en-US"/>
        </w:rPr>
        <w:t xml:space="preserve"> events relative to </w:t>
      </w:r>
      <w:r w:rsidR="009E7900" w:rsidRPr="00EB0495">
        <w:rPr>
          <w:rFonts w:ascii="Arial" w:eastAsiaTheme="minorEastAsia" w:hAnsi="Arial" w:cs="Arial"/>
          <w:sz w:val="24"/>
          <w:szCs w:val="20"/>
          <w:lang w:val="en-US"/>
        </w:rPr>
        <w:t>rituximab plus chemotherapy</w:t>
      </w:r>
      <w:r w:rsidR="0072363E" w:rsidRPr="00EB0495">
        <w:rPr>
          <w:rFonts w:ascii="Arial" w:eastAsiaTheme="minorEastAsia" w:hAnsi="Arial" w:cs="Arial"/>
          <w:sz w:val="24"/>
          <w:szCs w:val="20"/>
          <w:lang w:val="en-US"/>
        </w:rPr>
        <w:t xml:space="preserve">. Early </w:t>
      </w:r>
      <w:r w:rsidR="009E7900" w:rsidRPr="00EB0495">
        <w:rPr>
          <w:rFonts w:ascii="Arial" w:eastAsiaTheme="minorEastAsia" w:hAnsi="Arial" w:cs="Arial"/>
          <w:sz w:val="24"/>
          <w:szCs w:val="20"/>
          <w:lang w:val="en-US"/>
        </w:rPr>
        <w:t>disease progression</w:t>
      </w:r>
      <w:r w:rsidR="0072363E" w:rsidRPr="00EB0495">
        <w:rPr>
          <w:rFonts w:ascii="Arial" w:eastAsiaTheme="minorEastAsia" w:hAnsi="Arial" w:cs="Arial"/>
          <w:sz w:val="24"/>
          <w:szCs w:val="20"/>
          <w:lang w:val="en-US"/>
        </w:rPr>
        <w:t xml:space="preserve"> in </w:t>
      </w:r>
      <w:r w:rsidR="008A3101" w:rsidRPr="00EB0495">
        <w:rPr>
          <w:rFonts w:ascii="Arial" w:eastAsiaTheme="minorEastAsia" w:hAnsi="Arial" w:cs="Arial"/>
          <w:sz w:val="24"/>
          <w:szCs w:val="20"/>
          <w:lang w:val="en-US"/>
        </w:rPr>
        <w:t>patients with</w:t>
      </w:r>
      <w:r w:rsidR="00387124" w:rsidRPr="00EB0495">
        <w:rPr>
          <w:rFonts w:ascii="Arial" w:eastAsiaTheme="minorEastAsia" w:hAnsi="Arial" w:cs="Arial"/>
          <w:sz w:val="24"/>
          <w:szCs w:val="20"/>
          <w:lang w:val="en-US"/>
        </w:rPr>
        <w:t xml:space="preserve"> follicular lymphoma</w:t>
      </w:r>
      <w:r w:rsidR="0072363E" w:rsidRPr="00EB0495">
        <w:rPr>
          <w:rFonts w:ascii="Arial" w:eastAsiaTheme="minorEastAsia" w:hAnsi="Arial" w:cs="Arial"/>
          <w:sz w:val="24"/>
          <w:szCs w:val="20"/>
          <w:lang w:val="en-US"/>
        </w:rPr>
        <w:t xml:space="preserve"> was associated with poor prognosis</w:t>
      </w:r>
      <w:r w:rsidR="00913D42" w:rsidRPr="00EB0495">
        <w:rPr>
          <w:rFonts w:ascii="Arial" w:eastAsiaTheme="minorEastAsia" w:hAnsi="Arial" w:cs="Arial"/>
          <w:sz w:val="24"/>
          <w:szCs w:val="20"/>
          <w:lang w:val="en-US"/>
        </w:rPr>
        <w:t>,</w:t>
      </w:r>
      <w:r w:rsidR="0072363E" w:rsidRPr="00EB0495">
        <w:rPr>
          <w:rFonts w:ascii="Arial" w:eastAsiaTheme="minorEastAsia" w:hAnsi="Arial" w:cs="Arial"/>
          <w:sz w:val="24"/>
          <w:szCs w:val="20"/>
          <w:lang w:val="en-US"/>
        </w:rPr>
        <w:t xml:space="preserve"> </w:t>
      </w:r>
      <w:r w:rsidR="00E90653" w:rsidRPr="00EB0495">
        <w:rPr>
          <w:rFonts w:ascii="Arial" w:eastAsiaTheme="minorEastAsia" w:hAnsi="Arial" w:cs="Arial"/>
          <w:sz w:val="24"/>
          <w:szCs w:val="20"/>
          <w:lang w:val="en-US"/>
        </w:rPr>
        <w:t xml:space="preserve">with mortality </w:t>
      </w:r>
      <w:r w:rsidR="0072363E" w:rsidRPr="00EB0495">
        <w:rPr>
          <w:rFonts w:ascii="Arial" w:eastAsiaTheme="minorEastAsia" w:hAnsi="Arial" w:cs="Arial"/>
          <w:sz w:val="24"/>
          <w:szCs w:val="20"/>
          <w:lang w:val="en-US"/>
        </w:rPr>
        <w:t xml:space="preserve">risk </w:t>
      </w:r>
      <w:r w:rsidR="00E90653" w:rsidRPr="00EB0495">
        <w:rPr>
          <w:rFonts w:ascii="Arial" w:eastAsiaTheme="minorEastAsia" w:hAnsi="Arial" w:cs="Arial"/>
          <w:sz w:val="24"/>
          <w:szCs w:val="20"/>
          <w:lang w:val="en-US"/>
        </w:rPr>
        <w:t>higher</w:t>
      </w:r>
      <w:r w:rsidR="0072363E" w:rsidRPr="00EB0495">
        <w:rPr>
          <w:rFonts w:ascii="Arial" w:eastAsiaTheme="minorEastAsia" w:hAnsi="Arial" w:cs="Arial"/>
          <w:sz w:val="24"/>
          <w:szCs w:val="20"/>
          <w:lang w:val="en-US"/>
        </w:rPr>
        <w:t xml:space="preserve"> after earlier </w:t>
      </w:r>
      <w:r w:rsidR="00E90653" w:rsidRPr="00EB0495">
        <w:rPr>
          <w:rFonts w:ascii="Arial" w:eastAsiaTheme="minorEastAsia" w:hAnsi="Arial" w:cs="Arial"/>
          <w:sz w:val="24"/>
          <w:szCs w:val="20"/>
          <w:lang w:val="en-US"/>
        </w:rPr>
        <w:lastRenderedPageBreak/>
        <w:t>progression</w:t>
      </w:r>
      <w:r w:rsidR="0072363E" w:rsidRPr="00EB0495">
        <w:rPr>
          <w:rFonts w:ascii="Arial" w:eastAsiaTheme="minorEastAsia" w:hAnsi="Arial" w:cs="Arial"/>
          <w:sz w:val="24"/>
          <w:szCs w:val="20"/>
          <w:lang w:val="en-US"/>
        </w:rPr>
        <w:t>.</w:t>
      </w:r>
      <w:r w:rsidR="00E90653" w:rsidRPr="00EB0495">
        <w:rPr>
          <w:rFonts w:ascii="Arial" w:eastAsiaTheme="minorEastAsia" w:hAnsi="Arial" w:cs="Arial"/>
          <w:sz w:val="24"/>
          <w:szCs w:val="20"/>
          <w:lang w:val="en-US"/>
        </w:rPr>
        <w:t xml:space="preserve"> Survival post-progression </w:t>
      </w:r>
      <w:r w:rsidR="000C7C9C" w:rsidRPr="00EB0495">
        <w:rPr>
          <w:rFonts w:ascii="Arial" w:eastAsiaTheme="minorEastAsia" w:hAnsi="Arial" w:cs="Arial"/>
          <w:sz w:val="24"/>
          <w:szCs w:val="20"/>
          <w:lang w:val="en-US"/>
        </w:rPr>
        <w:t>did not seem to be</w:t>
      </w:r>
      <w:r w:rsidR="00E90653" w:rsidRPr="00EB0495">
        <w:rPr>
          <w:rFonts w:ascii="Arial" w:eastAsiaTheme="minorEastAsia" w:hAnsi="Arial" w:cs="Arial"/>
          <w:sz w:val="24"/>
          <w:szCs w:val="20"/>
          <w:lang w:val="en-US"/>
        </w:rPr>
        <w:t xml:space="preserve"> influenced by </w:t>
      </w:r>
      <w:r w:rsidR="00913D42" w:rsidRPr="00EB0495">
        <w:rPr>
          <w:rFonts w:ascii="Arial" w:eastAsiaTheme="minorEastAsia" w:hAnsi="Arial" w:cs="Arial"/>
          <w:sz w:val="24"/>
          <w:szCs w:val="20"/>
          <w:lang w:val="en-US"/>
        </w:rPr>
        <w:t>treatment arm</w:t>
      </w:r>
      <w:r w:rsidR="00E90653" w:rsidRPr="00EB0495">
        <w:rPr>
          <w:rFonts w:ascii="Arial" w:eastAsiaTheme="minorEastAsia" w:hAnsi="Arial" w:cs="Arial"/>
          <w:sz w:val="24"/>
          <w:szCs w:val="20"/>
          <w:lang w:val="en-US"/>
        </w:rPr>
        <w:t>.</w:t>
      </w:r>
    </w:p>
    <w:p w14:paraId="47B1F1E0" w14:textId="6D4D1B75" w:rsidR="008E37F1" w:rsidRPr="00EB0495" w:rsidRDefault="001F045E" w:rsidP="001F045E">
      <w:pPr>
        <w:spacing w:after="240"/>
        <w:rPr>
          <w:rFonts w:cstheme="minorHAnsi"/>
          <w:b/>
          <w:szCs w:val="20"/>
          <w:lang w:val="en-US"/>
        </w:rPr>
      </w:pPr>
      <w:r w:rsidRPr="00EB0495">
        <w:rPr>
          <w:rFonts w:ascii="Arial" w:hAnsi="Arial" w:cs="Arial"/>
          <w:sz w:val="24"/>
          <w:szCs w:val="24"/>
          <w:lang w:val="en-US"/>
        </w:rPr>
        <w:t xml:space="preserve">ClinicalTrials.gov (NCT01332968). </w:t>
      </w:r>
      <w:r w:rsidR="0080687D" w:rsidRPr="00EB0495">
        <w:rPr>
          <w:rFonts w:cstheme="minorHAnsi"/>
          <w:b/>
          <w:szCs w:val="20"/>
          <w:lang w:val="en-US"/>
        </w:rPr>
        <w:br w:type="page"/>
      </w:r>
    </w:p>
    <w:p w14:paraId="1098F3CC" w14:textId="27ABD17C" w:rsidR="0004587B" w:rsidRPr="00EB0495" w:rsidRDefault="00C140BA" w:rsidP="00B7567F">
      <w:pPr>
        <w:spacing w:after="240"/>
        <w:rPr>
          <w:rFonts w:ascii="Arial" w:eastAsia="Calibri" w:hAnsi="Arial" w:cs="Arial"/>
          <w:b/>
          <w:bCs/>
          <w:color w:val="000000"/>
          <w:sz w:val="24"/>
          <w:szCs w:val="24"/>
          <w:lang w:val="en-US"/>
        </w:rPr>
      </w:pPr>
      <w:r w:rsidRPr="00EB0495">
        <w:rPr>
          <w:rFonts w:ascii="Arial" w:eastAsia="Calibri" w:hAnsi="Arial" w:cs="Arial"/>
          <w:b/>
          <w:bCs/>
          <w:color w:val="000000"/>
          <w:sz w:val="24"/>
          <w:szCs w:val="24"/>
          <w:lang w:val="en-US"/>
        </w:rPr>
        <w:lastRenderedPageBreak/>
        <w:t>INTRODUCTION</w:t>
      </w:r>
    </w:p>
    <w:p w14:paraId="0023AA17" w14:textId="0A56B66A" w:rsidR="000F1ECC" w:rsidRPr="00EB0495" w:rsidRDefault="00BF38FC" w:rsidP="004003EF">
      <w:pPr>
        <w:spacing w:after="240"/>
        <w:ind w:firstLine="720"/>
        <w:rPr>
          <w:rFonts w:ascii="Arial" w:eastAsia="Calibri" w:hAnsi="Arial" w:cs="Arial"/>
          <w:sz w:val="24"/>
          <w:szCs w:val="24"/>
          <w:lang w:val="en-US"/>
        </w:rPr>
      </w:pPr>
      <w:r w:rsidRPr="00EB0495">
        <w:rPr>
          <w:rFonts w:ascii="Arial" w:eastAsia="Calibri" w:hAnsi="Arial" w:cs="Arial"/>
          <w:bCs/>
          <w:sz w:val="24"/>
          <w:szCs w:val="24"/>
          <w:lang w:val="en-US"/>
        </w:rPr>
        <w:t xml:space="preserve">Despite the </w:t>
      </w:r>
      <w:r w:rsidR="00FD6B0B" w:rsidRPr="00EB0495">
        <w:rPr>
          <w:rFonts w:ascii="Arial" w:eastAsia="Calibri" w:hAnsi="Arial" w:cs="Arial"/>
          <w:bCs/>
          <w:sz w:val="24"/>
          <w:szCs w:val="24"/>
          <w:lang w:val="en-US"/>
        </w:rPr>
        <w:t xml:space="preserve">favorable outcomes </w:t>
      </w:r>
      <w:r w:rsidR="00B17B58" w:rsidRPr="00EB0495">
        <w:rPr>
          <w:rFonts w:ascii="Arial" w:eastAsia="Calibri" w:hAnsi="Arial" w:cs="Arial"/>
          <w:bCs/>
          <w:sz w:val="24"/>
          <w:szCs w:val="24"/>
          <w:lang w:val="en-US"/>
        </w:rPr>
        <w:t xml:space="preserve">for </w:t>
      </w:r>
      <w:r w:rsidRPr="00EB0495">
        <w:rPr>
          <w:rFonts w:ascii="Arial" w:eastAsia="Calibri" w:hAnsi="Arial" w:cs="Arial"/>
          <w:bCs/>
          <w:sz w:val="24"/>
          <w:szCs w:val="24"/>
          <w:lang w:val="en-US"/>
        </w:rPr>
        <w:t xml:space="preserve">patients </w:t>
      </w:r>
      <w:r w:rsidR="005B5D57" w:rsidRPr="00EB0495">
        <w:rPr>
          <w:rFonts w:ascii="Arial" w:eastAsia="Calibri" w:hAnsi="Arial" w:cs="Arial"/>
          <w:sz w:val="24"/>
          <w:szCs w:val="24"/>
          <w:lang w:val="en-US"/>
        </w:rPr>
        <w:t xml:space="preserve">with </w:t>
      </w:r>
      <w:r w:rsidR="00B17B58" w:rsidRPr="00EB0495">
        <w:rPr>
          <w:rFonts w:ascii="Arial" w:eastAsia="Calibri" w:hAnsi="Arial" w:cs="Arial"/>
          <w:sz w:val="24"/>
          <w:szCs w:val="24"/>
          <w:lang w:val="en-US"/>
        </w:rPr>
        <w:t xml:space="preserve">previously untreated </w:t>
      </w:r>
      <w:r w:rsidR="006D66B0" w:rsidRPr="00EB0495">
        <w:rPr>
          <w:rFonts w:ascii="Arial" w:eastAsia="Calibri" w:hAnsi="Arial" w:cs="Arial"/>
          <w:sz w:val="24"/>
          <w:szCs w:val="24"/>
          <w:lang w:val="en-US"/>
        </w:rPr>
        <w:t>fol</w:t>
      </w:r>
      <w:r w:rsidR="00146F54" w:rsidRPr="00EB0495">
        <w:rPr>
          <w:rFonts w:ascii="Arial" w:eastAsia="Calibri" w:hAnsi="Arial" w:cs="Arial"/>
          <w:sz w:val="24"/>
          <w:szCs w:val="24"/>
          <w:lang w:val="en-US"/>
        </w:rPr>
        <w:t>licular lymphoma</w:t>
      </w:r>
      <w:r w:rsidR="006D66B0" w:rsidRPr="00EB0495">
        <w:rPr>
          <w:rFonts w:ascii="Arial" w:eastAsia="Calibri" w:hAnsi="Arial" w:cs="Arial"/>
          <w:sz w:val="24"/>
          <w:szCs w:val="24"/>
          <w:lang w:val="en-US"/>
        </w:rPr>
        <w:t xml:space="preserve"> </w:t>
      </w:r>
      <w:r w:rsidR="0048737F" w:rsidRPr="00EB0495">
        <w:rPr>
          <w:rFonts w:ascii="Arial" w:eastAsia="Calibri" w:hAnsi="Arial" w:cs="Arial"/>
          <w:sz w:val="24"/>
          <w:szCs w:val="24"/>
          <w:lang w:val="en-US"/>
        </w:rPr>
        <w:t>(</w:t>
      </w:r>
      <w:r w:rsidR="006D66B0" w:rsidRPr="00EB0495">
        <w:rPr>
          <w:rFonts w:ascii="Arial" w:eastAsia="Calibri" w:hAnsi="Arial" w:cs="Arial"/>
          <w:sz w:val="24"/>
          <w:szCs w:val="24"/>
          <w:lang w:val="en-US"/>
        </w:rPr>
        <w:t>FL</w:t>
      </w:r>
      <w:r w:rsidR="0048737F" w:rsidRPr="00EB0495">
        <w:rPr>
          <w:rFonts w:ascii="Arial" w:eastAsia="Calibri" w:hAnsi="Arial" w:cs="Arial"/>
          <w:sz w:val="24"/>
          <w:szCs w:val="24"/>
          <w:lang w:val="en-US"/>
        </w:rPr>
        <w:t>)</w:t>
      </w:r>
      <w:r w:rsidRPr="00EB0495">
        <w:rPr>
          <w:rFonts w:ascii="Arial" w:eastAsia="Calibri" w:hAnsi="Arial" w:cs="Arial"/>
          <w:sz w:val="24"/>
          <w:szCs w:val="24"/>
          <w:lang w:val="en-US"/>
        </w:rPr>
        <w:t xml:space="preserve"> </w:t>
      </w:r>
      <w:r w:rsidR="00D511FC" w:rsidRPr="00EB0495">
        <w:rPr>
          <w:rFonts w:ascii="Arial" w:eastAsia="Calibri" w:hAnsi="Arial" w:cs="Arial"/>
          <w:sz w:val="24"/>
          <w:szCs w:val="24"/>
          <w:lang w:val="en-US"/>
        </w:rPr>
        <w:t xml:space="preserve">that are </w:t>
      </w:r>
      <w:r w:rsidR="002918C8" w:rsidRPr="00EB0495">
        <w:rPr>
          <w:rFonts w:ascii="Arial" w:eastAsia="Calibri" w:hAnsi="Arial" w:cs="Arial"/>
          <w:sz w:val="24"/>
          <w:szCs w:val="24"/>
          <w:lang w:val="en-US"/>
        </w:rPr>
        <w:t xml:space="preserve">now achievable with </w:t>
      </w:r>
      <w:r w:rsidRPr="00EB0495">
        <w:rPr>
          <w:rFonts w:ascii="Arial" w:eastAsia="Calibri" w:hAnsi="Arial" w:cs="Arial"/>
          <w:sz w:val="24"/>
          <w:szCs w:val="24"/>
          <w:lang w:val="en-US"/>
        </w:rPr>
        <w:t xml:space="preserve">the current standard treatment of rituximab </w:t>
      </w:r>
      <w:r w:rsidR="008535F6" w:rsidRPr="00EB0495">
        <w:rPr>
          <w:rFonts w:ascii="Arial" w:eastAsia="Calibri" w:hAnsi="Arial" w:cs="Arial"/>
          <w:sz w:val="24"/>
          <w:szCs w:val="24"/>
          <w:lang w:val="en-US"/>
        </w:rPr>
        <w:t xml:space="preserve">(R) </w:t>
      </w:r>
      <w:r w:rsidRPr="00EB0495">
        <w:rPr>
          <w:rFonts w:ascii="Arial" w:eastAsia="Calibri" w:hAnsi="Arial" w:cs="Arial"/>
          <w:sz w:val="24"/>
          <w:szCs w:val="24"/>
          <w:lang w:val="en-US"/>
        </w:rPr>
        <w:t>plus chemo</w:t>
      </w:r>
      <w:r w:rsidR="008535F6" w:rsidRPr="00EB0495">
        <w:rPr>
          <w:rFonts w:ascii="Arial" w:eastAsia="Calibri" w:hAnsi="Arial" w:cs="Arial"/>
          <w:sz w:val="24"/>
          <w:szCs w:val="24"/>
          <w:lang w:val="en-US"/>
        </w:rPr>
        <w:t>therapy</w:t>
      </w:r>
      <w:r w:rsidR="00CF0FE6" w:rsidRPr="00EB0495">
        <w:rPr>
          <w:rFonts w:ascii="Arial" w:eastAsia="Calibri" w:hAnsi="Arial" w:cs="Arial"/>
          <w:sz w:val="24"/>
          <w:szCs w:val="24"/>
          <w:lang w:val="en-US"/>
        </w:rPr>
        <w:t xml:space="preserve"> </w:t>
      </w:r>
      <w:r w:rsidR="004C264B" w:rsidRPr="00EB0495">
        <w:rPr>
          <w:rFonts w:ascii="Arial" w:eastAsia="Calibri" w:hAnsi="Arial" w:cs="Arial"/>
          <w:sz w:val="24"/>
          <w:szCs w:val="24"/>
          <w:lang w:val="en-US"/>
        </w:rPr>
        <w:t xml:space="preserve">(R-chemo) </w:t>
      </w:r>
      <w:r w:rsidR="00CF0FE6" w:rsidRPr="00EB0495">
        <w:rPr>
          <w:rFonts w:ascii="Arial" w:eastAsia="Calibri" w:hAnsi="Arial" w:cs="Arial"/>
          <w:sz w:val="24"/>
          <w:szCs w:val="24"/>
          <w:lang w:val="en-US"/>
        </w:rPr>
        <w:t>followed by R maintenance</w:t>
      </w:r>
      <w:r w:rsidR="008535F6" w:rsidRPr="00EB0495">
        <w:rPr>
          <w:rFonts w:ascii="Arial" w:eastAsia="Calibri" w:hAnsi="Arial" w:cs="Arial"/>
          <w:sz w:val="24"/>
          <w:szCs w:val="24"/>
          <w:lang w:val="en-US"/>
        </w:rPr>
        <w:t xml:space="preserve">, </w:t>
      </w:r>
      <w:r w:rsidR="00B17B58" w:rsidRPr="00EB0495">
        <w:rPr>
          <w:rFonts w:ascii="Arial" w:eastAsia="Calibri" w:hAnsi="Arial" w:cs="Arial"/>
          <w:sz w:val="24"/>
          <w:szCs w:val="24"/>
          <w:lang w:val="en-US"/>
        </w:rPr>
        <w:t>20</w:t>
      </w:r>
      <w:r w:rsidR="004D2ADF" w:rsidRPr="00EB0495">
        <w:rPr>
          <w:rFonts w:ascii="Arial" w:eastAsia="Calibri" w:hAnsi="Arial" w:cs="Arial"/>
          <w:sz w:val="24"/>
          <w:szCs w:val="24"/>
          <w:lang w:val="en-US"/>
        </w:rPr>
        <w:t>-</w:t>
      </w:r>
      <w:r w:rsidR="00B17B58" w:rsidRPr="00EB0495">
        <w:rPr>
          <w:rFonts w:ascii="Arial" w:eastAsia="Calibri" w:hAnsi="Arial" w:cs="Arial"/>
          <w:sz w:val="24"/>
          <w:szCs w:val="24"/>
          <w:lang w:val="en-US"/>
        </w:rPr>
        <w:t xml:space="preserve">35% </w:t>
      </w:r>
      <w:r w:rsidR="008243CF" w:rsidRPr="00EB0495">
        <w:rPr>
          <w:rFonts w:ascii="Arial" w:eastAsia="Calibri" w:hAnsi="Arial" w:cs="Arial"/>
          <w:sz w:val="24"/>
          <w:szCs w:val="24"/>
          <w:lang w:val="en-US"/>
        </w:rPr>
        <w:t xml:space="preserve">of patients </w:t>
      </w:r>
      <w:r w:rsidR="00870AEC" w:rsidRPr="00EB0495">
        <w:rPr>
          <w:rFonts w:ascii="Arial" w:eastAsia="Calibri" w:hAnsi="Arial" w:cs="Arial"/>
          <w:sz w:val="24"/>
          <w:szCs w:val="24"/>
          <w:lang w:val="en-US"/>
        </w:rPr>
        <w:t xml:space="preserve">still </w:t>
      </w:r>
      <w:r w:rsidR="009C37F3" w:rsidRPr="00EB0495">
        <w:rPr>
          <w:rFonts w:ascii="Arial" w:eastAsia="Calibri" w:hAnsi="Arial" w:cs="Arial"/>
          <w:sz w:val="24"/>
          <w:szCs w:val="24"/>
          <w:lang w:val="en-US"/>
        </w:rPr>
        <w:t xml:space="preserve">have </w:t>
      </w:r>
      <w:r w:rsidR="001678B2" w:rsidRPr="00EB0495">
        <w:rPr>
          <w:rFonts w:ascii="Arial" w:eastAsia="Calibri" w:hAnsi="Arial" w:cs="Arial"/>
          <w:sz w:val="24"/>
          <w:szCs w:val="24"/>
          <w:lang w:val="en-US"/>
        </w:rPr>
        <w:t>progressive disease (PD)</w:t>
      </w:r>
      <w:r w:rsidR="00367D0F" w:rsidRPr="00EB0495">
        <w:rPr>
          <w:rFonts w:ascii="Arial" w:eastAsia="Calibri" w:hAnsi="Arial" w:cs="Arial"/>
          <w:sz w:val="24"/>
          <w:szCs w:val="24"/>
          <w:lang w:val="en-US"/>
        </w:rPr>
        <w:t>, relapse</w:t>
      </w:r>
      <w:r w:rsidR="00702AD5" w:rsidRPr="00EB0495">
        <w:rPr>
          <w:rFonts w:ascii="Arial" w:eastAsia="Calibri" w:hAnsi="Arial" w:cs="Arial"/>
          <w:sz w:val="24"/>
          <w:szCs w:val="24"/>
          <w:lang w:val="en-US"/>
        </w:rPr>
        <w:t>,</w:t>
      </w:r>
      <w:r w:rsidR="00367D0F" w:rsidRPr="00EB0495">
        <w:rPr>
          <w:rFonts w:ascii="Arial" w:eastAsia="Calibri" w:hAnsi="Arial" w:cs="Arial"/>
          <w:sz w:val="24"/>
          <w:szCs w:val="24"/>
          <w:lang w:val="en-US"/>
        </w:rPr>
        <w:t xml:space="preserve"> or death</w:t>
      </w:r>
      <w:r w:rsidR="009C37F3" w:rsidRPr="00EB0495">
        <w:rPr>
          <w:rFonts w:ascii="Arial" w:eastAsia="Calibri" w:hAnsi="Arial" w:cs="Arial"/>
          <w:sz w:val="24"/>
          <w:szCs w:val="24"/>
          <w:lang w:val="en-US"/>
        </w:rPr>
        <w:t xml:space="preserve"> </w:t>
      </w:r>
      <w:r w:rsidR="008243CF" w:rsidRPr="00EB0495">
        <w:rPr>
          <w:rFonts w:ascii="Arial" w:eastAsia="Calibri" w:hAnsi="Arial" w:cs="Arial"/>
          <w:sz w:val="24"/>
          <w:szCs w:val="24"/>
          <w:lang w:val="en-US"/>
        </w:rPr>
        <w:t>within 2 years.</w:t>
      </w:r>
      <w:r w:rsidR="000F1ECC" w:rsidRPr="00EB0495">
        <w:rPr>
          <w:rFonts w:ascii="Arial" w:eastAsia="Calibri" w:hAnsi="Arial" w:cs="Arial"/>
          <w:sz w:val="24"/>
          <w:szCs w:val="24"/>
          <w:vertAlign w:val="superscript"/>
          <w:lang w:val="en-US"/>
        </w:rPr>
        <w:t>1-3</w:t>
      </w:r>
      <w:r w:rsidRPr="00EB0495">
        <w:rPr>
          <w:rFonts w:ascii="Arial" w:eastAsia="Calibri" w:hAnsi="Arial" w:cs="Arial"/>
          <w:sz w:val="24"/>
          <w:szCs w:val="24"/>
          <w:lang w:val="en-US"/>
        </w:rPr>
        <w:t xml:space="preserve"> </w:t>
      </w:r>
      <w:r w:rsidR="00A34EFC" w:rsidRPr="00EB0495">
        <w:rPr>
          <w:rFonts w:ascii="Arial" w:eastAsia="Calibri" w:hAnsi="Arial" w:cs="Arial"/>
          <w:sz w:val="24"/>
          <w:szCs w:val="24"/>
          <w:lang w:val="en-US"/>
        </w:rPr>
        <w:t>Patients</w:t>
      </w:r>
      <w:r w:rsidRPr="00EB0495">
        <w:rPr>
          <w:rFonts w:ascii="Arial" w:eastAsia="Calibri" w:hAnsi="Arial" w:cs="Arial"/>
          <w:sz w:val="24"/>
          <w:szCs w:val="24"/>
          <w:lang w:val="en-US"/>
        </w:rPr>
        <w:t xml:space="preserve"> with early </w:t>
      </w:r>
      <w:r w:rsidR="001678B2" w:rsidRPr="00EB0495">
        <w:rPr>
          <w:rFonts w:ascii="Arial" w:eastAsia="Calibri" w:hAnsi="Arial" w:cs="Arial"/>
          <w:sz w:val="24"/>
          <w:szCs w:val="24"/>
          <w:lang w:val="en-US"/>
        </w:rPr>
        <w:t>PD</w:t>
      </w:r>
      <w:r w:rsidRPr="00EB0495">
        <w:rPr>
          <w:rFonts w:ascii="Arial" w:eastAsia="Calibri" w:hAnsi="Arial" w:cs="Arial"/>
          <w:sz w:val="24"/>
          <w:szCs w:val="24"/>
          <w:lang w:val="en-US"/>
        </w:rPr>
        <w:t xml:space="preserve"> have </w:t>
      </w:r>
      <w:r w:rsidR="00350F14" w:rsidRPr="00EB0495">
        <w:rPr>
          <w:rFonts w:ascii="Arial" w:eastAsia="Calibri" w:hAnsi="Arial" w:cs="Arial"/>
          <w:sz w:val="24"/>
          <w:szCs w:val="24"/>
          <w:lang w:val="en-US"/>
        </w:rPr>
        <w:t xml:space="preserve">a </w:t>
      </w:r>
      <w:r w:rsidRPr="00EB0495">
        <w:rPr>
          <w:rFonts w:ascii="Arial" w:eastAsia="Calibri" w:hAnsi="Arial" w:cs="Arial"/>
          <w:sz w:val="24"/>
          <w:szCs w:val="24"/>
          <w:lang w:val="en-US"/>
        </w:rPr>
        <w:t xml:space="preserve">much </w:t>
      </w:r>
      <w:r w:rsidR="000E5F21" w:rsidRPr="00EB0495">
        <w:rPr>
          <w:rFonts w:ascii="Arial" w:eastAsia="Calibri" w:hAnsi="Arial" w:cs="Arial"/>
          <w:sz w:val="24"/>
          <w:szCs w:val="24"/>
          <w:lang w:val="en-US"/>
        </w:rPr>
        <w:t>poorer s</w:t>
      </w:r>
      <w:r w:rsidR="00146F54" w:rsidRPr="00EB0495">
        <w:rPr>
          <w:rFonts w:ascii="Arial" w:eastAsia="Calibri" w:hAnsi="Arial" w:cs="Arial"/>
          <w:sz w:val="24"/>
          <w:szCs w:val="24"/>
          <w:lang w:val="en-US"/>
        </w:rPr>
        <w:t>urvival</w:t>
      </w:r>
      <w:r w:rsidR="00A80AC3" w:rsidRPr="00EB0495">
        <w:rPr>
          <w:rFonts w:ascii="Arial" w:eastAsia="Calibri" w:hAnsi="Arial" w:cs="Arial"/>
          <w:sz w:val="24"/>
          <w:szCs w:val="24"/>
          <w:lang w:val="en-US"/>
        </w:rPr>
        <w:t xml:space="preserve"> than those </w:t>
      </w:r>
      <w:r w:rsidR="00867605" w:rsidRPr="00EB0495">
        <w:rPr>
          <w:rFonts w:ascii="Arial" w:eastAsia="Calibri" w:hAnsi="Arial" w:cs="Arial"/>
          <w:sz w:val="24"/>
          <w:szCs w:val="24"/>
          <w:lang w:val="en-US"/>
        </w:rPr>
        <w:t>with later disease progression</w:t>
      </w:r>
      <w:r w:rsidR="000F1ECC" w:rsidRPr="00EB0495">
        <w:rPr>
          <w:rFonts w:ascii="Arial" w:eastAsia="Calibri" w:hAnsi="Arial" w:cs="Arial"/>
          <w:sz w:val="24"/>
          <w:szCs w:val="24"/>
          <w:lang w:val="en-US"/>
        </w:rPr>
        <w:t>.</w:t>
      </w:r>
      <w:r w:rsidR="000F1ECC" w:rsidRPr="00EB0495">
        <w:rPr>
          <w:rFonts w:ascii="Arial" w:eastAsia="Calibri" w:hAnsi="Arial" w:cs="Arial"/>
          <w:sz w:val="24"/>
          <w:szCs w:val="24"/>
          <w:vertAlign w:val="superscript"/>
          <w:lang w:val="en-US"/>
        </w:rPr>
        <w:t>4,5</w:t>
      </w:r>
    </w:p>
    <w:p w14:paraId="26FEA383" w14:textId="75109C31" w:rsidR="005B2492" w:rsidRPr="00EB0495" w:rsidRDefault="005B2492" w:rsidP="004003EF">
      <w:pPr>
        <w:spacing w:after="240"/>
        <w:ind w:firstLine="720"/>
        <w:rPr>
          <w:rFonts w:ascii="Arial" w:eastAsia="Calibri" w:hAnsi="Arial" w:cs="Arial"/>
          <w:sz w:val="24"/>
          <w:szCs w:val="24"/>
          <w:lang w:val="en-US"/>
        </w:rPr>
      </w:pPr>
      <w:r w:rsidRPr="00EB0495">
        <w:rPr>
          <w:rFonts w:ascii="Arial" w:eastAsia="Calibri" w:hAnsi="Arial" w:cs="Arial"/>
          <w:sz w:val="24"/>
          <w:szCs w:val="24"/>
          <w:lang w:val="en-US"/>
        </w:rPr>
        <w:t xml:space="preserve">The glycoengineered anti-CD20 antibody </w:t>
      </w:r>
      <w:r w:rsidRPr="00EB0495">
        <w:rPr>
          <w:rFonts w:ascii="Arial" w:eastAsia="Calibri" w:hAnsi="Arial" w:cs="Arial"/>
          <w:bCs/>
          <w:sz w:val="24"/>
          <w:szCs w:val="24"/>
          <w:lang w:val="en-US"/>
        </w:rPr>
        <w:t>obinutuzumab (GA101; G</w:t>
      </w:r>
      <w:r w:rsidR="008535F6" w:rsidRPr="00EB0495">
        <w:rPr>
          <w:rFonts w:ascii="Arial" w:eastAsia="Calibri" w:hAnsi="Arial" w:cs="Arial"/>
          <w:bCs/>
          <w:sz w:val="24"/>
          <w:szCs w:val="24"/>
          <w:lang w:val="en-US"/>
        </w:rPr>
        <w:t xml:space="preserve">) has </w:t>
      </w:r>
      <w:r w:rsidR="00B17B58" w:rsidRPr="00EB0495">
        <w:rPr>
          <w:rFonts w:ascii="Arial" w:eastAsia="Calibri" w:hAnsi="Arial" w:cs="Arial"/>
          <w:bCs/>
          <w:sz w:val="24"/>
          <w:szCs w:val="24"/>
          <w:lang w:val="en-US"/>
        </w:rPr>
        <w:t xml:space="preserve">reduced </w:t>
      </w:r>
      <w:r w:rsidR="008535F6" w:rsidRPr="00EB0495">
        <w:rPr>
          <w:rFonts w:ascii="Arial" w:hAnsi="Arial" w:cs="Arial"/>
          <w:sz w:val="24"/>
          <w:szCs w:val="24"/>
          <w:lang w:val="en-US"/>
        </w:rPr>
        <w:t xml:space="preserve">complement-dependent cytotoxicity </w:t>
      </w:r>
      <w:r w:rsidR="00B17B58" w:rsidRPr="00EB0495">
        <w:rPr>
          <w:rFonts w:ascii="Arial" w:hAnsi="Arial" w:cs="Arial"/>
          <w:sz w:val="24"/>
          <w:szCs w:val="24"/>
          <w:lang w:val="en-US"/>
        </w:rPr>
        <w:t xml:space="preserve">compared with </w:t>
      </w:r>
      <w:r w:rsidR="008535F6" w:rsidRPr="00EB0495">
        <w:rPr>
          <w:rFonts w:ascii="Arial" w:hAnsi="Arial" w:cs="Arial"/>
          <w:sz w:val="24"/>
          <w:szCs w:val="24"/>
          <w:lang w:val="en-US"/>
        </w:rPr>
        <w:t xml:space="preserve">R, but its direct cell-killing ability, as well as its antibody-dependent cell-mediated cytotoxicity and antibody-dependent cellular phagocytosis, are </w:t>
      </w:r>
      <w:r w:rsidR="00B17B58" w:rsidRPr="00EB0495">
        <w:rPr>
          <w:rFonts w:ascii="Arial" w:hAnsi="Arial" w:cs="Arial"/>
          <w:sz w:val="24"/>
          <w:szCs w:val="24"/>
          <w:lang w:val="en-US"/>
        </w:rPr>
        <w:t xml:space="preserve">stronger than those </w:t>
      </w:r>
      <w:r w:rsidR="008535F6" w:rsidRPr="00EB0495">
        <w:rPr>
          <w:rFonts w:ascii="Arial" w:hAnsi="Arial" w:cs="Arial"/>
          <w:sz w:val="24"/>
          <w:szCs w:val="24"/>
          <w:lang w:val="en-US"/>
        </w:rPr>
        <w:t>of R.</w:t>
      </w:r>
      <w:r w:rsidR="002731D9" w:rsidRPr="00EB0495">
        <w:rPr>
          <w:rFonts w:ascii="Arial" w:hAnsi="Arial" w:cs="Arial"/>
          <w:sz w:val="24"/>
          <w:szCs w:val="24"/>
          <w:vertAlign w:val="superscript"/>
          <w:lang w:val="en-US"/>
        </w:rPr>
        <w:t>6,7</w:t>
      </w:r>
      <w:r w:rsidR="008535F6" w:rsidRPr="00EB0495">
        <w:rPr>
          <w:rFonts w:ascii="Arial" w:hAnsi="Arial" w:cs="Arial"/>
          <w:sz w:val="24"/>
          <w:szCs w:val="24"/>
          <w:lang w:val="en-US"/>
        </w:rPr>
        <w:t xml:space="preserve"> </w:t>
      </w:r>
      <w:r w:rsidRPr="00EB0495">
        <w:rPr>
          <w:rFonts w:ascii="Arial" w:eastAsia="Calibri" w:hAnsi="Arial" w:cs="Arial"/>
          <w:sz w:val="24"/>
          <w:szCs w:val="24"/>
          <w:lang w:val="en-US"/>
        </w:rPr>
        <w:t>In the recently</w:t>
      </w:r>
      <w:r w:rsidR="00D74A98" w:rsidRPr="00EB0495">
        <w:rPr>
          <w:rFonts w:ascii="Arial" w:eastAsia="Calibri" w:hAnsi="Arial" w:cs="Arial"/>
          <w:sz w:val="24"/>
          <w:szCs w:val="24"/>
          <w:lang w:val="en-US"/>
        </w:rPr>
        <w:t xml:space="preserve"> </w:t>
      </w:r>
      <w:r w:rsidRPr="00EB0495">
        <w:rPr>
          <w:rFonts w:ascii="Arial" w:eastAsia="Calibri" w:hAnsi="Arial" w:cs="Arial"/>
          <w:sz w:val="24"/>
          <w:szCs w:val="24"/>
          <w:lang w:val="en-US"/>
        </w:rPr>
        <w:t xml:space="preserve">reported </w:t>
      </w:r>
      <w:r w:rsidR="009C37F3" w:rsidRPr="00EB0495">
        <w:rPr>
          <w:rFonts w:ascii="Arial" w:eastAsia="Calibri" w:hAnsi="Arial" w:cs="Arial"/>
          <w:sz w:val="24"/>
          <w:szCs w:val="24"/>
          <w:lang w:val="en-US"/>
        </w:rPr>
        <w:t xml:space="preserve">GALLIUM </w:t>
      </w:r>
      <w:r w:rsidR="006D66B0" w:rsidRPr="00EB0495">
        <w:rPr>
          <w:rFonts w:ascii="Arial" w:eastAsia="Calibri" w:hAnsi="Arial" w:cs="Arial"/>
          <w:sz w:val="24"/>
          <w:szCs w:val="24"/>
          <w:lang w:val="en-US"/>
        </w:rPr>
        <w:t>study</w:t>
      </w:r>
      <w:r w:rsidR="00146F54" w:rsidRPr="00EB0495">
        <w:rPr>
          <w:rFonts w:ascii="Arial" w:eastAsia="Calibri" w:hAnsi="Arial" w:cs="Arial"/>
          <w:sz w:val="24"/>
          <w:szCs w:val="24"/>
          <w:lang w:val="en-US"/>
        </w:rPr>
        <w:t xml:space="preserve"> </w:t>
      </w:r>
      <w:r w:rsidR="00E61FB7" w:rsidRPr="00EB0495">
        <w:rPr>
          <w:rFonts w:ascii="Arial" w:eastAsia="Calibri" w:hAnsi="Arial" w:cs="Arial"/>
          <w:sz w:val="24"/>
          <w:szCs w:val="24"/>
          <w:lang w:val="en-US"/>
        </w:rPr>
        <w:t xml:space="preserve">(NCT01332968) </w:t>
      </w:r>
      <w:r w:rsidR="00146F54" w:rsidRPr="00EB0495">
        <w:rPr>
          <w:rFonts w:ascii="Arial" w:eastAsia="Calibri" w:hAnsi="Arial" w:cs="Arial"/>
          <w:bCs/>
          <w:sz w:val="24"/>
          <w:szCs w:val="24"/>
          <w:lang w:val="en-US"/>
        </w:rPr>
        <w:t xml:space="preserve">in previously untreated </w:t>
      </w:r>
      <w:r w:rsidR="000B19B6" w:rsidRPr="00EB0495">
        <w:rPr>
          <w:rFonts w:ascii="Arial" w:eastAsia="Calibri" w:hAnsi="Arial" w:cs="Arial"/>
          <w:bCs/>
          <w:sz w:val="24"/>
          <w:szCs w:val="24"/>
          <w:lang w:val="en-US"/>
        </w:rPr>
        <w:t>patients</w:t>
      </w:r>
      <w:r w:rsidRPr="00EB0495">
        <w:rPr>
          <w:rFonts w:ascii="Arial" w:eastAsia="Calibri" w:hAnsi="Arial" w:cs="Arial"/>
          <w:bCs/>
          <w:sz w:val="24"/>
          <w:szCs w:val="24"/>
          <w:lang w:val="en-US"/>
        </w:rPr>
        <w:t xml:space="preserve"> with advanced FL, </w:t>
      </w:r>
      <w:r w:rsidR="005242BA" w:rsidRPr="00EB0495">
        <w:rPr>
          <w:rFonts w:ascii="Arial" w:eastAsia="Calibri" w:hAnsi="Arial" w:cs="Arial"/>
          <w:bCs/>
          <w:sz w:val="24"/>
          <w:szCs w:val="24"/>
          <w:lang w:val="en-US"/>
        </w:rPr>
        <w:t>investigator</w:t>
      </w:r>
      <w:r w:rsidR="00146F54" w:rsidRPr="00EB0495">
        <w:rPr>
          <w:rFonts w:ascii="Arial" w:eastAsia="Calibri" w:hAnsi="Arial" w:cs="Arial"/>
          <w:bCs/>
          <w:sz w:val="24"/>
          <w:szCs w:val="24"/>
          <w:lang w:val="en-US"/>
        </w:rPr>
        <w:t xml:space="preserve">-assessed progression-free survival (PFS) was significantly improved with </w:t>
      </w:r>
      <w:r w:rsidRPr="00EB0495">
        <w:rPr>
          <w:rFonts w:ascii="Arial" w:eastAsia="Calibri" w:hAnsi="Arial" w:cs="Arial"/>
          <w:bCs/>
          <w:sz w:val="24"/>
          <w:szCs w:val="24"/>
          <w:lang w:val="en-US"/>
        </w:rPr>
        <w:t>G-</w:t>
      </w:r>
      <w:r w:rsidR="00146F54" w:rsidRPr="00EB0495">
        <w:rPr>
          <w:rFonts w:ascii="Arial" w:eastAsia="Calibri" w:hAnsi="Arial" w:cs="Arial"/>
          <w:bCs/>
          <w:sz w:val="24"/>
          <w:szCs w:val="24"/>
          <w:lang w:val="en-US"/>
        </w:rPr>
        <w:t xml:space="preserve">based </w:t>
      </w:r>
      <w:r w:rsidR="00D01CCE" w:rsidRPr="00EB0495">
        <w:rPr>
          <w:rFonts w:ascii="Arial" w:eastAsia="Calibri" w:hAnsi="Arial" w:cs="Arial"/>
          <w:bCs/>
          <w:sz w:val="24"/>
          <w:szCs w:val="24"/>
          <w:lang w:val="en-US"/>
        </w:rPr>
        <w:t xml:space="preserve">immunochemotherapy (G-chemo) </w:t>
      </w:r>
      <w:r w:rsidR="00146F54" w:rsidRPr="00EB0495">
        <w:rPr>
          <w:rFonts w:ascii="Arial" w:eastAsia="Calibri" w:hAnsi="Arial" w:cs="Arial"/>
          <w:bCs/>
          <w:sz w:val="24"/>
          <w:szCs w:val="24"/>
          <w:lang w:val="en-US"/>
        </w:rPr>
        <w:t xml:space="preserve">relative to </w:t>
      </w:r>
      <w:r w:rsidR="00D01CCE" w:rsidRPr="00EB0495">
        <w:rPr>
          <w:rFonts w:ascii="Arial" w:eastAsia="Calibri" w:hAnsi="Arial" w:cs="Arial"/>
          <w:bCs/>
          <w:sz w:val="24"/>
          <w:szCs w:val="24"/>
          <w:lang w:val="en-US"/>
        </w:rPr>
        <w:t>R-chemo</w:t>
      </w:r>
      <w:r w:rsidR="005D7EF7" w:rsidRPr="00EB0495">
        <w:rPr>
          <w:rFonts w:ascii="Arial" w:eastAsia="Calibri" w:hAnsi="Arial" w:cs="Arial"/>
          <w:bCs/>
          <w:sz w:val="24"/>
          <w:szCs w:val="24"/>
          <w:lang w:val="en-US"/>
        </w:rPr>
        <w:t xml:space="preserve"> </w:t>
      </w:r>
      <w:r w:rsidR="00B17B58" w:rsidRPr="00EB0495">
        <w:rPr>
          <w:rFonts w:ascii="Arial" w:eastAsia="Calibri" w:hAnsi="Arial" w:cs="Arial"/>
          <w:bCs/>
          <w:sz w:val="24"/>
          <w:szCs w:val="24"/>
          <w:lang w:val="en-US"/>
        </w:rPr>
        <w:t>(</w:t>
      </w:r>
      <w:r w:rsidR="005D7EF7" w:rsidRPr="00EB0495">
        <w:rPr>
          <w:rFonts w:ascii="Arial" w:eastAsia="Calibri" w:hAnsi="Arial" w:cs="Arial"/>
          <w:bCs/>
          <w:sz w:val="24"/>
          <w:szCs w:val="24"/>
          <w:lang w:val="en-US"/>
        </w:rPr>
        <w:t xml:space="preserve">hazard ratio </w:t>
      </w:r>
      <w:r w:rsidR="00B17B58" w:rsidRPr="00EB0495">
        <w:rPr>
          <w:rFonts w:ascii="Arial" w:eastAsia="Calibri" w:hAnsi="Arial" w:cs="Arial"/>
          <w:bCs/>
          <w:sz w:val="24"/>
          <w:szCs w:val="24"/>
          <w:lang w:val="en-US"/>
        </w:rPr>
        <w:t>[</w:t>
      </w:r>
      <w:r w:rsidR="00D33B84" w:rsidRPr="00EB0495">
        <w:rPr>
          <w:rFonts w:ascii="Arial" w:eastAsia="Calibri" w:hAnsi="Arial" w:cs="Arial"/>
          <w:bCs/>
          <w:sz w:val="24"/>
          <w:szCs w:val="24"/>
          <w:lang w:val="en-US"/>
        </w:rPr>
        <w:t>HR</w:t>
      </w:r>
      <w:r w:rsidR="00B17B58" w:rsidRPr="00EB0495">
        <w:rPr>
          <w:rFonts w:ascii="Arial" w:eastAsia="Calibri" w:hAnsi="Arial" w:cs="Arial"/>
          <w:bCs/>
          <w:sz w:val="24"/>
          <w:szCs w:val="24"/>
          <w:lang w:val="en-US"/>
        </w:rPr>
        <w:t>],</w:t>
      </w:r>
      <w:r w:rsidR="00D33B84" w:rsidRPr="00EB0495">
        <w:rPr>
          <w:rFonts w:ascii="Arial" w:eastAsia="Calibri" w:hAnsi="Arial" w:cs="Arial"/>
          <w:bCs/>
          <w:sz w:val="24"/>
          <w:szCs w:val="24"/>
          <w:lang w:val="en-US"/>
        </w:rPr>
        <w:t xml:space="preserve"> </w:t>
      </w:r>
      <w:r w:rsidR="005D7EF7" w:rsidRPr="00EB0495">
        <w:rPr>
          <w:rFonts w:ascii="Arial" w:eastAsia="Calibri" w:hAnsi="Arial" w:cs="Arial"/>
          <w:bCs/>
          <w:sz w:val="24"/>
          <w:szCs w:val="24"/>
          <w:lang w:val="en-US"/>
        </w:rPr>
        <w:t>0.6</w:t>
      </w:r>
      <w:r w:rsidR="00C042FC" w:rsidRPr="00EB0495">
        <w:rPr>
          <w:rFonts w:ascii="Arial" w:eastAsia="Calibri" w:hAnsi="Arial" w:cs="Arial"/>
          <w:bCs/>
          <w:sz w:val="24"/>
          <w:szCs w:val="24"/>
          <w:lang w:val="en-US"/>
        </w:rPr>
        <w:t>8</w:t>
      </w:r>
      <w:r w:rsidR="009E3566" w:rsidRPr="00EB0495">
        <w:rPr>
          <w:rFonts w:ascii="Arial" w:eastAsia="Calibri" w:hAnsi="Arial" w:cs="Arial"/>
          <w:bCs/>
          <w:sz w:val="24"/>
          <w:szCs w:val="24"/>
          <w:lang w:val="en-US"/>
        </w:rPr>
        <w:t xml:space="preserve">; </w:t>
      </w:r>
      <w:r w:rsidR="00987015" w:rsidRPr="00EB0495">
        <w:rPr>
          <w:rFonts w:ascii="Arial" w:eastAsia="Calibri" w:hAnsi="Arial" w:cs="Arial"/>
          <w:bCs/>
          <w:sz w:val="24"/>
          <w:szCs w:val="24"/>
          <w:lang w:val="en-US"/>
        </w:rPr>
        <w:t xml:space="preserve">95% confidence interval </w:t>
      </w:r>
      <w:r w:rsidR="009E3566" w:rsidRPr="00EB0495">
        <w:rPr>
          <w:rFonts w:ascii="Arial" w:eastAsia="Calibri" w:hAnsi="Arial" w:cs="Arial"/>
          <w:bCs/>
          <w:sz w:val="24"/>
          <w:szCs w:val="24"/>
          <w:lang w:val="en-US"/>
        </w:rPr>
        <w:t>[</w:t>
      </w:r>
      <w:r w:rsidR="00987015" w:rsidRPr="00EB0495">
        <w:rPr>
          <w:rFonts w:ascii="Arial" w:eastAsia="Calibri" w:hAnsi="Arial" w:cs="Arial"/>
          <w:bCs/>
          <w:sz w:val="24"/>
          <w:szCs w:val="24"/>
          <w:lang w:val="en-US"/>
        </w:rPr>
        <w:t>CI</w:t>
      </w:r>
      <w:r w:rsidR="009E3566" w:rsidRPr="00EB0495">
        <w:rPr>
          <w:rFonts w:ascii="Arial" w:eastAsia="Calibri" w:hAnsi="Arial" w:cs="Arial"/>
          <w:bCs/>
          <w:sz w:val="24"/>
          <w:szCs w:val="24"/>
          <w:lang w:val="en-US"/>
        </w:rPr>
        <w:t>]</w:t>
      </w:r>
      <w:r w:rsidR="000B03FA" w:rsidRPr="00EB0495">
        <w:rPr>
          <w:rFonts w:ascii="Arial" w:eastAsia="Calibri" w:hAnsi="Arial" w:cs="Arial"/>
          <w:bCs/>
          <w:sz w:val="24"/>
          <w:szCs w:val="24"/>
          <w:lang w:val="en-US"/>
        </w:rPr>
        <w:t>:</w:t>
      </w:r>
      <w:r w:rsidR="00987015" w:rsidRPr="00EB0495">
        <w:rPr>
          <w:rFonts w:ascii="Arial" w:eastAsia="Calibri" w:hAnsi="Arial" w:cs="Arial"/>
          <w:bCs/>
          <w:sz w:val="24"/>
          <w:szCs w:val="24"/>
          <w:lang w:val="en-US"/>
        </w:rPr>
        <w:t xml:space="preserve"> </w:t>
      </w:r>
      <w:r w:rsidR="005D7EF7" w:rsidRPr="00EB0495">
        <w:rPr>
          <w:rFonts w:ascii="Arial" w:eastAsia="Calibri" w:hAnsi="Arial" w:cs="Arial"/>
          <w:bCs/>
          <w:sz w:val="24"/>
          <w:szCs w:val="24"/>
          <w:lang w:val="en-US"/>
        </w:rPr>
        <w:t>0.5</w:t>
      </w:r>
      <w:r w:rsidR="00C042FC" w:rsidRPr="00EB0495">
        <w:rPr>
          <w:rFonts w:ascii="Arial" w:eastAsia="Calibri" w:hAnsi="Arial" w:cs="Arial"/>
          <w:bCs/>
          <w:sz w:val="24"/>
          <w:szCs w:val="24"/>
          <w:lang w:val="en-US"/>
        </w:rPr>
        <w:t>4</w:t>
      </w:r>
      <w:r w:rsidR="004D2ADF" w:rsidRPr="00EB0495">
        <w:rPr>
          <w:rFonts w:ascii="Arial" w:eastAsia="Calibri" w:hAnsi="Arial" w:cs="Arial"/>
          <w:bCs/>
          <w:sz w:val="24"/>
          <w:szCs w:val="24"/>
          <w:lang w:val="en-US"/>
        </w:rPr>
        <w:t>-</w:t>
      </w:r>
      <w:r w:rsidR="005D7EF7" w:rsidRPr="00EB0495">
        <w:rPr>
          <w:rFonts w:ascii="Arial" w:eastAsia="Calibri" w:hAnsi="Arial" w:cs="Arial"/>
          <w:bCs/>
          <w:sz w:val="24"/>
          <w:szCs w:val="24"/>
          <w:lang w:val="en-US"/>
        </w:rPr>
        <w:t>0.8</w:t>
      </w:r>
      <w:r w:rsidR="00C042FC" w:rsidRPr="00EB0495">
        <w:rPr>
          <w:rFonts w:ascii="Arial" w:eastAsia="Calibri" w:hAnsi="Arial" w:cs="Arial"/>
          <w:bCs/>
          <w:sz w:val="24"/>
          <w:szCs w:val="24"/>
          <w:lang w:val="en-US"/>
        </w:rPr>
        <w:t>7</w:t>
      </w:r>
      <w:r w:rsidR="005D7EF7" w:rsidRPr="00EB0495">
        <w:rPr>
          <w:rFonts w:ascii="Arial" w:eastAsia="Calibri" w:hAnsi="Arial" w:cs="Arial"/>
          <w:bCs/>
          <w:sz w:val="24"/>
          <w:szCs w:val="24"/>
          <w:lang w:val="en-US"/>
        </w:rPr>
        <w:t xml:space="preserve">; </w:t>
      </w:r>
      <w:r w:rsidR="00724122" w:rsidRPr="00EB0495">
        <w:rPr>
          <w:rFonts w:ascii="Arial" w:eastAsia="Calibri" w:hAnsi="Arial" w:cs="Arial"/>
          <w:bCs/>
          <w:i/>
          <w:sz w:val="24"/>
          <w:szCs w:val="24"/>
          <w:lang w:val="en-US"/>
        </w:rPr>
        <w:t>P</w:t>
      </w:r>
      <w:r w:rsidR="005D7EF7" w:rsidRPr="00EB0495">
        <w:rPr>
          <w:rFonts w:ascii="Arial" w:eastAsia="Calibri" w:hAnsi="Arial" w:cs="Arial"/>
          <w:bCs/>
          <w:sz w:val="24"/>
          <w:szCs w:val="24"/>
          <w:lang w:val="en-US"/>
        </w:rPr>
        <w:t>=</w:t>
      </w:r>
      <w:r w:rsidR="004D2ADF" w:rsidRPr="00EB0495">
        <w:rPr>
          <w:rFonts w:ascii="Arial" w:eastAsia="Calibri" w:hAnsi="Arial" w:cs="Arial"/>
          <w:bCs/>
          <w:sz w:val="24"/>
          <w:szCs w:val="24"/>
          <w:lang w:val="en-US"/>
        </w:rPr>
        <w:t>0</w:t>
      </w:r>
      <w:r w:rsidR="005D7EF7" w:rsidRPr="00EB0495">
        <w:rPr>
          <w:rFonts w:ascii="Arial" w:eastAsia="Calibri" w:hAnsi="Arial" w:cs="Arial"/>
          <w:bCs/>
          <w:sz w:val="24"/>
          <w:szCs w:val="24"/>
          <w:lang w:val="en-US"/>
        </w:rPr>
        <w:t>.</w:t>
      </w:r>
      <w:r w:rsidR="00961AAA" w:rsidRPr="00EB0495">
        <w:rPr>
          <w:rFonts w:ascii="Arial" w:eastAsia="Calibri" w:hAnsi="Arial" w:cs="Arial"/>
          <w:bCs/>
          <w:sz w:val="24"/>
          <w:szCs w:val="24"/>
          <w:lang w:val="en-US"/>
        </w:rPr>
        <w:t>002</w:t>
      </w:r>
      <w:r w:rsidR="005D7EF7" w:rsidRPr="00EB0495">
        <w:rPr>
          <w:rFonts w:ascii="Arial" w:eastAsia="Calibri" w:hAnsi="Arial" w:cs="Arial"/>
          <w:bCs/>
          <w:sz w:val="24"/>
          <w:szCs w:val="24"/>
          <w:lang w:val="en-US"/>
        </w:rPr>
        <w:t>)</w:t>
      </w:r>
      <w:r w:rsidR="00724122" w:rsidRPr="00EB0495">
        <w:rPr>
          <w:rFonts w:ascii="Arial" w:eastAsia="Calibri" w:hAnsi="Arial" w:cs="Arial"/>
          <w:bCs/>
          <w:sz w:val="24"/>
          <w:szCs w:val="24"/>
          <w:lang w:val="en-US"/>
        </w:rPr>
        <w:t>.</w:t>
      </w:r>
      <w:r w:rsidR="00724122" w:rsidRPr="00EB0495">
        <w:rPr>
          <w:rFonts w:ascii="Arial" w:eastAsia="Calibri" w:hAnsi="Arial" w:cs="Arial"/>
          <w:bCs/>
          <w:sz w:val="24"/>
          <w:szCs w:val="24"/>
          <w:vertAlign w:val="superscript"/>
          <w:lang w:val="en-US"/>
        </w:rPr>
        <w:t>8</w:t>
      </w:r>
    </w:p>
    <w:p w14:paraId="373FA0CA" w14:textId="1944F911" w:rsidR="004E1695" w:rsidRPr="00EB0495" w:rsidRDefault="005B2492" w:rsidP="004E1695">
      <w:pPr>
        <w:spacing w:after="240"/>
        <w:ind w:firstLine="720"/>
        <w:rPr>
          <w:rFonts w:ascii="Arial" w:eastAsia="Calibri" w:hAnsi="Arial" w:cs="Arial"/>
          <w:bCs/>
          <w:sz w:val="24"/>
          <w:szCs w:val="24"/>
          <w:lang w:val="en-US"/>
        </w:rPr>
      </w:pPr>
      <w:r w:rsidRPr="00EB0495">
        <w:rPr>
          <w:rFonts w:ascii="Arial" w:eastAsia="Calibri" w:hAnsi="Arial" w:cs="Arial"/>
          <w:bCs/>
          <w:sz w:val="24"/>
          <w:szCs w:val="24"/>
          <w:lang w:val="en-US"/>
        </w:rPr>
        <w:t>The aim</w:t>
      </w:r>
      <w:r w:rsidR="00D511FC" w:rsidRPr="00EB0495">
        <w:rPr>
          <w:rFonts w:ascii="Arial" w:eastAsia="Calibri" w:hAnsi="Arial" w:cs="Arial"/>
          <w:bCs/>
          <w:sz w:val="24"/>
          <w:szCs w:val="24"/>
          <w:lang w:val="en-US"/>
        </w:rPr>
        <w:t>s</w:t>
      </w:r>
      <w:r w:rsidRPr="00EB0495">
        <w:rPr>
          <w:rFonts w:ascii="Arial" w:eastAsia="Calibri" w:hAnsi="Arial" w:cs="Arial"/>
          <w:bCs/>
          <w:sz w:val="24"/>
          <w:szCs w:val="24"/>
          <w:lang w:val="en-US"/>
        </w:rPr>
        <w:t xml:space="preserve"> of </w:t>
      </w:r>
      <w:r w:rsidR="007575CF" w:rsidRPr="00EB0495">
        <w:rPr>
          <w:rFonts w:ascii="Arial" w:eastAsia="Calibri" w:hAnsi="Arial" w:cs="Arial"/>
          <w:bCs/>
          <w:sz w:val="24"/>
          <w:szCs w:val="24"/>
          <w:lang w:val="en-US"/>
        </w:rPr>
        <w:t>this</w:t>
      </w:r>
      <w:r w:rsidR="006D66B0" w:rsidRPr="00EB0495">
        <w:rPr>
          <w:rFonts w:ascii="Arial" w:eastAsia="Calibri" w:hAnsi="Arial" w:cs="Arial"/>
          <w:bCs/>
          <w:sz w:val="24"/>
          <w:szCs w:val="24"/>
          <w:lang w:val="en-US"/>
        </w:rPr>
        <w:t xml:space="preserve"> </w:t>
      </w:r>
      <w:r w:rsidR="009C37F3" w:rsidRPr="00EB0495">
        <w:rPr>
          <w:rFonts w:ascii="Arial" w:eastAsia="Calibri" w:hAnsi="Arial" w:cs="Arial"/>
          <w:bCs/>
          <w:sz w:val="24"/>
          <w:szCs w:val="24"/>
          <w:lang w:val="en-US"/>
        </w:rPr>
        <w:t xml:space="preserve">exploratory </w:t>
      </w:r>
      <w:r w:rsidR="006D66B0" w:rsidRPr="00EB0495">
        <w:rPr>
          <w:rFonts w:ascii="Arial" w:eastAsia="Calibri" w:hAnsi="Arial" w:cs="Arial"/>
          <w:bCs/>
          <w:sz w:val="24"/>
          <w:szCs w:val="24"/>
          <w:lang w:val="en-US"/>
        </w:rPr>
        <w:t>analysis</w:t>
      </w:r>
      <w:r w:rsidR="00D511FC" w:rsidRPr="00EB0495">
        <w:rPr>
          <w:rFonts w:ascii="Arial" w:eastAsia="Calibri" w:hAnsi="Arial" w:cs="Arial"/>
          <w:bCs/>
          <w:sz w:val="24"/>
          <w:szCs w:val="24"/>
          <w:lang w:val="en-US"/>
        </w:rPr>
        <w:t xml:space="preserve"> of </w:t>
      </w:r>
      <w:r w:rsidR="008A3101" w:rsidRPr="00EB0495">
        <w:rPr>
          <w:rFonts w:ascii="Arial" w:eastAsia="Calibri" w:hAnsi="Arial" w:cs="Arial"/>
          <w:bCs/>
          <w:sz w:val="24"/>
          <w:szCs w:val="24"/>
          <w:lang w:val="en-US"/>
        </w:rPr>
        <w:t xml:space="preserve">patients with </w:t>
      </w:r>
      <w:r w:rsidR="00D511FC" w:rsidRPr="00EB0495">
        <w:rPr>
          <w:rFonts w:ascii="Arial" w:eastAsia="Calibri" w:hAnsi="Arial" w:cs="Arial"/>
          <w:bCs/>
          <w:sz w:val="24"/>
          <w:szCs w:val="24"/>
          <w:lang w:val="en-US"/>
        </w:rPr>
        <w:t>FL in GALLIUM were</w:t>
      </w:r>
      <w:r w:rsidRPr="00EB0495">
        <w:rPr>
          <w:rFonts w:ascii="Arial" w:eastAsia="Calibri" w:hAnsi="Arial" w:cs="Arial"/>
          <w:bCs/>
          <w:sz w:val="24"/>
          <w:szCs w:val="24"/>
          <w:lang w:val="en-US"/>
        </w:rPr>
        <w:t xml:space="preserve"> </w:t>
      </w:r>
      <w:r w:rsidR="00890E29" w:rsidRPr="00EB0495">
        <w:rPr>
          <w:rFonts w:ascii="Arial" w:eastAsia="Calibri" w:hAnsi="Arial" w:cs="Arial"/>
          <w:bCs/>
          <w:sz w:val="24"/>
          <w:szCs w:val="24"/>
          <w:lang w:val="en-US"/>
        </w:rPr>
        <w:t xml:space="preserve">to evaluate </w:t>
      </w:r>
      <w:r w:rsidR="009C37F3" w:rsidRPr="00EB0495">
        <w:rPr>
          <w:rFonts w:ascii="Arial" w:eastAsia="Calibri" w:hAnsi="Arial" w:cs="Arial"/>
          <w:bCs/>
          <w:sz w:val="24"/>
          <w:szCs w:val="24"/>
          <w:lang w:val="en-US"/>
        </w:rPr>
        <w:t xml:space="preserve">early </w:t>
      </w:r>
      <w:r w:rsidR="001678B2" w:rsidRPr="00EB0495">
        <w:rPr>
          <w:rFonts w:ascii="Arial" w:eastAsia="Calibri" w:hAnsi="Arial" w:cs="Arial"/>
          <w:bCs/>
          <w:sz w:val="24"/>
          <w:szCs w:val="24"/>
          <w:lang w:val="en-US"/>
        </w:rPr>
        <w:t>PD</w:t>
      </w:r>
      <w:r w:rsidRPr="00EB0495">
        <w:rPr>
          <w:rFonts w:ascii="Arial" w:eastAsia="Calibri" w:hAnsi="Arial" w:cs="Arial"/>
          <w:bCs/>
          <w:sz w:val="24"/>
          <w:szCs w:val="24"/>
          <w:lang w:val="en-US"/>
        </w:rPr>
        <w:t xml:space="preserve"> and its </w:t>
      </w:r>
      <w:r w:rsidR="009C37F3" w:rsidRPr="00EB0495">
        <w:rPr>
          <w:rFonts w:ascii="Arial" w:eastAsia="Calibri" w:hAnsi="Arial" w:cs="Arial"/>
          <w:bCs/>
          <w:sz w:val="24"/>
          <w:szCs w:val="24"/>
          <w:lang w:val="en-US"/>
        </w:rPr>
        <w:t xml:space="preserve">impact on </w:t>
      </w:r>
      <w:r w:rsidR="00DC3C61" w:rsidRPr="00EB0495">
        <w:rPr>
          <w:rFonts w:ascii="Arial" w:eastAsia="Calibri" w:hAnsi="Arial" w:cs="Arial"/>
          <w:bCs/>
          <w:sz w:val="24"/>
          <w:szCs w:val="24"/>
          <w:lang w:val="en-US"/>
        </w:rPr>
        <w:t>overall survival (</w:t>
      </w:r>
      <w:r w:rsidR="009C37F3" w:rsidRPr="00EB0495">
        <w:rPr>
          <w:rFonts w:ascii="Arial" w:eastAsia="Calibri" w:hAnsi="Arial" w:cs="Arial"/>
          <w:bCs/>
          <w:sz w:val="24"/>
          <w:szCs w:val="24"/>
          <w:lang w:val="en-US"/>
        </w:rPr>
        <w:t>OS</w:t>
      </w:r>
      <w:r w:rsidR="00DC3C61" w:rsidRPr="00EB0495">
        <w:rPr>
          <w:rFonts w:ascii="Arial" w:eastAsia="Calibri" w:hAnsi="Arial" w:cs="Arial"/>
          <w:bCs/>
          <w:sz w:val="24"/>
          <w:szCs w:val="24"/>
          <w:lang w:val="en-US"/>
        </w:rPr>
        <w:t>)</w:t>
      </w:r>
      <w:r w:rsidR="00A44726" w:rsidRPr="00EB0495">
        <w:rPr>
          <w:rFonts w:ascii="Arial" w:eastAsia="Calibri" w:hAnsi="Arial" w:cs="Arial"/>
          <w:bCs/>
          <w:sz w:val="24"/>
          <w:szCs w:val="24"/>
          <w:lang w:val="en-US"/>
        </w:rPr>
        <w:t>,</w:t>
      </w:r>
      <w:r w:rsidRPr="00EB0495">
        <w:rPr>
          <w:rFonts w:ascii="Arial" w:eastAsia="Calibri" w:hAnsi="Arial" w:cs="Arial"/>
          <w:bCs/>
          <w:sz w:val="24"/>
          <w:szCs w:val="24"/>
          <w:lang w:val="en-US"/>
        </w:rPr>
        <w:t xml:space="preserve"> </w:t>
      </w:r>
      <w:r w:rsidR="00BF38FC" w:rsidRPr="00EB0495">
        <w:rPr>
          <w:rFonts w:ascii="Arial" w:eastAsia="Calibri" w:hAnsi="Arial" w:cs="Arial"/>
          <w:bCs/>
          <w:sz w:val="24"/>
          <w:szCs w:val="24"/>
          <w:lang w:val="en-US"/>
        </w:rPr>
        <w:t xml:space="preserve">and </w:t>
      </w:r>
      <w:r w:rsidR="00D511FC" w:rsidRPr="00EB0495">
        <w:rPr>
          <w:rFonts w:ascii="Arial" w:eastAsia="Calibri" w:hAnsi="Arial" w:cs="Arial"/>
          <w:bCs/>
          <w:sz w:val="24"/>
          <w:szCs w:val="24"/>
          <w:lang w:val="en-US"/>
        </w:rPr>
        <w:t xml:space="preserve">to </w:t>
      </w:r>
      <w:r w:rsidR="00B17B58" w:rsidRPr="00EB0495">
        <w:rPr>
          <w:rFonts w:ascii="Arial" w:eastAsia="Calibri" w:hAnsi="Arial" w:cs="Arial"/>
          <w:bCs/>
          <w:sz w:val="24"/>
          <w:szCs w:val="24"/>
          <w:lang w:val="en-US"/>
        </w:rPr>
        <w:t xml:space="preserve">investigate </w:t>
      </w:r>
      <w:r w:rsidR="00BF38FC" w:rsidRPr="00EB0495">
        <w:rPr>
          <w:rFonts w:ascii="Arial" w:eastAsia="Calibri" w:hAnsi="Arial" w:cs="Arial"/>
          <w:bCs/>
          <w:sz w:val="24"/>
          <w:szCs w:val="24"/>
          <w:lang w:val="en-US"/>
        </w:rPr>
        <w:t xml:space="preserve">the </w:t>
      </w:r>
      <w:r w:rsidR="00B17B58" w:rsidRPr="00EB0495">
        <w:rPr>
          <w:rFonts w:ascii="Arial" w:eastAsia="Calibri" w:hAnsi="Arial" w:cs="Arial"/>
          <w:bCs/>
          <w:sz w:val="24"/>
          <w:szCs w:val="24"/>
          <w:lang w:val="en-US"/>
        </w:rPr>
        <w:t xml:space="preserve">impact </w:t>
      </w:r>
      <w:r w:rsidR="009C37F3" w:rsidRPr="00EB0495">
        <w:rPr>
          <w:rFonts w:ascii="Arial" w:eastAsia="Calibri" w:hAnsi="Arial" w:cs="Arial"/>
          <w:bCs/>
          <w:sz w:val="24"/>
          <w:szCs w:val="24"/>
          <w:lang w:val="en-US"/>
        </w:rPr>
        <w:t xml:space="preserve">of </w:t>
      </w:r>
      <w:r w:rsidR="00BF38FC" w:rsidRPr="00EB0495">
        <w:rPr>
          <w:rFonts w:ascii="Arial" w:eastAsia="Calibri" w:hAnsi="Arial" w:cs="Arial"/>
          <w:bCs/>
          <w:sz w:val="24"/>
          <w:szCs w:val="24"/>
          <w:lang w:val="en-US"/>
        </w:rPr>
        <w:t xml:space="preserve">G-chemo </w:t>
      </w:r>
      <w:r w:rsidR="00516113" w:rsidRPr="00EB0495">
        <w:rPr>
          <w:rFonts w:ascii="Arial" w:eastAsia="Calibri" w:hAnsi="Arial" w:cs="Arial"/>
          <w:bCs/>
          <w:i/>
          <w:sz w:val="24"/>
          <w:szCs w:val="24"/>
          <w:lang w:val="en-US"/>
        </w:rPr>
        <w:t>versus</w:t>
      </w:r>
      <w:r w:rsidR="00516113" w:rsidRPr="00EB0495">
        <w:rPr>
          <w:rFonts w:ascii="Arial" w:eastAsia="Calibri" w:hAnsi="Arial" w:cs="Arial"/>
          <w:bCs/>
          <w:sz w:val="24"/>
          <w:szCs w:val="24"/>
          <w:lang w:val="en-US"/>
        </w:rPr>
        <w:t xml:space="preserve"> R-chemo </w:t>
      </w:r>
      <w:r w:rsidR="009C37F3" w:rsidRPr="00EB0495">
        <w:rPr>
          <w:rFonts w:ascii="Arial" w:eastAsia="Calibri" w:hAnsi="Arial" w:cs="Arial"/>
          <w:bCs/>
          <w:sz w:val="24"/>
          <w:szCs w:val="24"/>
          <w:lang w:val="en-US"/>
        </w:rPr>
        <w:t>treatment</w:t>
      </w:r>
      <w:r w:rsidR="00BF38FC" w:rsidRPr="00EB0495">
        <w:rPr>
          <w:rFonts w:ascii="Arial" w:eastAsia="Calibri" w:hAnsi="Arial" w:cs="Arial"/>
          <w:bCs/>
          <w:sz w:val="24"/>
          <w:szCs w:val="24"/>
          <w:lang w:val="en-US"/>
        </w:rPr>
        <w:t xml:space="preserve"> on </w:t>
      </w:r>
      <w:r w:rsidR="00B17B58" w:rsidRPr="00EB0495">
        <w:rPr>
          <w:rFonts w:ascii="Arial" w:eastAsia="Calibri" w:hAnsi="Arial" w:cs="Arial"/>
          <w:bCs/>
          <w:sz w:val="24"/>
          <w:szCs w:val="24"/>
          <w:lang w:val="en-US"/>
        </w:rPr>
        <w:t xml:space="preserve">the incidence of </w:t>
      </w:r>
      <w:r w:rsidR="00901DD9" w:rsidRPr="00EB0495">
        <w:rPr>
          <w:rFonts w:ascii="Arial" w:eastAsia="Calibri" w:hAnsi="Arial" w:cs="Arial"/>
          <w:bCs/>
          <w:sz w:val="24"/>
          <w:szCs w:val="24"/>
          <w:lang w:val="en-US"/>
        </w:rPr>
        <w:t xml:space="preserve">early </w:t>
      </w:r>
      <w:r w:rsidR="001678B2" w:rsidRPr="00EB0495">
        <w:rPr>
          <w:rFonts w:ascii="Arial" w:eastAsia="Calibri" w:hAnsi="Arial" w:cs="Arial"/>
          <w:bCs/>
          <w:sz w:val="24"/>
          <w:szCs w:val="24"/>
          <w:lang w:val="en-US"/>
        </w:rPr>
        <w:t>PD</w:t>
      </w:r>
      <w:r w:rsidR="006D66B0" w:rsidRPr="00EB0495">
        <w:rPr>
          <w:rFonts w:ascii="Arial" w:eastAsia="Calibri" w:hAnsi="Arial" w:cs="Arial"/>
          <w:bCs/>
          <w:sz w:val="24"/>
          <w:szCs w:val="24"/>
          <w:lang w:val="en-US"/>
        </w:rPr>
        <w:t>.</w:t>
      </w:r>
    </w:p>
    <w:p w14:paraId="1738245E" w14:textId="77777777" w:rsidR="004E1695" w:rsidRPr="00EB0495" w:rsidRDefault="004E1695">
      <w:pPr>
        <w:rPr>
          <w:rFonts w:ascii="Arial" w:eastAsia="Calibri" w:hAnsi="Arial" w:cs="Arial"/>
          <w:b/>
          <w:sz w:val="24"/>
          <w:szCs w:val="24"/>
          <w:lang w:val="en-US"/>
        </w:rPr>
      </w:pPr>
      <w:r w:rsidRPr="00EB0495">
        <w:rPr>
          <w:rFonts w:ascii="Arial" w:eastAsia="Calibri" w:hAnsi="Arial" w:cs="Arial"/>
          <w:b/>
          <w:sz w:val="24"/>
          <w:szCs w:val="24"/>
          <w:lang w:val="en-US"/>
        </w:rPr>
        <w:br w:type="page"/>
      </w:r>
    </w:p>
    <w:p w14:paraId="7C6371D3" w14:textId="28005FAD" w:rsidR="0004587B" w:rsidRPr="00EB0495" w:rsidRDefault="00C140BA" w:rsidP="002918C8">
      <w:pPr>
        <w:spacing w:after="240"/>
        <w:rPr>
          <w:rFonts w:ascii="Arial" w:eastAsia="Calibri" w:hAnsi="Arial" w:cs="Arial"/>
          <w:b/>
          <w:sz w:val="24"/>
          <w:szCs w:val="24"/>
          <w:lang w:val="en-US"/>
        </w:rPr>
      </w:pPr>
      <w:r w:rsidRPr="00EB0495">
        <w:rPr>
          <w:rFonts w:ascii="Arial" w:eastAsia="Calibri" w:hAnsi="Arial" w:cs="Arial"/>
          <w:b/>
          <w:sz w:val="24"/>
          <w:szCs w:val="24"/>
          <w:lang w:val="en-US"/>
        </w:rPr>
        <w:lastRenderedPageBreak/>
        <w:t>METHODS</w:t>
      </w:r>
    </w:p>
    <w:p w14:paraId="08FB8854" w14:textId="40D5C744" w:rsidR="006D362B" w:rsidRPr="00EB0495" w:rsidRDefault="002918C8" w:rsidP="00F94025">
      <w:pPr>
        <w:spacing w:after="240"/>
        <w:ind w:firstLine="720"/>
        <w:rPr>
          <w:rFonts w:ascii="Arial" w:hAnsi="Arial" w:cs="Arial"/>
          <w:sz w:val="24"/>
          <w:szCs w:val="24"/>
          <w:lang w:val="en-US"/>
        </w:rPr>
      </w:pPr>
      <w:r w:rsidRPr="00EB0495">
        <w:rPr>
          <w:rFonts w:ascii="Arial" w:hAnsi="Arial" w:cs="Arial"/>
          <w:sz w:val="24"/>
          <w:szCs w:val="24"/>
          <w:lang w:val="en-US"/>
        </w:rPr>
        <w:t>GALLIUM</w:t>
      </w:r>
      <w:r w:rsidR="00493520" w:rsidRPr="00EB0495">
        <w:rPr>
          <w:rFonts w:ascii="Arial" w:hAnsi="Arial" w:cs="Arial"/>
          <w:sz w:val="24"/>
          <w:szCs w:val="24"/>
          <w:lang w:val="en-US"/>
        </w:rPr>
        <w:t xml:space="preserve"> </w:t>
      </w:r>
      <w:r w:rsidR="00350F14" w:rsidRPr="00EB0495">
        <w:rPr>
          <w:rFonts w:ascii="Arial" w:hAnsi="Arial" w:cs="Arial"/>
          <w:sz w:val="24"/>
          <w:szCs w:val="24"/>
          <w:lang w:val="en-US"/>
        </w:rPr>
        <w:t>wa</w:t>
      </w:r>
      <w:r w:rsidRPr="00EB0495">
        <w:rPr>
          <w:rFonts w:ascii="Arial" w:hAnsi="Arial" w:cs="Arial"/>
          <w:sz w:val="24"/>
          <w:szCs w:val="24"/>
          <w:lang w:val="en-US"/>
        </w:rPr>
        <w:t xml:space="preserve">s an open-label, </w:t>
      </w:r>
      <w:r w:rsidR="00987015" w:rsidRPr="00EB0495">
        <w:rPr>
          <w:rFonts w:ascii="Arial" w:hAnsi="Arial" w:cs="Arial"/>
          <w:sz w:val="24"/>
          <w:szCs w:val="24"/>
          <w:lang w:val="en-US"/>
        </w:rPr>
        <w:t>randomized</w:t>
      </w:r>
      <w:r w:rsidR="00C46562" w:rsidRPr="00EB0495">
        <w:rPr>
          <w:rFonts w:ascii="Arial" w:hAnsi="Arial" w:cs="Arial"/>
          <w:sz w:val="24"/>
          <w:szCs w:val="24"/>
          <w:lang w:val="en-US"/>
        </w:rPr>
        <w:t>,</w:t>
      </w:r>
      <w:r w:rsidRPr="00EB0495">
        <w:rPr>
          <w:rFonts w:ascii="Arial" w:hAnsi="Arial" w:cs="Arial"/>
          <w:sz w:val="24"/>
          <w:szCs w:val="24"/>
          <w:lang w:val="en-US"/>
        </w:rPr>
        <w:t xml:space="preserve"> parallel-group study</w:t>
      </w:r>
      <w:r w:rsidR="00914EFB" w:rsidRPr="00EB0495">
        <w:rPr>
          <w:rFonts w:ascii="Arial" w:hAnsi="Arial" w:cs="Arial"/>
          <w:sz w:val="24"/>
          <w:szCs w:val="24"/>
          <w:lang w:val="en-US"/>
        </w:rPr>
        <w:t xml:space="preserve"> in which patients </w:t>
      </w:r>
      <w:r w:rsidR="00B30E8E" w:rsidRPr="00EB0495">
        <w:rPr>
          <w:rFonts w:ascii="Arial" w:hAnsi="Arial" w:cs="Arial"/>
          <w:sz w:val="24"/>
          <w:szCs w:val="24"/>
          <w:lang w:val="en-US"/>
        </w:rPr>
        <w:t>with previously untreated Grade 1</w:t>
      </w:r>
      <w:r w:rsidR="009A4CE4" w:rsidRPr="00EB0495">
        <w:rPr>
          <w:rFonts w:ascii="Arial" w:hAnsi="Arial" w:cs="Arial"/>
          <w:sz w:val="24"/>
          <w:szCs w:val="24"/>
          <w:lang w:val="en-US"/>
        </w:rPr>
        <w:t>-</w:t>
      </w:r>
      <w:r w:rsidR="00B30E8E" w:rsidRPr="00EB0495">
        <w:rPr>
          <w:rFonts w:ascii="Arial" w:hAnsi="Arial" w:cs="Arial"/>
          <w:sz w:val="24"/>
          <w:szCs w:val="24"/>
          <w:lang w:val="en-US"/>
        </w:rPr>
        <w:t xml:space="preserve">3a FL </w:t>
      </w:r>
      <w:r w:rsidR="00914EFB" w:rsidRPr="00EB0495">
        <w:rPr>
          <w:rFonts w:ascii="Arial" w:hAnsi="Arial" w:cs="Arial"/>
          <w:sz w:val="24"/>
          <w:szCs w:val="24"/>
          <w:lang w:val="en-US"/>
        </w:rPr>
        <w:t>were randomized to receive induction therapy with G or R plus chemotherapy</w:t>
      </w:r>
      <w:r w:rsidR="00B30E8E" w:rsidRPr="00EB0495">
        <w:rPr>
          <w:rFonts w:ascii="Arial" w:hAnsi="Arial" w:cs="Arial"/>
          <w:sz w:val="24"/>
          <w:szCs w:val="24"/>
          <w:lang w:val="en-US"/>
        </w:rPr>
        <w:t xml:space="preserve"> (cyclophosphamide, doxorubicin, vincristine and prednisone [CHOP], cyclophosphamide, vincristine and prednisone [CVP] or bendamustine)</w:t>
      </w:r>
      <w:r w:rsidR="00914EFB" w:rsidRPr="00EB0495">
        <w:rPr>
          <w:rFonts w:ascii="Arial" w:hAnsi="Arial" w:cs="Arial"/>
          <w:sz w:val="24"/>
          <w:szCs w:val="24"/>
          <w:lang w:val="en-US"/>
        </w:rPr>
        <w:t xml:space="preserve"> for 6 or 8 cycles, depending on the selected chemotherapy</w:t>
      </w:r>
      <w:r w:rsidR="00B30E8E" w:rsidRPr="00EB0495">
        <w:rPr>
          <w:rFonts w:ascii="Arial" w:hAnsi="Arial" w:cs="Arial"/>
          <w:sz w:val="24"/>
          <w:szCs w:val="24"/>
          <w:lang w:val="en-US"/>
        </w:rPr>
        <w:t>, followed in responders by 2 years of maintenance with the same antibody</w:t>
      </w:r>
      <w:r w:rsidR="00914EFB" w:rsidRPr="00EB0495">
        <w:rPr>
          <w:rFonts w:ascii="Arial" w:hAnsi="Arial" w:cs="Arial"/>
          <w:sz w:val="24"/>
          <w:szCs w:val="24"/>
          <w:lang w:val="en-US"/>
        </w:rPr>
        <w:t>.</w:t>
      </w:r>
      <w:r w:rsidRPr="00EB0495">
        <w:rPr>
          <w:rFonts w:ascii="Arial" w:hAnsi="Arial" w:cs="Arial"/>
          <w:sz w:val="24"/>
          <w:szCs w:val="24"/>
          <w:lang w:val="en-US"/>
        </w:rPr>
        <w:t xml:space="preserve"> </w:t>
      </w:r>
      <w:r w:rsidR="00EC5E4D" w:rsidRPr="00EB0495">
        <w:rPr>
          <w:rFonts w:ascii="Arial" w:hAnsi="Arial" w:cs="Arial"/>
          <w:sz w:val="24"/>
          <w:szCs w:val="24"/>
          <w:lang w:val="en-US"/>
        </w:rPr>
        <w:t>GALLIUM was conducted in accordance with the International Conference on Harmonisation Guidelines for Good Clinical Practice</w:t>
      </w:r>
      <w:r w:rsidR="00807054" w:rsidRPr="00EB0495">
        <w:rPr>
          <w:rFonts w:ascii="Arial" w:hAnsi="Arial" w:cs="Arial"/>
          <w:sz w:val="24"/>
          <w:szCs w:val="24"/>
          <w:lang w:val="en-US"/>
        </w:rPr>
        <w:t>. T</w:t>
      </w:r>
      <w:r w:rsidR="00EC5E4D" w:rsidRPr="00EB0495">
        <w:rPr>
          <w:rFonts w:ascii="Arial" w:hAnsi="Arial" w:cs="Arial"/>
          <w:sz w:val="24"/>
          <w:szCs w:val="24"/>
          <w:lang w:val="en-US"/>
        </w:rPr>
        <w:t xml:space="preserve">he protocol was approved by the ethics committees of all participating centers. All patients provided written informed consent. </w:t>
      </w:r>
      <w:r w:rsidR="00914EFB" w:rsidRPr="00EB0495">
        <w:rPr>
          <w:rFonts w:ascii="Arial" w:hAnsi="Arial" w:cs="Arial"/>
          <w:sz w:val="24"/>
          <w:szCs w:val="24"/>
          <w:lang w:val="en-US"/>
        </w:rPr>
        <w:t>P</w:t>
      </w:r>
      <w:r w:rsidRPr="00EB0495">
        <w:rPr>
          <w:rFonts w:ascii="Arial" w:hAnsi="Arial" w:cs="Arial"/>
          <w:sz w:val="24"/>
          <w:szCs w:val="24"/>
          <w:lang w:val="en-US"/>
        </w:rPr>
        <w:t>atient selection</w:t>
      </w:r>
      <w:r w:rsidR="00914EFB" w:rsidRPr="00EB0495">
        <w:rPr>
          <w:rFonts w:ascii="Arial" w:hAnsi="Arial" w:cs="Arial"/>
          <w:sz w:val="24"/>
          <w:szCs w:val="24"/>
          <w:lang w:val="en-US"/>
        </w:rPr>
        <w:t>,</w:t>
      </w:r>
      <w:r w:rsidRPr="00EB0495">
        <w:rPr>
          <w:rFonts w:ascii="Arial" w:hAnsi="Arial" w:cs="Arial"/>
          <w:sz w:val="24"/>
          <w:szCs w:val="24"/>
          <w:lang w:val="en-US"/>
        </w:rPr>
        <w:t xml:space="preserve"> study methods </w:t>
      </w:r>
      <w:r w:rsidR="00914EFB" w:rsidRPr="00EB0495">
        <w:rPr>
          <w:rFonts w:ascii="Arial" w:hAnsi="Arial" w:cs="Arial"/>
          <w:sz w:val="24"/>
          <w:szCs w:val="24"/>
          <w:lang w:val="en-US"/>
        </w:rPr>
        <w:t xml:space="preserve">and treatment </w:t>
      </w:r>
      <w:r w:rsidRPr="00EB0495">
        <w:rPr>
          <w:rFonts w:ascii="Arial" w:hAnsi="Arial" w:cs="Arial"/>
          <w:sz w:val="24"/>
          <w:szCs w:val="24"/>
          <w:lang w:val="en-US"/>
        </w:rPr>
        <w:t xml:space="preserve">are described in detail </w:t>
      </w:r>
      <w:r w:rsidR="00493520" w:rsidRPr="00EB0495">
        <w:rPr>
          <w:rFonts w:ascii="Arial" w:hAnsi="Arial" w:cs="Arial"/>
          <w:sz w:val="24"/>
          <w:szCs w:val="24"/>
          <w:lang w:val="en-US"/>
        </w:rPr>
        <w:t xml:space="preserve">within the </w:t>
      </w:r>
      <w:r w:rsidR="003F263C" w:rsidRPr="00EB0495">
        <w:rPr>
          <w:rFonts w:ascii="Arial" w:hAnsi="Arial" w:cs="Arial"/>
          <w:i/>
          <w:sz w:val="24"/>
          <w:szCs w:val="24"/>
          <w:lang w:val="en-US"/>
        </w:rPr>
        <w:t>Online Supplementary Methods</w:t>
      </w:r>
      <w:r w:rsidR="00493520" w:rsidRPr="00EB0495">
        <w:rPr>
          <w:rFonts w:ascii="Arial" w:hAnsi="Arial" w:cs="Arial"/>
          <w:sz w:val="24"/>
          <w:szCs w:val="24"/>
          <w:lang w:val="en-US"/>
        </w:rPr>
        <w:t xml:space="preserve">, and </w:t>
      </w:r>
      <w:r w:rsidRPr="00EB0495">
        <w:rPr>
          <w:rFonts w:ascii="Arial" w:hAnsi="Arial" w:cs="Arial"/>
          <w:sz w:val="24"/>
          <w:szCs w:val="24"/>
          <w:lang w:val="en-US"/>
        </w:rPr>
        <w:t>elsewhere.</w:t>
      </w:r>
      <w:r w:rsidR="00C140BA" w:rsidRPr="00EB0495">
        <w:rPr>
          <w:rFonts w:ascii="Arial" w:hAnsi="Arial" w:cs="Arial"/>
          <w:sz w:val="24"/>
          <w:szCs w:val="24"/>
          <w:vertAlign w:val="superscript"/>
          <w:lang w:val="en-US"/>
        </w:rPr>
        <w:t>9</w:t>
      </w:r>
      <w:r w:rsidRPr="00EB0495">
        <w:rPr>
          <w:rFonts w:ascii="Arial" w:hAnsi="Arial" w:cs="Arial"/>
          <w:sz w:val="24"/>
          <w:szCs w:val="24"/>
          <w:lang w:val="en-US"/>
        </w:rPr>
        <w:t xml:space="preserve"> </w:t>
      </w:r>
    </w:p>
    <w:p w14:paraId="18ABBDF9" w14:textId="7028B15B" w:rsidR="005242BA" w:rsidRPr="00EB0495" w:rsidRDefault="007E51CB" w:rsidP="009A5990">
      <w:pPr>
        <w:spacing w:after="240"/>
        <w:ind w:firstLine="720"/>
        <w:rPr>
          <w:rFonts w:ascii="Arial" w:eastAsia="Calibri" w:hAnsi="Arial" w:cs="Arial"/>
          <w:sz w:val="24"/>
          <w:szCs w:val="24"/>
          <w:lang w:val="en-US"/>
        </w:rPr>
      </w:pPr>
      <w:r w:rsidRPr="00EB0495">
        <w:rPr>
          <w:rFonts w:ascii="Arial" w:eastAsia="Calibri" w:hAnsi="Arial" w:cs="Arial"/>
          <w:sz w:val="24"/>
          <w:szCs w:val="24"/>
          <w:lang w:val="en-US"/>
        </w:rPr>
        <w:t>T</w:t>
      </w:r>
      <w:r w:rsidR="0080687D" w:rsidRPr="00EB0495">
        <w:rPr>
          <w:rFonts w:ascii="Arial" w:eastAsia="Calibri" w:hAnsi="Arial" w:cs="Arial"/>
          <w:sz w:val="24"/>
          <w:szCs w:val="24"/>
          <w:lang w:val="en-US"/>
        </w:rPr>
        <w:t xml:space="preserve">he </w:t>
      </w:r>
      <w:r w:rsidRPr="00EB0495">
        <w:rPr>
          <w:rFonts w:ascii="Arial" w:eastAsia="Calibri" w:hAnsi="Arial" w:cs="Arial"/>
          <w:sz w:val="24"/>
          <w:szCs w:val="24"/>
          <w:lang w:val="en-US"/>
        </w:rPr>
        <w:t xml:space="preserve">principal </w:t>
      </w:r>
      <w:r w:rsidR="005242BA" w:rsidRPr="00EB0495">
        <w:rPr>
          <w:rFonts w:ascii="Arial" w:eastAsia="Calibri" w:hAnsi="Arial" w:cs="Arial"/>
          <w:sz w:val="24"/>
          <w:szCs w:val="24"/>
          <w:lang w:val="en-US"/>
        </w:rPr>
        <w:t xml:space="preserve">endpoint in </w:t>
      </w:r>
      <w:r w:rsidR="0080687D" w:rsidRPr="00EB0495">
        <w:rPr>
          <w:rFonts w:ascii="Arial" w:eastAsia="Calibri" w:hAnsi="Arial" w:cs="Arial"/>
          <w:sz w:val="24"/>
          <w:szCs w:val="24"/>
          <w:lang w:val="en-US"/>
        </w:rPr>
        <w:t xml:space="preserve">the </w:t>
      </w:r>
      <w:r w:rsidR="005242BA" w:rsidRPr="00EB0495">
        <w:rPr>
          <w:rFonts w:ascii="Arial" w:eastAsia="Calibri" w:hAnsi="Arial" w:cs="Arial"/>
          <w:sz w:val="24"/>
          <w:szCs w:val="24"/>
          <w:lang w:val="en-US"/>
        </w:rPr>
        <w:t xml:space="preserve">current </w:t>
      </w:r>
      <w:r w:rsidR="0023204D" w:rsidRPr="00EB0495">
        <w:rPr>
          <w:rFonts w:ascii="Arial" w:eastAsia="Calibri" w:hAnsi="Arial" w:cs="Arial"/>
          <w:sz w:val="24"/>
          <w:szCs w:val="24"/>
          <w:lang w:val="en-US"/>
        </w:rPr>
        <w:t xml:space="preserve">exploratory </w:t>
      </w:r>
      <w:r w:rsidR="005242BA" w:rsidRPr="00EB0495">
        <w:rPr>
          <w:rFonts w:ascii="Arial" w:eastAsia="Calibri" w:hAnsi="Arial" w:cs="Arial"/>
          <w:sz w:val="24"/>
          <w:szCs w:val="24"/>
          <w:lang w:val="en-US"/>
        </w:rPr>
        <w:t>analysis</w:t>
      </w:r>
      <w:r w:rsidRPr="00EB0495">
        <w:rPr>
          <w:rFonts w:ascii="Arial" w:eastAsia="Calibri" w:hAnsi="Arial" w:cs="Arial"/>
          <w:sz w:val="24"/>
          <w:szCs w:val="24"/>
          <w:lang w:val="en-US"/>
        </w:rPr>
        <w:t xml:space="preserve"> was </w:t>
      </w:r>
      <w:r w:rsidR="005242BA" w:rsidRPr="00EB0495">
        <w:rPr>
          <w:rFonts w:ascii="Arial" w:eastAsia="Calibri" w:hAnsi="Arial" w:cs="Arial"/>
          <w:sz w:val="24"/>
          <w:szCs w:val="24"/>
          <w:lang w:val="en-US"/>
        </w:rPr>
        <w:t xml:space="preserve">PD or death due to PD within 24 months of </w:t>
      </w:r>
      <w:r w:rsidR="0007681E" w:rsidRPr="00EB0495">
        <w:rPr>
          <w:rFonts w:ascii="Arial" w:eastAsia="Calibri" w:hAnsi="Arial" w:cs="Arial"/>
          <w:sz w:val="24"/>
          <w:szCs w:val="24"/>
          <w:lang w:val="en-US"/>
        </w:rPr>
        <w:t>randomization</w:t>
      </w:r>
      <w:r w:rsidRPr="00EB0495">
        <w:rPr>
          <w:rFonts w:ascii="Arial" w:eastAsia="Calibri" w:hAnsi="Arial" w:cs="Arial"/>
          <w:sz w:val="24"/>
          <w:szCs w:val="24"/>
          <w:lang w:val="en-US"/>
        </w:rPr>
        <w:t xml:space="preserve"> (</w:t>
      </w:r>
      <w:r w:rsidR="00BA7FDB" w:rsidRPr="00EB0495">
        <w:rPr>
          <w:rFonts w:ascii="Arial" w:eastAsia="Calibri" w:hAnsi="Arial" w:cs="Arial"/>
          <w:sz w:val="24"/>
          <w:szCs w:val="24"/>
          <w:lang w:val="en-US"/>
        </w:rPr>
        <w:t>“</w:t>
      </w:r>
      <w:r w:rsidRPr="00EB0495">
        <w:rPr>
          <w:rFonts w:ascii="Arial" w:eastAsia="Calibri" w:hAnsi="Arial" w:cs="Arial"/>
          <w:sz w:val="24"/>
          <w:szCs w:val="24"/>
          <w:lang w:val="en-US"/>
        </w:rPr>
        <w:t>POD24</w:t>
      </w:r>
      <w:r w:rsidR="00BA7FDB" w:rsidRPr="00EB0495">
        <w:rPr>
          <w:rFonts w:ascii="Arial" w:eastAsia="Calibri" w:hAnsi="Arial" w:cs="Arial"/>
          <w:sz w:val="24"/>
          <w:szCs w:val="24"/>
          <w:lang w:val="en-US"/>
        </w:rPr>
        <w:t>”</w:t>
      </w:r>
      <w:r w:rsidRPr="00EB0495">
        <w:rPr>
          <w:rFonts w:ascii="Arial" w:eastAsia="Calibri" w:hAnsi="Arial" w:cs="Arial"/>
          <w:sz w:val="24"/>
          <w:szCs w:val="24"/>
          <w:lang w:val="en-US"/>
        </w:rPr>
        <w:t xml:space="preserve">); </w:t>
      </w:r>
      <w:r w:rsidR="00BA7FDB" w:rsidRPr="00EB0495">
        <w:rPr>
          <w:rFonts w:ascii="Arial" w:eastAsia="Calibri" w:hAnsi="Arial" w:cs="Arial"/>
          <w:sz w:val="24"/>
          <w:szCs w:val="24"/>
          <w:lang w:val="en-US"/>
        </w:rPr>
        <w:t>“</w:t>
      </w:r>
      <w:r w:rsidR="005242BA" w:rsidRPr="00EB0495">
        <w:rPr>
          <w:rFonts w:ascii="Arial" w:eastAsia="Calibri" w:hAnsi="Arial" w:cs="Arial"/>
          <w:sz w:val="24"/>
          <w:szCs w:val="24"/>
          <w:lang w:val="en-US"/>
        </w:rPr>
        <w:t>noPOD24</w:t>
      </w:r>
      <w:r w:rsidR="00BA7FDB" w:rsidRPr="00EB0495">
        <w:rPr>
          <w:rFonts w:ascii="Arial" w:eastAsia="Calibri" w:hAnsi="Arial" w:cs="Arial"/>
          <w:sz w:val="24"/>
          <w:szCs w:val="24"/>
          <w:lang w:val="en-US"/>
        </w:rPr>
        <w:t>”</w:t>
      </w:r>
      <w:r w:rsidR="005242BA" w:rsidRPr="00EB0495">
        <w:rPr>
          <w:rFonts w:ascii="Arial" w:eastAsia="Calibri" w:hAnsi="Arial" w:cs="Arial"/>
          <w:sz w:val="24"/>
          <w:szCs w:val="24"/>
          <w:lang w:val="en-US"/>
        </w:rPr>
        <w:t xml:space="preserve"> </w:t>
      </w:r>
      <w:r w:rsidR="00EA5EF5" w:rsidRPr="00EB0495">
        <w:rPr>
          <w:rFonts w:ascii="Arial" w:eastAsia="Calibri" w:hAnsi="Arial" w:cs="Arial"/>
          <w:sz w:val="24"/>
          <w:szCs w:val="24"/>
          <w:lang w:val="en-US"/>
        </w:rPr>
        <w:t>was defined as</w:t>
      </w:r>
      <w:r w:rsidR="00A6333B" w:rsidRPr="00EB0495">
        <w:rPr>
          <w:rFonts w:ascii="Arial" w:eastAsia="Calibri" w:hAnsi="Arial" w:cs="Arial"/>
          <w:sz w:val="24"/>
          <w:szCs w:val="24"/>
          <w:lang w:val="en-US"/>
        </w:rPr>
        <w:t xml:space="preserve"> </w:t>
      </w:r>
      <w:r w:rsidR="003F0C71" w:rsidRPr="00EB0495">
        <w:rPr>
          <w:rFonts w:ascii="Arial" w:eastAsia="Calibri" w:hAnsi="Arial" w:cs="Arial"/>
          <w:sz w:val="24"/>
          <w:szCs w:val="24"/>
          <w:lang w:val="en-US"/>
        </w:rPr>
        <w:t>patients who had completed 24 months of follow-up</w:t>
      </w:r>
      <w:r w:rsidR="00502D20" w:rsidRPr="00EB0495">
        <w:rPr>
          <w:rFonts w:ascii="Arial" w:eastAsia="Calibri" w:hAnsi="Arial" w:cs="Arial"/>
          <w:sz w:val="24"/>
          <w:szCs w:val="24"/>
          <w:lang w:val="en-US"/>
        </w:rPr>
        <w:t xml:space="preserve"> with </w:t>
      </w:r>
      <w:r w:rsidR="005242BA" w:rsidRPr="00EB0495">
        <w:rPr>
          <w:rFonts w:ascii="Arial" w:eastAsia="Calibri" w:hAnsi="Arial" w:cs="Arial"/>
          <w:sz w:val="24"/>
          <w:szCs w:val="24"/>
          <w:lang w:val="en-US"/>
        </w:rPr>
        <w:t xml:space="preserve">no </w:t>
      </w:r>
      <w:r w:rsidR="00EA5EF5" w:rsidRPr="00EB0495">
        <w:rPr>
          <w:rFonts w:ascii="Arial" w:eastAsia="Calibri" w:hAnsi="Arial" w:cs="Arial"/>
          <w:sz w:val="24"/>
          <w:szCs w:val="24"/>
          <w:lang w:val="en-US"/>
        </w:rPr>
        <w:t xml:space="preserve">PD or death due to PD </w:t>
      </w:r>
      <w:r w:rsidRPr="00EB0495">
        <w:rPr>
          <w:rFonts w:ascii="Arial" w:eastAsia="Calibri" w:hAnsi="Arial" w:cs="Arial"/>
          <w:sz w:val="24"/>
          <w:szCs w:val="24"/>
          <w:lang w:val="en-US"/>
        </w:rPr>
        <w:t xml:space="preserve">during </w:t>
      </w:r>
      <w:r w:rsidR="005242BA" w:rsidRPr="00EB0495">
        <w:rPr>
          <w:rFonts w:ascii="Arial" w:eastAsia="Calibri" w:hAnsi="Arial" w:cs="Arial"/>
          <w:sz w:val="24"/>
          <w:szCs w:val="24"/>
          <w:lang w:val="en-US"/>
        </w:rPr>
        <w:t>that time.</w:t>
      </w:r>
      <w:r w:rsidRPr="00EB0495">
        <w:rPr>
          <w:rFonts w:ascii="Arial" w:eastAsia="Calibri" w:hAnsi="Arial" w:cs="Arial"/>
          <w:sz w:val="24"/>
          <w:szCs w:val="24"/>
          <w:lang w:val="en-US"/>
        </w:rPr>
        <w:t xml:space="preserve"> </w:t>
      </w:r>
      <w:r w:rsidR="00807054" w:rsidRPr="00EB0495">
        <w:rPr>
          <w:rFonts w:ascii="Arial" w:eastAsia="Calibri" w:hAnsi="Arial" w:cs="Arial"/>
          <w:sz w:val="24"/>
          <w:szCs w:val="24"/>
          <w:lang w:val="en-US"/>
        </w:rPr>
        <w:t xml:space="preserve">Details of analyses to assess PD or suspected transformation are described in the online supplementary material. </w:t>
      </w:r>
      <w:r w:rsidR="003F0C71" w:rsidRPr="00EB0495">
        <w:rPr>
          <w:rFonts w:ascii="Arial" w:eastAsia="Calibri" w:hAnsi="Arial" w:cs="Arial"/>
          <w:sz w:val="24"/>
          <w:szCs w:val="24"/>
          <w:lang w:val="en-US"/>
        </w:rPr>
        <w:t>Death</w:t>
      </w:r>
      <w:r w:rsidR="00A6333B" w:rsidRPr="00EB0495">
        <w:rPr>
          <w:rFonts w:ascii="Arial" w:eastAsia="Calibri" w:hAnsi="Arial" w:cs="Arial"/>
          <w:sz w:val="24"/>
          <w:szCs w:val="24"/>
          <w:lang w:val="en-US"/>
        </w:rPr>
        <w:t>s</w:t>
      </w:r>
      <w:r w:rsidR="003F0C71" w:rsidRPr="00EB0495">
        <w:rPr>
          <w:rFonts w:ascii="Arial" w:eastAsia="Calibri" w:hAnsi="Arial" w:cs="Arial"/>
          <w:sz w:val="24"/>
          <w:szCs w:val="24"/>
          <w:lang w:val="en-US"/>
        </w:rPr>
        <w:t xml:space="preserve"> </w:t>
      </w:r>
      <w:r w:rsidR="00EA5EF5" w:rsidRPr="00EB0495">
        <w:rPr>
          <w:rFonts w:ascii="Arial" w:eastAsia="Calibri" w:hAnsi="Arial" w:cs="Arial"/>
          <w:sz w:val="24"/>
          <w:szCs w:val="24"/>
          <w:lang w:val="en-US"/>
        </w:rPr>
        <w:t>from causes other than PD</w:t>
      </w:r>
      <w:r w:rsidR="009C37F3" w:rsidRPr="00EB0495">
        <w:rPr>
          <w:rFonts w:ascii="Arial" w:eastAsia="Calibri" w:hAnsi="Arial" w:cs="Arial"/>
          <w:sz w:val="24"/>
          <w:szCs w:val="24"/>
          <w:lang w:val="en-US"/>
        </w:rPr>
        <w:t xml:space="preserve"> </w:t>
      </w:r>
      <w:r w:rsidR="00802C04" w:rsidRPr="00EB0495">
        <w:rPr>
          <w:rFonts w:ascii="Arial" w:eastAsia="Calibri" w:hAnsi="Arial" w:cs="Arial"/>
          <w:sz w:val="24"/>
          <w:szCs w:val="24"/>
          <w:lang w:val="en-US"/>
        </w:rPr>
        <w:t xml:space="preserve">during the 24-month window </w:t>
      </w:r>
      <w:r w:rsidR="00A6333B" w:rsidRPr="00EB0495">
        <w:rPr>
          <w:rFonts w:ascii="Arial" w:eastAsia="Calibri" w:hAnsi="Arial" w:cs="Arial"/>
          <w:sz w:val="24"/>
          <w:szCs w:val="24"/>
          <w:lang w:val="en-US"/>
        </w:rPr>
        <w:t xml:space="preserve">in patients </w:t>
      </w:r>
      <w:r w:rsidR="009C37F3" w:rsidRPr="00EB0495">
        <w:rPr>
          <w:rFonts w:ascii="Arial" w:eastAsia="Calibri" w:hAnsi="Arial" w:cs="Arial"/>
          <w:sz w:val="24"/>
          <w:szCs w:val="24"/>
          <w:lang w:val="en-US"/>
        </w:rPr>
        <w:t>with</w:t>
      </w:r>
      <w:r w:rsidR="00AF75C3" w:rsidRPr="00EB0495">
        <w:rPr>
          <w:rFonts w:ascii="Arial" w:eastAsia="Calibri" w:hAnsi="Arial" w:cs="Arial"/>
          <w:sz w:val="24"/>
          <w:szCs w:val="24"/>
          <w:lang w:val="en-US"/>
        </w:rPr>
        <w:t>out</w:t>
      </w:r>
      <w:r w:rsidR="00A6333B" w:rsidRPr="00EB0495">
        <w:rPr>
          <w:rFonts w:ascii="Arial" w:eastAsia="Calibri" w:hAnsi="Arial" w:cs="Arial"/>
          <w:sz w:val="24"/>
          <w:szCs w:val="24"/>
          <w:lang w:val="en-US"/>
        </w:rPr>
        <w:t xml:space="preserve"> </w:t>
      </w:r>
      <w:r w:rsidR="00FB04F9" w:rsidRPr="00EB0495">
        <w:rPr>
          <w:rFonts w:ascii="Arial" w:eastAsia="Calibri" w:hAnsi="Arial" w:cs="Arial"/>
          <w:sz w:val="24"/>
          <w:szCs w:val="24"/>
          <w:lang w:val="en-US"/>
        </w:rPr>
        <w:t>prior</w:t>
      </w:r>
      <w:r w:rsidR="00A6333B" w:rsidRPr="00EB0495">
        <w:rPr>
          <w:rFonts w:ascii="Arial" w:eastAsia="Calibri" w:hAnsi="Arial" w:cs="Arial"/>
          <w:sz w:val="24"/>
          <w:szCs w:val="24"/>
          <w:lang w:val="en-US"/>
        </w:rPr>
        <w:t xml:space="preserve"> </w:t>
      </w:r>
      <w:r w:rsidR="009C37F3" w:rsidRPr="00EB0495">
        <w:rPr>
          <w:rFonts w:ascii="Arial" w:eastAsia="Calibri" w:hAnsi="Arial" w:cs="Arial"/>
          <w:sz w:val="24"/>
          <w:szCs w:val="24"/>
          <w:lang w:val="en-US"/>
        </w:rPr>
        <w:t>PD</w:t>
      </w:r>
      <w:r w:rsidR="009F7785" w:rsidRPr="00EB0495">
        <w:rPr>
          <w:rFonts w:ascii="Arial" w:eastAsia="Calibri" w:hAnsi="Arial" w:cs="Arial"/>
          <w:sz w:val="24"/>
          <w:szCs w:val="24"/>
          <w:lang w:val="en-US"/>
        </w:rPr>
        <w:t>, e</w:t>
      </w:r>
      <w:r w:rsidR="00BA7FDB" w:rsidRPr="00EB0495">
        <w:rPr>
          <w:rFonts w:ascii="Arial" w:eastAsia="Calibri" w:hAnsi="Arial" w:cs="Arial"/>
          <w:sz w:val="24"/>
          <w:szCs w:val="24"/>
          <w:lang w:val="en-US"/>
        </w:rPr>
        <w:t>.</w:t>
      </w:r>
      <w:r w:rsidR="00EA5EF5" w:rsidRPr="00EB0495">
        <w:rPr>
          <w:rFonts w:ascii="Arial" w:eastAsia="Calibri" w:hAnsi="Arial" w:cs="Arial"/>
          <w:sz w:val="24"/>
          <w:szCs w:val="24"/>
          <w:lang w:val="en-US"/>
        </w:rPr>
        <w:t>g</w:t>
      </w:r>
      <w:r w:rsidR="00BA7FDB" w:rsidRPr="00EB0495">
        <w:rPr>
          <w:rFonts w:ascii="Arial" w:eastAsia="Calibri" w:hAnsi="Arial" w:cs="Arial"/>
          <w:sz w:val="24"/>
          <w:szCs w:val="24"/>
          <w:lang w:val="en-US"/>
        </w:rPr>
        <w:t>.</w:t>
      </w:r>
      <w:r w:rsidR="009F7785" w:rsidRPr="00EB0495">
        <w:rPr>
          <w:rFonts w:ascii="Arial" w:eastAsia="Calibri" w:hAnsi="Arial" w:cs="Arial"/>
          <w:sz w:val="24"/>
          <w:szCs w:val="24"/>
          <w:lang w:val="en-US"/>
        </w:rPr>
        <w:t>,</w:t>
      </w:r>
      <w:r w:rsidR="00EA5EF5" w:rsidRPr="00EB0495">
        <w:rPr>
          <w:rFonts w:ascii="Arial" w:eastAsia="Calibri" w:hAnsi="Arial" w:cs="Arial"/>
          <w:sz w:val="24"/>
          <w:szCs w:val="24"/>
          <w:lang w:val="en-US"/>
        </w:rPr>
        <w:t xml:space="preserve"> fatal adverse events</w:t>
      </w:r>
      <w:r w:rsidR="00CE5767" w:rsidRPr="00EB0495">
        <w:rPr>
          <w:rFonts w:ascii="Arial" w:eastAsia="Calibri" w:hAnsi="Arial" w:cs="Arial"/>
          <w:sz w:val="24"/>
          <w:szCs w:val="24"/>
          <w:lang w:val="en-US"/>
        </w:rPr>
        <w:t xml:space="preserve"> or deaths from unrelated causes</w:t>
      </w:r>
      <w:r w:rsidR="00EA5EF5" w:rsidRPr="00EB0495">
        <w:rPr>
          <w:rFonts w:ascii="Arial" w:eastAsia="Calibri" w:hAnsi="Arial" w:cs="Arial"/>
          <w:sz w:val="24"/>
          <w:szCs w:val="24"/>
          <w:lang w:val="en-US"/>
        </w:rPr>
        <w:t xml:space="preserve">, </w:t>
      </w:r>
      <w:r w:rsidR="00227E6D" w:rsidRPr="00EB0495">
        <w:rPr>
          <w:rFonts w:ascii="Arial" w:eastAsia="Calibri" w:hAnsi="Arial" w:cs="Arial"/>
          <w:sz w:val="24"/>
          <w:szCs w:val="24"/>
          <w:lang w:val="en-US"/>
        </w:rPr>
        <w:t>contribut</w:t>
      </w:r>
      <w:r w:rsidR="00A6333B" w:rsidRPr="00EB0495">
        <w:rPr>
          <w:rFonts w:ascii="Arial" w:eastAsia="Calibri" w:hAnsi="Arial" w:cs="Arial"/>
          <w:sz w:val="24"/>
          <w:szCs w:val="24"/>
          <w:lang w:val="en-US"/>
        </w:rPr>
        <w:t xml:space="preserve">ed </w:t>
      </w:r>
      <w:r w:rsidR="0023204D" w:rsidRPr="00EB0495">
        <w:rPr>
          <w:rFonts w:ascii="Arial" w:eastAsia="Calibri" w:hAnsi="Arial" w:cs="Arial"/>
          <w:sz w:val="24"/>
          <w:szCs w:val="24"/>
          <w:lang w:val="en-US"/>
        </w:rPr>
        <w:t xml:space="preserve">as events </w:t>
      </w:r>
      <w:r w:rsidR="00F21106" w:rsidRPr="00EB0495">
        <w:rPr>
          <w:rFonts w:ascii="Arial" w:eastAsia="Calibri" w:hAnsi="Arial" w:cs="Arial"/>
          <w:sz w:val="24"/>
          <w:szCs w:val="24"/>
          <w:lang w:val="en-US"/>
        </w:rPr>
        <w:t xml:space="preserve">in </w:t>
      </w:r>
      <w:r w:rsidR="008E5299" w:rsidRPr="00EB0495">
        <w:rPr>
          <w:rFonts w:ascii="Arial" w:eastAsia="Calibri" w:hAnsi="Arial" w:cs="Arial"/>
          <w:sz w:val="24"/>
          <w:szCs w:val="24"/>
          <w:lang w:val="en-US"/>
        </w:rPr>
        <w:t>no</w:t>
      </w:r>
      <w:r w:rsidR="00CE5767" w:rsidRPr="00EB0495">
        <w:rPr>
          <w:rFonts w:ascii="Arial" w:eastAsia="Calibri" w:hAnsi="Arial" w:cs="Arial"/>
          <w:sz w:val="24"/>
          <w:szCs w:val="24"/>
          <w:lang w:val="en-US"/>
        </w:rPr>
        <w:t xml:space="preserve">POD24 </w:t>
      </w:r>
      <w:r w:rsidR="00195E0C" w:rsidRPr="00EB0495">
        <w:rPr>
          <w:rFonts w:ascii="Arial" w:eastAsia="Calibri" w:hAnsi="Arial" w:cs="Arial"/>
          <w:sz w:val="24"/>
          <w:szCs w:val="24"/>
          <w:lang w:val="en-US"/>
        </w:rPr>
        <w:t>mortality</w:t>
      </w:r>
      <w:r w:rsidR="003F0C71" w:rsidRPr="00EB0495">
        <w:rPr>
          <w:rFonts w:ascii="Arial" w:eastAsia="Calibri" w:hAnsi="Arial" w:cs="Arial"/>
          <w:sz w:val="24"/>
          <w:szCs w:val="24"/>
          <w:lang w:val="en-US"/>
        </w:rPr>
        <w:t xml:space="preserve">, but </w:t>
      </w:r>
      <w:r w:rsidR="0023204D" w:rsidRPr="00EB0495">
        <w:rPr>
          <w:rFonts w:ascii="Arial" w:eastAsia="Calibri" w:hAnsi="Arial" w:cs="Arial"/>
          <w:sz w:val="24"/>
          <w:szCs w:val="24"/>
          <w:lang w:val="en-US"/>
        </w:rPr>
        <w:t>patients with these events</w:t>
      </w:r>
      <w:r w:rsidR="003F0C71" w:rsidRPr="00EB0495">
        <w:rPr>
          <w:rFonts w:ascii="Arial" w:eastAsia="Calibri" w:hAnsi="Arial" w:cs="Arial"/>
          <w:sz w:val="24"/>
          <w:szCs w:val="24"/>
          <w:lang w:val="en-US"/>
        </w:rPr>
        <w:t xml:space="preserve"> are not included in the</w:t>
      </w:r>
      <w:r w:rsidR="00234282" w:rsidRPr="00EB0495">
        <w:rPr>
          <w:rFonts w:ascii="Arial" w:eastAsia="Calibri" w:hAnsi="Arial" w:cs="Arial"/>
          <w:sz w:val="24"/>
          <w:szCs w:val="24"/>
          <w:lang w:val="en-US"/>
        </w:rPr>
        <w:t xml:space="preserve"> description of baseline characteristics</w:t>
      </w:r>
      <w:r w:rsidR="009A5990" w:rsidRPr="00EB0495">
        <w:rPr>
          <w:rFonts w:ascii="Arial" w:eastAsia="Calibri" w:hAnsi="Arial" w:cs="Arial"/>
          <w:sz w:val="24"/>
          <w:szCs w:val="24"/>
          <w:lang w:val="en-US"/>
        </w:rPr>
        <w:t xml:space="preserve"> for no</w:t>
      </w:r>
      <w:r w:rsidR="00195E0C" w:rsidRPr="00EB0495">
        <w:rPr>
          <w:rFonts w:ascii="Arial" w:eastAsia="Calibri" w:hAnsi="Arial" w:cs="Arial"/>
          <w:sz w:val="24"/>
          <w:szCs w:val="24"/>
          <w:lang w:val="en-US"/>
        </w:rPr>
        <w:t>POD24 patients</w:t>
      </w:r>
      <w:r w:rsidR="009A5990" w:rsidRPr="00EB0495">
        <w:rPr>
          <w:rFonts w:ascii="Arial" w:eastAsia="Calibri" w:hAnsi="Arial" w:cs="Arial"/>
          <w:sz w:val="24"/>
          <w:szCs w:val="24"/>
          <w:lang w:val="en-US"/>
        </w:rPr>
        <w:t>.</w:t>
      </w:r>
    </w:p>
    <w:p w14:paraId="32EAB696" w14:textId="673B49C7" w:rsidR="00FE4AA7" w:rsidRPr="00EB0495" w:rsidRDefault="004F7F29" w:rsidP="009A5990">
      <w:pPr>
        <w:spacing w:after="240"/>
        <w:ind w:firstLine="720"/>
        <w:rPr>
          <w:rFonts w:ascii="Arial" w:eastAsia="Calibri" w:hAnsi="Arial" w:cs="Arial"/>
          <w:sz w:val="24"/>
          <w:szCs w:val="24"/>
          <w:lang w:val="en-US"/>
        </w:rPr>
      </w:pPr>
      <w:r w:rsidRPr="00EB0495">
        <w:rPr>
          <w:rFonts w:ascii="Arial" w:eastAsia="Calibri" w:hAnsi="Arial" w:cs="Arial"/>
          <w:sz w:val="24"/>
          <w:szCs w:val="24"/>
          <w:lang w:val="en-US"/>
        </w:rPr>
        <w:t>A</w:t>
      </w:r>
      <w:r w:rsidR="005242BA" w:rsidRPr="00EB0495">
        <w:rPr>
          <w:rFonts w:ascii="Arial" w:eastAsia="Calibri" w:hAnsi="Arial" w:cs="Arial"/>
          <w:sz w:val="24"/>
          <w:szCs w:val="24"/>
          <w:lang w:val="en-US"/>
        </w:rPr>
        <w:t xml:space="preserve">nalyses </w:t>
      </w:r>
      <w:r w:rsidR="00F41FB9" w:rsidRPr="00EB0495">
        <w:rPr>
          <w:rFonts w:ascii="Arial" w:eastAsia="Calibri" w:hAnsi="Arial" w:cs="Arial"/>
          <w:sz w:val="24"/>
          <w:szCs w:val="24"/>
          <w:lang w:val="en-US"/>
        </w:rPr>
        <w:t xml:space="preserve">were </w:t>
      </w:r>
      <w:r w:rsidR="005242BA" w:rsidRPr="00EB0495">
        <w:rPr>
          <w:rFonts w:ascii="Arial" w:eastAsia="Calibri" w:hAnsi="Arial" w:cs="Arial"/>
          <w:sz w:val="24"/>
          <w:szCs w:val="24"/>
          <w:lang w:val="en-US"/>
        </w:rPr>
        <w:t>based on investigator assessments</w:t>
      </w:r>
      <w:r w:rsidR="00263AD1" w:rsidRPr="00EB0495">
        <w:rPr>
          <w:rFonts w:ascii="Arial" w:eastAsia="Calibri" w:hAnsi="Arial" w:cs="Arial"/>
          <w:sz w:val="24"/>
          <w:szCs w:val="24"/>
          <w:lang w:val="en-US"/>
        </w:rPr>
        <w:t xml:space="preserve"> and </w:t>
      </w:r>
      <w:r w:rsidR="00435F61" w:rsidRPr="00EB0495">
        <w:rPr>
          <w:rFonts w:ascii="Arial" w:eastAsia="Calibri" w:hAnsi="Arial" w:cs="Arial"/>
          <w:sz w:val="24"/>
          <w:szCs w:val="24"/>
          <w:lang w:val="en-US"/>
        </w:rPr>
        <w:t>were undertaken</w:t>
      </w:r>
      <w:r w:rsidR="000F79B4" w:rsidRPr="00EB0495">
        <w:rPr>
          <w:rFonts w:ascii="Arial" w:eastAsia="Calibri" w:hAnsi="Arial" w:cs="Arial"/>
          <w:sz w:val="24"/>
          <w:szCs w:val="24"/>
          <w:lang w:val="en-US"/>
        </w:rPr>
        <w:t xml:space="preserve"> using SAS</w:t>
      </w:r>
      <w:r w:rsidR="000F79B4" w:rsidRPr="00EB0495">
        <w:rPr>
          <w:rFonts w:ascii="Arial" w:eastAsia="Calibri" w:hAnsi="Arial" w:cs="Arial"/>
          <w:sz w:val="24"/>
          <w:szCs w:val="24"/>
          <w:vertAlign w:val="superscript"/>
          <w:lang w:val="en-US"/>
        </w:rPr>
        <w:t>®</w:t>
      </w:r>
      <w:r w:rsidR="000F79B4" w:rsidRPr="00EB0495">
        <w:rPr>
          <w:rFonts w:ascii="Arial" w:eastAsia="Calibri" w:hAnsi="Arial" w:cs="Arial"/>
          <w:sz w:val="24"/>
          <w:szCs w:val="24"/>
          <w:lang w:val="en-US"/>
        </w:rPr>
        <w:t xml:space="preserve"> 9.4</w:t>
      </w:r>
      <w:r w:rsidR="00435F61" w:rsidRPr="00EB0495">
        <w:rPr>
          <w:rFonts w:ascii="Arial" w:eastAsia="Calibri" w:hAnsi="Arial" w:cs="Arial"/>
          <w:sz w:val="24"/>
          <w:szCs w:val="24"/>
          <w:lang w:val="en-US"/>
        </w:rPr>
        <w:t xml:space="preserve"> software</w:t>
      </w:r>
      <w:r w:rsidR="000F79B4" w:rsidRPr="00EB0495">
        <w:rPr>
          <w:rFonts w:ascii="Arial" w:eastAsia="Calibri" w:hAnsi="Arial" w:cs="Arial"/>
          <w:sz w:val="24"/>
          <w:szCs w:val="24"/>
          <w:lang w:val="en-US"/>
        </w:rPr>
        <w:t>.</w:t>
      </w:r>
    </w:p>
    <w:p w14:paraId="0FA3A54B" w14:textId="100D7C4D" w:rsidR="007E51CB" w:rsidRPr="00EB0495" w:rsidRDefault="000B19B6" w:rsidP="00014E82">
      <w:pPr>
        <w:spacing w:after="240"/>
        <w:ind w:firstLine="720"/>
        <w:rPr>
          <w:rFonts w:ascii="Arial" w:eastAsia="Calibri" w:hAnsi="Arial" w:cs="Arial"/>
          <w:sz w:val="24"/>
          <w:szCs w:val="24"/>
          <w:lang w:val="en-US"/>
        </w:rPr>
      </w:pPr>
      <w:r w:rsidRPr="00EB0495">
        <w:rPr>
          <w:rFonts w:ascii="Arial" w:eastAsia="Calibri" w:hAnsi="Arial" w:cs="Arial"/>
          <w:sz w:val="24"/>
          <w:szCs w:val="24"/>
          <w:lang w:val="en-US"/>
        </w:rPr>
        <w:lastRenderedPageBreak/>
        <w:t xml:space="preserve">For all </w:t>
      </w:r>
      <w:r w:rsidR="000C7C9C" w:rsidRPr="00EB0495">
        <w:rPr>
          <w:rFonts w:ascii="Arial" w:eastAsia="Calibri" w:hAnsi="Arial" w:cs="Arial"/>
          <w:sz w:val="24"/>
          <w:szCs w:val="24"/>
          <w:lang w:val="en-US"/>
        </w:rPr>
        <w:t xml:space="preserve">randomized </w:t>
      </w:r>
      <w:r w:rsidRPr="00EB0495">
        <w:rPr>
          <w:rFonts w:ascii="Arial" w:eastAsia="Calibri" w:hAnsi="Arial" w:cs="Arial"/>
          <w:sz w:val="24"/>
          <w:szCs w:val="24"/>
          <w:lang w:val="en-US"/>
        </w:rPr>
        <w:t>patients, t</w:t>
      </w:r>
      <w:r w:rsidR="00146F54" w:rsidRPr="00EB0495">
        <w:rPr>
          <w:rFonts w:ascii="Arial" w:eastAsia="Calibri" w:hAnsi="Arial" w:cs="Arial"/>
          <w:sz w:val="24"/>
          <w:szCs w:val="24"/>
          <w:lang w:val="en-US"/>
        </w:rPr>
        <w:t>he effect of POD24 status on OS was quantified using a</w:t>
      </w:r>
      <w:r w:rsidR="00236BB2" w:rsidRPr="00EB0495">
        <w:rPr>
          <w:rFonts w:ascii="Arial" w:eastAsia="Calibri" w:hAnsi="Arial" w:cs="Arial"/>
          <w:sz w:val="24"/>
          <w:szCs w:val="24"/>
          <w:lang w:val="en-US"/>
        </w:rPr>
        <w:t xml:space="preserve"> time-varying </w:t>
      </w:r>
      <w:r w:rsidR="00146F54" w:rsidRPr="00EB0495">
        <w:rPr>
          <w:rFonts w:ascii="Arial" w:eastAsia="Calibri" w:hAnsi="Arial" w:cs="Arial"/>
          <w:sz w:val="24"/>
          <w:szCs w:val="24"/>
          <w:lang w:val="en-US"/>
        </w:rPr>
        <w:t>Cox regression model with POD24 status as a time-</w:t>
      </w:r>
      <w:r w:rsidR="0057317D" w:rsidRPr="00EB0495">
        <w:rPr>
          <w:rFonts w:ascii="Arial" w:eastAsia="Calibri" w:hAnsi="Arial" w:cs="Arial"/>
          <w:sz w:val="24"/>
          <w:szCs w:val="24"/>
          <w:lang w:val="en-US"/>
        </w:rPr>
        <w:t xml:space="preserve">dependent </w:t>
      </w:r>
      <w:r w:rsidR="00146F54" w:rsidRPr="00EB0495">
        <w:rPr>
          <w:rFonts w:ascii="Arial" w:eastAsia="Calibri" w:hAnsi="Arial" w:cs="Arial"/>
          <w:sz w:val="24"/>
          <w:szCs w:val="24"/>
          <w:lang w:val="en-US"/>
        </w:rPr>
        <w:t>covariate</w:t>
      </w:r>
      <w:r w:rsidR="007E51CB" w:rsidRPr="00EB0495">
        <w:rPr>
          <w:rFonts w:ascii="Arial" w:eastAsia="Calibri" w:hAnsi="Arial" w:cs="Arial"/>
          <w:sz w:val="24"/>
          <w:szCs w:val="24"/>
          <w:lang w:val="en-US"/>
        </w:rPr>
        <w:t xml:space="preserve">. </w:t>
      </w:r>
      <w:r w:rsidR="00CE5767" w:rsidRPr="00EB0495">
        <w:rPr>
          <w:rFonts w:ascii="Arial" w:eastAsia="Calibri" w:hAnsi="Arial" w:cs="Arial"/>
          <w:sz w:val="24"/>
          <w:szCs w:val="24"/>
          <w:lang w:val="en-US"/>
        </w:rPr>
        <w:t>Other covariates were a</w:t>
      </w:r>
      <w:r w:rsidR="009C37F3" w:rsidRPr="00EB0495">
        <w:rPr>
          <w:rFonts w:ascii="Arial" w:eastAsia="Calibri" w:hAnsi="Arial" w:cs="Arial"/>
          <w:sz w:val="24"/>
          <w:szCs w:val="24"/>
          <w:lang w:val="en-US"/>
        </w:rPr>
        <w:t xml:space="preserve">llocated </w:t>
      </w:r>
      <w:r w:rsidR="00146F54" w:rsidRPr="00EB0495">
        <w:rPr>
          <w:rFonts w:ascii="Arial" w:eastAsia="Calibri" w:hAnsi="Arial" w:cs="Arial"/>
          <w:sz w:val="24"/>
          <w:szCs w:val="24"/>
          <w:lang w:val="en-US"/>
        </w:rPr>
        <w:t>study treatment and age</w:t>
      </w:r>
      <w:r w:rsidR="009C37F3" w:rsidRPr="00EB0495">
        <w:rPr>
          <w:rFonts w:ascii="Arial" w:eastAsia="Calibri" w:hAnsi="Arial" w:cs="Arial"/>
          <w:sz w:val="24"/>
          <w:szCs w:val="24"/>
          <w:lang w:val="en-US"/>
        </w:rPr>
        <w:t xml:space="preserve"> at randomization</w:t>
      </w:r>
      <w:r w:rsidR="00CE5767" w:rsidRPr="00EB0495">
        <w:rPr>
          <w:rFonts w:ascii="Arial" w:eastAsia="Calibri" w:hAnsi="Arial" w:cs="Arial"/>
          <w:sz w:val="24"/>
          <w:szCs w:val="24"/>
          <w:lang w:val="en-US"/>
        </w:rPr>
        <w:t>;</w:t>
      </w:r>
      <w:r w:rsidR="007E51CB" w:rsidRPr="00EB0495">
        <w:rPr>
          <w:rFonts w:ascii="Arial" w:eastAsia="Calibri" w:hAnsi="Arial" w:cs="Arial"/>
          <w:sz w:val="24"/>
          <w:szCs w:val="24"/>
          <w:lang w:val="en-US"/>
        </w:rPr>
        <w:t xml:space="preserve"> </w:t>
      </w:r>
      <w:r w:rsidR="00146F54" w:rsidRPr="00EB0495">
        <w:rPr>
          <w:rFonts w:ascii="Arial" w:eastAsia="Calibri" w:hAnsi="Arial" w:cs="Arial"/>
          <w:sz w:val="24"/>
          <w:szCs w:val="24"/>
          <w:lang w:val="en-US"/>
        </w:rPr>
        <w:t xml:space="preserve">chemotherapy regimen and </w:t>
      </w:r>
      <w:r w:rsidR="00BA7FDB" w:rsidRPr="00EB0495">
        <w:rPr>
          <w:rFonts w:ascii="Arial" w:eastAsia="Calibri" w:hAnsi="Arial" w:cs="Arial"/>
          <w:sz w:val="24"/>
          <w:szCs w:val="24"/>
          <w:lang w:val="en-US"/>
        </w:rPr>
        <w:t>Fol</w:t>
      </w:r>
      <w:r w:rsidR="003F263C" w:rsidRPr="00EB0495">
        <w:rPr>
          <w:rFonts w:ascii="Arial" w:eastAsia="Calibri" w:hAnsi="Arial" w:cs="Arial"/>
          <w:sz w:val="24"/>
          <w:szCs w:val="24"/>
          <w:lang w:val="en-US"/>
        </w:rPr>
        <w:t>li</w:t>
      </w:r>
      <w:r w:rsidR="00BA7FDB" w:rsidRPr="00EB0495">
        <w:rPr>
          <w:rFonts w:ascii="Arial" w:eastAsia="Calibri" w:hAnsi="Arial" w:cs="Arial"/>
          <w:sz w:val="24"/>
          <w:szCs w:val="24"/>
          <w:lang w:val="en-US"/>
        </w:rPr>
        <w:t>cular Lymphoma International Prognostic Index (</w:t>
      </w:r>
      <w:r w:rsidR="00146F54" w:rsidRPr="00EB0495">
        <w:rPr>
          <w:rFonts w:ascii="Arial" w:eastAsia="Calibri" w:hAnsi="Arial" w:cs="Arial"/>
          <w:sz w:val="24"/>
          <w:szCs w:val="24"/>
          <w:lang w:val="en-US"/>
        </w:rPr>
        <w:t>FLIPI</w:t>
      </w:r>
      <w:r w:rsidR="00BA7FDB" w:rsidRPr="00EB0495">
        <w:rPr>
          <w:rFonts w:ascii="Arial" w:eastAsia="Calibri" w:hAnsi="Arial" w:cs="Arial"/>
          <w:sz w:val="24"/>
          <w:szCs w:val="24"/>
          <w:lang w:val="en-US"/>
        </w:rPr>
        <w:t>)</w:t>
      </w:r>
      <w:r w:rsidR="00146F54" w:rsidRPr="00EB0495">
        <w:rPr>
          <w:rFonts w:ascii="Arial" w:eastAsia="Calibri" w:hAnsi="Arial" w:cs="Arial"/>
          <w:sz w:val="24"/>
          <w:szCs w:val="24"/>
          <w:lang w:val="en-US"/>
        </w:rPr>
        <w:t xml:space="preserve"> score </w:t>
      </w:r>
      <w:r w:rsidR="007E51CB" w:rsidRPr="00EB0495">
        <w:rPr>
          <w:rFonts w:ascii="Arial" w:eastAsia="Calibri" w:hAnsi="Arial" w:cs="Arial"/>
          <w:sz w:val="24"/>
          <w:szCs w:val="24"/>
          <w:lang w:val="en-US"/>
        </w:rPr>
        <w:t xml:space="preserve">were </w:t>
      </w:r>
      <w:r w:rsidR="00146F54" w:rsidRPr="00EB0495">
        <w:rPr>
          <w:rFonts w:ascii="Arial" w:eastAsia="Calibri" w:hAnsi="Arial" w:cs="Arial"/>
          <w:sz w:val="24"/>
          <w:szCs w:val="24"/>
          <w:lang w:val="en-US"/>
        </w:rPr>
        <w:t>stratification factors. In this model</w:t>
      </w:r>
      <w:r w:rsidR="00236BB2" w:rsidRPr="00EB0495">
        <w:rPr>
          <w:rFonts w:ascii="Arial" w:eastAsia="Calibri" w:hAnsi="Arial" w:cs="Arial"/>
          <w:sz w:val="24"/>
          <w:szCs w:val="24"/>
          <w:lang w:val="en-US"/>
        </w:rPr>
        <w:t xml:space="preserve"> (and for the calculation of crude death rates)</w:t>
      </w:r>
      <w:r w:rsidR="00146F54" w:rsidRPr="00EB0495">
        <w:rPr>
          <w:rFonts w:ascii="Arial" w:eastAsia="Calibri" w:hAnsi="Arial" w:cs="Arial"/>
          <w:sz w:val="24"/>
          <w:szCs w:val="24"/>
          <w:lang w:val="en-US"/>
        </w:rPr>
        <w:t xml:space="preserve">, </w:t>
      </w:r>
      <w:r w:rsidR="00236BB2" w:rsidRPr="00EB0495">
        <w:rPr>
          <w:rFonts w:ascii="Arial" w:eastAsia="Calibri" w:hAnsi="Arial" w:cs="Arial"/>
          <w:sz w:val="24"/>
          <w:szCs w:val="24"/>
          <w:lang w:val="en-US"/>
        </w:rPr>
        <w:t xml:space="preserve">all patients were considered </w:t>
      </w:r>
      <w:r w:rsidR="002912A3" w:rsidRPr="00EB0495">
        <w:rPr>
          <w:rFonts w:ascii="Arial" w:eastAsia="Calibri" w:hAnsi="Arial" w:cs="Arial"/>
          <w:sz w:val="24"/>
          <w:szCs w:val="24"/>
          <w:lang w:val="en-US"/>
        </w:rPr>
        <w:t>P</w:t>
      </w:r>
      <w:r w:rsidR="007469D6" w:rsidRPr="00EB0495">
        <w:rPr>
          <w:rFonts w:ascii="Arial" w:eastAsia="Calibri" w:hAnsi="Arial" w:cs="Arial"/>
          <w:sz w:val="24"/>
          <w:szCs w:val="24"/>
          <w:lang w:val="en-US"/>
        </w:rPr>
        <w:t>OD24-</w:t>
      </w:r>
      <w:r w:rsidR="008F7FB4" w:rsidRPr="00EB0495">
        <w:rPr>
          <w:rFonts w:ascii="Arial" w:eastAsia="Calibri" w:hAnsi="Arial" w:cs="Arial"/>
          <w:sz w:val="24"/>
          <w:szCs w:val="24"/>
          <w:lang w:val="en-US"/>
        </w:rPr>
        <w:t xml:space="preserve">free </w:t>
      </w:r>
      <w:r w:rsidR="00236BB2" w:rsidRPr="00EB0495">
        <w:rPr>
          <w:rFonts w:ascii="Arial" w:eastAsia="Calibri" w:hAnsi="Arial" w:cs="Arial"/>
          <w:sz w:val="24"/>
          <w:szCs w:val="24"/>
          <w:lang w:val="en-US"/>
        </w:rPr>
        <w:t>until transition to the POD24 group after a POD24 event</w:t>
      </w:r>
      <w:r w:rsidR="009A4CE4" w:rsidRPr="00EB0495">
        <w:rPr>
          <w:rFonts w:ascii="Arial" w:eastAsia="Calibri" w:hAnsi="Arial" w:cs="Arial"/>
          <w:sz w:val="24"/>
          <w:szCs w:val="24"/>
          <w:lang w:val="en-US"/>
        </w:rPr>
        <w:t>,</w:t>
      </w:r>
      <w:r w:rsidR="00236BB2" w:rsidRPr="00EB0495">
        <w:rPr>
          <w:rFonts w:ascii="Arial" w:eastAsia="Calibri" w:hAnsi="Arial" w:cs="Arial"/>
          <w:sz w:val="24"/>
          <w:szCs w:val="24"/>
          <w:lang w:val="en-US"/>
        </w:rPr>
        <w:t xml:space="preserve"> or until the end of survival follow-up.</w:t>
      </w:r>
      <w:r w:rsidR="00014E82" w:rsidRPr="00EB0495">
        <w:rPr>
          <w:rFonts w:ascii="Arial" w:eastAsia="Calibri" w:hAnsi="Arial" w:cs="Arial"/>
          <w:sz w:val="24"/>
          <w:szCs w:val="24"/>
          <w:lang w:val="en-US"/>
        </w:rPr>
        <w:t xml:space="preserve"> </w:t>
      </w:r>
      <w:r w:rsidR="00802C04" w:rsidRPr="00EB0495">
        <w:rPr>
          <w:rFonts w:ascii="Arial" w:eastAsia="Calibri" w:hAnsi="Arial" w:cs="Arial"/>
          <w:sz w:val="24"/>
          <w:szCs w:val="24"/>
          <w:lang w:val="en-US"/>
        </w:rPr>
        <w:t xml:space="preserve">The effect of study treatment on the risk of POD24 was estimated by </w:t>
      </w:r>
      <w:r w:rsidR="00F07E66" w:rsidRPr="00EB0495">
        <w:rPr>
          <w:rFonts w:ascii="Arial" w:eastAsia="Calibri" w:hAnsi="Arial" w:cs="Arial"/>
          <w:sz w:val="24"/>
          <w:szCs w:val="24"/>
          <w:lang w:val="en-US"/>
        </w:rPr>
        <w:t>cause</w:t>
      </w:r>
      <w:r w:rsidR="00236BB2" w:rsidRPr="00EB0495">
        <w:rPr>
          <w:rFonts w:ascii="Arial" w:eastAsia="Calibri" w:hAnsi="Arial" w:cs="Arial"/>
          <w:sz w:val="24"/>
          <w:szCs w:val="24"/>
          <w:lang w:val="en-US"/>
        </w:rPr>
        <w:t>-</w:t>
      </w:r>
      <w:r w:rsidR="00F07E66" w:rsidRPr="00EB0495">
        <w:rPr>
          <w:rFonts w:ascii="Arial" w:eastAsia="Calibri" w:hAnsi="Arial" w:cs="Arial"/>
          <w:sz w:val="24"/>
          <w:szCs w:val="24"/>
          <w:lang w:val="en-US"/>
        </w:rPr>
        <w:t xml:space="preserve">specific </w:t>
      </w:r>
      <w:r w:rsidR="00802C04" w:rsidRPr="00EB0495">
        <w:rPr>
          <w:rFonts w:ascii="Arial" w:eastAsia="Calibri" w:hAnsi="Arial" w:cs="Arial"/>
          <w:sz w:val="24"/>
          <w:szCs w:val="24"/>
          <w:lang w:val="en-US"/>
        </w:rPr>
        <w:t>Cox regression</w:t>
      </w:r>
      <w:r w:rsidR="00F07E66" w:rsidRPr="00EB0495">
        <w:rPr>
          <w:rFonts w:ascii="Arial" w:eastAsia="Calibri" w:hAnsi="Arial" w:cs="Arial"/>
          <w:sz w:val="24"/>
          <w:szCs w:val="24"/>
          <w:lang w:val="en-US"/>
        </w:rPr>
        <w:t xml:space="preserve"> accounting for POD24 events and censoring for non-PD related deaths within the first 24 months</w:t>
      </w:r>
      <w:r w:rsidR="00236BB2" w:rsidRPr="00EB0495">
        <w:rPr>
          <w:rFonts w:ascii="Arial" w:eastAsia="Calibri" w:hAnsi="Arial" w:cs="Arial"/>
          <w:sz w:val="24"/>
          <w:szCs w:val="24"/>
          <w:lang w:val="en-US"/>
        </w:rPr>
        <w:t>.</w:t>
      </w:r>
      <w:r w:rsidR="00F07E66" w:rsidRPr="00EB0495">
        <w:rPr>
          <w:rFonts w:ascii="Arial" w:eastAsia="Calibri" w:hAnsi="Arial" w:cs="Arial"/>
          <w:sz w:val="24"/>
          <w:szCs w:val="24"/>
          <w:lang w:val="en-US"/>
        </w:rPr>
        <w:t xml:space="preserve"> </w:t>
      </w:r>
      <w:r w:rsidR="004F7F29" w:rsidRPr="00EB0495">
        <w:rPr>
          <w:rFonts w:ascii="Arial" w:eastAsia="Calibri" w:hAnsi="Arial" w:cs="Arial"/>
          <w:sz w:val="24"/>
          <w:szCs w:val="24"/>
          <w:lang w:val="en-US"/>
        </w:rPr>
        <w:t>A</w:t>
      </w:r>
      <w:r w:rsidR="00F07E66" w:rsidRPr="00EB0495">
        <w:rPr>
          <w:rFonts w:ascii="Arial" w:eastAsia="Calibri" w:hAnsi="Arial" w:cs="Arial"/>
          <w:sz w:val="24"/>
          <w:szCs w:val="24"/>
          <w:lang w:val="en-US"/>
        </w:rPr>
        <w:t>nalysis was stratified by chemotherapy regimen and FLIPI score</w:t>
      </w:r>
      <w:r w:rsidR="00802C04" w:rsidRPr="00EB0495">
        <w:rPr>
          <w:rFonts w:ascii="Arial" w:eastAsia="Calibri" w:hAnsi="Arial" w:cs="Arial"/>
          <w:sz w:val="24"/>
          <w:szCs w:val="24"/>
          <w:lang w:val="en-US"/>
        </w:rPr>
        <w:t>.</w:t>
      </w:r>
    </w:p>
    <w:p w14:paraId="0BD7FB2E" w14:textId="3F2AB143" w:rsidR="0072097E" w:rsidRPr="00EB0495" w:rsidRDefault="00146F54" w:rsidP="0072097E">
      <w:pPr>
        <w:spacing w:after="240"/>
        <w:ind w:firstLine="720"/>
        <w:rPr>
          <w:rFonts w:ascii="Arial" w:eastAsia="Calibri" w:hAnsi="Arial" w:cs="Arial"/>
          <w:sz w:val="24"/>
          <w:szCs w:val="24"/>
          <w:lang w:val="en-US"/>
        </w:rPr>
      </w:pPr>
      <w:r w:rsidRPr="00EB0495">
        <w:rPr>
          <w:rFonts w:ascii="Arial" w:eastAsia="Calibri" w:hAnsi="Arial" w:cs="Arial"/>
          <w:sz w:val="24"/>
          <w:szCs w:val="24"/>
          <w:lang w:val="en-US"/>
        </w:rPr>
        <w:t xml:space="preserve">OS </w:t>
      </w:r>
      <w:r w:rsidR="00867605" w:rsidRPr="00EB0495">
        <w:rPr>
          <w:rFonts w:ascii="Arial" w:eastAsia="Calibri" w:hAnsi="Arial" w:cs="Arial"/>
          <w:sz w:val="24"/>
          <w:szCs w:val="24"/>
          <w:lang w:val="en-US"/>
        </w:rPr>
        <w:t xml:space="preserve">from </w:t>
      </w:r>
      <w:r w:rsidR="00BA7FDB" w:rsidRPr="00EB0495">
        <w:rPr>
          <w:rFonts w:ascii="Arial" w:eastAsia="Calibri" w:hAnsi="Arial" w:cs="Arial"/>
          <w:sz w:val="24"/>
          <w:szCs w:val="24"/>
          <w:lang w:val="en-US"/>
        </w:rPr>
        <w:t xml:space="preserve">4 </w:t>
      </w:r>
      <w:r w:rsidR="007E51CB" w:rsidRPr="00EB0495">
        <w:rPr>
          <w:rFonts w:ascii="Arial" w:eastAsia="Calibri" w:hAnsi="Arial" w:cs="Arial"/>
          <w:sz w:val="24"/>
          <w:szCs w:val="24"/>
          <w:lang w:val="en-US"/>
        </w:rPr>
        <w:t xml:space="preserve">specified </w:t>
      </w:r>
      <w:r w:rsidR="00CE5767" w:rsidRPr="00EB0495">
        <w:rPr>
          <w:rFonts w:ascii="Arial" w:eastAsia="Calibri" w:hAnsi="Arial" w:cs="Arial"/>
          <w:sz w:val="24"/>
          <w:szCs w:val="24"/>
          <w:lang w:val="en-US"/>
        </w:rPr>
        <w:t>time points (</w:t>
      </w:r>
      <w:r w:rsidR="00BA7FDB" w:rsidRPr="00EB0495">
        <w:rPr>
          <w:rFonts w:ascii="Arial" w:eastAsia="Calibri" w:hAnsi="Arial" w:cs="Arial"/>
          <w:sz w:val="24"/>
          <w:szCs w:val="24"/>
          <w:lang w:val="en-US"/>
        </w:rPr>
        <w:t>“</w:t>
      </w:r>
      <w:r w:rsidR="007E51CB" w:rsidRPr="00EB0495">
        <w:rPr>
          <w:rFonts w:ascii="Arial" w:eastAsia="Calibri" w:hAnsi="Arial" w:cs="Arial"/>
          <w:sz w:val="24"/>
          <w:szCs w:val="24"/>
          <w:lang w:val="en-US"/>
        </w:rPr>
        <w:t>landmark</w:t>
      </w:r>
      <w:r w:rsidR="00AD6095" w:rsidRPr="00EB0495">
        <w:rPr>
          <w:rFonts w:ascii="Arial" w:eastAsia="Calibri" w:hAnsi="Arial" w:cs="Arial"/>
          <w:sz w:val="24"/>
          <w:szCs w:val="24"/>
          <w:lang w:val="en-US"/>
        </w:rPr>
        <w:t>s</w:t>
      </w:r>
      <w:r w:rsidR="00BA7FDB" w:rsidRPr="00EB0495">
        <w:rPr>
          <w:rFonts w:ascii="Arial" w:eastAsia="Calibri" w:hAnsi="Arial" w:cs="Arial"/>
          <w:sz w:val="24"/>
          <w:szCs w:val="24"/>
          <w:lang w:val="en-US"/>
        </w:rPr>
        <w:t>”</w:t>
      </w:r>
      <w:r w:rsidR="00CE5767" w:rsidRPr="00EB0495">
        <w:rPr>
          <w:rFonts w:ascii="Arial" w:eastAsia="Calibri" w:hAnsi="Arial" w:cs="Arial"/>
          <w:sz w:val="24"/>
          <w:szCs w:val="24"/>
          <w:lang w:val="en-US"/>
        </w:rPr>
        <w:t>;</w:t>
      </w:r>
      <w:r w:rsidR="00AD6095" w:rsidRPr="00EB0495">
        <w:rPr>
          <w:rFonts w:ascii="Arial" w:eastAsia="Calibri" w:hAnsi="Arial" w:cs="Arial"/>
          <w:sz w:val="24"/>
          <w:szCs w:val="24"/>
          <w:lang w:val="en-US"/>
        </w:rPr>
        <w:t xml:space="preserve"> at 6, 12, 18</w:t>
      </w:r>
      <w:r w:rsidR="00FA7C8C" w:rsidRPr="00EB0495">
        <w:rPr>
          <w:rFonts w:ascii="Arial" w:eastAsia="Calibri" w:hAnsi="Arial" w:cs="Arial"/>
          <w:sz w:val="24"/>
          <w:szCs w:val="24"/>
          <w:lang w:val="en-US"/>
        </w:rPr>
        <w:t>,</w:t>
      </w:r>
      <w:r w:rsidR="00AD6095" w:rsidRPr="00EB0495">
        <w:rPr>
          <w:rFonts w:ascii="Arial" w:eastAsia="Calibri" w:hAnsi="Arial" w:cs="Arial"/>
          <w:sz w:val="24"/>
          <w:szCs w:val="24"/>
          <w:lang w:val="en-US"/>
        </w:rPr>
        <w:t xml:space="preserve"> and 24 months post-rand</w:t>
      </w:r>
      <w:r w:rsidR="00113D90" w:rsidRPr="00EB0495">
        <w:rPr>
          <w:rFonts w:ascii="Arial" w:eastAsia="Calibri" w:hAnsi="Arial" w:cs="Arial"/>
          <w:sz w:val="24"/>
          <w:szCs w:val="24"/>
          <w:lang w:val="en-US"/>
        </w:rPr>
        <w:t>omization</w:t>
      </w:r>
      <w:r w:rsidR="00AD6095" w:rsidRPr="00EB0495">
        <w:rPr>
          <w:rFonts w:ascii="Arial" w:eastAsia="Calibri" w:hAnsi="Arial" w:cs="Arial"/>
          <w:sz w:val="24"/>
          <w:szCs w:val="24"/>
          <w:lang w:val="en-US"/>
        </w:rPr>
        <w:t>)</w:t>
      </w:r>
      <w:r w:rsidR="007E51CB" w:rsidRPr="00EB0495">
        <w:rPr>
          <w:rFonts w:ascii="Arial" w:eastAsia="Calibri" w:hAnsi="Arial" w:cs="Arial"/>
          <w:sz w:val="24"/>
          <w:szCs w:val="24"/>
          <w:lang w:val="en-US"/>
        </w:rPr>
        <w:t xml:space="preserve"> was </w:t>
      </w:r>
      <w:r w:rsidR="004A6974" w:rsidRPr="00EB0495">
        <w:rPr>
          <w:rFonts w:ascii="Arial" w:eastAsia="Calibri" w:hAnsi="Arial" w:cs="Arial"/>
          <w:sz w:val="24"/>
          <w:szCs w:val="24"/>
          <w:lang w:val="en-US"/>
        </w:rPr>
        <w:t>estimated</w:t>
      </w:r>
      <w:r w:rsidR="007E51CB" w:rsidRPr="00EB0495">
        <w:rPr>
          <w:rFonts w:ascii="Arial" w:eastAsia="Calibri" w:hAnsi="Arial" w:cs="Arial"/>
          <w:sz w:val="24"/>
          <w:szCs w:val="24"/>
          <w:lang w:val="en-US"/>
        </w:rPr>
        <w:t xml:space="preserve"> </w:t>
      </w:r>
      <w:r w:rsidR="00F7773B" w:rsidRPr="00EB0495">
        <w:rPr>
          <w:rFonts w:ascii="Arial" w:eastAsia="Calibri" w:hAnsi="Arial" w:cs="Arial"/>
          <w:sz w:val="24"/>
          <w:szCs w:val="24"/>
          <w:lang w:val="en-US"/>
        </w:rPr>
        <w:t xml:space="preserve">using Kaplan–Meier (KM) </w:t>
      </w:r>
      <w:r w:rsidR="004A6974" w:rsidRPr="00EB0495">
        <w:rPr>
          <w:rFonts w:ascii="Arial" w:eastAsia="Calibri" w:hAnsi="Arial" w:cs="Arial"/>
          <w:sz w:val="24"/>
          <w:szCs w:val="24"/>
          <w:lang w:val="en-US"/>
        </w:rPr>
        <w:t>methods</w:t>
      </w:r>
      <w:r w:rsidR="00687ACB" w:rsidRPr="00EB0495">
        <w:rPr>
          <w:rFonts w:ascii="Arial" w:eastAsia="Calibri" w:hAnsi="Arial" w:cs="Arial"/>
          <w:sz w:val="24"/>
          <w:szCs w:val="24"/>
          <w:lang w:val="en-US"/>
        </w:rPr>
        <w:t>.</w:t>
      </w:r>
      <w:r w:rsidR="006F5D6F" w:rsidRPr="00EB0495">
        <w:rPr>
          <w:rFonts w:ascii="Arial" w:eastAsia="Calibri" w:hAnsi="Arial" w:cs="Arial"/>
          <w:sz w:val="24"/>
          <w:szCs w:val="24"/>
          <w:lang w:val="en-US"/>
        </w:rPr>
        <w:t xml:space="preserve"> </w:t>
      </w:r>
      <w:r w:rsidR="000C7C9C" w:rsidRPr="00EB0495">
        <w:rPr>
          <w:rFonts w:ascii="Arial" w:eastAsia="Calibri" w:hAnsi="Arial" w:cs="Arial"/>
          <w:sz w:val="24"/>
          <w:szCs w:val="24"/>
          <w:lang w:val="en-US"/>
        </w:rPr>
        <w:t xml:space="preserve">These estimates allow a descriptive, non-randomized comparison of OS in patients with PD who were still alive </w:t>
      </w:r>
      <w:r w:rsidR="000C7C9C" w:rsidRPr="00EB0495">
        <w:rPr>
          <w:rFonts w:ascii="Arial" w:eastAsia="Calibri" w:hAnsi="Arial" w:cs="Arial"/>
          <w:i/>
          <w:sz w:val="24"/>
          <w:szCs w:val="24"/>
          <w:lang w:val="en-US"/>
        </w:rPr>
        <w:t>versus</w:t>
      </w:r>
      <w:r w:rsidR="000C7C9C" w:rsidRPr="00EB0495">
        <w:rPr>
          <w:rFonts w:ascii="Arial" w:eastAsia="Calibri" w:hAnsi="Arial" w:cs="Arial"/>
          <w:sz w:val="24"/>
          <w:szCs w:val="24"/>
          <w:lang w:val="en-US"/>
        </w:rPr>
        <w:t xml:space="preserve"> those with no PD at the landmark. </w:t>
      </w:r>
      <w:r w:rsidR="006F5D6F" w:rsidRPr="00EB0495">
        <w:rPr>
          <w:rFonts w:ascii="Arial" w:eastAsia="Calibri" w:hAnsi="Arial" w:cs="Arial"/>
          <w:sz w:val="24"/>
          <w:szCs w:val="24"/>
          <w:lang w:val="en-US"/>
        </w:rPr>
        <w:t xml:space="preserve">The </w:t>
      </w:r>
      <w:r w:rsidR="00F067A7" w:rsidRPr="00EB0495">
        <w:rPr>
          <w:rFonts w:ascii="Arial" w:eastAsia="Calibri" w:hAnsi="Arial" w:cs="Arial"/>
          <w:sz w:val="24"/>
          <w:szCs w:val="24"/>
          <w:lang w:val="en-US"/>
        </w:rPr>
        <w:t>24-</w:t>
      </w:r>
      <w:r w:rsidR="006F5D6F" w:rsidRPr="00EB0495">
        <w:rPr>
          <w:rFonts w:ascii="Arial" w:eastAsia="Calibri" w:hAnsi="Arial" w:cs="Arial"/>
          <w:sz w:val="24"/>
          <w:szCs w:val="24"/>
          <w:lang w:val="en-US"/>
        </w:rPr>
        <w:t xml:space="preserve">month landmark analysis was </w:t>
      </w:r>
      <w:r w:rsidR="00C27F60" w:rsidRPr="00EB0495">
        <w:rPr>
          <w:rFonts w:ascii="Arial" w:eastAsia="Calibri" w:hAnsi="Arial" w:cs="Arial"/>
          <w:sz w:val="24"/>
          <w:szCs w:val="24"/>
          <w:lang w:val="en-US"/>
        </w:rPr>
        <w:t>carried out</w:t>
      </w:r>
      <w:r w:rsidR="006F5D6F" w:rsidRPr="00EB0495">
        <w:rPr>
          <w:rFonts w:ascii="Arial" w:eastAsia="Calibri" w:hAnsi="Arial" w:cs="Arial"/>
          <w:sz w:val="24"/>
          <w:szCs w:val="24"/>
          <w:lang w:val="en-US"/>
        </w:rPr>
        <w:t xml:space="preserve"> using</w:t>
      </w:r>
      <w:r w:rsidRPr="00EB0495">
        <w:rPr>
          <w:rFonts w:ascii="Arial" w:eastAsia="Calibri" w:hAnsi="Arial" w:cs="Arial"/>
          <w:sz w:val="24"/>
          <w:szCs w:val="24"/>
          <w:lang w:val="en-US"/>
        </w:rPr>
        <w:t xml:space="preserve"> a Cox regression model</w:t>
      </w:r>
      <w:r w:rsidR="00BA7FDB" w:rsidRPr="00EB0495">
        <w:rPr>
          <w:rFonts w:ascii="Arial" w:eastAsia="Calibri" w:hAnsi="Arial" w:cs="Arial"/>
          <w:sz w:val="24"/>
          <w:szCs w:val="24"/>
          <w:lang w:val="en-US"/>
        </w:rPr>
        <w:t>,</w:t>
      </w:r>
      <w:r w:rsidRPr="00EB0495">
        <w:rPr>
          <w:rFonts w:ascii="Arial" w:eastAsia="Calibri" w:hAnsi="Arial" w:cs="Arial"/>
          <w:sz w:val="24"/>
          <w:szCs w:val="24"/>
          <w:lang w:val="en-US"/>
        </w:rPr>
        <w:t xml:space="preserve"> with the same covariates and stratification factors as </w:t>
      </w:r>
      <w:r w:rsidR="000B19B6" w:rsidRPr="00EB0495">
        <w:rPr>
          <w:rFonts w:ascii="Arial" w:eastAsia="Calibri" w:hAnsi="Arial" w:cs="Arial"/>
          <w:sz w:val="24"/>
          <w:szCs w:val="24"/>
          <w:lang w:val="en-US"/>
        </w:rPr>
        <w:t xml:space="preserve">the </w:t>
      </w:r>
      <w:r w:rsidR="007E51CB" w:rsidRPr="00EB0495">
        <w:rPr>
          <w:rFonts w:ascii="Arial" w:eastAsia="Calibri" w:hAnsi="Arial" w:cs="Arial"/>
          <w:sz w:val="24"/>
          <w:szCs w:val="24"/>
          <w:lang w:val="en-US"/>
        </w:rPr>
        <w:t xml:space="preserve">time-dependent </w:t>
      </w:r>
      <w:r w:rsidR="000B19B6" w:rsidRPr="00EB0495">
        <w:rPr>
          <w:rFonts w:ascii="Arial" w:eastAsia="Calibri" w:hAnsi="Arial" w:cs="Arial"/>
          <w:sz w:val="24"/>
          <w:szCs w:val="24"/>
          <w:lang w:val="en-US"/>
        </w:rPr>
        <w:t>model</w:t>
      </w:r>
      <w:r w:rsidRPr="00EB0495">
        <w:rPr>
          <w:rFonts w:ascii="Arial" w:eastAsia="Calibri" w:hAnsi="Arial" w:cs="Arial"/>
          <w:sz w:val="24"/>
          <w:szCs w:val="24"/>
          <w:lang w:val="en-US"/>
        </w:rPr>
        <w:t>, but with POD24 status as a time-fixed covariate.</w:t>
      </w:r>
      <w:r w:rsidR="0072097E" w:rsidRPr="00EB0495">
        <w:rPr>
          <w:rFonts w:ascii="Arial" w:eastAsia="Calibri" w:hAnsi="Arial" w:cs="Arial"/>
          <w:sz w:val="24"/>
          <w:szCs w:val="24"/>
          <w:lang w:val="en-US"/>
        </w:rPr>
        <w:t xml:space="preserve"> </w:t>
      </w:r>
      <w:r w:rsidR="007F0287" w:rsidRPr="00EB0495">
        <w:rPr>
          <w:rFonts w:ascii="Arial" w:eastAsia="Calibri" w:hAnsi="Arial" w:cs="Arial"/>
          <w:sz w:val="24"/>
          <w:szCs w:val="24"/>
          <w:lang w:val="en-US"/>
        </w:rPr>
        <w:t>T</w:t>
      </w:r>
      <w:r w:rsidRPr="00EB0495">
        <w:rPr>
          <w:rFonts w:ascii="Arial" w:eastAsia="Calibri" w:hAnsi="Arial" w:cs="Arial"/>
          <w:sz w:val="24"/>
          <w:szCs w:val="24"/>
          <w:lang w:val="en-US"/>
        </w:rPr>
        <w:t xml:space="preserve">he risk of a PFS event within 24 months of randomization was </w:t>
      </w:r>
      <w:r w:rsidR="0072097E" w:rsidRPr="00EB0495">
        <w:rPr>
          <w:rFonts w:ascii="Arial" w:eastAsia="Calibri" w:hAnsi="Arial" w:cs="Arial"/>
          <w:sz w:val="24"/>
          <w:szCs w:val="24"/>
          <w:lang w:val="en-US"/>
        </w:rPr>
        <w:t xml:space="preserve">also </w:t>
      </w:r>
      <w:r w:rsidRPr="00EB0495">
        <w:rPr>
          <w:rFonts w:ascii="Arial" w:eastAsia="Calibri" w:hAnsi="Arial" w:cs="Arial"/>
          <w:sz w:val="24"/>
          <w:szCs w:val="24"/>
          <w:lang w:val="en-US"/>
        </w:rPr>
        <w:t>estimated</w:t>
      </w:r>
      <w:r w:rsidR="000B19B6" w:rsidRPr="00EB0495">
        <w:rPr>
          <w:rFonts w:ascii="Arial" w:eastAsia="Calibri" w:hAnsi="Arial" w:cs="Arial"/>
          <w:sz w:val="24"/>
          <w:szCs w:val="24"/>
          <w:lang w:val="en-US"/>
        </w:rPr>
        <w:t>,</w:t>
      </w:r>
      <w:r w:rsidRPr="00EB0495">
        <w:rPr>
          <w:rFonts w:ascii="Arial" w:eastAsia="Calibri" w:hAnsi="Arial" w:cs="Arial"/>
          <w:sz w:val="24"/>
          <w:szCs w:val="24"/>
          <w:lang w:val="en-US"/>
        </w:rPr>
        <w:t xml:space="preserve"> and </w:t>
      </w:r>
      <w:r w:rsidR="000C7C9C" w:rsidRPr="00EB0495">
        <w:rPr>
          <w:rFonts w:ascii="Arial" w:eastAsia="Calibri" w:hAnsi="Arial" w:cs="Arial"/>
          <w:sz w:val="24"/>
          <w:szCs w:val="24"/>
          <w:lang w:val="en-US"/>
        </w:rPr>
        <w:t xml:space="preserve">the 24-month </w:t>
      </w:r>
      <w:r w:rsidR="000B19B6" w:rsidRPr="00EB0495">
        <w:rPr>
          <w:rFonts w:ascii="Arial" w:eastAsia="Calibri" w:hAnsi="Arial" w:cs="Arial"/>
          <w:sz w:val="24"/>
          <w:szCs w:val="24"/>
          <w:lang w:val="en-US"/>
        </w:rPr>
        <w:t xml:space="preserve">KM </w:t>
      </w:r>
      <w:r w:rsidR="000C7C9C" w:rsidRPr="00EB0495">
        <w:rPr>
          <w:rFonts w:ascii="Arial" w:eastAsia="Calibri" w:hAnsi="Arial" w:cs="Arial"/>
          <w:sz w:val="24"/>
          <w:szCs w:val="24"/>
          <w:lang w:val="en-US"/>
        </w:rPr>
        <w:t>rates were compared across</w:t>
      </w:r>
      <w:r w:rsidR="000B19B6" w:rsidRPr="00EB0495">
        <w:rPr>
          <w:rFonts w:ascii="Arial" w:eastAsia="Calibri" w:hAnsi="Arial" w:cs="Arial"/>
          <w:sz w:val="24"/>
          <w:szCs w:val="24"/>
          <w:lang w:val="en-US"/>
        </w:rPr>
        <w:t xml:space="preserve"> </w:t>
      </w:r>
      <w:r w:rsidRPr="00EB0495">
        <w:rPr>
          <w:rFonts w:ascii="Arial" w:eastAsia="Calibri" w:hAnsi="Arial" w:cs="Arial"/>
          <w:sz w:val="24"/>
          <w:szCs w:val="24"/>
          <w:lang w:val="en-US"/>
        </w:rPr>
        <w:t>treatment arm</w:t>
      </w:r>
      <w:r w:rsidR="000C7C9C" w:rsidRPr="00EB0495">
        <w:rPr>
          <w:rFonts w:ascii="Arial" w:eastAsia="Calibri" w:hAnsi="Arial" w:cs="Arial"/>
          <w:sz w:val="24"/>
          <w:szCs w:val="24"/>
          <w:lang w:val="en-US"/>
        </w:rPr>
        <w:t>s</w:t>
      </w:r>
      <w:r w:rsidRPr="00EB0495">
        <w:rPr>
          <w:rFonts w:ascii="Arial" w:eastAsia="Calibri" w:hAnsi="Arial" w:cs="Arial"/>
          <w:sz w:val="24"/>
          <w:szCs w:val="24"/>
          <w:lang w:val="en-US"/>
        </w:rPr>
        <w:t>.</w:t>
      </w:r>
    </w:p>
    <w:p w14:paraId="354696AE" w14:textId="7959D4FA" w:rsidR="00AD6095" w:rsidRPr="00EB0495" w:rsidRDefault="00146F54" w:rsidP="009A5990">
      <w:pPr>
        <w:spacing w:after="240"/>
        <w:ind w:firstLine="720"/>
        <w:rPr>
          <w:rFonts w:ascii="Arial" w:eastAsia="Calibri" w:hAnsi="Arial" w:cs="Arial"/>
          <w:sz w:val="24"/>
          <w:szCs w:val="24"/>
          <w:lang w:val="en-US"/>
        </w:rPr>
      </w:pPr>
      <w:r w:rsidRPr="00EB0495">
        <w:rPr>
          <w:rFonts w:ascii="Arial" w:eastAsia="Calibri" w:hAnsi="Arial" w:cs="Arial"/>
          <w:sz w:val="24"/>
          <w:szCs w:val="24"/>
          <w:lang w:val="en-US"/>
        </w:rPr>
        <w:t xml:space="preserve">Post-progression mortality rates </w:t>
      </w:r>
      <w:r w:rsidR="00AD6095" w:rsidRPr="00EB0495">
        <w:rPr>
          <w:rFonts w:ascii="Arial" w:eastAsia="Calibri" w:hAnsi="Arial" w:cs="Arial"/>
          <w:sz w:val="24"/>
          <w:szCs w:val="24"/>
          <w:lang w:val="en-US"/>
        </w:rPr>
        <w:t xml:space="preserve">in </w:t>
      </w:r>
      <w:r w:rsidRPr="00EB0495">
        <w:rPr>
          <w:rFonts w:ascii="Arial" w:eastAsia="Calibri" w:hAnsi="Arial" w:cs="Arial"/>
          <w:sz w:val="24"/>
          <w:szCs w:val="24"/>
          <w:lang w:val="en-US"/>
        </w:rPr>
        <w:t xml:space="preserve">POD24 </w:t>
      </w:r>
      <w:r w:rsidR="000B19B6" w:rsidRPr="00EB0495">
        <w:rPr>
          <w:rFonts w:ascii="Arial" w:eastAsia="Calibri" w:hAnsi="Arial" w:cs="Arial"/>
          <w:sz w:val="24"/>
          <w:szCs w:val="24"/>
          <w:lang w:val="en-US"/>
        </w:rPr>
        <w:t xml:space="preserve">patients </w:t>
      </w:r>
      <w:r w:rsidR="00AD6095" w:rsidRPr="00EB0495">
        <w:rPr>
          <w:rFonts w:ascii="Arial" w:eastAsia="Calibri" w:hAnsi="Arial" w:cs="Arial"/>
          <w:sz w:val="24"/>
          <w:szCs w:val="24"/>
          <w:lang w:val="en-US"/>
        </w:rPr>
        <w:t xml:space="preserve">were estimated for all patients </w:t>
      </w:r>
      <w:r w:rsidR="000B19B6" w:rsidRPr="00EB0495">
        <w:rPr>
          <w:rFonts w:ascii="Arial" w:eastAsia="Calibri" w:hAnsi="Arial" w:cs="Arial"/>
          <w:sz w:val="24"/>
          <w:szCs w:val="24"/>
          <w:lang w:val="en-US"/>
        </w:rPr>
        <w:t xml:space="preserve">and for each </w:t>
      </w:r>
      <w:r w:rsidRPr="00EB0495">
        <w:rPr>
          <w:rFonts w:ascii="Arial" w:eastAsia="Calibri" w:hAnsi="Arial" w:cs="Arial"/>
          <w:sz w:val="24"/>
          <w:szCs w:val="24"/>
          <w:lang w:val="en-US"/>
        </w:rPr>
        <w:t xml:space="preserve">treatment </w:t>
      </w:r>
      <w:r w:rsidR="000B19B6" w:rsidRPr="00EB0495">
        <w:rPr>
          <w:rFonts w:ascii="Arial" w:eastAsia="Calibri" w:hAnsi="Arial" w:cs="Arial"/>
          <w:sz w:val="24"/>
          <w:szCs w:val="24"/>
          <w:lang w:val="en-US"/>
        </w:rPr>
        <w:t>arm</w:t>
      </w:r>
      <w:r w:rsidR="00AD6095" w:rsidRPr="00EB0495">
        <w:rPr>
          <w:rFonts w:ascii="Arial" w:eastAsia="Calibri" w:hAnsi="Arial" w:cs="Arial"/>
          <w:sz w:val="24"/>
          <w:szCs w:val="24"/>
          <w:lang w:val="en-US"/>
        </w:rPr>
        <w:t xml:space="preserve"> separately</w:t>
      </w:r>
      <w:r w:rsidR="000B19B6" w:rsidRPr="00EB0495">
        <w:rPr>
          <w:rFonts w:ascii="Arial" w:eastAsia="Calibri" w:hAnsi="Arial" w:cs="Arial"/>
          <w:sz w:val="24"/>
          <w:szCs w:val="24"/>
          <w:lang w:val="en-US"/>
        </w:rPr>
        <w:t>, and for patients who progressed between 0</w:t>
      </w:r>
      <w:r w:rsidR="00BA7FDB" w:rsidRPr="00EB0495">
        <w:rPr>
          <w:rFonts w:ascii="Arial" w:eastAsia="Calibri" w:hAnsi="Arial" w:cs="Arial"/>
          <w:sz w:val="24"/>
          <w:szCs w:val="24"/>
          <w:lang w:val="en-US"/>
        </w:rPr>
        <w:t>-</w:t>
      </w:r>
      <w:r w:rsidR="000B19B6" w:rsidRPr="00EB0495">
        <w:rPr>
          <w:rFonts w:ascii="Arial" w:eastAsia="Calibri" w:hAnsi="Arial" w:cs="Arial"/>
          <w:sz w:val="24"/>
          <w:szCs w:val="24"/>
          <w:lang w:val="en-US"/>
        </w:rPr>
        <w:t xml:space="preserve">6, </w:t>
      </w:r>
      <w:r w:rsidR="00FD6B0B" w:rsidRPr="00EB0495">
        <w:rPr>
          <w:rFonts w:ascii="Arial" w:eastAsia="Calibri" w:hAnsi="Arial" w:cs="Arial"/>
          <w:sz w:val="24"/>
          <w:szCs w:val="24"/>
          <w:lang w:val="en-US"/>
        </w:rPr>
        <w:t>&gt;</w:t>
      </w:r>
      <w:r w:rsidR="000B19B6" w:rsidRPr="00EB0495">
        <w:rPr>
          <w:rFonts w:ascii="Arial" w:eastAsia="Calibri" w:hAnsi="Arial" w:cs="Arial"/>
          <w:sz w:val="24"/>
          <w:szCs w:val="24"/>
          <w:lang w:val="en-US"/>
        </w:rPr>
        <w:t>6</w:t>
      </w:r>
      <w:r w:rsidR="00BA7FDB" w:rsidRPr="00EB0495">
        <w:rPr>
          <w:rFonts w:ascii="Arial" w:eastAsia="Calibri" w:hAnsi="Arial" w:cs="Arial"/>
          <w:sz w:val="24"/>
          <w:szCs w:val="24"/>
          <w:lang w:val="en-US"/>
        </w:rPr>
        <w:t>-</w:t>
      </w:r>
      <w:r w:rsidR="000B19B6" w:rsidRPr="00EB0495">
        <w:rPr>
          <w:rFonts w:ascii="Arial" w:eastAsia="Calibri" w:hAnsi="Arial" w:cs="Arial"/>
          <w:sz w:val="24"/>
          <w:szCs w:val="24"/>
          <w:lang w:val="en-US"/>
        </w:rPr>
        <w:t xml:space="preserve">12, </w:t>
      </w:r>
      <w:r w:rsidR="00FD6B0B" w:rsidRPr="00EB0495">
        <w:rPr>
          <w:rFonts w:ascii="Arial" w:eastAsia="Calibri" w:hAnsi="Arial" w:cs="Arial"/>
          <w:sz w:val="24"/>
          <w:szCs w:val="24"/>
          <w:lang w:val="en-US"/>
        </w:rPr>
        <w:t>&gt;</w:t>
      </w:r>
      <w:r w:rsidR="009A4CE4" w:rsidRPr="00EB0495">
        <w:rPr>
          <w:rFonts w:ascii="Arial" w:eastAsia="Calibri" w:hAnsi="Arial" w:cs="Arial"/>
          <w:sz w:val="24"/>
          <w:szCs w:val="24"/>
          <w:lang w:val="en-US"/>
        </w:rPr>
        <w:t>1</w:t>
      </w:r>
      <w:r w:rsidR="000B19B6" w:rsidRPr="00EB0495">
        <w:rPr>
          <w:rFonts w:ascii="Arial" w:eastAsia="Calibri" w:hAnsi="Arial" w:cs="Arial"/>
          <w:sz w:val="24"/>
          <w:szCs w:val="24"/>
          <w:lang w:val="en-US"/>
        </w:rPr>
        <w:t>2</w:t>
      </w:r>
      <w:r w:rsidR="00BA7FDB" w:rsidRPr="00EB0495">
        <w:rPr>
          <w:rFonts w:ascii="Arial" w:eastAsia="Calibri" w:hAnsi="Arial" w:cs="Arial"/>
          <w:sz w:val="24"/>
          <w:szCs w:val="24"/>
          <w:lang w:val="en-US"/>
        </w:rPr>
        <w:t>-</w:t>
      </w:r>
      <w:r w:rsidR="000B19B6" w:rsidRPr="00EB0495">
        <w:rPr>
          <w:rFonts w:ascii="Arial" w:eastAsia="Calibri" w:hAnsi="Arial" w:cs="Arial"/>
          <w:sz w:val="24"/>
          <w:szCs w:val="24"/>
          <w:lang w:val="en-US"/>
        </w:rPr>
        <w:t xml:space="preserve">18, and </w:t>
      </w:r>
      <w:r w:rsidR="00FD6B0B" w:rsidRPr="00EB0495">
        <w:rPr>
          <w:rFonts w:ascii="Arial" w:eastAsia="Calibri" w:hAnsi="Arial" w:cs="Arial"/>
          <w:sz w:val="24"/>
          <w:szCs w:val="24"/>
          <w:lang w:val="en-US"/>
        </w:rPr>
        <w:t>&gt;</w:t>
      </w:r>
      <w:r w:rsidR="000B19B6" w:rsidRPr="00EB0495">
        <w:rPr>
          <w:rFonts w:ascii="Arial" w:eastAsia="Calibri" w:hAnsi="Arial" w:cs="Arial"/>
          <w:sz w:val="24"/>
          <w:szCs w:val="24"/>
          <w:lang w:val="en-US"/>
        </w:rPr>
        <w:t>18</w:t>
      </w:r>
      <w:r w:rsidR="00BA7FDB" w:rsidRPr="00EB0495">
        <w:rPr>
          <w:rFonts w:ascii="Arial" w:eastAsia="Calibri" w:hAnsi="Arial" w:cs="Arial"/>
          <w:sz w:val="24"/>
          <w:szCs w:val="24"/>
          <w:lang w:val="en-US"/>
        </w:rPr>
        <w:t>-</w:t>
      </w:r>
      <w:r w:rsidR="000B19B6" w:rsidRPr="00EB0495">
        <w:rPr>
          <w:rFonts w:ascii="Arial" w:eastAsia="Calibri" w:hAnsi="Arial" w:cs="Arial"/>
          <w:sz w:val="24"/>
          <w:szCs w:val="24"/>
          <w:lang w:val="en-US"/>
        </w:rPr>
        <w:t>24 months from randomization</w:t>
      </w:r>
      <w:r w:rsidRPr="00EB0495">
        <w:rPr>
          <w:rFonts w:ascii="Arial" w:eastAsia="Calibri" w:hAnsi="Arial" w:cs="Arial"/>
          <w:sz w:val="24"/>
          <w:szCs w:val="24"/>
          <w:lang w:val="en-US"/>
        </w:rPr>
        <w:t>.</w:t>
      </w:r>
      <w:r w:rsidR="00115700" w:rsidRPr="00EB0495">
        <w:rPr>
          <w:rFonts w:ascii="Arial" w:eastAsia="Calibri" w:hAnsi="Arial" w:cs="Arial"/>
          <w:sz w:val="24"/>
          <w:szCs w:val="24"/>
          <w:lang w:val="en-US"/>
        </w:rPr>
        <w:t xml:space="preserve"> </w:t>
      </w:r>
      <w:r w:rsidR="000C7C9C" w:rsidRPr="00EB0495">
        <w:rPr>
          <w:rFonts w:ascii="Arial" w:eastAsia="Calibri" w:hAnsi="Arial" w:cs="Arial"/>
          <w:sz w:val="24"/>
          <w:szCs w:val="24"/>
          <w:lang w:val="en-US"/>
        </w:rPr>
        <w:t xml:space="preserve">NoPOD24 mortality </w:t>
      </w:r>
      <w:r w:rsidR="00115700" w:rsidRPr="00EB0495">
        <w:rPr>
          <w:rFonts w:ascii="Arial" w:eastAsia="Calibri" w:hAnsi="Arial" w:cs="Arial"/>
          <w:sz w:val="24"/>
          <w:szCs w:val="24"/>
          <w:lang w:val="en-US"/>
        </w:rPr>
        <w:t xml:space="preserve">rates </w:t>
      </w:r>
      <w:r w:rsidR="0079126F" w:rsidRPr="00EB0495">
        <w:rPr>
          <w:rFonts w:ascii="Arial" w:eastAsia="Calibri" w:hAnsi="Arial" w:cs="Arial"/>
          <w:sz w:val="24"/>
          <w:szCs w:val="24"/>
          <w:lang w:val="en-US"/>
        </w:rPr>
        <w:t xml:space="preserve">(overall and by treatment arm) </w:t>
      </w:r>
      <w:r w:rsidR="00115700" w:rsidRPr="00EB0495">
        <w:rPr>
          <w:rFonts w:ascii="Arial" w:eastAsia="Calibri" w:hAnsi="Arial" w:cs="Arial"/>
          <w:sz w:val="24"/>
          <w:szCs w:val="24"/>
          <w:lang w:val="en-US"/>
        </w:rPr>
        <w:t xml:space="preserve">were </w:t>
      </w:r>
      <w:r w:rsidR="00103833" w:rsidRPr="00EB0495">
        <w:rPr>
          <w:rFonts w:ascii="Arial" w:eastAsia="Calibri" w:hAnsi="Arial" w:cs="Arial"/>
          <w:sz w:val="24"/>
          <w:szCs w:val="24"/>
          <w:lang w:val="en-US"/>
        </w:rPr>
        <w:t>also calculated.</w:t>
      </w:r>
      <w:r w:rsidR="00626205" w:rsidRPr="00EB0495">
        <w:rPr>
          <w:rFonts w:ascii="Arial" w:eastAsia="Calibri" w:hAnsi="Arial" w:cs="Arial"/>
          <w:sz w:val="24"/>
          <w:szCs w:val="24"/>
          <w:lang w:val="en-US"/>
        </w:rPr>
        <w:t xml:space="preserve"> </w:t>
      </w:r>
    </w:p>
    <w:p w14:paraId="6EA140F4" w14:textId="2A70B882" w:rsidR="00E91DCD" w:rsidRPr="00EB0495" w:rsidRDefault="00E91DCD" w:rsidP="00AD6095">
      <w:pPr>
        <w:spacing w:after="240"/>
        <w:rPr>
          <w:rFonts w:ascii="Arial" w:eastAsia="Calibri" w:hAnsi="Arial" w:cs="Arial"/>
          <w:b/>
          <w:bCs/>
          <w:sz w:val="24"/>
          <w:szCs w:val="24"/>
          <w:lang w:val="en-US"/>
        </w:rPr>
      </w:pPr>
    </w:p>
    <w:p w14:paraId="700F5F95" w14:textId="4A43EC7D" w:rsidR="00BD1145" w:rsidRPr="00EB0495" w:rsidRDefault="009A5990" w:rsidP="00AD6095">
      <w:pPr>
        <w:spacing w:after="240"/>
        <w:rPr>
          <w:rFonts w:ascii="Arial" w:eastAsia="Calibri" w:hAnsi="Arial" w:cs="Arial"/>
          <w:sz w:val="24"/>
          <w:szCs w:val="24"/>
          <w:lang w:val="en-US"/>
        </w:rPr>
      </w:pPr>
      <w:r w:rsidRPr="00EB0495">
        <w:rPr>
          <w:rFonts w:ascii="Arial" w:eastAsia="Calibri" w:hAnsi="Arial" w:cs="Arial"/>
          <w:b/>
          <w:bCs/>
          <w:sz w:val="24"/>
          <w:szCs w:val="24"/>
          <w:lang w:val="en-US"/>
        </w:rPr>
        <w:t>RESULTS</w:t>
      </w:r>
    </w:p>
    <w:p w14:paraId="18D2D72F" w14:textId="3C07AA4F" w:rsidR="00BD1145" w:rsidRPr="00EB0495" w:rsidRDefault="009C37F3" w:rsidP="00234282">
      <w:pPr>
        <w:keepNext/>
        <w:spacing w:after="240"/>
        <w:rPr>
          <w:rFonts w:ascii="Arial" w:eastAsia="Calibri" w:hAnsi="Arial" w:cs="Arial"/>
          <w:b/>
          <w:sz w:val="24"/>
          <w:szCs w:val="24"/>
          <w:lang w:val="en-US"/>
        </w:rPr>
      </w:pPr>
      <w:r w:rsidRPr="00EB0495">
        <w:rPr>
          <w:rFonts w:ascii="Arial" w:eastAsia="Calibri" w:hAnsi="Arial" w:cs="Arial"/>
          <w:b/>
          <w:bCs/>
          <w:i/>
          <w:sz w:val="24"/>
          <w:szCs w:val="24"/>
          <w:lang w:val="en-US"/>
        </w:rPr>
        <w:t xml:space="preserve">Disposition </w:t>
      </w:r>
      <w:r w:rsidR="009A5990" w:rsidRPr="00EB0495">
        <w:rPr>
          <w:rFonts w:ascii="Arial" w:eastAsia="Calibri" w:hAnsi="Arial" w:cs="Arial"/>
          <w:b/>
          <w:bCs/>
          <w:i/>
          <w:sz w:val="24"/>
          <w:szCs w:val="24"/>
          <w:lang w:val="en-US"/>
        </w:rPr>
        <w:t xml:space="preserve">and </w:t>
      </w:r>
      <w:r w:rsidR="0049584D" w:rsidRPr="00EB0495">
        <w:rPr>
          <w:rFonts w:ascii="Arial" w:eastAsia="Calibri" w:hAnsi="Arial" w:cs="Arial"/>
          <w:b/>
          <w:bCs/>
          <w:i/>
          <w:sz w:val="24"/>
          <w:szCs w:val="24"/>
          <w:lang w:val="en-US"/>
        </w:rPr>
        <w:t>p</w:t>
      </w:r>
      <w:r w:rsidR="009A5990" w:rsidRPr="00EB0495">
        <w:rPr>
          <w:rFonts w:ascii="Arial" w:eastAsia="Calibri" w:hAnsi="Arial" w:cs="Arial"/>
          <w:b/>
          <w:bCs/>
          <w:i/>
          <w:sz w:val="24"/>
          <w:szCs w:val="24"/>
          <w:lang w:val="en-US"/>
        </w:rPr>
        <w:t xml:space="preserve">atient </w:t>
      </w:r>
      <w:r w:rsidR="0049584D" w:rsidRPr="00EB0495">
        <w:rPr>
          <w:rFonts w:ascii="Arial" w:eastAsia="Calibri" w:hAnsi="Arial" w:cs="Arial"/>
          <w:b/>
          <w:bCs/>
          <w:i/>
          <w:sz w:val="24"/>
          <w:szCs w:val="24"/>
          <w:lang w:val="en-US"/>
        </w:rPr>
        <w:t>c</w:t>
      </w:r>
      <w:r w:rsidR="009A5990" w:rsidRPr="00EB0495">
        <w:rPr>
          <w:rFonts w:ascii="Arial" w:eastAsia="Calibri" w:hAnsi="Arial" w:cs="Arial"/>
          <w:b/>
          <w:bCs/>
          <w:i/>
          <w:sz w:val="24"/>
          <w:szCs w:val="24"/>
          <w:lang w:val="en-US"/>
        </w:rPr>
        <w:t>haracteristics</w:t>
      </w:r>
    </w:p>
    <w:p w14:paraId="548428F7" w14:textId="086B2150" w:rsidR="009317EA" w:rsidRPr="00EB0495" w:rsidRDefault="00484C29" w:rsidP="00493520">
      <w:pPr>
        <w:keepNext/>
        <w:spacing w:after="240"/>
        <w:ind w:firstLine="720"/>
        <w:rPr>
          <w:rFonts w:ascii="Arial" w:eastAsia="Calibri" w:hAnsi="Arial" w:cs="Arial"/>
          <w:sz w:val="24"/>
          <w:szCs w:val="24"/>
          <w:lang w:val="en-US"/>
        </w:rPr>
      </w:pPr>
      <w:r w:rsidRPr="00EB0495">
        <w:rPr>
          <w:rFonts w:ascii="Arial" w:eastAsia="Calibri" w:hAnsi="Arial" w:cs="Arial"/>
          <w:sz w:val="24"/>
          <w:szCs w:val="24"/>
          <w:lang w:val="en-US"/>
        </w:rPr>
        <w:t>Of 1202</w:t>
      </w:r>
      <w:r w:rsidR="00A2270E" w:rsidRPr="00EB0495">
        <w:rPr>
          <w:rFonts w:ascii="Arial" w:eastAsia="Calibri" w:hAnsi="Arial" w:cs="Arial"/>
          <w:sz w:val="24"/>
          <w:szCs w:val="24"/>
          <w:lang w:val="en-US"/>
        </w:rPr>
        <w:t xml:space="preserve"> </w:t>
      </w:r>
      <w:r w:rsidR="008A3101" w:rsidRPr="00EB0495">
        <w:rPr>
          <w:rFonts w:ascii="Arial" w:eastAsia="Calibri" w:hAnsi="Arial" w:cs="Arial"/>
          <w:sz w:val="24"/>
          <w:szCs w:val="24"/>
          <w:lang w:val="en-US"/>
        </w:rPr>
        <w:t>patients with</w:t>
      </w:r>
      <w:r w:rsidRPr="00EB0495">
        <w:rPr>
          <w:rFonts w:ascii="Arial" w:eastAsia="Calibri" w:hAnsi="Arial" w:cs="Arial"/>
          <w:sz w:val="24"/>
          <w:szCs w:val="24"/>
          <w:lang w:val="en-US"/>
        </w:rPr>
        <w:t xml:space="preserve"> FL</w:t>
      </w:r>
      <w:r w:rsidR="0017541B" w:rsidRPr="00EB0495">
        <w:rPr>
          <w:rFonts w:ascii="Arial" w:eastAsia="Calibri" w:hAnsi="Arial" w:cs="Arial"/>
          <w:sz w:val="24"/>
          <w:szCs w:val="24"/>
          <w:lang w:val="en-US"/>
        </w:rPr>
        <w:t xml:space="preserve"> </w:t>
      </w:r>
      <w:r w:rsidR="00A2270E" w:rsidRPr="00EB0495">
        <w:rPr>
          <w:rFonts w:ascii="Arial" w:eastAsia="Calibri" w:hAnsi="Arial" w:cs="Arial"/>
          <w:sz w:val="24"/>
          <w:szCs w:val="24"/>
          <w:lang w:val="en-US"/>
        </w:rPr>
        <w:t xml:space="preserve">randomized </w:t>
      </w:r>
      <w:r w:rsidR="0017541B" w:rsidRPr="00EB0495">
        <w:rPr>
          <w:rFonts w:ascii="Arial" w:eastAsia="Calibri" w:hAnsi="Arial" w:cs="Arial"/>
          <w:sz w:val="24"/>
          <w:szCs w:val="24"/>
          <w:lang w:val="en-US"/>
        </w:rPr>
        <w:t>in GALLIUM (</w:t>
      </w:r>
      <w:r w:rsidR="00BA7FDB" w:rsidRPr="00EB0495">
        <w:rPr>
          <w:rFonts w:ascii="Arial" w:eastAsia="Calibri" w:hAnsi="Arial" w:cs="Arial"/>
          <w:i/>
          <w:sz w:val="24"/>
          <w:szCs w:val="24"/>
          <w:lang w:val="en-US"/>
        </w:rPr>
        <w:t>Online Supplementary Figure S1</w:t>
      </w:r>
      <w:r w:rsidR="0017541B" w:rsidRPr="00EB0495">
        <w:rPr>
          <w:rFonts w:ascii="Arial" w:eastAsia="Calibri" w:hAnsi="Arial" w:cs="Arial"/>
          <w:sz w:val="24"/>
          <w:szCs w:val="24"/>
          <w:lang w:val="en-US"/>
        </w:rPr>
        <w:t>)</w:t>
      </w:r>
      <w:r w:rsidRPr="00EB0495">
        <w:rPr>
          <w:rFonts w:ascii="Arial" w:eastAsia="Calibri" w:hAnsi="Arial" w:cs="Arial"/>
          <w:sz w:val="24"/>
          <w:szCs w:val="24"/>
          <w:lang w:val="en-US"/>
        </w:rPr>
        <w:t xml:space="preserve">, </w:t>
      </w:r>
      <w:r w:rsidR="009D0865" w:rsidRPr="00EB0495">
        <w:rPr>
          <w:rFonts w:ascii="Arial" w:eastAsia="Calibri" w:hAnsi="Arial" w:cs="Arial"/>
          <w:sz w:val="24"/>
          <w:szCs w:val="24"/>
          <w:lang w:val="en-US"/>
        </w:rPr>
        <w:t xml:space="preserve">1071 </w:t>
      </w:r>
      <w:r w:rsidRPr="00EB0495">
        <w:rPr>
          <w:rFonts w:ascii="Arial" w:eastAsia="Calibri" w:hAnsi="Arial" w:cs="Arial"/>
          <w:sz w:val="24"/>
          <w:szCs w:val="24"/>
          <w:lang w:val="en-US"/>
        </w:rPr>
        <w:t xml:space="preserve">were </w:t>
      </w:r>
      <w:r w:rsidR="009C37F3" w:rsidRPr="00EB0495">
        <w:rPr>
          <w:rFonts w:ascii="Arial" w:eastAsia="Calibri" w:hAnsi="Arial" w:cs="Arial"/>
          <w:sz w:val="24"/>
          <w:szCs w:val="24"/>
          <w:lang w:val="en-US"/>
        </w:rPr>
        <w:t xml:space="preserve">followed </w:t>
      </w:r>
      <w:r w:rsidR="00F067A7" w:rsidRPr="00EB0495">
        <w:rPr>
          <w:rFonts w:ascii="Arial" w:eastAsia="Calibri" w:hAnsi="Arial" w:cs="Arial"/>
          <w:sz w:val="24"/>
          <w:szCs w:val="24"/>
          <w:lang w:val="en-US"/>
        </w:rPr>
        <w:t xml:space="preserve">for response </w:t>
      </w:r>
      <w:r w:rsidRPr="00EB0495">
        <w:rPr>
          <w:rFonts w:ascii="Arial" w:eastAsia="Calibri" w:hAnsi="Arial" w:cs="Arial"/>
          <w:sz w:val="24"/>
          <w:szCs w:val="24"/>
          <w:lang w:val="en-US"/>
        </w:rPr>
        <w:t xml:space="preserve">until at least </w:t>
      </w:r>
      <w:r w:rsidR="009C37F3" w:rsidRPr="00EB0495">
        <w:rPr>
          <w:rFonts w:ascii="Arial" w:eastAsia="Calibri" w:hAnsi="Arial" w:cs="Arial"/>
          <w:sz w:val="24"/>
          <w:szCs w:val="24"/>
          <w:lang w:val="en-US"/>
        </w:rPr>
        <w:t>24 months post-randomization and evaluated for POD</w:t>
      </w:r>
      <w:r w:rsidR="00AA46C6" w:rsidRPr="00EB0495">
        <w:rPr>
          <w:rFonts w:ascii="Arial" w:eastAsia="Calibri" w:hAnsi="Arial" w:cs="Arial"/>
          <w:sz w:val="24"/>
          <w:szCs w:val="24"/>
          <w:lang w:val="en-US"/>
        </w:rPr>
        <w:t>24</w:t>
      </w:r>
      <w:r w:rsidR="009C37F3" w:rsidRPr="00EB0495">
        <w:rPr>
          <w:rFonts w:ascii="Arial" w:eastAsia="Calibri" w:hAnsi="Arial" w:cs="Arial"/>
          <w:sz w:val="24"/>
          <w:szCs w:val="24"/>
          <w:lang w:val="en-US"/>
        </w:rPr>
        <w:t xml:space="preserve"> status.</w:t>
      </w:r>
      <w:r w:rsidRPr="00EB0495">
        <w:rPr>
          <w:rFonts w:ascii="Arial" w:eastAsia="Calibri" w:hAnsi="Arial" w:cs="Arial"/>
          <w:sz w:val="24"/>
          <w:szCs w:val="24"/>
          <w:lang w:val="en-US"/>
        </w:rPr>
        <w:t xml:space="preserve"> </w:t>
      </w:r>
      <w:r w:rsidR="00840C54" w:rsidRPr="00EB0495">
        <w:rPr>
          <w:rFonts w:ascii="Arial" w:eastAsia="Calibri" w:hAnsi="Arial" w:cs="Arial"/>
          <w:sz w:val="24"/>
          <w:szCs w:val="24"/>
          <w:lang w:val="en-US"/>
        </w:rPr>
        <w:t>For the remaining 131 patients, f</w:t>
      </w:r>
      <w:r w:rsidRPr="00EB0495">
        <w:rPr>
          <w:rFonts w:ascii="Arial" w:eastAsia="Calibri" w:hAnsi="Arial" w:cs="Arial"/>
          <w:sz w:val="24"/>
          <w:szCs w:val="24"/>
          <w:lang w:val="en-US"/>
        </w:rPr>
        <w:t>ollow-up was incomplete</w:t>
      </w:r>
      <w:r w:rsidR="00840C54" w:rsidRPr="00EB0495">
        <w:rPr>
          <w:rFonts w:ascii="Arial" w:eastAsia="Calibri" w:hAnsi="Arial" w:cs="Arial"/>
          <w:sz w:val="24"/>
          <w:szCs w:val="24"/>
          <w:lang w:val="en-US"/>
        </w:rPr>
        <w:t xml:space="preserve"> (mostly due to study discontinuation):</w:t>
      </w:r>
      <w:r w:rsidRPr="00EB0495">
        <w:rPr>
          <w:rFonts w:ascii="Arial" w:eastAsia="Calibri" w:hAnsi="Arial" w:cs="Arial"/>
          <w:sz w:val="24"/>
          <w:szCs w:val="24"/>
          <w:lang w:val="en-US"/>
        </w:rPr>
        <w:t xml:space="preserve"> </w:t>
      </w:r>
      <w:r w:rsidR="00840C54" w:rsidRPr="00EB0495">
        <w:rPr>
          <w:rFonts w:ascii="Arial" w:eastAsia="Calibri" w:hAnsi="Arial" w:cs="Arial"/>
          <w:sz w:val="24"/>
          <w:szCs w:val="24"/>
          <w:lang w:val="en-US"/>
        </w:rPr>
        <w:t xml:space="preserve">23 of these patients </w:t>
      </w:r>
      <w:r w:rsidR="00105141" w:rsidRPr="00EB0495">
        <w:rPr>
          <w:rFonts w:ascii="Arial" w:eastAsia="Calibri" w:hAnsi="Arial" w:cs="Arial"/>
          <w:sz w:val="24"/>
          <w:szCs w:val="24"/>
          <w:lang w:val="en-US"/>
        </w:rPr>
        <w:t>died from non-</w:t>
      </w:r>
      <w:r w:rsidR="00A201DF" w:rsidRPr="00EB0495">
        <w:rPr>
          <w:rFonts w:ascii="Arial" w:eastAsia="Calibri" w:hAnsi="Arial" w:cs="Arial"/>
          <w:sz w:val="24"/>
          <w:szCs w:val="24"/>
          <w:lang w:val="en-US"/>
        </w:rPr>
        <w:t>PD related causes without prior</w:t>
      </w:r>
      <w:r w:rsidR="00105141" w:rsidRPr="00EB0495">
        <w:rPr>
          <w:rFonts w:ascii="Arial" w:eastAsia="Calibri" w:hAnsi="Arial" w:cs="Arial"/>
          <w:sz w:val="24"/>
          <w:szCs w:val="24"/>
          <w:lang w:val="en-US"/>
        </w:rPr>
        <w:t xml:space="preserve"> </w:t>
      </w:r>
      <w:r w:rsidR="00840C54" w:rsidRPr="00EB0495">
        <w:rPr>
          <w:rFonts w:ascii="Arial" w:eastAsia="Calibri" w:hAnsi="Arial" w:cs="Arial"/>
          <w:sz w:val="24"/>
          <w:szCs w:val="24"/>
          <w:lang w:val="en-US"/>
        </w:rPr>
        <w:t>PD</w:t>
      </w:r>
      <w:r w:rsidRPr="00EB0495">
        <w:rPr>
          <w:rFonts w:ascii="Arial" w:eastAsia="Calibri" w:hAnsi="Arial" w:cs="Arial"/>
          <w:sz w:val="24"/>
          <w:szCs w:val="24"/>
          <w:lang w:val="en-US"/>
        </w:rPr>
        <w:t xml:space="preserve">. </w:t>
      </w:r>
      <w:r w:rsidR="00AD6095" w:rsidRPr="00EB0495">
        <w:rPr>
          <w:rFonts w:ascii="Arial" w:eastAsia="Calibri" w:hAnsi="Arial" w:cs="Arial"/>
          <w:sz w:val="24"/>
          <w:szCs w:val="24"/>
          <w:lang w:val="en-US"/>
        </w:rPr>
        <w:t>POD24 events occurred in a total of 155 patients (</w:t>
      </w:r>
      <w:r w:rsidR="003C7551" w:rsidRPr="00EB0495">
        <w:rPr>
          <w:rFonts w:ascii="Arial" w:eastAsia="Calibri" w:hAnsi="Arial" w:cs="Arial"/>
          <w:sz w:val="24"/>
          <w:szCs w:val="24"/>
          <w:lang w:val="en-US"/>
        </w:rPr>
        <w:t xml:space="preserve">12.9%), of whom 41 died </w:t>
      </w:r>
      <w:r w:rsidR="00CF0FE6" w:rsidRPr="00EB0495">
        <w:rPr>
          <w:rFonts w:ascii="Arial" w:eastAsia="Calibri" w:hAnsi="Arial" w:cs="Arial"/>
          <w:sz w:val="24"/>
          <w:szCs w:val="24"/>
          <w:lang w:val="en-US"/>
        </w:rPr>
        <w:t xml:space="preserve">within </w:t>
      </w:r>
      <w:r w:rsidR="003C7551" w:rsidRPr="00EB0495">
        <w:rPr>
          <w:rFonts w:ascii="Arial" w:eastAsia="Calibri" w:hAnsi="Arial" w:cs="Arial"/>
          <w:sz w:val="24"/>
          <w:szCs w:val="24"/>
          <w:lang w:val="en-US"/>
        </w:rPr>
        <w:t xml:space="preserve">24 months </w:t>
      </w:r>
      <w:r w:rsidR="00CF0FE6" w:rsidRPr="00EB0495">
        <w:rPr>
          <w:rFonts w:ascii="Arial" w:eastAsia="Calibri" w:hAnsi="Arial" w:cs="Arial"/>
          <w:sz w:val="24"/>
          <w:szCs w:val="24"/>
          <w:lang w:val="en-US"/>
        </w:rPr>
        <w:t xml:space="preserve">of </w:t>
      </w:r>
      <w:r w:rsidR="003C7551" w:rsidRPr="00EB0495">
        <w:rPr>
          <w:rFonts w:ascii="Arial" w:eastAsia="Calibri" w:hAnsi="Arial" w:cs="Arial"/>
          <w:sz w:val="24"/>
          <w:szCs w:val="24"/>
          <w:lang w:val="en-US"/>
        </w:rPr>
        <w:t>randomization</w:t>
      </w:r>
      <w:r w:rsidR="005313AD" w:rsidRPr="00EB0495">
        <w:rPr>
          <w:rFonts w:ascii="Arial" w:eastAsia="Calibri" w:hAnsi="Arial" w:cs="Arial"/>
          <w:sz w:val="24"/>
          <w:szCs w:val="24"/>
          <w:lang w:val="en-US"/>
        </w:rPr>
        <w:t>;</w:t>
      </w:r>
      <w:r w:rsidR="0007681E" w:rsidRPr="00EB0495">
        <w:rPr>
          <w:rFonts w:ascii="Arial" w:eastAsia="Calibri" w:hAnsi="Arial" w:cs="Arial"/>
          <w:sz w:val="24"/>
          <w:szCs w:val="24"/>
          <w:lang w:val="en-US"/>
        </w:rPr>
        <w:t xml:space="preserve"> </w:t>
      </w:r>
      <w:r w:rsidR="003C7551" w:rsidRPr="00EB0495">
        <w:rPr>
          <w:rFonts w:ascii="Arial" w:eastAsia="Calibri" w:hAnsi="Arial" w:cs="Arial"/>
          <w:sz w:val="24"/>
          <w:szCs w:val="24"/>
          <w:lang w:val="en-US"/>
        </w:rPr>
        <w:t>916 patients had no POD24 event after at least 24 months’ follow-up</w:t>
      </w:r>
      <w:r w:rsidR="00591C96" w:rsidRPr="00EB0495">
        <w:rPr>
          <w:rFonts w:ascii="Arial" w:eastAsia="Calibri" w:hAnsi="Arial" w:cs="Arial"/>
          <w:sz w:val="24"/>
          <w:szCs w:val="24"/>
          <w:lang w:val="en-US"/>
        </w:rPr>
        <w:t xml:space="preserve"> </w:t>
      </w:r>
      <w:r w:rsidRPr="00EB0495">
        <w:rPr>
          <w:rFonts w:ascii="Arial" w:eastAsia="Calibri" w:hAnsi="Arial" w:cs="Arial"/>
          <w:sz w:val="24"/>
          <w:szCs w:val="24"/>
          <w:lang w:val="en-US"/>
        </w:rPr>
        <w:t>(</w:t>
      </w:r>
      <w:r w:rsidR="00BA7FDB" w:rsidRPr="00EB0495">
        <w:rPr>
          <w:rFonts w:ascii="Arial" w:eastAsia="Calibri" w:hAnsi="Arial" w:cs="Arial"/>
          <w:i/>
          <w:sz w:val="24"/>
          <w:szCs w:val="24"/>
          <w:lang w:val="en-US"/>
        </w:rPr>
        <w:t>Online Supplementary Table S</w:t>
      </w:r>
      <w:r w:rsidR="0049584D" w:rsidRPr="00EB0495">
        <w:rPr>
          <w:rFonts w:ascii="Arial" w:eastAsia="Calibri" w:hAnsi="Arial" w:cs="Arial"/>
          <w:i/>
          <w:sz w:val="24"/>
          <w:szCs w:val="24"/>
          <w:lang w:val="en-US"/>
        </w:rPr>
        <w:t>1</w:t>
      </w:r>
      <w:r w:rsidRPr="00EB0495">
        <w:rPr>
          <w:rFonts w:ascii="Arial" w:eastAsia="Calibri" w:hAnsi="Arial" w:cs="Arial"/>
          <w:i/>
          <w:sz w:val="24"/>
          <w:szCs w:val="24"/>
          <w:lang w:val="en-US"/>
        </w:rPr>
        <w:t>)</w:t>
      </w:r>
      <w:r w:rsidR="003C7551" w:rsidRPr="00EB0495">
        <w:rPr>
          <w:rFonts w:ascii="Arial" w:eastAsia="Calibri" w:hAnsi="Arial" w:cs="Arial"/>
          <w:sz w:val="24"/>
          <w:szCs w:val="24"/>
          <w:lang w:val="en-US"/>
        </w:rPr>
        <w:t>.</w:t>
      </w:r>
      <w:r w:rsidR="00493520" w:rsidRPr="00EB0495">
        <w:rPr>
          <w:rFonts w:ascii="Arial" w:eastAsia="Calibri" w:hAnsi="Arial" w:cs="Arial"/>
          <w:sz w:val="24"/>
          <w:szCs w:val="24"/>
          <w:lang w:val="en-US"/>
        </w:rPr>
        <w:t xml:space="preserve"> The data cutoff for this analysis was September 10, 2016, giving a median follow-up of 41 months.</w:t>
      </w:r>
    </w:p>
    <w:p w14:paraId="6B95E9E2" w14:textId="10643975" w:rsidR="004E3A88" w:rsidRPr="00EB0495" w:rsidRDefault="00AD6095" w:rsidP="009A5990">
      <w:pPr>
        <w:keepNext/>
        <w:spacing w:after="240"/>
        <w:ind w:firstLine="720"/>
        <w:rPr>
          <w:rFonts w:ascii="Arial" w:eastAsia="Calibri" w:hAnsi="Arial" w:cs="Arial"/>
          <w:i/>
          <w:sz w:val="24"/>
          <w:szCs w:val="24"/>
          <w:lang w:val="en-US"/>
        </w:rPr>
      </w:pPr>
      <w:r w:rsidRPr="00EB0495">
        <w:rPr>
          <w:rFonts w:ascii="Arial" w:eastAsia="Calibri" w:hAnsi="Arial" w:cs="Arial"/>
          <w:sz w:val="24"/>
          <w:szCs w:val="24"/>
          <w:lang w:val="en-US"/>
        </w:rPr>
        <w:t>B</w:t>
      </w:r>
      <w:r w:rsidR="000B19B6" w:rsidRPr="00EB0495">
        <w:rPr>
          <w:rFonts w:ascii="Arial" w:eastAsia="Calibri" w:hAnsi="Arial" w:cs="Arial"/>
          <w:sz w:val="24"/>
          <w:szCs w:val="24"/>
          <w:lang w:val="en-US"/>
        </w:rPr>
        <w:t xml:space="preserve">aseline characteristics </w:t>
      </w:r>
      <w:r w:rsidRPr="00EB0495">
        <w:rPr>
          <w:rFonts w:ascii="Arial" w:eastAsia="Calibri" w:hAnsi="Arial" w:cs="Arial"/>
          <w:sz w:val="24"/>
          <w:szCs w:val="24"/>
          <w:lang w:val="en-US"/>
        </w:rPr>
        <w:t xml:space="preserve">for POD24 and noPOD24 patients showed some notable differences </w:t>
      </w:r>
      <w:r w:rsidR="000B19B6" w:rsidRPr="00EB0495">
        <w:rPr>
          <w:rFonts w:ascii="Arial" w:eastAsia="Calibri" w:hAnsi="Arial" w:cs="Arial"/>
          <w:sz w:val="24"/>
          <w:szCs w:val="24"/>
          <w:lang w:val="en-US"/>
        </w:rPr>
        <w:t>(Table 1).</w:t>
      </w:r>
      <w:r w:rsidR="00FA747F" w:rsidRPr="00EB0495">
        <w:rPr>
          <w:rFonts w:ascii="Arial" w:eastAsia="Calibri" w:hAnsi="Arial" w:cs="Arial"/>
          <w:sz w:val="24"/>
          <w:szCs w:val="24"/>
          <w:lang w:val="en-US"/>
        </w:rPr>
        <w:t xml:space="preserve"> </w:t>
      </w:r>
      <w:r w:rsidRPr="00EB0495">
        <w:rPr>
          <w:rFonts w:ascii="Arial" w:eastAsia="Calibri" w:hAnsi="Arial" w:cs="Arial"/>
          <w:sz w:val="24"/>
          <w:szCs w:val="24"/>
          <w:lang w:val="en-US"/>
        </w:rPr>
        <w:t xml:space="preserve">Compared with noPOD24 patients, </w:t>
      </w:r>
      <w:r w:rsidR="000B19B6" w:rsidRPr="00EB0495">
        <w:rPr>
          <w:rFonts w:ascii="Arial" w:eastAsia="Calibri" w:hAnsi="Arial" w:cs="Arial"/>
          <w:sz w:val="24"/>
          <w:szCs w:val="24"/>
          <w:lang w:val="en-US"/>
        </w:rPr>
        <w:t xml:space="preserve">POD24 patients </w:t>
      </w:r>
      <w:r w:rsidRPr="00EB0495">
        <w:rPr>
          <w:rFonts w:ascii="Arial" w:eastAsia="Calibri" w:hAnsi="Arial" w:cs="Arial"/>
          <w:sz w:val="24"/>
          <w:szCs w:val="24"/>
          <w:lang w:val="en-US"/>
        </w:rPr>
        <w:t xml:space="preserve">were more likely to </w:t>
      </w:r>
      <w:r w:rsidR="00867605" w:rsidRPr="00EB0495">
        <w:rPr>
          <w:rFonts w:ascii="Arial" w:eastAsia="Calibri" w:hAnsi="Arial" w:cs="Arial"/>
          <w:sz w:val="24"/>
          <w:szCs w:val="24"/>
          <w:lang w:val="en-US"/>
        </w:rPr>
        <w:t xml:space="preserve">have </w:t>
      </w:r>
      <w:r w:rsidR="00B23B88" w:rsidRPr="00EB0495">
        <w:rPr>
          <w:rFonts w:ascii="Arial" w:eastAsia="Calibri" w:hAnsi="Arial" w:cs="Arial"/>
          <w:sz w:val="24"/>
          <w:szCs w:val="24"/>
          <w:lang w:val="en-US"/>
        </w:rPr>
        <w:t>the following features</w:t>
      </w:r>
      <w:r w:rsidR="00DB0715" w:rsidRPr="00EB0495">
        <w:rPr>
          <w:rFonts w:ascii="Arial" w:eastAsia="Calibri" w:hAnsi="Arial" w:cs="Arial"/>
          <w:sz w:val="24"/>
          <w:szCs w:val="24"/>
          <w:lang w:val="en-US"/>
        </w:rPr>
        <w:t>:</w:t>
      </w:r>
      <w:r w:rsidR="00B23B88" w:rsidRPr="00EB0495">
        <w:rPr>
          <w:rFonts w:ascii="Arial" w:eastAsia="Calibri" w:hAnsi="Arial" w:cs="Arial"/>
          <w:sz w:val="24"/>
          <w:szCs w:val="24"/>
          <w:lang w:val="en-US"/>
        </w:rPr>
        <w:t xml:space="preserve"> </w:t>
      </w:r>
      <w:r w:rsidR="00CE5767" w:rsidRPr="00EB0495">
        <w:rPr>
          <w:rFonts w:ascii="Arial" w:eastAsia="Calibri" w:hAnsi="Arial" w:cs="Arial"/>
          <w:sz w:val="24"/>
          <w:szCs w:val="24"/>
          <w:lang w:val="en-US"/>
        </w:rPr>
        <w:t>male</w:t>
      </w:r>
      <w:r w:rsidR="00955282" w:rsidRPr="00EB0495">
        <w:rPr>
          <w:rFonts w:ascii="Arial" w:eastAsia="Calibri" w:hAnsi="Arial" w:cs="Arial"/>
          <w:sz w:val="24"/>
          <w:szCs w:val="24"/>
          <w:lang w:val="en-US"/>
        </w:rPr>
        <w:t xml:space="preserve"> sex</w:t>
      </w:r>
      <w:r w:rsidR="00CE5767" w:rsidRPr="00EB0495">
        <w:rPr>
          <w:rFonts w:ascii="Arial" w:eastAsia="Calibri" w:hAnsi="Arial" w:cs="Arial"/>
          <w:sz w:val="24"/>
          <w:szCs w:val="24"/>
          <w:lang w:val="en-US"/>
        </w:rPr>
        <w:t xml:space="preserve">, stage IV disease, </w:t>
      </w:r>
      <w:r w:rsidR="009479D2" w:rsidRPr="00EB0495">
        <w:rPr>
          <w:rFonts w:ascii="Arial" w:eastAsia="Calibri" w:hAnsi="Arial" w:cs="Arial"/>
          <w:sz w:val="24"/>
          <w:szCs w:val="24"/>
          <w:lang w:val="en-US"/>
        </w:rPr>
        <w:t>g</w:t>
      </w:r>
      <w:r w:rsidR="00CE5767" w:rsidRPr="00EB0495">
        <w:rPr>
          <w:rFonts w:ascii="Arial" w:eastAsia="Calibri" w:hAnsi="Arial" w:cs="Arial"/>
          <w:sz w:val="24"/>
          <w:szCs w:val="24"/>
          <w:lang w:val="en-US"/>
        </w:rPr>
        <w:t>rade 3</w:t>
      </w:r>
      <w:r w:rsidR="00D20B84" w:rsidRPr="00EB0495">
        <w:rPr>
          <w:rFonts w:ascii="Arial" w:eastAsia="Calibri" w:hAnsi="Arial" w:cs="Arial"/>
          <w:sz w:val="24"/>
          <w:szCs w:val="24"/>
          <w:lang w:val="en-US"/>
        </w:rPr>
        <w:t>a</w:t>
      </w:r>
      <w:r w:rsidR="00CE5767" w:rsidRPr="00EB0495">
        <w:rPr>
          <w:rFonts w:ascii="Arial" w:eastAsia="Calibri" w:hAnsi="Arial" w:cs="Arial"/>
          <w:sz w:val="24"/>
          <w:szCs w:val="24"/>
          <w:lang w:val="en-US"/>
        </w:rPr>
        <w:t xml:space="preserve"> histology, </w:t>
      </w:r>
      <w:r w:rsidR="00CF0FE6" w:rsidRPr="00EB0495">
        <w:rPr>
          <w:rFonts w:ascii="Arial" w:eastAsia="Calibri" w:hAnsi="Arial" w:cs="Arial"/>
          <w:sz w:val="24"/>
          <w:szCs w:val="24"/>
          <w:lang w:val="en-US"/>
        </w:rPr>
        <w:t xml:space="preserve">high FLIPI risk, </w:t>
      </w:r>
      <w:r w:rsidR="00CE5767" w:rsidRPr="00EB0495">
        <w:rPr>
          <w:rFonts w:ascii="Arial" w:eastAsia="Calibri" w:hAnsi="Arial" w:cs="Arial"/>
          <w:sz w:val="24"/>
          <w:szCs w:val="24"/>
          <w:lang w:val="en-US"/>
        </w:rPr>
        <w:t>elevated</w:t>
      </w:r>
      <w:r w:rsidR="00867605" w:rsidRPr="00EB0495">
        <w:rPr>
          <w:rFonts w:ascii="Arial" w:eastAsia="Calibri" w:hAnsi="Arial" w:cs="Arial"/>
          <w:sz w:val="24"/>
          <w:szCs w:val="24"/>
          <w:lang w:val="en-US"/>
        </w:rPr>
        <w:t xml:space="preserve"> serum</w:t>
      </w:r>
      <w:r w:rsidR="00CE5767" w:rsidRPr="00EB0495">
        <w:rPr>
          <w:rFonts w:ascii="Arial" w:eastAsia="Calibri" w:hAnsi="Arial" w:cs="Arial"/>
          <w:sz w:val="24"/>
          <w:szCs w:val="24"/>
          <w:lang w:val="en-US"/>
        </w:rPr>
        <w:t xml:space="preserve"> lactate dehydrogenase (LDH)</w:t>
      </w:r>
      <w:r w:rsidR="00B702F8" w:rsidRPr="00EB0495">
        <w:rPr>
          <w:rFonts w:ascii="Arial" w:eastAsia="Calibri" w:hAnsi="Arial" w:cs="Arial"/>
          <w:sz w:val="24"/>
          <w:szCs w:val="24"/>
          <w:lang w:val="en-US"/>
        </w:rPr>
        <w:t>,</w:t>
      </w:r>
      <w:r w:rsidR="00CF0FE6" w:rsidRPr="00EB0495">
        <w:rPr>
          <w:rFonts w:ascii="Arial" w:eastAsia="Calibri" w:hAnsi="Arial" w:cs="Arial"/>
          <w:sz w:val="24"/>
          <w:szCs w:val="24"/>
          <w:lang w:val="en-US"/>
        </w:rPr>
        <w:t xml:space="preserve"> and bulky disease</w:t>
      </w:r>
      <w:r w:rsidR="000B19B6" w:rsidRPr="00EB0495">
        <w:rPr>
          <w:rFonts w:ascii="Arial" w:eastAsia="Calibri" w:hAnsi="Arial" w:cs="Arial"/>
          <w:sz w:val="24"/>
          <w:szCs w:val="24"/>
          <w:lang w:val="en-US"/>
        </w:rPr>
        <w:t>.</w:t>
      </w:r>
      <w:r w:rsidR="00F7773B" w:rsidRPr="00EB0495">
        <w:rPr>
          <w:rFonts w:ascii="Arial" w:eastAsia="Calibri" w:hAnsi="Arial" w:cs="Arial"/>
          <w:sz w:val="24"/>
          <w:szCs w:val="24"/>
          <w:lang w:val="en-US"/>
        </w:rPr>
        <w:t xml:space="preserve"> </w:t>
      </w:r>
      <w:r w:rsidR="003C7551" w:rsidRPr="00EB0495">
        <w:rPr>
          <w:rFonts w:ascii="Arial" w:eastAsia="Calibri" w:hAnsi="Arial" w:cs="Arial"/>
          <w:sz w:val="24"/>
          <w:szCs w:val="24"/>
          <w:lang w:val="en-US"/>
        </w:rPr>
        <w:t>Relatively m</w:t>
      </w:r>
      <w:r w:rsidR="00F7773B" w:rsidRPr="00EB0495">
        <w:rPr>
          <w:rFonts w:ascii="Arial" w:eastAsia="Calibri" w:hAnsi="Arial" w:cs="Arial"/>
          <w:sz w:val="24"/>
          <w:szCs w:val="24"/>
          <w:lang w:val="en-US"/>
        </w:rPr>
        <w:t>ore POD24 patients than noPOD24 patients were treated with CVP</w:t>
      </w:r>
      <w:r w:rsidR="003C7551" w:rsidRPr="00EB0495">
        <w:rPr>
          <w:rFonts w:ascii="Arial" w:eastAsia="Calibri" w:hAnsi="Arial" w:cs="Arial"/>
          <w:sz w:val="24"/>
          <w:szCs w:val="24"/>
          <w:lang w:val="en-US"/>
        </w:rPr>
        <w:t xml:space="preserve"> and fewer were</w:t>
      </w:r>
      <w:r w:rsidR="00D0267A" w:rsidRPr="00EB0495">
        <w:rPr>
          <w:rFonts w:ascii="Arial" w:eastAsia="Calibri" w:hAnsi="Arial" w:cs="Arial"/>
          <w:sz w:val="24"/>
          <w:szCs w:val="24"/>
          <w:lang w:val="en-US"/>
        </w:rPr>
        <w:t xml:space="preserve"> treated with bendamustine</w:t>
      </w:r>
      <w:r w:rsidR="00F7773B" w:rsidRPr="00EB0495">
        <w:rPr>
          <w:rFonts w:ascii="Arial" w:eastAsia="Calibri" w:hAnsi="Arial" w:cs="Arial"/>
          <w:sz w:val="24"/>
          <w:szCs w:val="24"/>
          <w:lang w:val="en-US"/>
        </w:rPr>
        <w:t xml:space="preserve">. </w:t>
      </w:r>
      <w:r w:rsidR="009F6502" w:rsidRPr="00EB0495">
        <w:rPr>
          <w:rFonts w:ascii="Arial" w:eastAsia="Calibri" w:hAnsi="Arial" w:cs="Arial"/>
          <w:sz w:val="24"/>
          <w:szCs w:val="24"/>
          <w:lang w:val="en-US"/>
        </w:rPr>
        <w:t xml:space="preserve">Baseline characteristics for those patients who progressed within 6 months of randomization are shown in </w:t>
      </w:r>
      <w:r w:rsidR="0049584D" w:rsidRPr="00EB0495">
        <w:rPr>
          <w:rFonts w:ascii="Arial" w:eastAsia="Calibri" w:hAnsi="Arial" w:cs="Arial"/>
          <w:i/>
          <w:sz w:val="24"/>
          <w:szCs w:val="24"/>
          <w:lang w:val="en-US"/>
        </w:rPr>
        <w:t>Online Supplementary Table S2.</w:t>
      </w:r>
    </w:p>
    <w:p w14:paraId="713A6BB3" w14:textId="0D77390C" w:rsidR="00C705F1" w:rsidRPr="00EB0495" w:rsidRDefault="00FE4A8F" w:rsidP="00234282">
      <w:pPr>
        <w:keepNext/>
        <w:spacing w:after="240"/>
        <w:rPr>
          <w:rFonts w:ascii="Arial" w:eastAsia="Calibri" w:hAnsi="Arial" w:cs="Arial"/>
          <w:b/>
          <w:i/>
          <w:sz w:val="24"/>
          <w:szCs w:val="24"/>
          <w:lang w:val="en-US"/>
        </w:rPr>
      </w:pPr>
      <w:r w:rsidRPr="00EB0495">
        <w:rPr>
          <w:rFonts w:ascii="Arial" w:eastAsia="Calibri" w:hAnsi="Arial" w:cs="Arial"/>
          <w:b/>
          <w:i/>
          <w:sz w:val="24"/>
          <w:szCs w:val="24"/>
          <w:lang w:val="en-US"/>
        </w:rPr>
        <w:t xml:space="preserve">POD </w:t>
      </w:r>
      <w:r w:rsidR="009479D2" w:rsidRPr="00EB0495">
        <w:rPr>
          <w:rFonts w:ascii="Arial" w:eastAsia="Calibri" w:hAnsi="Arial" w:cs="Arial"/>
          <w:b/>
          <w:i/>
          <w:sz w:val="24"/>
          <w:szCs w:val="24"/>
          <w:lang w:val="en-US"/>
        </w:rPr>
        <w:t xml:space="preserve">and </w:t>
      </w:r>
      <w:r w:rsidR="00E23C13" w:rsidRPr="00EB0495">
        <w:rPr>
          <w:rFonts w:ascii="Arial" w:eastAsia="Calibri" w:hAnsi="Arial" w:cs="Arial"/>
          <w:b/>
          <w:i/>
          <w:sz w:val="24"/>
          <w:szCs w:val="24"/>
          <w:lang w:val="en-US"/>
        </w:rPr>
        <w:t xml:space="preserve">PFS </w:t>
      </w:r>
      <w:r w:rsidR="009479D2" w:rsidRPr="00EB0495">
        <w:rPr>
          <w:rFonts w:ascii="Arial" w:eastAsia="Calibri" w:hAnsi="Arial" w:cs="Arial"/>
          <w:b/>
          <w:i/>
          <w:sz w:val="24"/>
          <w:szCs w:val="24"/>
          <w:lang w:val="en-US"/>
        </w:rPr>
        <w:t xml:space="preserve">by </w:t>
      </w:r>
      <w:r w:rsidR="0049584D" w:rsidRPr="00EB0495">
        <w:rPr>
          <w:rFonts w:ascii="Arial" w:eastAsia="Calibri" w:hAnsi="Arial" w:cs="Arial"/>
          <w:b/>
          <w:i/>
          <w:sz w:val="24"/>
          <w:szCs w:val="24"/>
          <w:lang w:val="en-US"/>
        </w:rPr>
        <w:t>t</w:t>
      </w:r>
      <w:r w:rsidR="009479D2" w:rsidRPr="00EB0495">
        <w:rPr>
          <w:rFonts w:ascii="Arial" w:eastAsia="Calibri" w:hAnsi="Arial" w:cs="Arial"/>
          <w:b/>
          <w:i/>
          <w:sz w:val="24"/>
          <w:szCs w:val="24"/>
          <w:lang w:val="en-US"/>
        </w:rPr>
        <w:t xml:space="preserve">reatment </w:t>
      </w:r>
      <w:r w:rsidR="0049584D" w:rsidRPr="00EB0495">
        <w:rPr>
          <w:rFonts w:ascii="Arial" w:eastAsia="Calibri" w:hAnsi="Arial" w:cs="Arial"/>
          <w:b/>
          <w:i/>
          <w:sz w:val="24"/>
          <w:szCs w:val="24"/>
          <w:lang w:val="en-US"/>
        </w:rPr>
        <w:t>a</w:t>
      </w:r>
      <w:r w:rsidR="009479D2" w:rsidRPr="00EB0495">
        <w:rPr>
          <w:rFonts w:ascii="Arial" w:eastAsia="Calibri" w:hAnsi="Arial" w:cs="Arial"/>
          <w:b/>
          <w:i/>
          <w:sz w:val="24"/>
          <w:szCs w:val="24"/>
          <w:lang w:val="en-US"/>
        </w:rPr>
        <w:t>rm</w:t>
      </w:r>
    </w:p>
    <w:p w14:paraId="6942A1BE" w14:textId="1E79B3C8" w:rsidR="00C705F1" w:rsidRPr="00EB0495" w:rsidRDefault="00AB5CFC" w:rsidP="009479D2">
      <w:pPr>
        <w:keepNext/>
        <w:spacing w:after="240"/>
        <w:ind w:firstLine="720"/>
        <w:rPr>
          <w:rFonts w:ascii="Arial" w:eastAsia="Calibri" w:hAnsi="Arial" w:cs="Arial"/>
          <w:b/>
          <w:sz w:val="24"/>
          <w:szCs w:val="24"/>
          <w:lang w:val="en-US"/>
        </w:rPr>
      </w:pPr>
      <w:r w:rsidRPr="00EB0495">
        <w:rPr>
          <w:rFonts w:ascii="Arial" w:eastAsia="Calibri" w:hAnsi="Arial" w:cs="Arial"/>
          <w:sz w:val="24"/>
          <w:szCs w:val="24"/>
          <w:lang w:val="en-US"/>
        </w:rPr>
        <w:t xml:space="preserve">POD24 events occurred in 57 of 601 patients (9.5%) treated with G-chemo and 98 of 601 patients (16.3%) treated with R-chemo; cumulative incidence rates </w:t>
      </w:r>
      <w:r w:rsidRPr="00EB0495">
        <w:rPr>
          <w:rFonts w:ascii="Arial" w:eastAsia="Calibri" w:hAnsi="Arial" w:cs="Arial"/>
          <w:sz w:val="24"/>
          <w:szCs w:val="24"/>
          <w:lang w:val="en-US"/>
        </w:rPr>
        <w:lastRenderedPageBreak/>
        <w:t xml:space="preserve">were </w:t>
      </w:r>
      <w:r w:rsidR="00436BEF" w:rsidRPr="00EB0495">
        <w:rPr>
          <w:rFonts w:ascii="Arial" w:eastAsia="Calibri" w:hAnsi="Arial" w:cs="Arial"/>
          <w:sz w:val="24"/>
          <w:szCs w:val="24"/>
          <w:lang w:val="en-US"/>
        </w:rPr>
        <w:t xml:space="preserve">10.1% (95% CI: 8-12%) and </w:t>
      </w:r>
      <w:r w:rsidRPr="00EB0495">
        <w:rPr>
          <w:rFonts w:ascii="Arial" w:eastAsia="Calibri" w:hAnsi="Arial" w:cs="Arial"/>
          <w:sz w:val="24"/>
          <w:szCs w:val="24"/>
          <w:lang w:val="en-US"/>
        </w:rPr>
        <w:t>17.4% (95% CI: 14-20%), respectively.</w:t>
      </w:r>
      <w:r w:rsidR="00CF0FE6" w:rsidRPr="00EB0495">
        <w:rPr>
          <w:rFonts w:ascii="Arial" w:eastAsia="Calibri" w:hAnsi="Arial" w:cs="Arial"/>
          <w:sz w:val="24"/>
          <w:szCs w:val="24"/>
          <w:lang w:val="en-US"/>
        </w:rPr>
        <w:t xml:space="preserve"> </w:t>
      </w:r>
      <w:r w:rsidR="003C7551" w:rsidRPr="00EB0495">
        <w:rPr>
          <w:rFonts w:ascii="Arial" w:eastAsia="Calibri" w:hAnsi="Arial" w:cs="Arial"/>
          <w:sz w:val="24"/>
          <w:szCs w:val="24"/>
          <w:lang w:val="en-US"/>
        </w:rPr>
        <w:t>The</w:t>
      </w:r>
      <w:r w:rsidR="00B92FBE" w:rsidRPr="00EB0495">
        <w:rPr>
          <w:rFonts w:ascii="Arial" w:eastAsia="Calibri" w:hAnsi="Arial" w:cs="Arial"/>
          <w:sz w:val="24"/>
          <w:szCs w:val="24"/>
          <w:lang w:val="en-US"/>
        </w:rPr>
        <w:t xml:space="preserve"> </w:t>
      </w:r>
      <w:r w:rsidR="00F067A7" w:rsidRPr="00EB0495">
        <w:rPr>
          <w:rFonts w:ascii="Arial" w:eastAsia="Calibri" w:hAnsi="Arial" w:cs="Arial"/>
          <w:sz w:val="24"/>
          <w:szCs w:val="24"/>
          <w:lang w:val="en-US"/>
        </w:rPr>
        <w:t>a</w:t>
      </w:r>
      <w:r w:rsidR="003F0C71" w:rsidRPr="00EB0495">
        <w:rPr>
          <w:rFonts w:ascii="Arial" w:eastAsia="Calibri" w:hAnsi="Arial" w:cs="Arial"/>
          <w:sz w:val="24"/>
          <w:szCs w:val="24"/>
          <w:lang w:val="en-US"/>
        </w:rPr>
        <w:t>verage</w:t>
      </w:r>
      <w:r w:rsidR="00AC60EB" w:rsidRPr="00EB0495">
        <w:rPr>
          <w:rFonts w:ascii="Arial" w:eastAsia="Calibri" w:hAnsi="Arial" w:cs="Arial"/>
          <w:sz w:val="24"/>
          <w:szCs w:val="24"/>
          <w:lang w:val="en-US"/>
        </w:rPr>
        <w:t xml:space="preserve"> </w:t>
      </w:r>
      <w:r w:rsidR="004454AD" w:rsidRPr="00EB0495">
        <w:rPr>
          <w:rFonts w:ascii="Arial" w:eastAsia="Calibri" w:hAnsi="Arial" w:cs="Arial"/>
          <w:sz w:val="24"/>
          <w:szCs w:val="24"/>
          <w:lang w:val="en-US"/>
        </w:rPr>
        <w:t>HR</w:t>
      </w:r>
      <w:r w:rsidR="00873B48" w:rsidRPr="00EB0495">
        <w:rPr>
          <w:rFonts w:ascii="Arial" w:eastAsia="Calibri" w:hAnsi="Arial" w:cs="Arial"/>
          <w:sz w:val="24"/>
          <w:szCs w:val="24"/>
          <w:lang w:val="en-US"/>
        </w:rPr>
        <w:t xml:space="preserve">-based </w:t>
      </w:r>
      <w:r w:rsidR="00B92FBE" w:rsidRPr="00EB0495">
        <w:rPr>
          <w:rFonts w:ascii="Arial" w:eastAsia="Calibri" w:hAnsi="Arial" w:cs="Arial"/>
          <w:sz w:val="24"/>
          <w:szCs w:val="24"/>
          <w:lang w:val="en-US"/>
        </w:rPr>
        <w:t>reducti</w:t>
      </w:r>
      <w:r w:rsidR="00E0052B" w:rsidRPr="00EB0495">
        <w:rPr>
          <w:rFonts w:ascii="Arial" w:eastAsia="Calibri" w:hAnsi="Arial" w:cs="Arial"/>
          <w:sz w:val="24"/>
          <w:szCs w:val="24"/>
          <w:lang w:val="en-US"/>
        </w:rPr>
        <w:t xml:space="preserve">on </w:t>
      </w:r>
      <w:r w:rsidR="00AC60EB" w:rsidRPr="00EB0495">
        <w:rPr>
          <w:rFonts w:ascii="Arial" w:eastAsia="Calibri" w:hAnsi="Arial" w:cs="Arial"/>
          <w:sz w:val="24"/>
          <w:szCs w:val="24"/>
          <w:lang w:val="en-US"/>
        </w:rPr>
        <w:t xml:space="preserve">in </w:t>
      </w:r>
      <w:r w:rsidR="00E0052B" w:rsidRPr="00EB0495">
        <w:rPr>
          <w:rFonts w:ascii="Arial" w:eastAsia="Calibri" w:hAnsi="Arial" w:cs="Arial"/>
          <w:sz w:val="24"/>
          <w:szCs w:val="24"/>
          <w:lang w:val="en-US"/>
        </w:rPr>
        <w:t xml:space="preserve">the risk of </w:t>
      </w:r>
      <w:r w:rsidR="00AC60EB" w:rsidRPr="00EB0495">
        <w:rPr>
          <w:rFonts w:ascii="Arial" w:eastAsia="Calibri" w:hAnsi="Arial" w:cs="Arial"/>
          <w:sz w:val="24"/>
          <w:szCs w:val="24"/>
          <w:lang w:val="en-US"/>
        </w:rPr>
        <w:t xml:space="preserve">a </w:t>
      </w:r>
      <w:r w:rsidR="00E0052B" w:rsidRPr="00EB0495">
        <w:rPr>
          <w:rFonts w:ascii="Arial" w:eastAsia="Calibri" w:hAnsi="Arial" w:cs="Arial"/>
          <w:sz w:val="24"/>
          <w:szCs w:val="24"/>
          <w:lang w:val="en-US"/>
        </w:rPr>
        <w:t xml:space="preserve">POD24 event </w:t>
      </w:r>
      <w:r w:rsidR="00AC60EB" w:rsidRPr="00EB0495">
        <w:rPr>
          <w:rFonts w:ascii="Arial" w:eastAsia="Calibri" w:hAnsi="Arial" w:cs="Arial"/>
          <w:sz w:val="24"/>
          <w:szCs w:val="24"/>
          <w:lang w:val="en-US"/>
        </w:rPr>
        <w:t>with G-chemo</w:t>
      </w:r>
      <w:r w:rsidR="00B92FBE" w:rsidRPr="00EB0495">
        <w:rPr>
          <w:rFonts w:ascii="Arial" w:eastAsia="Calibri" w:hAnsi="Arial" w:cs="Arial"/>
          <w:sz w:val="24"/>
          <w:szCs w:val="24"/>
          <w:lang w:val="en-US"/>
        </w:rPr>
        <w:t xml:space="preserve"> </w:t>
      </w:r>
      <w:r w:rsidR="00B92FBE" w:rsidRPr="00EB0495">
        <w:rPr>
          <w:rFonts w:ascii="Arial" w:hAnsi="Arial" w:cs="Arial"/>
          <w:bCs/>
          <w:kern w:val="24"/>
          <w:sz w:val="24"/>
          <w:szCs w:val="24"/>
          <w:lang w:val="en-US"/>
        </w:rPr>
        <w:t>relative to R-chemo</w:t>
      </w:r>
      <w:r w:rsidR="00AC60EB" w:rsidRPr="00EB0495">
        <w:rPr>
          <w:rFonts w:ascii="Arial" w:hAnsi="Arial" w:cs="Arial"/>
          <w:bCs/>
          <w:kern w:val="24"/>
          <w:sz w:val="24"/>
          <w:szCs w:val="24"/>
          <w:lang w:val="en-US"/>
        </w:rPr>
        <w:t xml:space="preserve"> was</w:t>
      </w:r>
      <w:r w:rsidR="00B92FBE" w:rsidRPr="00EB0495">
        <w:rPr>
          <w:rFonts w:ascii="Arial" w:hAnsi="Arial" w:cs="Arial"/>
          <w:bCs/>
          <w:kern w:val="24"/>
          <w:sz w:val="24"/>
          <w:szCs w:val="24"/>
          <w:lang w:val="en-US"/>
        </w:rPr>
        <w:t xml:space="preserve"> </w:t>
      </w:r>
      <w:r w:rsidR="005430EF" w:rsidRPr="00EB0495">
        <w:rPr>
          <w:rFonts w:ascii="Arial" w:hAnsi="Arial" w:cs="Arial"/>
          <w:bCs/>
          <w:kern w:val="24"/>
          <w:sz w:val="24"/>
          <w:szCs w:val="24"/>
          <w:lang w:val="en-US"/>
        </w:rPr>
        <w:t>46</w:t>
      </w:r>
      <w:r w:rsidR="0090687C" w:rsidRPr="00EB0495">
        <w:rPr>
          <w:rFonts w:ascii="Arial" w:hAnsi="Arial" w:cs="Arial"/>
          <w:bCs/>
          <w:kern w:val="24"/>
          <w:sz w:val="24"/>
          <w:szCs w:val="24"/>
          <w:lang w:val="en-US"/>
        </w:rPr>
        <w:t>.0</w:t>
      </w:r>
      <w:r w:rsidR="005430EF" w:rsidRPr="00EB0495">
        <w:rPr>
          <w:rFonts w:ascii="Arial" w:hAnsi="Arial" w:cs="Arial"/>
          <w:bCs/>
          <w:kern w:val="24"/>
          <w:sz w:val="24"/>
          <w:szCs w:val="24"/>
          <w:lang w:val="en-US"/>
        </w:rPr>
        <w:t>% (95% CI</w:t>
      </w:r>
      <w:r w:rsidR="00EC07D3" w:rsidRPr="00EB0495">
        <w:rPr>
          <w:rFonts w:ascii="Arial" w:hAnsi="Arial" w:cs="Arial"/>
          <w:bCs/>
          <w:kern w:val="24"/>
          <w:sz w:val="24"/>
          <w:szCs w:val="24"/>
          <w:lang w:val="en-US"/>
        </w:rPr>
        <w:t>:</w:t>
      </w:r>
      <w:r w:rsidR="005430EF" w:rsidRPr="00EB0495">
        <w:rPr>
          <w:rFonts w:ascii="Arial" w:hAnsi="Arial" w:cs="Arial"/>
          <w:bCs/>
          <w:kern w:val="24"/>
          <w:sz w:val="24"/>
          <w:szCs w:val="24"/>
          <w:lang w:val="en-US"/>
        </w:rPr>
        <w:t xml:space="preserve"> 25.0</w:t>
      </w:r>
      <w:r w:rsidR="0049584D" w:rsidRPr="00EB0495">
        <w:rPr>
          <w:rFonts w:ascii="Arial" w:hAnsi="Arial" w:cs="Arial"/>
          <w:bCs/>
          <w:kern w:val="24"/>
          <w:sz w:val="24"/>
          <w:szCs w:val="24"/>
          <w:lang w:val="en-US"/>
        </w:rPr>
        <w:t>-</w:t>
      </w:r>
      <w:r w:rsidR="005430EF" w:rsidRPr="00EB0495">
        <w:rPr>
          <w:rFonts w:ascii="Arial" w:hAnsi="Arial" w:cs="Arial"/>
          <w:bCs/>
          <w:kern w:val="24"/>
          <w:sz w:val="24"/>
          <w:szCs w:val="24"/>
          <w:lang w:val="en-US"/>
        </w:rPr>
        <w:t>61.1</w:t>
      </w:r>
      <w:r w:rsidR="00772D16" w:rsidRPr="00EB0495">
        <w:rPr>
          <w:rFonts w:ascii="Arial" w:hAnsi="Arial" w:cs="Arial"/>
          <w:bCs/>
          <w:kern w:val="24"/>
          <w:sz w:val="24"/>
          <w:szCs w:val="24"/>
          <w:lang w:val="en-US"/>
        </w:rPr>
        <w:t>%</w:t>
      </w:r>
      <w:r w:rsidR="00F27028" w:rsidRPr="00EB0495">
        <w:rPr>
          <w:rFonts w:ascii="Arial" w:hAnsi="Arial" w:cs="Arial"/>
          <w:bCs/>
          <w:kern w:val="24"/>
          <w:sz w:val="24"/>
          <w:szCs w:val="24"/>
          <w:lang w:val="en-US"/>
        </w:rPr>
        <w:t xml:space="preserve">; </w:t>
      </w:r>
      <w:r w:rsidR="00F27028" w:rsidRPr="00EB0495">
        <w:rPr>
          <w:rFonts w:ascii="Arial" w:hAnsi="Arial" w:cs="Arial"/>
          <w:bCs/>
          <w:i/>
          <w:kern w:val="24"/>
          <w:sz w:val="24"/>
          <w:szCs w:val="24"/>
          <w:lang w:val="en-US"/>
        </w:rPr>
        <w:t>P</w:t>
      </w:r>
      <w:r w:rsidR="00F27028" w:rsidRPr="00EB0495">
        <w:rPr>
          <w:rFonts w:ascii="Arial" w:hAnsi="Arial" w:cs="Arial"/>
          <w:bCs/>
          <w:kern w:val="24"/>
          <w:sz w:val="24"/>
          <w:szCs w:val="24"/>
          <w:lang w:val="en-US"/>
        </w:rPr>
        <w:t>=</w:t>
      </w:r>
      <w:r w:rsidR="0049584D" w:rsidRPr="00EB0495">
        <w:rPr>
          <w:rFonts w:ascii="Arial" w:hAnsi="Arial" w:cs="Arial"/>
          <w:bCs/>
          <w:kern w:val="24"/>
          <w:sz w:val="24"/>
          <w:szCs w:val="24"/>
          <w:lang w:val="en-US"/>
        </w:rPr>
        <w:t>0</w:t>
      </w:r>
      <w:r w:rsidR="00F27028" w:rsidRPr="00EB0495">
        <w:rPr>
          <w:rFonts w:ascii="Arial" w:hAnsi="Arial" w:cs="Arial"/>
          <w:bCs/>
          <w:kern w:val="24"/>
          <w:sz w:val="24"/>
          <w:szCs w:val="24"/>
          <w:lang w:val="en-US"/>
        </w:rPr>
        <w:t xml:space="preserve">.0003, </w:t>
      </w:r>
      <w:r w:rsidR="00F27028" w:rsidRPr="00EB0495">
        <w:rPr>
          <w:rFonts w:ascii="Arial" w:eastAsia="Calibri" w:hAnsi="Arial" w:cs="Arial"/>
          <w:sz w:val="24"/>
          <w:szCs w:val="20"/>
          <w:lang w:val="en-US"/>
        </w:rPr>
        <w:t>Gray</w:t>
      </w:r>
      <w:r w:rsidR="0049584D" w:rsidRPr="00EB0495">
        <w:rPr>
          <w:rFonts w:ascii="Arial" w:eastAsia="Calibri" w:hAnsi="Arial" w:cs="Arial"/>
          <w:sz w:val="24"/>
          <w:szCs w:val="20"/>
          <w:lang w:val="en-US"/>
        </w:rPr>
        <w:t>’</w:t>
      </w:r>
      <w:r w:rsidR="00F27028" w:rsidRPr="00EB0495">
        <w:rPr>
          <w:rFonts w:ascii="Arial" w:eastAsia="Calibri" w:hAnsi="Arial" w:cs="Arial"/>
          <w:sz w:val="24"/>
          <w:szCs w:val="20"/>
          <w:lang w:val="en-US"/>
        </w:rPr>
        <w:t>s test for equality</w:t>
      </w:r>
      <w:r w:rsidR="00436BEF" w:rsidRPr="00EB0495">
        <w:rPr>
          <w:rFonts w:ascii="Arial" w:eastAsia="Calibri" w:hAnsi="Arial" w:cs="Arial"/>
          <w:sz w:val="24"/>
          <w:szCs w:val="20"/>
          <w:lang w:val="en-US"/>
        </w:rPr>
        <w:t xml:space="preserve">; </w:t>
      </w:r>
      <w:r w:rsidR="00E703F2" w:rsidRPr="00EB0495">
        <w:rPr>
          <w:rFonts w:ascii="Arial" w:eastAsia="Calibri" w:hAnsi="Arial" w:cs="Arial"/>
          <w:sz w:val="24"/>
          <w:szCs w:val="24"/>
          <w:lang w:val="en-US"/>
        </w:rPr>
        <w:t>Fig</w:t>
      </w:r>
      <w:r w:rsidR="0049584D" w:rsidRPr="00EB0495">
        <w:rPr>
          <w:rFonts w:ascii="Arial" w:eastAsia="Calibri" w:hAnsi="Arial" w:cs="Arial"/>
          <w:sz w:val="24"/>
          <w:szCs w:val="24"/>
          <w:lang w:val="en-US"/>
        </w:rPr>
        <w:t>ure</w:t>
      </w:r>
      <w:r w:rsidR="00E703F2" w:rsidRPr="00EB0495">
        <w:rPr>
          <w:rFonts w:ascii="Arial" w:eastAsia="Calibri" w:hAnsi="Arial" w:cs="Arial"/>
          <w:sz w:val="24"/>
          <w:szCs w:val="24"/>
          <w:lang w:val="en-US"/>
        </w:rPr>
        <w:t xml:space="preserve"> </w:t>
      </w:r>
      <w:r w:rsidR="004E2056" w:rsidRPr="00EB0495">
        <w:rPr>
          <w:rFonts w:ascii="Arial" w:eastAsia="Calibri" w:hAnsi="Arial" w:cs="Arial"/>
          <w:sz w:val="24"/>
          <w:szCs w:val="24"/>
          <w:lang w:val="en-US"/>
        </w:rPr>
        <w:t>1</w:t>
      </w:r>
      <w:r w:rsidR="006B1901" w:rsidRPr="00EB0495">
        <w:rPr>
          <w:rFonts w:ascii="Arial" w:eastAsia="Calibri" w:hAnsi="Arial" w:cs="Arial"/>
          <w:sz w:val="24"/>
          <w:szCs w:val="24"/>
          <w:lang w:val="en-US"/>
        </w:rPr>
        <w:t>).</w:t>
      </w:r>
      <w:r w:rsidR="002D2A27" w:rsidRPr="00EB0495">
        <w:rPr>
          <w:rFonts w:ascii="Arial" w:eastAsia="Calibri" w:hAnsi="Arial" w:cs="Arial"/>
          <w:sz w:val="24"/>
          <w:szCs w:val="24"/>
          <w:lang w:val="en-US"/>
        </w:rPr>
        <w:t xml:space="preserve"> </w:t>
      </w:r>
      <w:r w:rsidR="000403E1" w:rsidRPr="00EB0495">
        <w:rPr>
          <w:rFonts w:ascii="Arial" w:eastAsia="Calibri" w:hAnsi="Arial" w:cs="Arial"/>
          <w:sz w:val="24"/>
          <w:szCs w:val="24"/>
          <w:lang w:val="en-US"/>
        </w:rPr>
        <w:t xml:space="preserve">The risk of a PFS event in the 24 months after randomization was </w:t>
      </w:r>
      <w:r w:rsidR="000B19B6" w:rsidRPr="00EB0495">
        <w:rPr>
          <w:rFonts w:ascii="Arial" w:eastAsia="Calibri" w:hAnsi="Arial" w:cs="Arial"/>
          <w:sz w:val="24"/>
          <w:szCs w:val="24"/>
          <w:lang w:val="en-US"/>
        </w:rPr>
        <w:t>18.9% (95% CI</w:t>
      </w:r>
      <w:r w:rsidR="00EC07D3" w:rsidRPr="00EB0495">
        <w:rPr>
          <w:rFonts w:ascii="Arial" w:eastAsia="Calibri" w:hAnsi="Arial" w:cs="Arial"/>
          <w:sz w:val="24"/>
          <w:szCs w:val="24"/>
          <w:lang w:val="en-US"/>
        </w:rPr>
        <w:t>:</w:t>
      </w:r>
      <w:r w:rsidR="000B19B6" w:rsidRPr="00EB0495">
        <w:rPr>
          <w:rFonts w:ascii="Arial" w:eastAsia="Calibri" w:hAnsi="Arial" w:cs="Arial"/>
          <w:sz w:val="24"/>
          <w:szCs w:val="24"/>
          <w:lang w:val="en-US"/>
        </w:rPr>
        <w:t xml:space="preserve"> 15.9</w:t>
      </w:r>
      <w:r w:rsidR="0049584D" w:rsidRPr="00EB0495">
        <w:rPr>
          <w:rFonts w:ascii="Arial" w:eastAsia="Calibri" w:hAnsi="Arial" w:cs="Arial"/>
          <w:sz w:val="24"/>
          <w:szCs w:val="24"/>
          <w:lang w:val="en-US"/>
        </w:rPr>
        <w:t>-</w:t>
      </w:r>
      <w:r w:rsidR="000B19B6" w:rsidRPr="00EB0495">
        <w:rPr>
          <w:rFonts w:ascii="Arial" w:eastAsia="Calibri" w:hAnsi="Arial" w:cs="Arial"/>
          <w:sz w:val="24"/>
          <w:szCs w:val="24"/>
          <w:lang w:val="en-US"/>
        </w:rPr>
        <w:t>22.4</w:t>
      </w:r>
      <w:r w:rsidR="00141956" w:rsidRPr="00EB0495">
        <w:rPr>
          <w:rFonts w:ascii="Arial" w:eastAsia="Calibri" w:hAnsi="Arial" w:cs="Arial"/>
          <w:sz w:val="24"/>
          <w:szCs w:val="24"/>
          <w:lang w:val="en-US"/>
        </w:rPr>
        <w:t>%</w:t>
      </w:r>
      <w:r w:rsidR="000B19B6" w:rsidRPr="00EB0495">
        <w:rPr>
          <w:rFonts w:ascii="Arial" w:eastAsia="Calibri" w:hAnsi="Arial" w:cs="Arial"/>
          <w:sz w:val="24"/>
          <w:szCs w:val="24"/>
          <w:lang w:val="en-US"/>
        </w:rPr>
        <w:t xml:space="preserve">) </w:t>
      </w:r>
      <w:r w:rsidR="000E5F21" w:rsidRPr="00EB0495">
        <w:rPr>
          <w:rFonts w:ascii="Arial" w:eastAsia="Calibri" w:hAnsi="Arial" w:cs="Arial"/>
          <w:sz w:val="24"/>
          <w:szCs w:val="24"/>
          <w:lang w:val="en-US"/>
        </w:rPr>
        <w:t xml:space="preserve">for </w:t>
      </w:r>
      <w:r w:rsidR="000B19B6" w:rsidRPr="00EB0495">
        <w:rPr>
          <w:rFonts w:ascii="Arial" w:eastAsia="Calibri" w:hAnsi="Arial" w:cs="Arial"/>
          <w:sz w:val="24"/>
          <w:szCs w:val="24"/>
          <w:lang w:val="en-US"/>
        </w:rPr>
        <w:t>R-chemo and 12.5% (95% CI</w:t>
      </w:r>
      <w:r w:rsidR="00EC07D3" w:rsidRPr="00EB0495">
        <w:rPr>
          <w:rFonts w:ascii="Arial" w:eastAsia="Calibri" w:hAnsi="Arial" w:cs="Arial"/>
          <w:sz w:val="24"/>
          <w:szCs w:val="24"/>
          <w:lang w:val="en-US"/>
        </w:rPr>
        <w:t>:</w:t>
      </w:r>
      <w:r w:rsidR="000B19B6" w:rsidRPr="00EB0495">
        <w:rPr>
          <w:rFonts w:ascii="Arial" w:eastAsia="Calibri" w:hAnsi="Arial" w:cs="Arial"/>
          <w:sz w:val="24"/>
          <w:szCs w:val="24"/>
          <w:lang w:val="en-US"/>
        </w:rPr>
        <w:t xml:space="preserve"> 10.1</w:t>
      </w:r>
      <w:r w:rsidR="0049584D" w:rsidRPr="00EB0495">
        <w:rPr>
          <w:rFonts w:ascii="Arial" w:eastAsia="Calibri" w:hAnsi="Arial" w:cs="Arial"/>
          <w:sz w:val="24"/>
          <w:szCs w:val="24"/>
          <w:lang w:val="en-US"/>
        </w:rPr>
        <w:t>-</w:t>
      </w:r>
      <w:r w:rsidR="000B19B6" w:rsidRPr="00EB0495">
        <w:rPr>
          <w:rFonts w:ascii="Arial" w:eastAsia="Calibri" w:hAnsi="Arial" w:cs="Arial"/>
          <w:sz w:val="24"/>
          <w:szCs w:val="24"/>
          <w:lang w:val="en-US"/>
        </w:rPr>
        <w:t>15.6</w:t>
      </w:r>
      <w:r w:rsidR="00141956" w:rsidRPr="00EB0495">
        <w:rPr>
          <w:rFonts w:ascii="Arial" w:eastAsia="Calibri" w:hAnsi="Arial" w:cs="Arial"/>
          <w:sz w:val="24"/>
          <w:szCs w:val="24"/>
          <w:lang w:val="en-US"/>
        </w:rPr>
        <w:t>%</w:t>
      </w:r>
      <w:r w:rsidR="000B19B6" w:rsidRPr="00EB0495">
        <w:rPr>
          <w:rFonts w:ascii="Arial" w:eastAsia="Calibri" w:hAnsi="Arial" w:cs="Arial"/>
          <w:sz w:val="24"/>
          <w:szCs w:val="24"/>
          <w:lang w:val="en-US"/>
        </w:rPr>
        <w:t xml:space="preserve">) </w:t>
      </w:r>
      <w:r w:rsidR="000E5F21" w:rsidRPr="00EB0495">
        <w:rPr>
          <w:rFonts w:ascii="Arial" w:eastAsia="Calibri" w:hAnsi="Arial" w:cs="Arial"/>
          <w:sz w:val="24"/>
          <w:szCs w:val="24"/>
          <w:lang w:val="en-US"/>
        </w:rPr>
        <w:t xml:space="preserve">for </w:t>
      </w:r>
      <w:r w:rsidR="000B19B6" w:rsidRPr="00EB0495">
        <w:rPr>
          <w:rFonts w:ascii="Arial" w:eastAsia="Calibri" w:hAnsi="Arial" w:cs="Arial"/>
          <w:sz w:val="24"/>
          <w:szCs w:val="24"/>
          <w:lang w:val="en-US"/>
        </w:rPr>
        <w:t>G-chemo</w:t>
      </w:r>
      <w:r w:rsidR="00436BEF" w:rsidRPr="00EB0495">
        <w:rPr>
          <w:rFonts w:ascii="Arial" w:eastAsia="Calibri" w:hAnsi="Arial" w:cs="Arial"/>
          <w:sz w:val="24"/>
          <w:szCs w:val="24"/>
          <w:lang w:val="en-US"/>
        </w:rPr>
        <w:t>;</w:t>
      </w:r>
      <w:r w:rsidR="000E5F21" w:rsidRPr="00EB0495">
        <w:rPr>
          <w:rFonts w:ascii="Arial" w:eastAsia="Calibri" w:hAnsi="Arial" w:cs="Arial"/>
          <w:sz w:val="24"/>
          <w:szCs w:val="24"/>
          <w:lang w:val="en-US"/>
        </w:rPr>
        <w:t xml:space="preserve"> the </w:t>
      </w:r>
      <w:r w:rsidR="000B19B6" w:rsidRPr="00EB0495">
        <w:rPr>
          <w:rFonts w:ascii="Arial" w:eastAsia="Calibri" w:hAnsi="Arial" w:cs="Arial"/>
          <w:sz w:val="24"/>
          <w:szCs w:val="24"/>
          <w:lang w:val="en-US"/>
        </w:rPr>
        <w:t xml:space="preserve">relative risk reduction for </w:t>
      </w:r>
      <w:r w:rsidR="007D7203" w:rsidRPr="00EB0495">
        <w:rPr>
          <w:rFonts w:ascii="Arial" w:eastAsia="Calibri" w:hAnsi="Arial" w:cs="Arial"/>
          <w:sz w:val="24"/>
          <w:szCs w:val="24"/>
          <w:lang w:val="en-US"/>
        </w:rPr>
        <w:t xml:space="preserve">PFS events </w:t>
      </w:r>
      <w:r w:rsidR="000E5F21" w:rsidRPr="00EB0495">
        <w:rPr>
          <w:rFonts w:ascii="Arial" w:eastAsia="Calibri" w:hAnsi="Arial" w:cs="Arial"/>
          <w:sz w:val="24"/>
          <w:szCs w:val="24"/>
          <w:lang w:val="en-US"/>
        </w:rPr>
        <w:t xml:space="preserve">was </w:t>
      </w:r>
      <w:r w:rsidR="00C705F1" w:rsidRPr="00EB0495">
        <w:rPr>
          <w:rFonts w:ascii="Arial" w:eastAsia="Calibri" w:hAnsi="Arial" w:cs="Arial"/>
          <w:sz w:val="24"/>
          <w:szCs w:val="24"/>
          <w:lang w:val="en-US"/>
        </w:rPr>
        <w:t>33.9% (95% CI</w:t>
      </w:r>
      <w:r w:rsidR="00EC07D3" w:rsidRPr="00EB0495">
        <w:rPr>
          <w:rFonts w:ascii="Arial" w:eastAsia="Calibri" w:hAnsi="Arial" w:cs="Arial"/>
          <w:sz w:val="24"/>
          <w:szCs w:val="24"/>
          <w:lang w:val="en-US"/>
        </w:rPr>
        <w:t>:</w:t>
      </w:r>
      <w:r w:rsidR="00C705F1" w:rsidRPr="00EB0495">
        <w:rPr>
          <w:rFonts w:ascii="Arial" w:eastAsia="Calibri" w:hAnsi="Arial" w:cs="Arial"/>
          <w:sz w:val="24"/>
          <w:szCs w:val="24"/>
          <w:lang w:val="en-US"/>
        </w:rPr>
        <w:t xml:space="preserve"> 12.8</w:t>
      </w:r>
      <w:r w:rsidR="0049584D" w:rsidRPr="00EB0495">
        <w:rPr>
          <w:rFonts w:ascii="Arial" w:eastAsia="Calibri" w:hAnsi="Arial" w:cs="Arial"/>
          <w:sz w:val="24"/>
          <w:szCs w:val="24"/>
          <w:lang w:val="en-US"/>
        </w:rPr>
        <w:t>-</w:t>
      </w:r>
      <w:r w:rsidR="00C705F1" w:rsidRPr="00EB0495">
        <w:rPr>
          <w:rFonts w:ascii="Arial" w:eastAsia="Calibri" w:hAnsi="Arial" w:cs="Arial"/>
          <w:sz w:val="24"/>
          <w:szCs w:val="24"/>
          <w:lang w:val="en-US"/>
        </w:rPr>
        <w:t>49.8</w:t>
      </w:r>
      <w:r w:rsidR="00141956" w:rsidRPr="00EB0495">
        <w:rPr>
          <w:rFonts w:ascii="Arial" w:eastAsia="Calibri" w:hAnsi="Arial" w:cs="Arial"/>
          <w:sz w:val="24"/>
          <w:szCs w:val="24"/>
          <w:lang w:val="en-US"/>
        </w:rPr>
        <w:t>%</w:t>
      </w:r>
      <w:r w:rsidR="00BB394E" w:rsidRPr="00EB0495">
        <w:rPr>
          <w:rFonts w:ascii="Arial" w:eastAsia="Calibri" w:hAnsi="Arial" w:cs="Arial"/>
          <w:sz w:val="24"/>
          <w:szCs w:val="24"/>
          <w:lang w:val="en-US"/>
        </w:rPr>
        <w:t xml:space="preserve">; </w:t>
      </w:r>
      <w:r w:rsidR="006206A9" w:rsidRPr="00EB0495">
        <w:rPr>
          <w:rFonts w:ascii="Arial" w:eastAsia="Calibri" w:hAnsi="Arial" w:cs="Arial"/>
          <w:sz w:val="24"/>
          <w:szCs w:val="24"/>
          <w:lang w:val="en-US"/>
        </w:rPr>
        <w:t>Fig</w:t>
      </w:r>
      <w:r w:rsidR="0049584D" w:rsidRPr="00EB0495">
        <w:rPr>
          <w:rFonts w:ascii="Arial" w:eastAsia="Calibri" w:hAnsi="Arial" w:cs="Arial"/>
          <w:sz w:val="24"/>
          <w:szCs w:val="24"/>
          <w:lang w:val="en-US"/>
        </w:rPr>
        <w:t>ure</w:t>
      </w:r>
      <w:r w:rsidR="006206A9" w:rsidRPr="00EB0495">
        <w:rPr>
          <w:rFonts w:ascii="Arial" w:eastAsia="Calibri" w:hAnsi="Arial" w:cs="Arial"/>
          <w:sz w:val="24"/>
          <w:szCs w:val="24"/>
          <w:lang w:val="en-US"/>
        </w:rPr>
        <w:t xml:space="preserve"> </w:t>
      </w:r>
      <w:r w:rsidR="004E2056" w:rsidRPr="00EB0495">
        <w:rPr>
          <w:rFonts w:ascii="Arial" w:eastAsia="Calibri" w:hAnsi="Arial" w:cs="Arial"/>
          <w:sz w:val="24"/>
          <w:szCs w:val="24"/>
          <w:lang w:val="en-US"/>
        </w:rPr>
        <w:t>1</w:t>
      </w:r>
      <w:r w:rsidR="000E5F21" w:rsidRPr="00EB0495">
        <w:rPr>
          <w:rFonts w:ascii="Arial" w:eastAsia="Calibri" w:hAnsi="Arial" w:cs="Arial"/>
          <w:sz w:val="24"/>
          <w:szCs w:val="24"/>
          <w:lang w:val="en-US"/>
        </w:rPr>
        <w:t xml:space="preserve">). </w:t>
      </w:r>
      <w:r w:rsidR="00C512B7" w:rsidRPr="00EB0495">
        <w:rPr>
          <w:rFonts w:ascii="Arial" w:eastAsia="Calibri" w:hAnsi="Arial" w:cs="Arial"/>
          <w:sz w:val="24"/>
          <w:szCs w:val="24"/>
          <w:lang w:val="en-US"/>
        </w:rPr>
        <w:t>In the noPOD24 group,</w:t>
      </w:r>
      <w:r w:rsidR="006029ED" w:rsidRPr="00EB0495">
        <w:rPr>
          <w:rFonts w:ascii="Arial" w:eastAsia="Calibri" w:hAnsi="Arial" w:cs="Arial"/>
          <w:sz w:val="24"/>
          <w:szCs w:val="24"/>
          <w:lang w:val="en-US"/>
        </w:rPr>
        <w:t xml:space="preserve"> with a median subsequent follow-up of 24 months</w:t>
      </w:r>
      <w:r w:rsidR="006A7CD4" w:rsidRPr="00EB0495">
        <w:rPr>
          <w:rFonts w:ascii="Arial" w:eastAsia="Calibri" w:hAnsi="Arial" w:cs="Arial"/>
          <w:sz w:val="24"/>
          <w:szCs w:val="24"/>
          <w:lang w:val="en-US"/>
        </w:rPr>
        <w:t>,</w:t>
      </w:r>
      <w:r w:rsidR="00C512B7" w:rsidRPr="00EB0495">
        <w:rPr>
          <w:rFonts w:ascii="Arial" w:eastAsia="Calibri" w:hAnsi="Arial" w:cs="Arial"/>
          <w:sz w:val="24"/>
          <w:szCs w:val="24"/>
          <w:lang w:val="en-US"/>
        </w:rPr>
        <w:t xml:space="preserve"> 88 of 916 patients had POD events after the 24-month time point (G-chemo, 40</w:t>
      </w:r>
      <w:r w:rsidR="00497020" w:rsidRPr="00EB0495">
        <w:rPr>
          <w:rFonts w:ascii="Arial" w:eastAsia="Calibri" w:hAnsi="Arial" w:cs="Arial"/>
          <w:sz w:val="24"/>
          <w:szCs w:val="24"/>
          <w:lang w:val="en-US"/>
        </w:rPr>
        <w:t xml:space="preserve"> of </w:t>
      </w:r>
      <w:r w:rsidR="00C512B7" w:rsidRPr="00EB0495">
        <w:rPr>
          <w:rFonts w:ascii="Arial" w:eastAsia="Calibri" w:hAnsi="Arial" w:cs="Arial"/>
          <w:sz w:val="24"/>
          <w:szCs w:val="24"/>
          <w:lang w:val="en-US"/>
        </w:rPr>
        <w:t>478</w:t>
      </w:r>
      <w:r w:rsidR="00D0267A" w:rsidRPr="00EB0495">
        <w:rPr>
          <w:rFonts w:ascii="Arial" w:eastAsia="Calibri" w:hAnsi="Arial" w:cs="Arial"/>
          <w:sz w:val="24"/>
          <w:szCs w:val="24"/>
          <w:lang w:val="en-US"/>
        </w:rPr>
        <w:t xml:space="preserve"> [</w:t>
      </w:r>
      <w:r w:rsidR="00C512B7" w:rsidRPr="00EB0495">
        <w:rPr>
          <w:rFonts w:ascii="Arial" w:eastAsia="Calibri" w:hAnsi="Arial" w:cs="Arial"/>
          <w:sz w:val="24"/>
          <w:szCs w:val="24"/>
          <w:lang w:val="en-US"/>
        </w:rPr>
        <w:t>8.4</w:t>
      </w:r>
      <w:r w:rsidR="00D0267A" w:rsidRPr="00EB0495">
        <w:rPr>
          <w:rFonts w:ascii="Arial" w:eastAsia="Calibri" w:hAnsi="Arial" w:cs="Arial"/>
          <w:sz w:val="24"/>
          <w:szCs w:val="24"/>
          <w:lang w:val="en-US"/>
        </w:rPr>
        <w:t>%]; R-chemo, 48</w:t>
      </w:r>
      <w:r w:rsidR="00497020" w:rsidRPr="00EB0495">
        <w:rPr>
          <w:rFonts w:ascii="Arial" w:eastAsia="Calibri" w:hAnsi="Arial" w:cs="Arial"/>
          <w:sz w:val="24"/>
          <w:szCs w:val="24"/>
          <w:lang w:val="en-US"/>
        </w:rPr>
        <w:t xml:space="preserve"> of </w:t>
      </w:r>
      <w:r w:rsidR="00D0267A" w:rsidRPr="00EB0495">
        <w:rPr>
          <w:rFonts w:ascii="Arial" w:eastAsia="Calibri" w:hAnsi="Arial" w:cs="Arial"/>
          <w:sz w:val="24"/>
          <w:szCs w:val="24"/>
          <w:lang w:val="en-US"/>
        </w:rPr>
        <w:t>438 [</w:t>
      </w:r>
      <w:r w:rsidR="00C512B7" w:rsidRPr="00EB0495">
        <w:rPr>
          <w:rFonts w:ascii="Arial" w:eastAsia="Calibri" w:hAnsi="Arial" w:cs="Arial"/>
          <w:sz w:val="24"/>
          <w:szCs w:val="24"/>
          <w:lang w:val="en-US"/>
        </w:rPr>
        <w:t>11.0%</w:t>
      </w:r>
      <w:r w:rsidR="00D0267A" w:rsidRPr="00EB0495">
        <w:rPr>
          <w:rFonts w:ascii="Arial" w:eastAsia="Calibri" w:hAnsi="Arial" w:cs="Arial"/>
          <w:sz w:val="24"/>
          <w:szCs w:val="24"/>
          <w:lang w:val="en-US"/>
        </w:rPr>
        <w:t>]</w:t>
      </w:r>
      <w:r w:rsidR="00C512B7" w:rsidRPr="00EB0495">
        <w:rPr>
          <w:rFonts w:ascii="Arial" w:eastAsia="Calibri" w:hAnsi="Arial" w:cs="Arial"/>
          <w:sz w:val="24"/>
          <w:szCs w:val="24"/>
          <w:lang w:val="en-US"/>
        </w:rPr>
        <w:t>)</w:t>
      </w:r>
      <w:r w:rsidR="003C3392" w:rsidRPr="00EB0495">
        <w:rPr>
          <w:rFonts w:ascii="Arial" w:eastAsia="Calibri" w:hAnsi="Arial" w:cs="Arial"/>
          <w:sz w:val="24"/>
          <w:szCs w:val="24"/>
          <w:lang w:val="en-US"/>
        </w:rPr>
        <w:t>.</w:t>
      </w:r>
    </w:p>
    <w:p w14:paraId="3C43EFA2" w14:textId="4EEBC758" w:rsidR="00C705F1" w:rsidRPr="00EB0495" w:rsidRDefault="000C7C9C" w:rsidP="00234282">
      <w:pPr>
        <w:keepNext/>
        <w:spacing w:after="240"/>
        <w:rPr>
          <w:rFonts w:ascii="Arial" w:eastAsia="Calibri" w:hAnsi="Arial" w:cs="Arial"/>
          <w:b/>
          <w:i/>
          <w:sz w:val="24"/>
          <w:szCs w:val="24"/>
          <w:lang w:val="en-US"/>
        </w:rPr>
      </w:pPr>
      <w:r w:rsidRPr="00EB0495">
        <w:rPr>
          <w:rFonts w:ascii="Arial" w:eastAsia="Calibri" w:hAnsi="Arial" w:cs="Arial"/>
          <w:b/>
          <w:i/>
          <w:sz w:val="24"/>
          <w:szCs w:val="24"/>
          <w:lang w:val="en-US"/>
        </w:rPr>
        <w:t>Post-</w:t>
      </w:r>
      <w:r w:rsidR="0049584D" w:rsidRPr="00EB0495">
        <w:rPr>
          <w:rFonts w:ascii="Arial" w:eastAsia="Calibri" w:hAnsi="Arial" w:cs="Arial"/>
          <w:b/>
          <w:i/>
          <w:sz w:val="24"/>
          <w:szCs w:val="24"/>
          <w:lang w:val="en-US"/>
        </w:rPr>
        <w:t>p</w:t>
      </w:r>
      <w:r w:rsidRPr="00EB0495">
        <w:rPr>
          <w:rFonts w:ascii="Arial" w:eastAsia="Calibri" w:hAnsi="Arial" w:cs="Arial"/>
          <w:b/>
          <w:i/>
          <w:sz w:val="24"/>
          <w:szCs w:val="24"/>
          <w:lang w:val="en-US"/>
        </w:rPr>
        <w:t xml:space="preserve">rogression </w:t>
      </w:r>
      <w:r w:rsidR="0049584D" w:rsidRPr="00EB0495">
        <w:rPr>
          <w:rFonts w:ascii="Arial" w:eastAsia="Calibri" w:hAnsi="Arial" w:cs="Arial"/>
          <w:b/>
          <w:i/>
          <w:sz w:val="24"/>
          <w:szCs w:val="24"/>
          <w:lang w:val="en-US"/>
        </w:rPr>
        <w:t>s</w:t>
      </w:r>
      <w:r w:rsidRPr="00EB0495">
        <w:rPr>
          <w:rFonts w:ascii="Arial" w:eastAsia="Calibri" w:hAnsi="Arial" w:cs="Arial"/>
          <w:b/>
          <w:i/>
          <w:sz w:val="24"/>
          <w:szCs w:val="24"/>
          <w:lang w:val="en-US"/>
        </w:rPr>
        <w:t xml:space="preserve">urvival </w:t>
      </w:r>
      <w:r w:rsidR="00940495" w:rsidRPr="00EB0495">
        <w:rPr>
          <w:rFonts w:ascii="Arial" w:eastAsia="Calibri" w:hAnsi="Arial" w:cs="Arial"/>
          <w:b/>
          <w:i/>
          <w:sz w:val="24"/>
          <w:szCs w:val="24"/>
          <w:lang w:val="en-US"/>
        </w:rPr>
        <w:t xml:space="preserve">and </w:t>
      </w:r>
      <w:r w:rsidR="0049584D" w:rsidRPr="00EB0495">
        <w:rPr>
          <w:rFonts w:ascii="Arial" w:eastAsia="Calibri" w:hAnsi="Arial" w:cs="Arial"/>
          <w:b/>
          <w:i/>
          <w:sz w:val="24"/>
          <w:szCs w:val="24"/>
          <w:lang w:val="en-US"/>
        </w:rPr>
        <w:t>m</w:t>
      </w:r>
      <w:r w:rsidR="00400978" w:rsidRPr="00EB0495">
        <w:rPr>
          <w:rFonts w:ascii="Arial" w:eastAsia="Calibri" w:hAnsi="Arial" w:cs="Arial"/>
          <w:b/>
          <w:i/>
          <w:sz w:val="24"/>
          <w:szCs w:val="24"/>
          <w:lang w:val="en-US"/>
        </w:rPr>
        <w:t>ortality</w:t>
      </w:r>
      <w:r w:rsidR="00940495" w:rsidRPr="00EB0495">
        <w:rPr>
          <w:rFonts w:ascii="Arial" w:eastAsia="Calibri" w:hAnsi="Arial" w:cs="Arial"/>
          <w:b/>
          <w:i/>
          <w:sz w:val="24"/>
          <w:szCs w:val="24"/>
          <w:lang w:val="en-US"/>
        </w:rPr>
        <w:t xml:space="preserve"> </w:t>
      </w:r>
      <w:r w:rsidR="003C3392" w:rsidRPr="00EB0495">
        <w:rPr>
          <w:rFonts w:ascii="Arial" w:eastAsia="Calibri" w:hAnsi="Arial" w:cs="Arial"/>
          <w:b/>
          <w:i/>
          <w:sz w:val="24"/>
          <w:szCs w:val="24"/>
          <w:lang w:val="en-US"/>
        </w:rPr>
        <w:t>by</w:t>
      </w:r>
      <w:r w:rsidR="00940495" w:rsidRPr="00EB0495">
        <w:rPr>
          <w:rFonts w:ascii="Arial" w:eastAsia="Calibri" w:hAnsi="Arial" w:cs="Arial"/>
          <w:b/>
          <w:i/>
          <w:sz w:val="24"/>
          <w:szCs w:val="24"/>
          <w:lang w:val="en-US"/>
        </w:rPr>
        <w:t xml:space="preserve"> </w:t>
      </w:r>
      <w:r w:rsidR="0049584D" w:rsidRPr="00EB0495">
        <w:rPr>
          <w:rFonts w:ascii="Arial" w:eastAsia="Calibri" w:hAnsi="Arial" w:cs="Arial"/>
          <w:b/>
          <w:i/>
          <w:sz w:val="24"/>
          <w:szCs w:val="24"/>
          <w:lang w:val="en-US"/>
        </w:rPr>
        <w:t>t</w:t>
      </w:r>
      <w:r w:rsidR="00940495" w:rsidRPr="00EB0495">
        <w:rPr>
          <w:rFonts w:ascii="Arial" w:eastAsia="Calibri" w:hAnsi="Arial" w:cs="Arial"/>
          <w:b/>
          <w:i/>
          <w:sz w:val="24"/>
          <w:szCs w:val="24"/>
          <w:lang w:val="en-US"/>
        </w:rPr>
        <w:t xml:space="preserve">reatment </w:t>
      </w:r>
      <w:r w:rsidR="0049584D" w:rsidRPr="00EB0495">
        <w:rPr>
          <w:rFonts w:ascii="Arial" w:eastAsia="Calibri" w:hAnsi="Arial" w:cs="Arial"/>
          <w:b/>
          <w:i/>
          <w:sz w:val="24"/>
          <w:szCs w:val="24"/>
          <w:lang w:val="en-US"/>
        </w:rPr>
        <w:t>a</w:t>
      </w:r>
      <w:r w:rsidR="00940495" w:rsidRPr="00EB0495">
        <w:rPr>
          <w:rFonts w:ascii="Arial" w:eastAsia="Calibri" w:hAnsi="Arial" w:cs="Arial"/>
          <w:b/>
          <w:i/>
          <w:sz w:val="24"/>
          <w:szCs w:val="24"/>
          <w:lang w:val="en-US"/>
        </w:rPr>
        <w:t xml:space="preserve">rm </w:t>
      </w:r>
    </w:p>
    <w:p w14:paraId="154CEC20" w14:textId="30402103" w:rsidR="00E23503" w:rsidRPr="00EB0495" w:rsidRDefault="00A36671" w:rsidP="007E286E">
      <w:pPr>
        <w:keepNext/>
        <w:spacing w:after="240"/>
        <w:ind w:firstLine="720"/>
        <w:rPr>
          <w:rFonts w:ascii="Arial" w:eastAsia="Calibri" w:hAnsi="Arial" w:cs="Arial"/>
          <w:sz w:val="24"/>
          <w:szCs w:val="24"/>
          <w:lang w:val="en-US"/>
        </w:rPr>
      </w:pPr>
      <w:r w:rsidRPr="00EB0495">
        <w:rPr>
          <w:rFonts w:ascii="Arial" w:eastAsia="Calibri" w:hAnsi="Arial" w:cs="Arial"/>
          <w:sz w:val="24"/>
          <w:szCs w:val="24"/>
          <w:lang w:val="en-US"/>
        </w:rPr>
        <w:t>W</w:t>
      </w:r>
      <w:r w:rsidR="006029ED" w:rsidRPr="00EB0495">
        <w:rPr>
          <w:rFonts w:ascii="Arial" w:eastAsia="Calibri" w:hAnsi="Arial" w:cs="Arial"/>
          <w:sz w:val="24"/>
          <w:szCs w:val="24"/>
          <w:lang w:val="en-US"/>
        </w:rPr>
        <w:t xml:space="preserve">ith a </w:t>
      </w:r>
      <w:r w:rsidR="002D2A27" w:rsidRPr="00EB0495">
        <w:rPr>
          <w:rFonts w:ascii="Arial" w:eastAsia="Calibri" w:hAnsi="Arial" w:cs="Arial"/>
          <w:sz w:val="24"/>
          <w:szCs w:val="24"/>
          <w:lang w:val="en-US"/>
        </w:rPr>
        <w:t>median follow-up</w:t>
      </w:r>
      <w:r w:rsidR="006029ED" w:rsidRPr="00EB0495">
        <w:rPr>
          <w:rFonts w:ascii="Arial" w:eastAsia="Calibri" w:hAnsi="Arial" w:cs="Arial"/>
          <w:sz w:val="24"/>
          <w:szCs w:val="24"/>
          <w:lang w:val="en-US"/>
        </w:rPr>
        <w:t xml:space="preserve"> of </w:t>
      </w:r>
      <w:r w:rsidR="005430EF" w:rsidRPr="00EB0495">
        <w:rPr>
          <w:rFonts w:ascii="Arial" w:eastAsia="Calibri" w:hAnsi="Arial" w:cs="Arial"/>
          <w:sz w:val="24"/>
          <w:szCs w:val="24"/>
          <w:lang w:val="en-US"/>
        </w:rPr>
        <w:t>41</w:t>
      </w:r>
      <w:r w:rsidR="002D2A27" w:rsidRPr="00EB0495">
        <w:rPr>
          <w:rFonts w:ascii="Arial" w:eastAsia="Calibri" w:hAnsi="Arial" w:cs="Arial"/>
          <w:sz w:val="24"/>
          <w:szCs w:val="24"/>
          <w:lang w:val="en-US"/>
        </w:rPr>
        <w:t xml:space="preserve"> months</w:t>
      </w:r>
      <w:r w:rsidR="000B19B6" w:rsidRPr="00EB0495">
        <w:rPr>
          <w:rFonts w:ascii="Arial" w:eastAsia="Calibri" w:hAnsi="Arial" w:cs="Arial"/>
          <w:sz w:val="24"/>
          <w:szCs w:val="24"/>
          <w:lang w:val="en-US"/>
        </w:rPr>
        <w:t>, 56</w:t>
      </w:r>
      <w:r w:rsidR="003C7551" w:rsidRPr="00EB0495">
        <w:rPr>
          <w:rFonts w:ascii="Arial" w:eastAsia="Calibri" w:hAnsi="Arial" w:cs="Arial"/>
          <w:sz w:val="24"/>
          <w:szCs w:val="24"/>
          <w:lang w:val="en-US"/>
        </w:rPr>
        <w:t xml:space="preserve"> of </w:t>
      </w:r>
      <w:r w:rsidR="000B19B6" w:rsidRPr="00EB0495">
        <w:rPr>
          <w:rFonts w:ascii="Arial" w:eastAsia="Calibri" w:hAnsi="Arial" w:cs="Arial"/>
          <w:sz w:val="24"/>
          <w:szCs w:val="24"/>
          <w:lang w:val="en-US"/>
        </w:rPr>
        <w:t xml:space="preserve">155 POD24 </w:t>
      </w:r>
      <w:r w:rsidR="003C7551" w:rsidRPr="00EB0495">
        <w:rPr>
          <w:rFonts w:ascii="Arial" w:eastAsia="Calibri" w:hAnsi="Arial" w:cs="Arial"/>
          <w:sz w:val="24"/>
          <w:szCs w:val="24"/>
          <w:lang w:val="en-US"/>
        </w:rPr>
        <w:t xml:space="preserve">patients </w:t>
      </w:r>
      <w:r w:rsidR="006029ED" w:rsidRPr="00EB0495">
        <w:rPr>
          <w:rFonts w:ascii="Arial" w:eastAsia="Calibri" w:hAnsi="Arial" w:cs="Arial"/>
          <w:sz w:val="24"/>
          <w:szCs w:val="24"/>
          <w:lang w:val="en-US"/>
        </w:rPr>
        <w:t xml:space="preserve">have </w:t>
      </w:r>
      <w:r w:rsidR="00D0267A" w:rsidRPr="00EB0495">
        <w:rPr>
          <w:rFonts w:ascii="Arial" w:eastAsia="Calibri" w:hAnsi="Arial" w:cs="Arial"/>
          <w:sz w:val="24"/>
          <w:szCs w:val="24"/>
          <w:lang w:val="en-US"/>
        </w:rPr>
        <w:t>died</w:t>
      </w:r>
      <w:r w:rsidR="006E397A" w:rsidRPr="00EB0495">
        <w:rPr>
          <w:rFonts w:ascii="Arial" w:eastAsia="Calibri" w:hAnsi="Arial" w:cs="Arial"/>
          <w:sz w:val="24"/>
          <w:szCs w:val="24"/>
          <w:lang w:val="en-US"/>
        </w:rPr>
        <w:t>:</w:t>
      </w:r>
      <w:r w:rsidR="00D0267A" w:rsidRPr="00EB0495">
        <w:rPr>
          <w:rFonts w:ascii="Arial" w:eastAsia="Calibri" w:hAnsi="Arial" w:cs="Arial"/>
          <w:sz w:val="24"/>
          <w:szCs w:val="24"/>
          <w:lang w:val="en-US"/>
        </w:rPr>
        <w:t xml:space="preserve"> 40 due to PD (</w:t>
      </w:r>
      <w:r w:rsidR="000B19B6" w:rsidRPr="00EB0495">
        <w:rPr>
          <w:rFonts w:ascii="Arial" w:eastAsia="Calibri" w:hAnsi="Arial" w:cs="Arial"/>
          <w:sz w:val="24"/>
          <w:szCs w:val="24"/>
          <w:lang w:val="en-US"/>
        </w:rPr>
        <w:t>G-chemo</w:t>
      </w:r>
      <w:r w:rsidR="00D0267A" w:rsidRPr="00EB0495">
        <w:rPr>
          <w:rFonts w:ascii="Arial" w:eastAsia="Calibri" w:hAnsi="Arial" w:cs="Arial"/>
          <w:sz w:val="24"/>
          <w:szCs w:val="24"/>
          <w:lang w:val="en-US"/>
        </w:rPr>
        <w:t xml:space="preserve">, </w:t>
      </w:r>
      <w:r w:rsidR="003E7C94" w:rsidRPr="00EB0495">
        <w:rPr>
          <w:rFonts w:ascii="Arial" w:eastAsia="Calibri" w:hAnsi="Arial" w:cs="Arial"/>
          <w:sz w:val="24"/>
          <w:szCs w:val="24"/>
          <w:lang w:val="en-US"/>
        </w:rPr>
        <w:t>n=</w:t>
      </w:r>
      <w:r w:rsidR="0049584D" w:rsidRPr="00EB0495">
        <w:rPr>
          <w:rFonts w:ascii="Arial" w:eastAsia="Calibri" w:hAnsi="Arial" w:cs="Arial"/>
          <w:sz w:val="24"/>
          <w:szCs w:val="24"/>
          <w:lang w:val="en-US"/>
        </w:rPr>
        <w:t>1</w:t>
      </w:r>
      <w:r w:rsidR="00D0267A" w:rsidRPr="00EB0495">
        <w:rPr>
          <w:rFonts w:ascii="Arial" w:eastAsia="Calibri" w:hAnsi="Arial" w:cs="Arial"/>
          <w:sz w:val="24"/>
          <w:szCs w:val="24"/>
          <w:lang w:val="en-US"/>
        </w:rPr>
        <w:t xml:space="preserve">5; </w:t>
      </w:r>
      <w:r w:rsidR="000B19B6" w:rsidRPr="00EB0495">
        <w:rPr>
          <w:rFonts w:ascii="Arial" w:eastAsia="Calibri" w:hAnsi="Arial" w:cs="Arial"/>
          <w:sz w:val="24"/>
          <w:szCs w:val="24"/>
          <w:lang w:val="en-US"/>
        </w:rPr>
        <w:t>R-chemo</w:t>
      </w:r>
      <w:r w:rsidR="00D0267A" w:rsidRPr="00EB0495">
        <w:rPr>
          <w:rFonts w:ascii="Arial" w:eastAsia="Calibri" w:hAnsi="Arial" w:cs="Arial"/>
          <w:sz w:val="24"/>
          <w:szCs w:val="24"/>
          <w:lang w:val="en-US"/>
        </w:rPr>
        <w:t xml:space="preserve">, </w:t>
      </w:r>
      <w:r w:rsidR="003E7C94" w:rsidRPr="00EB0495">
        <w:rPr>
          <w:rFonts w:ascii="Arial" w:eastAsia="Calibri" w:hAnsi="Arial" w:cs="Arial"/>
          <w:sz w:val="24"/>
          <w:szCs w:val="24"/>
          <w:lang w:val="en-US"/>
        </w:rPr>
        <w:t>n=</w:t>
      </w:r>
      <w:r w:rsidR="00D0267A" w:rsidRPr="00EB0495">
        <w:rPr>
          <w:rFonts w:ascii="Arial" w:eastAsia="Calibri" w:hAnsi="Arial" w:cs="Arial"/>
          <w:sz w:val="24"/>
          <w:szCs w:val="24"/>
          <w:lang w:val="en-US"/>
        </w:rPr>
        <w:t>25</w:t>
      </w:r>
      <w:r w:rsidR="000B19B6" w:rsidRPr="00EB0495">
        <w:rPr>
          <w:rFonts w:ascii="Arial" w:eastAsia="Calibri" w:hAnsi="Arial" w:cs="Arial"/>
          <w:sz w:val="24"/>
          <w:szCs w:val="24"/>
          <w:lang w:val="en-US"/>
        </w:rPr>
        <w:t>) and 16 for other reasons (</w:t>
      </w:r>
      <w:r w:rsidR="003E7C94" w:rsidRPr="00EB0495">
        <w:rPr>
          <w:rFonts w:ascii="Arial" w:eastAsia="Calibri" w:hAnsi="Arial" w:cs="Arial"/>
          <w:sz w:val="24"/>
          <w:szCs w:val="24"/>
          <w:lang w:val="en-US"/>
        </w:rPr>
        <w:t>n=</w:t>
      </w:r>
      <w:r w:rsidR="000B19B6" w:rsidRPr="00EB0495">
        <w:rPr>
          <w:rFonts w:ascii="Arial" w:eastAsia="Calibri" w:hAnsi="Arial" w:cs="Arial"/>
          <w:sz w:val="24"/>
          <w:szCs w:val="24"/>
          <w:lang w:val="en-US"/>
        </w:rPr>
        <w:t>4 and 12, respectively</w:t>
      </w:r>
      <w:r w:rsidR="00AE391D" w:rsidRPr="00EB0495">
        <w:rPr>
          <w:rFonts w:ascii="Arial" w:eastAsia="Calibri" w:hAnsi="Arial" w:cs="Arial"/>
          <w:sz w:val="24"/>
          <w:szCs w:val="24"/>
          <w:lang w:val="en-US"/>
        </w:rPr>
        <w:t xml:space="preserve">; </w:t>
      </w:r>
      <w:r w:rsidR="0049584D" w:rsidRPr="00EB0495">
        <w:rPr>
          <w:rFonts w:ascii="Arial" w:eastAsia="Calibri" w:hAnsi="Arial" w:cs="Arial"/>
          <w:i/>
          <w:sz w:val="24"/>
          <w:szCs w:val="24"/>
          <w:lang w:val="en-US"/>
        </w:rPr>
        <w:t>Online Supplementary Table S3</w:t>
      </w:r>
      <w:r w:rsidR="000B19B6" w:rsidRPr="00EB0495">
        <w:rPr>
          <w:rFonts w:ascii="Arial" w:eastAsia="Calibri" w:hAnsi="Arial" w:cs="Arial"/>
          <w:sz w:val="24"/>
          <w:szCs w:val="24"/>
          <w:lang w:val="en-US"/>
        </w:rPr>
        <w:t>)</w:t>
      </w:r>
      <w:r w:rsidR="003C7551" w:rsidRPr="00EB0495">
        <w:rPr>
          <w:rFonts w:ascii="Arial" w:eastAsia="Calibri" w:hAnsi="Arial" w:cs="Arial"/>
          <w:sz w:val="24"/>
          <w:szCs w:val="24"/>
          <w:lang w:val="en-US"/>
        </w:rPr>
        <w:t>.</w:t>
      </w:r>
      <w:r w:rsidR="00904907" w:rsidRPr="00EB0495">
        <w:rPr>
          <w:rFonts w:ascii="Arial" w:eastAsia="Calibri" w:hAnsi="Arial" w:cs="Arial"/>
          <w:sz w:val="24"/>
          <w:szCs w:val="24"/>
          <w:lang w:val="en-US"/>
        </w:rPr>
        <w:t xml:space="preserve"> </w:t>
      </w:r>
      <w:r w:rsidR="003C7551" w:rsidRPr="00EB0495">
        <w:rPr>
          <w:rFonts w:ascii="Arial" w:eastAsia="Calibri" w:hAnsi="Arial" w:cs="Arial"/>
          <w:sz w:val="24"/>
          <w:szCs w:val="24"/>
          <w:lang w:val="en-US"/>
        </w:rPr>
        <w:t xml:space="preserve">In addition, 16 of </w:t>
      </w:r>
      <w:r w:rsidR="001703AB" w:rsidRPr="00EB0495">
        <w:rPr>
          <w:rFonts w:ascii="Arial" w:eastAsia="Calibri" w:hAnsi="Arial" w:cs="Arial"/>
          <w:sz w:val="24"/>
          <w:szCs w:val="24"/>
          <w:lang w:val="en-US"/>
        </w:rPr>
        <w:t>916 noPOD24 patients</w:t>
      </w:r>
      <w:r w:rsidR="003C7551" w:rsidRPr="00EB0495">
        <w:rPr>
          <w:rFonts w:ascii="Arial" w:eastAsia="Calibri" w:hAnsi="Arial" w:cs="Arial"/>
          <w:sz w:val="24"/>
          <w:szCs w:val="24"/>
          <w:lang w:val="en-US"/>
        </w:rPr>
        <w:t xml:space="preserve"> </w:t>
      </w:r>
      <w:r w:rsidR="006029ED" w:rsidRPr="00EB0495">
        <w:rPr>
          <w:rFonts w:ascii="Arial" w:eastAsia="Calibri" w:hAnsi="Arial" w:cs="Arial"/>
          <w:sz w:val="24"/>
          <w:szCs w:val="24"/>
          <w:lang w:val="en-US"/>
        </w:rPr>
        <w:t xml:space="preserve">have </w:t>
      </w:r>
      <w:r w:rsidR="000B19B6" w:rsidRPr="00EB0495">
        <w:rPr>
          <w:rFonts w:ascii="Arial" w:eastAsia="Calibri" w:hAnsi="Arial" w:cs="Arial"/>
          <w:sz w:val="24"/>
          <w:szCs w:val="24"/>
          <w:lang w:val="en-US"/>
        </w:rPr>
        <w:t>died</w:t>
      </w:r>
      <w:r w:rsidR="003E7C94" w:rsidRPr="00EB0495">
        <w:rPr>
          <w:rFonts w:ascii="Arial" w:eastAsia="Calibri" w:hAnsi="Arial" w:cs="Arial"/>
          <w:sz w:val="24"/>
          <w:szCs w:val="24"/>
          <w:lang w:val="en-US"/>
        </w:rPr>
        <w:t>:</w:t>
      </w:r>
      <w:r w:rsidR="000B19B6" w:rsidRPr="00EB0495">
        <w:rPr>
          <w:rFonts w:ascii="Arial" w:eastAsia="Calibri" w:hAnsi="Arial" w:cs="Arial"/>
          <w:sz w:val="24"/>
          <w:szCs w:val="24"/>
          <w:lang w:val="en-US"/>
        </w:rPr>
        <w:t xml:space="preserve"> </w:t>
      </w:r>
      <w:r w:rsidR="00143DF6" w:rsidRPr="00EB0495">
        <w:rPr>
          <w:rFonts w:ascii="Arial" w:eastAsia="Calibri" w:hAnsi="Arial" w:cs="Arial"/>
          <w:sz w:val="24"/>
          <w:szCs w:val="24"/>
          <w:lang w:val="en-US"/>
        </w:rPr>
        <w:t xml:space="preserve">1 </w:t>
      </w:r>
      <w:r w:rsidR="003C7551" w:rsidRPr="00EB0495">
        <w:rPr>
          <w:rFonts w:ascii="Arial" w:eastAsia="Calibri" w:hAnsi="Arial" w:cs="Arial"/>
          <w:sz w:val="24"/>
          <w:szCs w:val="24"/>
          <w:lang w:val="en-US"/>
        </w:rPr>
        <w:t xml:space="preserve">related </w:t>
      </w:r>
      <w:r w:rsidR="00767662" w:rsidRPr="00EB0495">
        <w:rPr>
          <w:rFonts w:ascii="Arial" w:eastAsia="Calibri" w:hAnsi="Arial" w:cs="Arial"/>
          <w:sz w:val="24"/>
          <w:szCs w:val="24"/>
          <w:lang w:val="en-US"/>
        </w:rPr>
        <w:t>to P</w:t>
      </w:r>
      <w:r w:rsidR="000B19B6" w:rsidRPr="00EB0495">
        <w:rPr>
          <w:rFonts w:ascii="Arial" w:eastAsia="Calibri" w:hAnsi="Arial" w:cs="Arial"/>
          <w:sz w:val="24"/>
          <w:szCs w:val="24"/>
          <w:lang w:val="en-US"/>
        </w:rPr>
        <w:t>D (</w:t>
      </w:r>
      <w:r w:rsidR="003C7551" w:rsidRPr="00EB0495">
        <w:rPr>
          <w:rFonts w:ascii="Arial" w:eastAsia="Calibri" w:hAnsi="Arial" w:cs="Arial"/>
          <w:sz w:val="24"/>
          <w:szCs w:val="24"/>
          <w:lang w:val="en-US"/>
        </w:rPr>
        <w:t>allocated to</w:t>
      </w:r>
      <w:r w:rsidR="00431485" w:rsidRPr="00EB0495">
        <w:rPr>
          <w:rFonts w:ascii="Arial" w:eastAsia="Calibri" w:hAnsi="Arial" w:cs="Arial"/>
          <w:sz w:val="24"/>
          <w:szCs w:val="24"/>
          <w:lang w:val="en-US"/>
        </w:rPr>
        <w:t xml:space="preserve"> the</w:t>
      </w:r>
      <w:r w:rsidR="003C7551" w:rsidRPr="00EB0495">
        <w:rPr>
          <w:rFonts w:ascii="Arial" w:eastAsia="Calibri" w:hAnsi="Arial" w:cs="Arial"/>
          <w:sz w:val="24"/>
          <w:szCs w:val="24"/>
          <w:lang w:val="en-US"/>
        </w:rPr>
        <w:t xml:space="preserve"> </w:t>
      </w:r>
      <w:r w:rsidR="000B19B6" w:rsidRPr="00EB0495">
        <w:rPr>
          <w:rFonts w:ascii="Arial" w:eastAsia="Calibri" w:hAnsi="Arial" w:cs="Arial"/>
          <w:sz w:val="24"/>
          <w:szCs w:val="24"/>
          <w:lang w:val="en-US"/>
        </w:rPr>
        <w:t xml:space="preserve">G-chemo </w:t>
      </w:r>
      <w:r w:rsidR="001703AB" w:rsidRPr="00EB0495">
        <w:rPr>
          <w:rFonts w:ascii="Arial" w:eastAsia="Calibri" w:hAnsi="Arial" w:cs="Arial"/>
          <w:sz w:val="24"/>
          <w:szCs w:val="24"/>
          <w:lang w:val="en-US"/>
        </w:rPr>
        <w:t>arm</w:t>
      </w:r>
      <w:r w:rsidR="003C7551" w:rsidRPr="00EB0495">
        <w:rPr>
          <w:rFonts w:ascii="Arial" w:eastAsia="Calibri" w:hAnsi="Arial" w:cs="Arial"/>
          <w:sz w:val="24"/>
          <w:szCs w:val="24"/>
          <w:lang w:val="en-US"/>
        </w:rPr>
        <w:t xml:space="preserve"> but</w:t>
      </w:r>
      <w:r w:rsidR="001703AB" w:rsidRPr="00EB0495">
        <w:rPr>
          <w:rFonts w:ascii="Arial" w:eastAsia="Calibri" w:hAnsi="Arial" w:cs="Arial"/>
          <w:sz w:val="24"/>
          <w:szCs w:val="24"/>
          <w:lang w:val="en-US"/>
        </w:rPr>
        <w:t xml:space="preserve"> no </w:t>
      </w:r>
      <w:r w:rsidR="00FB6748" w:rsidRPr="00EB0495">
        <w:rPr>
          <w:rFonts w:ascii="Arial" w:eastAsia="Calibri" w:hAnsi="Arial" w:cs="Arial"/>
          <w:sz w:val="24"/>
          <w:szCs w:val="24"/>
          <w:lang w:val="en-US"/>
        </w:rPr>
        <w:t xml:space="preserve">study </w:t>
      </w:r>
      <w:r w:rsidR="001703AB" w:rsidRPr="00EB0495">
        <w:rPr>
          <w:rFonts w:ascii="Arial" w:eastAsia="Calibri" w:hAnsi="Arial" w:cs="Arial"/>
          <w:sz w:val="24"/>
          <w:szCs w:val="24"/>
          <w:lang w:val="en-US"/>
        </w:rPr>
        <w:t xml:space="preserve">treatment </w:t>
      </w:r>
      <w:r w:rsidR="000B19B6" w:rsidRPr="00EB0495">
        <w:rPr>
          <w:rFonts w:ascii="Arial" w:eastAsia="Calibri" w:hAnsi="Arial" w:cs="Arial"/>
          <w:sz w:val="24"/>
          <w:szCs w:val="24"/>
          <w:lang w:val="en-US"/>
        </w:rPr>
        <w:t>received) and 15 for other reasons (G-chemo</w:t>
      </w:r>
      <w:r w:rsidR="003C7551" w:rsidRPr="00EB0495">
        <w:rPr>
          <w:rFonts w:ascii="Arial" w:eastAsia="Calibri" w:hAnsi="Arial" w:cs="Arial"/>
          <w:sz w:val="24"/>
          <w:szCs w:val="24"/>
          <w:lang w:val="en-US"/>
        </w:rPr>
        <w:t xml:space="preserve">, </w:t>
      </w:r>
      <w:r w:rsidR="00431485" w:rsidRPr="00EB0495">
        <w:rPr>
          <w:rFonts w:ascii="Arial" w:eastAsia="Calibri" w:hAnsi="Arial" w:cs="Arial"/>
          <w:sz w:val="24"/>
          <w:szCs w:val="24"/>
          <w:lang w:val="en-US"/>
        </w:rPr>
        <w:t>n=</w:t>
      </w:r>
      <w:r w:rsidR="003C7551" w:rsidRPr="00EB0495">
        <w:rPr>
          <w:rFonts w:ascii="Arial" w:eastAsia="Calibri" w:hAnsi="Arial" w:cs="Arial"/>
          <w:sz w:val="24"/>
          <w:szCs w:val="24"/>
          <w:lang w:val="en-US"/>
        </w:rPr>
        <w:t>9</w:t>
      </w:r>
      <w:r w:rsidR="000B19B6" w:rsidRPr="00EB0495">
        <w:rPr>
          <w:rFonts w:ascii="Arial" w:eastAsia="Calibri" w:hAnsi="Arial" w:cs="Arial"/>
          <w:sz w:val="24"/>
          <w:szCs w:val="24"/>
          <w:lang w:val="en-US"/>
        </w:rPr>
        <w:t>; R-chemo</w:t>
      </w:r>
      <w:r w:rsidR="003C7551" w:rsidRPr="00EB0495">
        <w:rPr>
          <w:rFonts w:ascii="Arial" w:eastAsia="Calibri" w:hAnsi="Arial" w:cs="Arial"/>
          <w:sz w:val="24"/>
          <w:szCs w:val="24"/>
          <w:lang w:val="en-US"/>
        </w:rPr>
        <w:t xml:space="preserve">, </w:t>
      </w:r>
      <w:r w:rsidR="00431485" w:rsidRPr="00EB0495">
        <w:rPr>
          <w:rFonts w:ascii="Arial" w:eastAsia="Calibri" w:hAnsi="Arial" w:cs="Arial"/>
          <w:sz w:val="24"/>
          <w:szCs w:val="24"/>
          <w:lang w:val="en-US"/>
        </w:rPr>
        <w:t>n=</w:t>
      </w:r>
      <w:r w:rsidR="003C7551" w:rsidRPr="00EB0495">
        <w:rPr>
          <w:rFonts w:ascii="Arial" w:eastAsia="Calibri" w:hAnsi="Arial" w:cs="Arial"/>
          <w:sz w:val="24"/>
          <w:szCs w:val="24"/>
          <w:lang w:val="en-US"/>
        </w:rPr>
        <w:t>6</w:t>
      </w:r>
      <w:r w:rsidR="003C3392" w:rsidRPr="00EB0495">
        <w:rPr>
          <w:rFonts w:ascii="Arial" w:eastAsia="Calibri" w:hAnsi="Arial" w:cs="Arial"/>
          <w:sz w:val="24"/>
          <w:szCs w:val="24"/>
          <w:lang w:val="en-US"/>
        </w:rPr>
        <w:t>;</w:t>
      </w:r>
      <w:r w:rsidR="00FE25A4" w:rsidRPr="00EB0495">
        <w:rPr>
          <w:rFonts w:ascii="Arial" w:eastAsia="Calibri" w:hAnsi="Arial" w:cs="Arial"/>
          <w:sz w:val="24"/>
          <w:szCs w:val="24"/>
          <w:lang w:val="en-US"/>
        </w:rPr>
        <w:t xml:space="preserve"> </w:t>
      </w:r>
      <w:r w:rsidR="007F0646" w:rsidRPr="00EB0495">
        <w:rPr>
          <w:rFonts w:ascii="Arial" w:eastAsia="Calibri" w:hAnsi="Arial" w:cs="Arial"/>
          <w:i/>
          <w:sz w:val="24"/>
          <w:szCs w:val="24"/>
          <w:lang w:val="en-US"/>
        </w:rPr>
        <w:t>Online Supplementary Table S3</w:t>
      </w:r>
      <w:r w:rsidR="00FE25A4" w:rsidRPr="00EB0495">
        <w:rPr>
          <w:rFonts w:ascii="Arial" w:eastAsia="Calibri" w:hAnsi="Arial" w:cs="Arial"/>
          <w:sz w:val="24"/>
          <w:szCs w:val="24"/>
          <w:lang w:val="en-US"/>
        </w:rPr>
        <w:t>)</w:t>
      </w:r>
      <w:r w:rsidR="000B19B6" w:rsidRPr="00EB0495">
        <w:rPr>
          <w:rFonts w:ascii="Arial" w:eastAsia="Calibri" w:hAnsi="Arial" w:cs="Arial"/>
          <w:sz w:val="24"/>
          <w:szCs w:val="24"/>
          <w:lang w:val="en-US"/>
        </w:rPr>
        <w:t>.</w:t>
      </w:r>
      <w:r w:rsidR="00D86A1F" w:rsidRPr="00EB0495">
        <w:rPr>
          <w:rFonts w:ascii="Arial" w:eastAsia="Calibri" w:hAnsi="Arial" w:cs="Arial"/>
          <w:sz w:val="24"/>
          <w:szCs w:val="24"/>
          <w:lang w:val="en-US"/>
        </w:rPr>
        <w:t xml:space="preserve"> </w:t>
      </w:r>
      <w:r w:rsidR="000C7C9C" w:rsidRPr="00EB0495">
        <w:rPr>
          <w:rFonts w:ascii="Arial" w:eastAsia="Calibri" w:hAnsi="Arial" w:cs="Arial"/>
          <w:sz w:val="24"/>
          <w:szCs w:val="24"/>
          <w:lang w:val="en-US"/>
        </w:rPr>
        <w:t>P</w:t>
      </w:r>
      <w:r w:rsidR="00DD16D4" w:rsidRPr="00EB0495">
        <w:rPr>
          <w:rFonts w:ascii="Arial" w:eastAsia="Calibri" w:hAnsi="Arial" w:cs="Arial"/>
          <w:sz w:val="24"/>
          <w:szCs w:val="24"/>
          <w:lang w:val="en-US"/>
        </w:rPr>
        <w:t>ost-progression survival</w:t>
      </w:r>
      <w:r w:rsidR="000B19B6" w:rsidRPr="00EB0495">
        <w:rPr>
          <w:rFonts w:ascii="Arial" w:eastAsia="Calibri" w:hAnsi="Arial" w:cs="Arial"/>
          <w:sz w:val="24"/>
          <w:szCs w:val="24"/>
          <w:lang w:val="en-US"/>
        </w:rPr>
        <w:t xml:space="preserve"> in POD24 </w:t>
      </w:r>
      <w:r w:rsidR="001703AB" w:rsidRPr="00EB0495">
        <w:rPr>
          <w:rFonts w:ascii="Arial" w:eastAsia="Calibri" w:hAnsi="Arial" w:cs="Arial"/>
          <w:sz w:val="24"/>
          <w:szCs w:val="24"/>
          <w:lang w:val="en-US"/>
        </w:rPr>
        <w:t xml:space="preserve">patients </w:t>
      </w:r>
      <w:r w:rsidR="000B19B6" w:rsidRPr="00EB0495">
        <w:rPr>
          <w:rFonts w:ascii="Arial" w:eastAsia="Calibri" w:hAnsi="Arial" w:cs="Arial"/>
          <w:sz w:val="24"/>
          <w:szCs w:val="24"/>
          <w:lang w:val="en-US"/>
        </w:rPr>
        <w:t>w</w:t>
      </w:r>
      <w:r w:rsidR="00FC595E" w:rsidRPr="00EB0495">
        <w:rPr>
          <w:rFonts w:ascii="Arial" w:eastAsia="Calibri" w:hAnsi="Arial" w:cs="Arial"/>
          <w:sz w:val="24"/>
          <w:szCs w:val="24"/>
          <w:lang w:val="en-US"/>
        </w:rPr>
        <w:t>as</w:t>
      </w:r>
      <w:r w:rsidR="000B19B6" w:rsidRPr="00EB0495">
        <w:rPr>
          <w:rFonts w:ascii="Arial" w:eastAsia="Calibri" w:hAnsi="Arial" w:cs="Arial"/>
          <w:sz w:val="24"/>
          <w:szCs w:val="24"/>
          <w:lang w:val="en-US"/>
        </w:rPr>
        <w:t xml:space="preserve"> similar </w:t>
      </w:r>
      <w:r w:rsidR="001703AB" w:rsidRPr="00EB0495">
        <w:rPr>
          <w:rFonts w:ascii="Arial" w:eastAsia="Calibri" w:hAnsi="Arial" w:cs="Arial"/>
          <w:sz w:val="24"/>
          <w:szCs w:val="24"/>
          <w:lang w:val="en-US"/>
        </w:rPr>
        <w:t xml:space="preserve">in the </w:t>
      </w:r>
      <w:r w:rsidR="007F0646" w:rsidRPr="00EB0495">
        <w:rPr>
          <w:rFonts w:ascii="Arial" w:eastAsia="Calibri" w:hAnsi="Arial" w:cs="Arial"/>
          <w:sz w:val="24"/>
          <w:szCs w:val="24"/>
          <w:lang w:val="en-US"/>
        </w:rPr>
        <w:t xml:space="preserve">2 </w:t>
      </w:r>
      <w:r w:rsidR="000B19B6" w:rsidRPr="00EB0495">
        <w:rPr>
          <w:rFonts w:ascii="Arial" w:eastAsia="Calibri" w:hAnsi="Arial" w:cs="Arial"/>
          <w:sz w:val="24"/>
          <w:szCs w:val="24"/>
          <w:lang w:val="en-US"/>
        </w:rPr>
        <w:t>treatment arm</w:t>
      </w:r>
      <w:r w:rsidR="001703AB" w:rsidRPr="00EB0495">
        <w:rPr>
          <w:rFonts w:ascii="Arial" w:eastAsia="Calibri" w:hAnsi="Arial" w:cs="Arial"/>
          <w:sz w:val="24"/>
          <w:szCs w:val="24"/>
          <w:lang w:val="en-US"/>
        </w:rPr>
        <w:t>s</w:t>
      </w:r>
      <w:r w:rsidR="00A8177D" w:rsidRPr="00EB0495">
        <w:rPr>
          <w:rFonts w:ascii="Arial" w:eastAsia="Calibri" w:hAnsi="Arial" w:cs="Arial"/>
          <w:sz w:val="24"/>
          <w:szCs w:val="24"/>
          <w:lang w:val="en-US"/>
        </w:rPr>
        <w:t xml:space="preserve"> </w:t>
      </w:r>
      <w:r w:rsidR="000B19B6" w:rsidRPr="00EB0495">
        <w:rPr>
          <w:rFonts w:ascii="Arial" w:eastAsia="Calibri" w:hAnsi="Arial" w:cs="Arial"/>
          <w:sz w:val="24"/>
          <w:szCs w:val="24"/>
          <w:lang w:val="en-US"/>
        </w:rPr>
        <w:t xml:space="preserve">at </w:t>
      </w:r>
      <w:r w:rsidR="003C7551" w:rsidRPr="00EB0495">
        <w:rPr>
          <w:rFonts w:ascii="Arial" w:eastAsia="Calibri" w:hAnsi="Arial" w:cs="Arial"/>
          <w:sz w:val="24"/>
          <w:szCs w:val="24"/>
          <w:lang w:val="en-US"/>
        </w:rPr>
        <w:t xml:space="preserve">a </w:t>
      </w:r>
      <w:r w:rsidR="000B19B6" w:rsidRPr="00EB0495">
        <w:rPr>
          <w:rFonts w:ascii="Arial" w:eastAsia="Calibri" w:hAnsi="Arial" w:cs="Arial"/>
          <w:sz w:val="24"/>
          <w:szCs w:val="24"/>
          <w:lang w:val="en-US"/>
        </w:rPr>
        <w:t xml:space="preserve">median post-progression follow-up of </w:t>
      </w:r>
      <w:r w:rsidR="001902F2" w:rsidRPr="00EB0495">
        <w:rPr>
          <w:rFonts w:ascii="Arial" w:eastAsia="Calibri" w:hAnsi="Arial" w:cs="Arial"/>
          <w:sz w:val="24"/>
          <w:szCs w:val="24"/>
          <w:lang w:val="en-US"/>
        </w:rPr>
        <w:t>22.6</w:t>
      </w:r>
      <w:r w:rsidR="00543412" w:rsidRPr="00EB0495">
        <w:rPr>
          <w:rFonts w:ascii="Arial" w:eastAsia="Calibri" w:hAnsi="Arial" w:cs="Arial"/>
          <w:sz w:val="24"/>
          <w:szCs w:val="24"/>
          <w:lang w:val="en-US"/>
        </w:rPr>
        <w:t xml:space="preserve"> months</w:t>
      </w:r>
      <w:r w:rsidR="00A8177D" w:rsidRPr="00EB0495">
        <w:rPr>
          <w:rFonts w:ascii="Arial" w:eastAsia="Calibri" w:hAnsi="Arial" w:cs="Arial"/>
          <w:sz w:val="24"/>
          <w:szCs w:val="24"/>
          <w:lang w:val="en-US"/>
        </w:rPr>
        <w:t xml:space="preserve"> (</w:t>
      </w:r>
      <w:r w:rsidR="00E23503" w:rsidRPr="00EB0495">
        <w:rPr>
          <w:rFonts w:ascii="Arial" w:eastAsia="Calibri" w:hAnsi="Arial" w:cs="Arial"/>
          <w:sz w:val="24"/>
          <w:szCs w:val="24"/>
          <w:lang w:val="en-US"/>
        </w:rPr>
        <w:t>Fig</w:t>
      </w:r>
      <w:r w:rsidR="007F0646" w:rsidRPr="00EB0495">
        <w:rPr>
          <w:rFonts w:ascii="Arial" w:eastAsia="Calibri" w:hAnsi="Arial" w:cs="Arial"/>
          <w:sz w:val="24"/>
          <w:szCs w:val="24"/>
          <w:lang w:val="en-US"/>
        </w:rPr>
        <w:t>ure</w:t>
      </w:r>
      <w:r w:rsidR="00E23503" w:rsidRPr="00EB0495">
        <w:rPr>
          <w:rFonts w:ascii="Arial" w:eastAsia="Calibri" w:hAnsi="Arial" w:cs="Arial"/>
          <w:sz w:val="24"/>
          <w:szCs w:val="24"/>
          <w:lang w:val="en-US"/>
        </w:rPr>
        <w:t xml:space="preserve"> </w:t>
      </w:r>
      <w:r w:rsidR="004E2056" w:rsidRPr="00EB0495">
        <w:rPr>
          <w:rFonts w:ascii="Arial" w:eastAsia="Calibri" w:hAnsi="Arial" w:cs="Arial"/>
          <w:sz w:val="24"/>
          <w:szCs w:val="24"/>
          <w:lang w:val="en-US"/>
        </w:rPr>
        <w:t>2</w:t>
      </w:r>
      <w:r w:rsidR="00EB40AB" w:rsidRPr="00EB0495">
        <w:rPr>
          <w:rFonts w:ascii="Arial" w:eastAsia="Calibri" w:hAnsi="Arial" w:cs="Arial"/>
          <w:sz w:val="24"/>
          <w:szCs w:val="24"/>
          <w:lang w:val="en-US"/>
        </w:rPr>
        <w:t xml:space="preserve">; </w:t>
      </w:r>
      <w:r w:rsidR="007F0646" w:rsidRPr="00EB0495">
        <w:rPr>
          <w:rFonts w:ascii="Arial" w:eastAsia="Calibri" w:hAnsi="Arial" w:cs="Arial"/>
          <w:i/>
          <w:sz w:val="24"/>
          <w:szCs w:val="24"/>
          <w:lang w:val="en-US"/>
        </w:rPr>
        <w:t>Online Supplementary Table S4</w:t>
      </w:r>
      <w:r w:rsidR="00E23503" w:rsidRPr="00EB0495">
        <w:rPr>
          <w:rFonts w:ascii="Arial" w:eastAsia="Calibri" w:hAnsi="Arial" w:cs="Arial"/>
          <w:sz w:val="24"/>
          <w:szCs w:val="24"/>
          <w:lang w:val="en-US"/>
        </w:rPr>
        <w:t>).</w:t>
      </w:r>
    </w:p>
    <w:p w14:paraId="48D5A6B9" w14:textId="1D239619" w:rsidR="00153CD2" w:rsidRPr="00EB0495" w:rsidRDefault="00153CD2" w:rsidP="00FE641D">
      <w:pPr>
        <w:keepNext/>
        <w:spacing w:after="240"/>
        <w:rPr>
          <w:rFonts w:ascii="Arial" w:eastAsia="Calibri" w:hAnsi="Arial" w:cs="Arial"/>
          <w:b/>
          <w:i/>
          <w:sz w:val="24"/>
          <w:szCs w:val="24"/>
          <w:lang w:val="en-US"/>
        </w:rPr>
      </w:pPr>
      <w:r w:rsidRPr="00EB0495">
        <w:rPr>
          <w:rFonts w:ascii="Arial" w:eastAsia="Calibri" w:hAnsi="Arial" w:cs="Arial"/>
          <w:b/>
          <w:i/>
          <w:sz w:val="24"/>
          <w:szCs w:val="24"/>
          <w:lang w:val="en-US"/>
        </w:rPr>
        <w:t xml:space="preserve">Survival and </w:t>
      </w:r>
      <w:r w:rsidR="007F0646" w:rsidRPr="00EB0495">
        <w:rPr>
          <w:rFonts w:ascii="Arial" w:eastAsia="Calibri" w:hAnsi="Arial" w:cs="Arial"/>
          <w:b/>
          <w:i/>
          <w:sz w:val="24"/>
          <w:szCs w:val="24"/>
          <w:lang w:val="en-US"/>
        </w:rPr>
        <w:t>m</w:t>
      </w:r>
      <w:r w:rsidRPr="00EB0495">
        <w:rPr>
          <w:rFonts w:ascii="Arial" w:eastAsia="Calibri" w:hAnsi="Arial" w:cs="Arial"/>
          <w:b/>
          <w:i/>
          <w:sz w:val="24"/>
          <w:szCs w:val="24"/>
          <w:lang w:val="en-US"/>
        </w:rPr>
        <w:t xml:space="preserve">ortality by </w:t>
      </w:r>
      <w:r w:rsidR="007F0646" w:rsidRPr="00EB0495">
        <w:rPr>
          <w:rFonts w:ascii="Arial" w:eastAsia="Calibri" w:hAnsi="Arial" w:cs="Arial"/>
          <w:b/>
          <w:i/>
          <w:sz w:val="24"/>
          <w:szCs w:val="24"/>
          <w:lang w:val="en-US"/>
        </w:rPr>
        <w:t>c</w:t>
      </w:r>
      <w:r w:rsidRPr="00EB0495">
        <w:rPr>
          <w:rFonts w:ascii="Arial" w:eastAsia="Calibri" w:hAnsi="Arial" w:cs="Arial"/>
          <w:b/>
          <w:i/>
          <w:sz w:val="24"/>
          <w:szCs w:val="24"/>
          <w:lang w:val="en-US"/>
        </w:rPr>
        <w:t xml:space="preserve">hemotherapy </w:t>
      </w:r>
      <w:r w:rsidR="007F0646" w:rsidRPr="00EB0495">
        <w:rPr>
          <w:rFonts w:ascii="Arial" w:eastAsia="Calibri" w:hAnsi="Arial" w:cs="Arial"/>
          <w:b/>
          <w:i/>
          <w:sz w:val="24"/>
          <w:szCs w:val="24"/>
          <w:lang w:val="en-US"/>
        </w:rPr>
        <w:t>r</w:t>
      </w:r>
      <w:r w:rsidRPr="00EB0495">
        <w:rPr>
          <w:rFonts w:ascii="Arial" w:eastAsia="Calibri" w:hAnsi="Arial" w:cs="Arial"/>
          <w:b/>
          <w:i/>
          <w:sz w:val="24"/>
          <w:szCs w:val="24"/>
          <w:lang w:val="en-US"/>
        </w:rPr>
        <w:t>egimen</w:t>
      </w:r>
      <w:r w:rsidR="004840D0" w:rsidRPr="00EB0495">
        <w:rPr>
          <w:rFonts w:ascii="Arial" w:eastAsia="Calibri" w:hAnsi="Arial" w:cs="Arial"/>
          <w:b/>
          <w:i/>
          <w:sz w:val="24"/>
          <w:szCs w:val="24"/>
          <w:lang w:val="en-US"/>
        </w:rPr>
        <w:t xml:space="preserve">, FLIPI </w:t>
      </w:r>
      <w:r w:rsidR="007F0646" w:rsidRPr="00EB0495">
        <w:rPr>
          <w:rFonts w:ascii="Arial" w:eastAsia="Calibri" w:hAnsi="Arial" w:cs="Arial"/>
          <w:b/>
          <w:i/>
          <w:sz w:val="24"/>
          <w:szCs w:val="24"/>
          <w:lang w:val="en-US"/>
        </w:rPr>
        <w:t>r</w:t>
      </w:r>
      <w:r w:rsidR="004840D0" w:rsidRPr="00EB0495">
        <w:rPr>
          <w:rFonts w:ascii="Arial" w:eastAsia="Calibri" w:hAnsi="Arial" w:cs="Arial"/>
          <w:b/>
          <w:i/>
          <w:sz w:val="24"/>
          <w:szCs w:val="24"/>
          <w:lang w:val="en-US"/>
        </w:rPr>
        <w:t xml:space="preserve">isk </w:t>
      </w:r>
      <w:r w:rsidR="007F0646" w:rsidRPr="00EB0495">
        <w:rPr>
          <w:rFonts w:ascii="Arial" w:eastAsia="Calibri" w:hAnsi="Arial" w:cs="Arial"/>
          <w:b/>
          <w:i/>
          <w:sz w:val="24"/>
          <w:szCs w:val="24"/>
          <w:lang w:val="en-US"/>
        </w:rPr>
        <w:t>c</w:t>
      </w:r>
      <w:r w:rsidR="004840D0" w:rsidRPr="00EB0495">
        <w:rPr>
          <w:rFonts w:ascii="Arial" w:eastAsia="Calibri" w:hAnsi="Arial" w:cs="Arial"/>
          <w:b/>
          <w:i/>
          <w:sz w:val="24"/>
          <w:szCs w:val="24"/>
          <w:lang w:val="en-US"/>
        </w:rPr>
        <w:t xml:space="preserve">ategory and </w:t>
      </w:r>
      <w:r w:rsidR="007F0646" w:rsidRPr="00EB0495">
        <w:rPr>
          <w:rFonts w:ascii="Arial" w:eastAsia="Calibri" w:hAnsi="Arial" w:cs="Arial"/>
          <w:b/>
          <w:i/>
          <w:sz w:val="24"/>
          <w:szCs w:val="24"/>
          <w:lang w:val="en-US"/>
        </w:rPr>
        <w:t>t</w:t>
      </w:r>
      <w:r w:rsidR="004840D0" w:rsidRPr="00EB0495">
        <w:rPr>
          <w:rFonts w:ascii="Arial" w:eastAsia="Calibri" w:hAnsi="Arial" w:cs="Arial"/>
          <w:b/>
          <w:i/>
          <w:sz w:val="24"/>
          <w:szCs w:val="24"/>
          <w:lang w:val="en-US"/>
        </w:rPr>
        <w:t xml:space="preserve">reatment </w:t>
      </w:r>
      <w:r w:rsidR="007F0646" w:rsidRPr="00EB0495">
        <w:rPr>
          <w:rFonts w:ascii="Arial" w:eastAsia="Calibri" w:hAnsi="Arial" w:cs="Arial"/>
          <w:b/>
          <w:i/>
          <w:sz w:val="24"/>
          <w:szCs w:val="24"/>
          <w:lang w:val="en-US"/>
        </w:rPr>
        <w:t>a</w:t>
      </w:r>
      <w:r w:rsidR="004840D0" w:rsidRPr="00EB0495">
        <w:rPr>
          <w:rFonts w:ascii="Arial" w:eastAsia="Calibri" w:hAnsi="Arial" w:cs="Arial"/>
          <w:b/>
          <w:i/>
          <w:sz w:val="24"/>
          <w:szCs w:val="24"/>
          <w:lang w:val="en-US"/>
        </w:rPr>
        <w:t>rm</w:t>
      </w:r>
    </w:p>
    <w:p w14:paraId="012BC003" w14:textId="3DC1F7DE" w:rsidR="00170233" w:rsidRPr="00EB0495" w:rsidRDefault="00E2694C" w:rsidP="003F263C">
      <w:pPr>
        <w:keepNext/>
        <w:spacing w:after="240"/>
        <w:ind w:firstLine="720"/>
        <w:rPr>
          <w:rFonts w:ascii="Arial" w:eastAsia="Calibri" w:hAnsi="Arial" w:cs="Arial"/>
          <w:sz w:val="24"/>
          <w:szCs w:val="24"/>
          <w:lang w:val="en-US"/>
        </w:rPr>
      </w:pPr>
      <w:r w:rsidRPr="00EB0495">
        <w:rPr>
          <w:rFonts w:ascii="Arial" w:eastAsia="Calibri" w:hAnsi="Arial" w:cs="Arial"/>
          <w:sz w:val="24"/>
          <w:szCs w:val="24"/>
          <w:lang w:val="en-US"/>
        </w:rPr>
        <w:t xml:space="preserve">Fewer POD24 events occurred in G-chemo </w:t>
      </w:r>
      <w:r w:rsidRPr="00EB0495">
        <w:rPr>
          <w:rFonts w:ascii="Arial" w:eastAsia="Calibri" w:hAnsi="Arial" w:cs="Arial"/>
          <w:i/>
          <w:sz w:val="24"/>
          <w:szCs w:val="24"/>
          <w:lang w:val="en-US"/>
        </w:rPr>
        <w:t>versus</w:t>
      </w:r>
      <w:r w:rsidRPr="00EB0495">
        <w:rPr>
          <w:rFonts w:ascii="Arial" w:eastAsia="Calibri" w:hAnsi="Arial" w:cs="Arial"/>
          <w:sz w:val="24"/>
          <w:szCs w:val="24"/>
          <w:lang w:val="en-US"/>
        </w:rPr>
        <w:t xml:space="preserve"> R-chemo patients across all </w:t>
      </w:r>
      <w:r w:rsidR="007F0646" w:rsidRPr="00EB0495">
        <w:rPr>
          <w:rFonts w:ascii="Arial" w:eastAsia="Calibri" w:hAnsi="Arial" w:cs="Arial"/>
          <w:sz w:val="24"/>
          <w:szCs w:val="24"/>
          <w:lang w:val="en-US"/>
        </w:rPr>
        <w:t xml:space="preserve">3 </w:t>
      </w:r>
      <w:r w:rsidRPr="00EB0495">
        <w:rPr>
          <w:rFonts w:ascii="Arial" w:eastAsia="Calibri" w:hAnsi="Arial" w:cs="Arial"/>
          <w:sz w:val="24"/>
          <w:szCs w:val="24"/>
          <w:lang w:val="en-US"/>
        </w:rPr>
        <w:t>chemotherapy regimen gr</w:t>
      </w:r>
      <w:r w:rsidR="007C2FCB" w:rsidRPr="00EB0495">
        <w:rPr>
          <w:rFonts w:ascii="Arial" w:eastAsia="Calibri" w:hAnsi="Arial" w:cs="Arial"/>
          <w:sz w:val="24"/>
          <w:szCs w:val="24"/>
          <w:lang w:val="en-US"/>
        </w:rPr>
        <w:t>oups</w:t>
      </w:r>
      <w:r w:rsidR="001D7561" w:rsidRPr="00EB0495">
        <w:rPr>
          <w:rFonts w:ascii="Arial" w:eastAsia="Calibri" w:hAnsi="Arial" w:cs="Arial"/>
          <w:sz w:val="24"/>
          <w:szCs w:val="24"/>
          <w:lang w:val="en-US"/>
        </w:rPr>
        <w:t xml:space="preserve">; in each treatment arm, the highest rate of events was observed in those treated with CVP. </w:t>
      </w:r>
      <w:r w:rsidR="00E1623C" w:rsidRPr="00EB0495">
        <w:rPr>
          <w:rFonts w:ascii="Arial" w:eastAsia="Calibri" w:hAnsi="Arial" w:cs="Arial"/>
          <w:sz w:val="24"/>
          <w:szCs w:val="24"/>
          <w:lang w:val="en-US"/>
        </w:rPr>
        <w:t xml:space="preserve">POD24 events were more common </w:t>
      </w:r>
      <w:r w:rsidR="00E1623C" w:rsidRPr="00EB0495">
        <w:rPr>
          <w:rFonts w:ascii="Arial" w:eastAsia="Calibri" w:hAnsi="Arial" w:cs="Arial"/>
          <w:sz w:val="24"/>
          <w:szCs w:val="24"/>
          <w:lang w:val="en-US"/>
        </w:rPr>
        <w:lastRenderedPageBreak/>
        <w:t xml:space="preserve">in patients with </w:t>
      </w:r>
      <w:r w:rsidR="00AB5CFC" w:rsidRPr="00EB0495">
        <w:rPr>
          <w:rFonts w:ascii="Arial" w:eastAsia="Calibri" w:hAnsi="Arial" w:cs="Arial"/>
          <w:sz w:val="24"/>
          <w:szCs w:val="24"/>
          <w:lang w:val="en-US"/>
        </w:rPr>
        <w:t xml:space="preserve">a </w:t>
      </w:r>
      <w:r w:rsidR="00E1623C" w:rsidRPr="00EB0495">
        <w:rPr>
          <w:rFonts w:ascii="Arial" w:eastAsia="Calibri" w:hAnsi="Arial" w:cs="Arial"/>
          <w:sz w:val="24"/>
          <w:szCs w:val="24"/>
          <w:lang w:val="en-US"/>
        </w:rPr>
        <w:t>high FLIP</w:t>
      </w:r>
      <w:r w:rsidR="001D7561" w:rsidRPr="00EB0495">
        <w:rPr>
          <w:rFonts w:ascii="Arial" w:eastAsia="Calibri" w:hAnsi="Arial" w:cs="Arial"/>
          <w:sz w:val="24"/>
          <w:szCs w:val="24"/>
          <w:lang w:val="en-US"/>
        </w:rPr>
        <w:t>I</w:t>
      </w:r>
      <w:r w:rsidR="00E1623C" w:rsidRPr="00EB0495">
        <w:rPr>
          <w:rFonts w:ascii="Arial" w:eastAsia="Calibri" w:hAnsi="Arial" w:cs="Arial"/>
          <w:sz w:val="24"/>
          <w:szCs w:val="24"/>
          <w:lang w:val="en-US"/>
        </w:rPr>
        <w:t xml:space="preserve"> score when compared with those patients with </w:t>
      </w:r>
      <w:r w:rsidR="00AB5CFC" w:rsidRPr="00EB0495">
        <w:rPr>
          <w:rFonts w:ascii="Arial" w:eastAsia="Calibri" w:hAnsi="Arial" w:cs="Arial"/>
          <w:sz w:val="24"/>
          <w:szCs w:val="24"/>
          <w:lang w:val="en-US"/>
        </w:rPr>
        <w:t xml:space="preserve">an </w:t>
      </w:r>
      <w:r w:rsidR="00E1623C" w:rsidRPr="00EB0495">
        <w:rPr>
          <w:rFonts w:ascii="Arial" w:eastAsia="Calibri" w:hAnsi="Arial" w:cs="Arial"/>
          <w:sz w:val="24"/>
          <w:szCs w:val="24"/>
          <w:lang w:val="en-US"/>
        </w:rPr>
        <w:t xml:space="preserve">intermediate </w:t>
      </w:r>
      <w:r w:rsidR="00AB5CFC" w:rsidRPr="00EB0495">
        <w:rPr>
          <w:rFonts w:ascii="Arial" w:eastAsia="Calibri" w:hAnsi="Arial" w:cs="Arial"/>
          <w:sz w:val="24"/>
          <w:szCs w:val="24"/>
          <w:lang w:val="en-US"/>
        </w:rPr>
        <w:t>or</w:t>
      </w:r>
      <w:r w:rsidR="00E1623C" w:rsidRPr="00EB0495">
        <w:rPr>
          <w:rFonts w:ascii="Arial" w:eastAsia="Calibri" w:hAnsi="Arial" w:cs="Arial"/>
          <w:sz w:val="24"/>
          <w:szCs w:val="24"/>
          <w:lang w:val="en-US"/>
        </w:rPr>
        <w:t xml:space="preserve"> low </w:t>
      </w:r>
      <w:r w:rsidR="00AB5CFC" w:rsidRPr="00EB0495">
        <w:rPr>
          <w:rFonts w:ascii="Arial" w:eastAsia="Calibri" w:hAnsi="Arial" w:cs="Arial"/>
          <w:sz w:val="24"/>
          <w:szCs w:val="24"/>
          <w:lang w:val="en-US"/>
        </w:rPr>
        <w:t xml:space="preserve">FLIPI </w:t>
      </w:r>
      <w:r w:rsidR="00E1623C" w:rsidRPr="00EB0495">
        <w:rPr>
          <w:rFonts w:ascii="Arial" w:eastAsia="Calibri" w:hAnsi="Arial" w:cs="Arial"/>
          <w:sz w:val="24"/>
          <w:szCs w:val="24"/>
          <w:lang w:val="en-US"/>
        </w:rPr>
        <w:t>score (</w:t>
      </w:r>
      <w:r w:rsidR="007F0646" w:rsidRPr="00EB0495">
        <w:rPr>
          <w:rFonts w:ascii="Arial" w:eastAsia="Calibri" w:hAnsi="Arial" w:cs="Arial"/>
          <w:i/>
          <w:sz w:val="24"/>
          <w:szCs w:val="24"/>
          <w:lang w:val="en-US"/>
        </w:rPr>
        <w:t>Online Supplementary Results</w:t>
      </w:r>
      <w:r w:rsidR="00E1623C" w:rsidRPr="00EB0495">
        <w:rPr>
          <w:rFonts w:ascii="Arial" w:eastAsia="Calibri" w:hAnsi="Arial" w:cs="Arial"/>
          <w:sz w:val="24"/>
          <w:szCs w:val="24"/>
          <w:lang w:val="en-US"/>
        </w:rPr>
        <w:t>).</w:t>
      </w:r>
      <w:r w:rsidR="00D91A31" w:rsidRPr="00EB0495">
        <w:rPr>
          <w:rFonts w:ascii="Arial" w:eastAsia="Calibri" w:hAnsi="Arial" w:cs="Arial"/>
          <w:sz w:val="24"/>
          <w:szCs w:val="24"/>
          <w:lang w:val="en-US"/>
        </w:rPr>
        <w:t xml:space="preserve"> </w:t>
      </w:r>
    </w:p>
    <w:p w14:paraId="430B4C09" w14:textId="73A08CB1" w:rsidR="005430EF" w:rsidRPr="00EB0495" w:rsidRDefault="00CF0FE6" w:rsidP="00234282">
      <w:pPr>
        <w:keepNext/>
        <w:spacing w:after="240"/>
        <w:rPr>
          <w:rFonts w:ascii="Arial" w:eastAsia="Calibri" w:hAnsi="Arial" w:cs="Arial"/>
          <w:b/>
          <w:i/>
          <w:sz w:val="24"/>
          <w:szCs w:val="24"/>
          <w:lang w:val="en-US"/>
        </w:rPr>
      </w:pPr>
      <w:r w:rsidRPr="00EB0495">
        <w:rPr>
          <w:rFonts w:ascii="Arial" w:eastAsia="Calibri" w:hAnsi="Arial" w:cs="Arial"/>
          <w:b/>
          <w:i/>
          <w:sz w:val="24"/>
          <w:szCs w:val="24"/>
          <w:lang w:val="en-US"/>
        </w:rPr>
        <w:t xml:space="preserve">Histologic </w:t>
      </w:r>
      <w:r w:rsidR="007F0646" w:rsidRPr="00EB0495">
        <w:rPr>
          <w:rFonts w:ascii="Arial" w:eastAsia="Calibri" w:hAnsi="Arial" w:cs="Arial"/>
          <w:b/>
          <w:i/>
          <w:sz w:val="24"/>
          <w:szCs w:val="24"/>
          <w:lang w:val="en-US"/>
        </w:rPr>
        <w:t>t</w:t>
      </w:r>
      <w:r w:rsidR="00940495" w:rsidRPr="00EB0495">
        <w:rPr>
          <w:rFonts w:ascii="Arial" w:eastAsia="Calibri" w:hAnsi="Arial" w:cs="Arial"/>
          <w:b/>
          <w:i/>
          <w:sz w:val="24"/>
          <w:szCs w:val="24"/>
          <w:lang w:val="en-US"/>
        </w:rPr>
        <w:t>ransformation</w:t>
      </w:r>
    </w:p>
    <w:p w14:paraId="2370C8E4" w14:textId="594024BC" w:rsidR="00F7773B" w:rsidRPr="00EB0495" w:rsidRDefault="00384615" w:rsidP="00C6592D">
      <w:pPr>
        <w:keepNext/>
        <w:spacing w:after="240"/>
        <w:ind w:firstLine="720"/>
        <w:rPr>
          <w:rFonts w:ascii="Arial" w:eastAsia="Calibri" w:hAnsi="Arial" w:cs="Arial"/>
          <w:sz w:val="24"/>
          <w:szCs w:val="24"/>
          <w:lang w:val="en-US"/>
        </w:rPr>
      </w:pPr>
      <w:r w:rsidRPr="00EB0495">
        <w:rPr>
          <w:rFonts w:ascii="Arial" w:eastAsia="Calibri" w:hAnsi="Arial" w:cs="Arial"/>
          <w:sz w:val="24"/>
          <w:szCs w:val="24"/>
          <w:lang w:val="en-US"/>
        </w:rPr>
        <w:t>Histologically confirmed t</w:t>
      </w:r>
      <w:r w:rsidR="00AF4C83" w:rsidRPr="00EB0495">
        <w:rPr>
          <w:rFonts w:ascii="Arial" w:eastAsia="Calibri" w:hAnsi="Arial" w:cs="Arial"/>
          <w:sz w:val="24"/>
          <w:szCs w:val="24"/>
          <w:lang w:val="en-US"/>
        </w:rPr>
        <w:t>ransformation to more aggressive lymphoma was observed in</w:t>
      </w:r>
      <w:r w:rsidRPr="00EB0495">
        <w:rPr>
          <w:rFonts w:ascii="Arial" w:eastAsia="Calibri" w:hAnsi="Arial" w:cs="Arial"/>
          <w:sz w:val="24"/>
          <w:szCs w:val="24"/>
          <w:lang w:val="en-US"/>
        </w:rPr>
        <w:t xml:space="preserve"> 35 patients</w:t>
      </w:r>
      <w:r w:rsidR="00F00E82" w:rsidRPr="00EB0495">
        <w:rPr>
          <w:rFonts w:ascii="Arial" w:eastAsia="Calibri" w:hAnsi="Arial" w:cs="Arial"/>
          <w:sz w:val="24"/>
          <w:szCs w:val="24"/>
          <w:lang w:val="en-US"/>
        </w:rPr>
        <w:t>:</w:t>
      </w:r>
      <w:r w:rsidRPr="00EB0495">
        <w:rPr>
          <w:rFonts w:ascii="Arial" w:eastAsia="Calibri" w:hAnsi="Arial" w:cs="Arial"/>
          <w:sz w:val="24"/>
          <w:szCs w:val="24"/>
          <w:lang w:val="en-US"/>
        </w:rPr>
        <w:t xml:space="preserve"> </w:t>
      </w:r>
      <w:r w:rsidR="00AF4C83" w:rsidRPr="00EB0495">
        <w:rPr>
          <w:rFonts w:ascii="Arial" w:eastAsia="Calibri" w:hAnsi="Arial" w:cs="Arial"/>
          <w:sz w:val="24"/>
          <w:szCs w:val="24"/>
          <w:lang w:val="en-US"/>
        </w:rPr>
        <w:t>13</w:t>
      </w:r>
      <w:r w:rsidRPr="00EB0495">
        <w:rPr>
          <w:rFonts w:ascii="Arial" w:eastAsia="Calibri" w:hAnsi="Arial" w:cs="Arial"/>
          <w:sz w:val="24"/>
          <w:szCs w:val="24"/>
          <w:lang w:val="en-US"/>
        </w:rPr>
        <w:t xml:space="preserve"> </w:t>
      </w:r>
      <w:r w:rsidR="008F2A1C" w:rsidRPr="00EB0495">
        <w:rPr>
          <w:rFonts w:ascii="Arial" w:eastAsia="Calibri" w:hAnsi="Arial" w:cs="Arial"/>
          <w:sz w:val="24"/>
          <w:szCs w:val="24"/>
          <w:lang w:val="en-US"/>
        </w:rPr>
        <w:t>(2.2%)</w:t>
      </w:r>
      <w:r w:rsidR="00AF4C83" w:rsidRPr="00EB0495">
        <w:rPr>
          <w:rFonts w:ascii="Arial" w:eastAsia="Calibri" w:hAnsi="Arial" w:cs="Arial"/>
          <w:sz w:val="24"/>
          <w:szCs w:val="24"/>
          <w:lang w:val="en-US"/>
        </w:rPr>
        <w:t xml:space="preserve"> in </w:t>
      </w:r>
      <w:r w:rsidRPr="00EB0495">
        <w:rPr>
          <w:rFonts w:ascii="Arial" w:eastAsia="Calibri" w:hAnsi="Arial" w:cs="Arial"/>
          <w:sz w:val="24"/>
          <w:szCs w:val="24"/>
          <w:lang w:val="en-US"/>
        </w:rPr>
        <w:t xml:space="preserve">the </w:t>
      </w:r>
      <w:r w:rsidR="00AF4C83" w:rsidRPr="00EB0495">
        <w:rPr>
          <w:rFonts w:ascii="Arial" w:eastAsia="Calibri" w:hAnsi="Arial" w:cs="Arial"/>
          <w:sz w:val="24"/>
          <w:szCs w:val="24"/>
          <w:lang w:val="en-US"/>
        </w:rPr>
        <w:t xml:space="preserve">G-chemo </w:t>
      </w:r>
      <w:r w:rsidRPr="00EB0495">
        <w:rPr>
          <w:rFonts w:ascii="Arial" w:eastAsia="Calibri" w:hAnsi="Arial" w:cs="Arial"/>
          <w:sz w:val="24"/>
          <w:szCs w:val="24"/>
          <w:lang w:val="en-US"/>
        </w:rPr>
        <w:t xml:space="preserve">arm </w:t>
      </w:r>
      <w:r w:rsidR="00AF4C83" w:rsidRPr="00EB0495">
        <w:rPr>
          <w:rFonts w:ascii="Arial" w:eastAsia="Calibri" w:hAnsi="Arial" w:cs="Arial"/>
          <w:sz w:val="24"/>
          <w:szCs w:val="24"/>
          <w:lang w:val="en-US"/>
        </w:rPr>
        <w:t>and 22</w:t>
      </w:r>
      <w:r w:rsidR="008F2A1C" w:rsidRPr="00EB0495">
        <w:rPr>
          <w:rFonts w:ascii="Arial" w:eastAsia="Calibri" w:hAnsi="Arial" w:cs="Arial"/>
          <w:sz w:val="24"/>
          <w:szCs w:val="24"/>
          <w:lang w:val="en-US"/>
        </w:rPr>
        <w:t xml:space="preserve"> (3.7%)</w:t>
      </w:r>
      <w:r w:rsidR="00AF4C83" w:rsidRPr="00EB0495">
        <w:rPr>
          <w:rFonts w:ascii="Arial" w:eastAsia="Calibri" w:hAnsi="Arial" w:cs="Arial"/>
          <w:sz w:val="24"/>
          <w:szCs w:val="24"/>
          <w:lang w:val="en-US"/>
        </w:rPr>
        <w:t xml:space="preserve"> in </w:t>
      </w:r>
      <w:r w:rsidRPr="00EB0495">
        <w:rPr>
          <w:rFonts w:ascii="Arial" w:eastAsia="Calibri" w:hAnsi="Arial" w:cs="Arial"/>
          <w:sz w:val="24"/>
          <w:szCs w:val="24"/>
          <w:lang w:val="en-US"/>
        </w:rPr>
        <w:t xml:space="preserve">the </w:t>
      </w:r>
      <w:r w:rsidR="00AF4C83" w:rsidRPr="00EB0495">
        <w:rPr>
          <w:rFonts w:ascii="Arial" w:eastAsia="Calibri" w:hAnsi="Arial" w:cs="Arial"/>
          <w:sz w:val="24"/>
          <w:szCs w:val="24"/>
          <w:lang w:val="en-US"/>
        </w:rPr>
        <w:t>R-chemo</w:t>
      </w:r>
      <w:r w:rsidR="008F2A1C" w:rsidRPr="00EB0495">
        <w:rPr>
          <w:rFonts w:ascii="Arial" w:eastAsia="Calibri" w:hAnsi="Arial" w:cs="Arial"/>
          <w:sz w:val="24"/>
          <w:szCs w:val="24"/>
          <w:lang w:val="en-US"/>
        </w:rPr>
        <w:t xml:space="preserve"> </w:t>
      </w:r>
      <w:r w:rsidRPr="00EB0495">
        <w:rPr>
          <w:rFonts w:ascii="Arial" w:eastAsia="Calibri" w:hAnsi="Arial" w:cs="Arial"/>
          <w:sz w:val="24"/>
          <w:szCs w:val="24"/>
          <w:lang w:val="en-US"/>
        </w:rPr>
        <w:t>arm</w:t>
      </w:r>
      <w:r w:rsidR="008D5F4B" w:rsidRPr="00EB0495">
        <w:rPr>
          <w:rFonts w:ascii="Arial" w:eastAsia="Calibri" w:hAnsi="Arial" w:cs="Arial"/>
          <w:sz w:val="24"/>
          <w:szCs w:val="24"/>
          <w:lang w:val="en-US"/>
        </w:rPr>
        <w:t>, predominantly in the first 24 months (n=30)</w:t>
      </w:r>
      <w:r w:rsidR="006A6298" w:rsidRPr="00EB0495">
        <w:rPr>
          <w:rFonts w:ascii="Arial" w:eastAsia="Calibri" w:hAnsi="Arial" w:cs="Arial"/>
          <w:sz w:val="24"/>
          <w:szCs w:val="24"/>
          <w:lang w:val="en-US"/>
        </w:rPr>
        <w:t xml:space="preserve">. </w:t>
      </w:r>
      <w:r w:rsidRPr="00EB0495">
        <w:rPr>
          <w:rFonts w:ascii="Arial" w:eastAsia="Calibri" w:hAnsi="Arial" w:cs="Arial"/>
          <w:sz w:val="24"/>
          <w:szCs w:val="24"/>
          <w:lang w:val="en-US"/>
        </w:rPr>
        <w:t xml:space="preserve">In POD24 </w:t>
      </w:r>
      <w:r w:rsidR="00F7773B" w:rsidRPr="00EB0495">
        <w:rPr>
          <w:rFonts w:ascii="Arial" w:eastAsia="Calibri" w:hAnsi="Arial" w:cs="Arial"/>
          <w:sz w:val="24"/>
          <w:szCs w:val="24"/>
          <w:lang w:val="en-US"/>
        </w:rPr>
        <w:t xml:space="preserve">patients, </w:t>
      </w:r>
      <w:r w:rsidRPr="00EB0495">
        <w:rPr>
          <w:rFonts w:ascii="Arial" w:eastAsia="Calibri" w:hAnsi="Arial" w:cs="Arial"/>
          <w:sz w:val="24"/>
          <w:szCs w:val="24"/>
          <w:lang w:val="en-US"/>
        </w:rPr>
        <w:t xml:space="preserve">transformation occurred in </w:t>
      </w:r>
      <w:r w:rsidR="00960084" w:rsidRPr="00EB0495">
        <w:rPr>
          <w:rFonts w:ascii="Arial" w:eastAsia="Calibri" w:hAnsi="Arial" w:cs="Arial"/>
          <w:sz w:val="24"/>
          <w:szCs w:val="24"/>
          <w:lang w:val="en-US"/>
        </w:rPr>
        <w:t xml:space="preserve">almost identical </w:t>
      </w:r>
      <w:r w:rsidR="00FB6308" w:rsidRPr="00EB0495">
        <w:rPr>
          <w:rFonts w:ascii="Arial" w:eastAsia="Calibri" w:hAnsi="Arial" w:cs="Arial"/>
          <w:sz w:val="24"/>
          <w:szCs w:val="24"/>
          <w:lang w:val="en-US"/>
        </w:rPr>
        <w:t>proportions of G-chemo- and R-ch</w:t>
      </w:r>
      <w:r w:rsidR="00940495" w:rsidRPr="00EB0495">
        <w:rPr>
          <w:rFonts w:ascii="Arial" w:eastAsia="Calibri" w:hAnsi="Arial" w:cs="Arial"/>
          <w:sz w:val="24"/>
          <w:szCs w:val="24"/>
          <w:lang w:val="en-US"/>
        </w:rPr>
        <w:t>emo-treated patients (11 of 57 [</w:t>
      </w:r>
      <w:r w:rsidR="00FB6308" w:rsidRPr="00EB0495">
        <w:rPr>
          <w:rFonts w:ascii="Arial" w:eastAsia="Calibri" w:hAnsi="Arial" w:cs="Arial"/>
          <w:sz w:val="24"/>
          <w:szCs w:val="24"/>
          <w:lang w:val="en-US"/>
        </w:rPr>
        <w:t>19</w:t>
      </w:r>
      <w:r w:rsidR="00E120C3" w:rsidRPr="00EB0495">
        <w:rPr>
          <w:rFonts w:ascii="Arial" w:eastAsia="Calibri" w:hAnsi="Arial" w:cs="Arial"/>
          <w:sz w:val="24"/>
          <w:szCs w:val="24"/>
          <w:lang w:val="en-US"/>
        </w:rPr>
        <w:t>.3</w:t>
      </w:r>
      <w:r w:rsidR="00FB6308" w:rsidRPr="00EB0495">
        <w:rPr>
          <w:rFonts w:ascii="Arial" w:eastAsia="Calibri" w:hAnsi="Arial" w:cs="Arial"/>
          <w:sz w:val="24"/>
          <w:szCs w:val="24"/>
          <w:lang w:val="en-US"/>
        </w:rPr>
        <w:t>%</w:t>
      </w:r>
      <w:r w:rsidR="00940495" w:rsidRPr="00EB0495">
        <w:rPr>
          <w:rFonts w:ascii="Arial" w:eastAsia="Calibri" w:hAnsi="Arial" w:cs="Arial"/>
          <w:sz w:val="24"/>
          <w:szCs w:val="24"/>
          <w:lang w:val="en-US"/>
        </w:rPr>
        <w:t>]</w:t>
      </w:r>
      <w:r w:rsidR="00FB6308" w:rsidRPr="00EB0495">
        <w:rPr>
          <w:rFonts w:ascii="Arial" w:eastAsia="Calibri" w:hAnsi="Arial" w:cs="Arial"/>
          <w:sz w:val="24"/>
          <w:szCs w:val="24"/>
          <w:lang w:val="en-US"/>
        </w:rPr>
        <w:t xml:space="preserve"> and 19 of 98 </w:t>
      </w:r>
      <w:r w:rsidR="00940495" w:rsidRPr="00EB0495">
        <w:rPr>
          <w:rFonts w:ascii="Arial" w:eastAsia="Calibri" w:hAnsi="Arial" w:cs="Arial"/>
          <w:sz w:val="24"/>
          <w:szCs w:val="24"/>
          <w:lang w:val="en-US"/>
        </w:rPr>
        <w:t>[</w:t>
      </w:r>
      <w:r w:rsidR="00FB6308" w:rsidRPr="00EB0495">
        <w:rPr>
          <w:rFonts w:ascii="Arial" w:eastAsia="Calibri" w:hAnsi="Arial" w:cs="Arial"/>
          <w:sz w:val="24"/>
          <w:szCs w:val="24"/>
          <w:lang w:val="en-US"/>
        </w:rPr>
        <w:t>19</w:t>
      </w:r>
      <w:r w:rsidR="00E120C3" w:rsidRPr="00EB0495">
        <w:rPr>
          <w:rFonts w:ascii="Arial" w:eastAsia="Calibri" w:hAnsi="Arial" w:cs="Arial"/>
          <w:sz w:val="24"/>
          <w:szCs w:val="24"/>
          <w:lang w:val="en-US"/>
        </w:rPr>
        <w:t>.4</w:t>
      </w:r>
      <w:r w:rsidR="00FB6308" w:rsidRPr="00EB0495">
        <w:rPr>
          <w:rFonts w:ascii="Arial" w:eastAsia="Calibri" w:hAnsi="Arial" w:cs="Arial"/>
          <w:sz w:val="24"/>
          <w:szCs w:val="24"/>
          <w:lang w:val="en-US"/>
        </w:rPr>
        <w:t>%</w:t>
      </w:r>
      <w:r w:rsidR="00940495" w:rsidRPr="00EB0495">
        <w:rPr>
          <w:rFonts w:ascii="Arial" w:eastAsia="Calibri" w:hAnsi="Arial" w:cs="Arial"/>
          <w:sz w:val="24"/>
          <w:szCs w:val="24"/>
          <w:lang w:val="en-US"/>
        </w:rPr>
        <w:t>]</w:t>
      </w:r>
      <w:r w:rsidR="00F75DC3" w:rsidRPr="00EB0495">
        <w:rPr>
          <w:rFonts w:ascii="Arial" w:eastAsia="Calibri" w:hAnsi="Arial" w:cs="Arial"/>
          <w:sz w:val="24"/>
          <w:szCs w:val="24"/>
          <w:lang w:val="en-US"/>
        </w:rPr>
        <w:t xml:space="preserve"> patients</w:t>
      </w:r>
      <w:r w:rsidR="00FB6308" w:rsidRPr="00EB0495">
        <w:rPr>
          <w:rFonts w:ascii="Arial" w:eastAsia="Calibri" w:hAnsi="Arial" w:cs="Arial"/>
          <w:sz w:val="24"/>
          <w:szCs w:val="24"/>
          <w:lang w:val="en-US"/>
        </w:rPr>
        <w:t>, respectively)</w:t>
      </w:r>
      <w:r w:rsidR="00865B34" w:rsidRPr="00EB0495">
        <w:rPr>
          <w:rFonts w:ascii="Arial" w:eastAsia="Calibri" w:hAnsi="Arial" w:cs="Arial"/>
          <w:sz w:val="24"/>
          <w:szCs w:val="24"/>
          <w:lang w:val="en-US"/>
        </w:rPr>
        <w:t>.</w:t>
      </w:r>
      <w:r w:rsidR="004B6294" w:rsidRPr="00EB0495">
        <w:rPr>
          <w:rFonts w:ascii="Arial" w:eastAsia="Calibri" w:hAnsi="Arial" w:cs="Arial"/>
          <w:sz w:val="24"/>
          <w:szCs w:val="24"/>
          <w:lang w:val="en-US"/>
        </w:rPr>
        <w:t xml:space="preserve"> </w:t>
      </w:r>
      <w:r w:rsidR="008B6230" w:rsidRPr="00EB0495">
        <w:rPr>
          <w:rFonts w:ascii="Arial" w:eastAsia="Calibri" w:hAnsi="Arial" w:cs="Arial"/>
          <w:sz w:val="24"/>
          <w:szCs w:val="24"/>
          <w:lang w:val="en-US"/>
        </w:rPr>
        <w:t xml:space="preserve">Of 30 patients </w:t>
      </w:r>
      <w:r w:rsidR="008C3F38" w:rsidRPr="00EB0495">
        <w:rPr>
          <w:rFonts w:ascii="Arial" w:eastAsia="Calibri" w:hAnsi="Arial" w:cs="Arial"/>
          <w:sz w:val="24"/>
          <w:szCs w:val="24"/>
          <w:lang w:val="en-US"/>
        </w:rPr>
        <w:t xml:space="preserve">(19.4%) </w:t>
      </w:r>
      <w:r w:rsidR="008B6230" w:rsidRPr="00EB0495">
        <w:rPr>
          <w:rFonts w:ascii="Arial" w:eastAsia="Calibri" w:hAnsi="Arial" w:cs="Arial"/>
          <w:sz w:val="24"/>
          <w:szCs w:val="24"/>
          <w:lang w:val="en-US"/>
        </w:rPr>
        <w:t>with transformation in the first 24 months, 16 died during study follow-up (</w:t>
      </w:r>
      <w:r w:rsidR="0054342E" w:rsidRPr="00EB0495">
        <w:rPr>
          <w:rFonts w:ascii="Arial" w:eastAsia="Calibri" w:hAnsi="Arial" w:cs="Arial"/>
          <w:sz w:val="24"/>
          <w:szCs w:val="24"/>
          <w:lang w:val="en-US"/>
        </w:rPr>
        <w:t>n=</w:t>
      </w:r>
      <w:r w:rsidR="008B6230" w:rsidRPr="00EB0495">
        <w:rPr>
          <w:rFonts w:ascii="Arial" w:eastAsia="Calibri" w:hAnsi="Arial" w:cs="Arial"/>
          <w:sz w:val="24"/>
          <w:szCs w:val="24"/>
          <w:lang w:val="en-US"/>
        </w:rPr>
        <w:t xml:space="preserve">8 in </w:t>
      </w:r>
      <w:r w:rsidR="0054342E" w:rsidRPr="00EB0495">
        <w:rPr>
          <w:rFonts w:ascii="Arial" w:eastAsia="Calibri" w:hAnsi="Arial" w:cs="Arial"/>
          <w:sz w:val="24"/>
          <w:szCs w:val="24"/>
          <w:lang w:val="en-US"/>
        </w:rPr>
        <w:t xml:space="preserve">each treatment </w:t>
      </w:r>
      <w:r w:rsidR="008B6230" w:rsidRPr="00EB0495">
        <w:rPr>
          <w:rFonts w:ascii="Arial" w:eastAsia="Calibri" w:hAnsi="Arial" w:cs="Arial"/>
          <w:sz w:val="24"/>
          <w:szCs w:val="24"/>
          <w:lang w:val="en-US"/>
        </w:rPr>
        <w:t>arm</w:t>
      </w:r>
      <w:r w:rsidR="00142BB0" w:rsidRPr="00EB0495">
        <w:rPr>
          <w:rFonts w:ascii="Arial" w:eastAsia="Calibri" w:hAnsi="Arial" w:cs="Arial"/>
          <w:sz w:val="24"/>
          <w:szCs w:val="24"/>
          <w:lang w:val="en-US"/>
        </w:rPr>
        <w:t>)</w:t>
      </w:r>
      <w:r w:rsidR="00940495" w:rsidRPr="00EB0495">
        <w:rPr>
          <w:rFonts w:ascii="Arial" w:eastAsia="Calibri" w:hAnsi="Arial" w:cs="Arial"/>
          <w:sz w:val="24"/>
          <w:szCs w:val="24"/>
          <w:lang w:val="en-US"/>
        </w:rPr>
        <w:t>.</w:t>
      </w:r>
      <w:r w:rsidR="00C6592D" w:rsidRPr="00EB0495">
        <w:rPr>
          <w:rFonts w:ascii="Arial" w:eastAsia="Calibri" w:hAnsi="Arial" w:cs="Arial"/>
          <w:sz w:val="24"/>
          <w:szCs w:val="24"/>
          <w:lang w:val="en-US"/>
        </w:rPr>
        <w:t xml:space="preserve"> </w:t>
      </w:r>
      <w:r w:rsidR="00865B34" w:rsidRPr="00EB0495">
        <w:rPr>
          <w:rFonts w:ascii="Arial" w:eastAsia="Calibri" w:hAnsi="Arial" w:cs="Arial"/>
          <w:sz w:val="24"/>
          <w:szCs w:val="24"/>
          <w:lang w:val="en-US"/>
        </w:rPr>
        <w:t>Of</w:t>
      </w:r>
      <w:r w:rsidR="00D33B84" w:rsidRPr="00EB0495">
        <w:rPr>
          <w:rFonts w:ascii="Arial" w:eastAsia="Calibri" w:hAnsi="Arial" w:cs="Arial"/>
          <w:sz w:val="24"/>
          <w:szCs w:val="24"/>
          <w:lang w:val="en-US"/>
        </w:rPr>
        <w:t xml:space="preserve"> the</w:t>
      </w:r>
      <w:r w:rsidR="00865B34" w:rsidRPr="00EB0495">
        <w:rPr>
          <w:rFonts w:ascii="Arial" w:eastAsia="Calibri" w:hAnsi="Arial" w:cs="Arial"/>
          <w:sz w:val="24"/>
          <w:szCs w:val="24"/>
          <w:lang w:val="en-US"/>
        </w:rPr>
        <w:t xml:space="preserve"> 88</w:t>
      </w:r>
      <w:r w:rsidR="00F7773B" w:rsidRPr="00EB0495">
        <w:rPr>
          <w:rFonts w:ascii="Arial" w:eastAsia="Calibri" w:hAnsi="Arial" w:cs="Arial"/>
          <w:sz w:val="24"/>
          <w:szCs w:val="24"/>
          <w:lang w:val="en-US"/>
        </w:rPr>
        <w:t xml:space="preserve"> patients in the noPOD24 group </w:t>
      </w:r>
      <w:r w:rsidR="00C24ACC" w:rsidRPr="00EB0495">
        <w:rPr>
          <w:rFonts w:ascii="Arial" w:eastAsia="Calibri" w:hAnsi="Arial" w:cs="Arial"/>
          <w:sz w:val="24"/>
          <w:szCs w:val="24"/>
          <w:lang w:val="en-US"/>
        </w:rPr>
        <w:t>with PD</w:t>
      </w:r>
      <w:r w:rsidR="00B12214" w:rsidRPr="00EB0495">
        <w:rPr>
          <w:rFonts w:ascii="Arial" w:eastAsia="Calibri" w:hAnsi="Arial" w:cs="Arial"/>
          <w:sz w:val="24"/>
          <w:szCs w:val="24"/>
          <w:lang w:val="en-US"/>
        </w:rPr>
        <w:t xml:space="preserve"> events</w:t>
      </w:r>
      <w:r w:rsidR="00C24ACC" w:rsidRPr="00EB0495">
        <w:rPr>
          <w:rFonts w:ascii="Arial" w:eastAsia="Calibri" w:hAnsi="Arial" w:cs="Arial"/>
          <w:sz w:val="24"/>
          <w:szCs w:val="24"/>
          <w:lang w:val="en-US"/>
        </w:rPr>
        <w:t xml:space="preserve"> </w:t>
      </w:r>
      <w:r w:rsidR="00F7773B" w:rsidRPr="00EB0495">
        <w:rPr>
          <w:rFonts w:ascii="Arial" w:eastAsia="Calibri" w:hAnsi="Arial" w:cs="Arial"/>
          <w:sz w:val="24"/>
          <w:szCs w:val="24"/>
          <w:lang w:val="en-US"/>
        </w:rPr>
        <w:t xml:space="preserve">after the 24-month time point, </w:t>
      </w:r>
      <w:r w:rsidR="008C3F38" w:rsidRPr="00EB0495">
        <w:rPr>
          <w:rFonts w:ascii="Arial" w:eastAsia="Calibri" w:hAnsi="Arial" w:cs="Arial"/>
          <w:sz w:val="24"/>
          <w:szCs w:val="24"/>
          <w:lang w:val="en-US"/>
        </w:rPr>
        <w:t xml:space="preserve">only </w:t>
      </w:r>
      <w:r w:rsidR="007F0646" w:rsidRPr="00EB0495">
        <w:rPr>
          <w:rFonts w:ascii="Arial" w:eastAsia="Calibri" w:hAnsi="Arial" w:cs="Arial"/>
          <w:sz w:val="24"/>
          <w:szCs w:val="24"/>
          <w:lang w:val="en-US"/>
        </w:rPr>
        <w:t xml:space="preserve">5 </w:t>
      </w:r>
      <w:r w:rsidR="008C3F38" w:rsidRPr="00EB0495">
        <w:rPr>
          <w:rFonts w:ascii="Arial" w:eastAsia="Calibri" w:hAnsi="Arial" w:cs="Arial"/>
          <w:sz w:val="24"/>
          <w:szCs w:val="24"/>
          <w:lang w:val="en-US"/>
        </w:rPr>
        <w:t xml:space="preserve">(5.7%) </w:t>
      </w:r>
      <w:r w:rsidR="00F7773B" w:rsidRPr="00EB0495">
        <w:rPr>
          <w:rFonts w:ascii="Arial" w:eastAsia="Calibri" w:hAnsi="Arial" w:cs="Arial"/>
          <w:sz w:val="24"/>
          <w:szCs w:val="24"/>
          <w:lang w:val="en-US"/>
        </w:rPr>
        <w:t>had transformations</w:t>
      </w:r>
      <w:r w:rsidR="00C779C1" w:rsidRPr="00EB0495">
        <w:rPr>
          <w:rFonts w:ascii="Arial" w:eastAsia="Calibri" w:hAnsi="Arial" w:cs="Arial"/>
          <w:sz w:val="24"/>
          <w:szCs w:val="24"/>
          <w:lang w:val="en-US"/>
        </w:rPr>
        <w:t xml:space="preserve"> (G-chemo, 2 of 40</w:t>
      </w:r>
      <w:r w:rsidR="00767662" w:rsidRPr="00EB0495">
        <w:rPr>
          <w:rFonts w:ascii="Arial" w:eastAsia="Calibri" w:hAnsi="Arial" w:cs="Arial"/>
          <w:sz w:val="24"/>
          <w:szCs w:val="24"/>
          <w:lang w:val="en-US"/>
        </w:rPr>
        <w:t xml:space="preserve"> [</w:t>
      </w:r>
      <w:r w:rsidR="00C779C1" w:rsidRPr="00EB0495">
        <w:rPr>
          <w:rFonts w:ascii="Arial" w:eastAsia="Calibri" w:hAnsi="Arial" w:cs="Arial"/>
          <w:sz w:val="24"/>
          <w:szCs w:val="24"/>
          <w:lang w:val="en-US"/>
        </w:rPr>
        <w:t>5</w:t>
      </w:r>
      <w:r w:rsidR="00E120C3" w:rsidRPr="00EB0495">
        <w:rPr>
          <w:rFonts w:ascii="Arial" w:eastAsia="Calibri" w:hAnsi="Arial" w:cs="Arial"/>
          <w:sz w:val="24"/>
          <w:szCs w:val="24"/>
          <w:lang w:val="en-US"/>
        </w:rPr>
        <w:t>.0</w:t>
      </w:r>
      <w:r w:rsidR="00767662" w:rsidRPr="00EB0495">
        <w:rPr>
          <w:rFonts w:ascii="Arial" w:eastAsia="Calibri" w:hAnsi="Arial" w:cs="Arial"/>
          <w:sz w:val="24"/>
          <w:szCs w:val="24"/>
          <w:lang w:val="en-US"/>
        </w:rPr>
        <w:t>%]; R-chemo, 3 of 48 [</w:t>
      </w:r>
      <w:r w:rsidR="00C779C1" w:rsidRPr="00EB0495">
        <w:rPr>
          <w:rFonts w:ascii="Arial" w:eastAsia="Calibri" w:hAnsi="Arial" w:cs="Arial"/>
          <w:sz w:val="24"/>
          <w:szCs w:val="24"/>
          <w:lang w:val="en-US"/>
        </w:rPr>
        <w:t>6</w:t>
      </w:r>
      <w:r w:rsidR="00E120C3" w:rsidRPr="00EB0495">
        <w:rPr>
          <w:rFonts w:ascii="Arial" w:eastAsia="Calibri" w:hAnsi="Arial" w:cs="Arial"/>
          <w:sz w:val="24"/>
          <w:szCs w:val="24"/>
          <w:lang w:val="en-US"/>
        </w:rPr>
        <w:t>.3</w:t>
      </w:r>
      <w:r w:rsidR="00767662" w:rsidRPr="00EB0495">
        <w:rPr>
          <w:rFonts w:ascii="Arial" w:eastAsia="Calibri" w:hAnsi="Arial" w:cs="Arial"/>
          <w:sz w:val="24"/>
          <w:szCs w:val="24"/>
          <w:lang w:val="en-US"/>
        </w:rPr>
        <w:t>%])</w:t>
      </w:r>
      <w:r w:rsidR="00F7773B" w:rsidRPr="00EB0495">
        <w:rPr>
          <w:rFonts w:ascii="Arial" w:eastAsia="Calibri" w:hAnsi="Arial" w:cs="Arial"/>
          <w:sz w:val="24"/>
          <w:szCs w:val="24"/>
          <w:lang w:val="en-US"/>
        </w:rPr>
        <w:t>.</w:t>
      </w:r>
      <w:r w:rsidR="006A6298" w:rsidRPr="00EB0495">
        <w:rPr>
          <w:rFonts w:ascii="Arial" w:eastAsia="Calibri" w:hAnsi="Arial" w:cs="Arial"/>
          <w:sz w:val="24"/>
          <w:szCs w:val="24"/>
          <w:lang w:val="en-US"/>
        </w:rPr>
        <w:t xml:space="preserve"> Cumulative incidence data and lymphoma types at transformation are presented in the </w:t>
      </w:r>
      <w:r w:rsidR="007F0646" w:rsidRPr="00EB0495">
        <w:rPr>
          <w:rFonts w:ascii="Arial" w:eastAsia="Calibri" w:hAnsi="Arial" w:cs="Arial"/>
          <w:sz w:val="24"/>
          <w:szCs w:val="24"/>
          <w:lang w:val="en-US"/>
        </w:rPr>
        <w:t xml:space="preserve">Supplementary material </w:t>
      </w:r>
      <w:r w:rsidR="006A6298" w:rsidRPr="00EB0495">
        <w:rPr>
          <w:rFonts w:ascii="Arial" w:eastAsia="Calibri" w:hAnsi="Arial" w:cs="Arial"/>
          <w:sz w:val="24"/>
          <w:szCs w:val="24"/>
          <w:lang w:val="en-US"/>
        </w:rPr>
        <w:t>(</w:t>
      </w:r>
      <w:r w:rsidR="007F0646" w:rsidRPr="00EB0495">
        <w:rPr>
          <w:rFonts w:ascii="Arial" w:eastAsia="Calibri" w:hAnsi="Arial" w:cs="Arial"/>
          <w:i/>
          <w:sz w:val="24"/>
          <w:szCs w:val="24"/>
          <w:lang w:val="en-US"/>
        </w:rPr>
        <w:t>Online Supplementary Results; Figure S2; Table S7</w:t>
      </w:r>
      <w:r w:rsidR="006A6298" w:rsidRPr="00EB0495">
        <w:rPr>
          <w:rFonts w:ascii="Arial" w:eastAsia="Calibri" w:hAnsi="Arial" w:cs="Arial"/>
          <w:sz w:val="24"/>
          <w:szCs w:val="24"/>
          <w:lang w:val="en-US"/>
        </w:rPr>
        <w:t>).</w:t>
      </w:r>
    </w:p>
    <w:p w14:paraId="38D7A194" w14:textId="4C746674" w:rsidR="002D2A27" w:rsidRPr="00EB0495" w:rsidRDefault="008D5F4B" w:rsidP="00234282">
      <w:pPr>
        <w:keepNext/>
        <w:spacing w:after="240"/>
        <w:rPr>
          <w:rFonts w:ascii="Arial" w:eastAsia="Calibri" w:hAnsi="Arial" w:cs="Arial"/>
          <w:b/>
          <w:i/>
          <w:sz w:val="24"/>
          <w:szCs w:val="24"/>
          <w:lang w:val="en-US"/>
        </w:rPr>
      </w:pPr>
      <w:r w:rsidRPr="00EB0495">
        <w:rPr>
          <w:rFonts w:ascii="Arial" w:eastAsia="Calibri" w:hAnsi="Arial" w:cs="Arial"/>
          <w:b/>
          <w:i/>
          <w:sz w:val="24"/>
          <w:szCs w:val="24"/>
          <w:lang w:val="en-US"/>
        </w:rPr>
        <w:t xml:space="preserve">New </w:t>
      </w:r>
      <w:r w:rsidR="007F0646" w:rsidRPr="00EB0495">
        <w:rPr>
          <w:rFonts w:ascii="Arial" w:eastAsia="Calibri" w:hAnsi="Arial" w:cs="Arial"/>
          <w:b/>
          <w:i/>
          <w:sz w:val="24"/>
          <w:szCs w:val="24"/>
          <w:lang w:val="en-US"/>
        </w:rPr>
        <w:t>a</w:t>
      </w:r>
      <w:r w:rsidR="00FC0250" w:rsidRPr="00EB0495">
        <w:rPr>
          <w:rFonts w:ascii="Arial" w:eastAsia="Calibri" w:hAnsi="Arial" w:cs="Arial"/>
          <w:b/>
          <w:i/>
          <w:sz w:val="24"/>
          <w:szCs w:val="24"/>
          <w:lang w:val="en-US"/>
        </w:rPr>
        <w:t>nti-</w:t>
      </w:r>
      <w:r w:rsidR="00F50D64" w:rsidRPr="00EB0495">
        <w:rPr>
          <w:rFonts w:ascii="Arial" w:eastAsia="Calibri" w:hAnsi="Arial" w:cs="Arial"/>
          <w:b/>
          <w:i/>
          <w:sz w:val="24"/>
          <w:szCs w:val="24"/>
          <w:lang w:val="en-US"/>
        </w:rPr>
        <w:t>l</w:t>
      </w:r>
      <w:r w:rsidR="00FC0250" w:rsidRPr="00EB0495">
        <w:rPr>
          <w:rFonts w:ascii="Arial" w:eastAsia="Calibri" w:hAnsi="Arial" w:cs="Arial"/>
          <w:b/>
          <w:i/>
          <w:sz w:val="24"/>
          <w:szCs w:val="24"/>
          <w:lang w:val="en-US"/>
        </w:rPr>
        <w:t xml:space="preserve">ymphoma </w:t>
      </w:r>
      <w:r w:rsidR="007F0646" w:rsidRPr="00EB0495">
        <w:rPr>
          <w:rFonts w:ascii="Arial" w:eastAsia="Calibri" w:hAnsi="Arial" w:cs="Arial"/>
          <w:b/>
          <w:i/>
          <w:sz w:val="24"/>
          <w:szCs w:val="24"/>
          <w:lang w:val="en-US"/>
        </w:rPr>
        <w:t>t</w:t>
      </w:r>
      <w:r w:rsidR="00FC0250" w:rsidRPr="00EB0495">
        <w:rPr>
          <w:rFonts w:ascii="Arial" w:eastAsia="Calibri" w:hAnsi="Arial" w:cs="Arial"/>
          <w:b/>
          <w:i/>
          <w:sz w:val="24"/>
          <w:szCs w:val="24"/>
          <w:lang w:val="en-US"/>
        </w:rPr>
        <w:t>reatment</w:t>
      </w:r>
    </w:p>
    <w:p w14:paraId="435E80EF" w14:textId="2E7C154C" w:rsidR="00C07DAD" w:rsidRPr="00EB0495" w:rsidRDefault="00C24ACC" w:rsidP="00FC0250">
      <w:pPr>
        <w:keepNext/>
        <w:spacing w:after="240"/>
        <w:ind w:firstLine="720"/>
        <w:rPr>
          <w:rFonts w:ascii="Arial" w:eastAsia="Calibri" w:hAnsi="Arial" w:cs="Arial"/>
          <w:sz w:val="24"/>
          <w:szCs w:val="24"/>
          <w:lang w:val="en-US"/>
        </w:rPr>
      </w:pPr>
      <w:r w:rsidRPr="00EB0495">
        <w:rPr>
          <w:rFonts w:ascii="Arial" w:eastAsia="Calibri" w:hAnsi="Arial" w:cs="Arial"/>
          <w:sz w:val="24"/>
          <w:szCs w:val="24"/>
          <w:lang w:val="en-US"/>
        </w:rPr>
        <w:t>N</w:t>
      </w:r>
      <w:r w:rsidR="008D5F4B" w:rsidRPr="00EB0495">
        <w:rPr>
          <w:rFonts w:ascii="Arial" w:eastAsia="Calibri" w:hAnsi="Arial" w:cs="Arial"/>
          <w:sz w:val="24"/>
          <w:szCs w:val="24"/>
          <w:lang w:val="en-US"/>
        </w:rPr>
        <w:t>ew anti-lymphoma treatment</w:t>
      </w:r>
      <w:r w:rsidRPr="00EB0495">
        <w:rPr>
          <w:rFonts w:ascii="Arial" w:eastAsia="Calibri" w:hAnsi="Arial" w:cs="Arial"/>
          <w:sz w:val="24"/>
          <w:szCs w:val="24"/>
          <w:lang w:val="en-US"/>
        </w:rPr>
        <w:t xml:space="preserve"> </w:t>
      </w:r>
      <w:r w:rsidR="00966C0E" w:rsidRPr="00EB0495">
        <w:rPr>
          <w:rFonts w:ascii="Arial" w:eastAsia="Calibri" w:hAnsi="Arial" w:cs="Arial"/>
          <w:sz w:val="24"/>
          <w:szCs w:val="24"/>
          <w:lang w:val="en-US"/>
        </w:rPr>
        <w:t xml:space="preserve">(NALT) </w:t>
      </w:r>
      <w:r w:rsidR="006D52FC" w:rsidRPr="00EB0495">
        <w:rPr>
          <w:rFonts w:ascii="Arial" w:eastAsia="Calibri" w:hAnsi="Arial" w:cs="Arial"/>
          <w:sz w:val="24"/>
          <w:szCs w:val="24"/>
          <w:lang w:val="en-US"/>
        </w:rPr>
        <w:t>of any type was received by 100</w:t>
      </w:r>
      <w:r w:rsidR="00D85999" w:rsidRPr="00EB0495">
        <w:rPr>
          <w:rFonts w:ascii="Arial" w:eastAsia="Calibri" w:hAnsi="Arial" w:cs="Arial"/>
          <w:sz w:val="24"/>
          <w:szCs w:val="24"/>
          <w:lang w:val="en-US"/>
        </w:rPr>
        <w:t xml:space="preserve"> of </w:t>
      </w:r>
      <w:r w:rsidR="00384615" w:rsidRPr="00EB0495">
        <w:rPr>
          <w:rFonts w:ascii="Arial" w:eastAsia="Calibri" w:hAnsi="Arial" w:cs="Arial"/>
          <w:sz w:val="24"/>
          <w:szCs w:val="24"/>
          <w:lang w:val="en-US"/>
        </w:rPr>
        <w:t>155</w:t>
      </w:r>
      <w:r w:rsidR="006D52FC" w:rsidRPr="00EB0495">
        <w:rPr>
          <w:rFonts w:ascii="Arial" w:eastAsia="Calibri" w:hAnsi="Arial" w:cs="Arial"/>
          <w:sz w:val="24"/>
          <w:szCs w:val="24"/>
          <w:lang w:val="en-US"/>
        </w:rPr>
        <w:t xml:space="preserve"> patients </w:t>
      </w:r>
      <w:r w:rsidR="00614D8E" w:rsidRPr="00EB0495">
        <w:rPr>
          <w:rFonts w:ascii="Arial" w:eastAsia="Calibri" w:hAnsi="Arial" w:cs="Arial"/>
          <w:sz w:val="24"/>
          <w:szCs w:val="24"/>
          <w:lang w:val="en-US"/>
        </w:rPr>
        <w:t>(6</w:t>
      </w:r>
      <w:r w:rsidR="0042370A" w:rsidRPr="00EB0495">
        <w:rPr>
          <w:rFonts w:ascii="Arial" w:eastAsia="Calibri" w:hAnsi="Arial" w:cs="Arial"/>
          <w:sz w:val="24"/>
          <w:szCs w:val="24"/>
          <w:lang w:val="en-US"/>
        </w:rPr>
        <w:t>4.</w:t>
      </w:r>
      <w:r w:rsidR="004C682E" w:rsidRPr="00EB0495">
        <w:rPr>
          <w:rFonts w:ascii="Arial" w:eastAsia="Calibri" w:hAnsi="Arial" w:cs="Arial"/>
          <w:sz w:val="24"/>
          <w:szCs w:val="24"/>
          <w:lang w:val="en-US"/>
        </w:rPr>
        <w:t xml:space="preserve">5%) </w:t>
      </w:r>
      <w:r w:rsidR="00384615" w:rsidRPr="00EB0495">
        <w:rPr>
          <w:rFonts w:ascii="Arial" w:eastAsia="Calibri" w:hAnsi="Arial" w:cs="Arial"/>
          <w:sz w:val="24"/>
          <w:szCs w:val="24"/>
          <w:lang w:val="en-US"/>
        </w:rPr>
        <w:t>with a POD event in the first 24 months after randomization</w:t>
      </w:r>
      <w:r w:rsidR="006D52FC" w:rsidRPr="00EB0495">
        <w:rPr>
          <w:rFonts w:ascii="Arial" w:eastAsia="Calibri" w:hAnsi="Arial" w:cs="Arial"/>
          <w:sz w:val="24"/>
          <w:szCs w:val="24"/>
          <w:lang w:val="en-US"/>
        </w:rPr>
        <w:t xml:space="preserve"> (G-chemo, </w:t>
      </w:r>
      <w:r w:rsidR="00D85999" w:rsidRPr="00EB0495">
        <w:rPr>
          <w:rFonts w:ascii="Arial" w:eastAsia="Calibri" w:hAnsi="Arial" w:cs="Arial"/>
          <w:sz w:val="24"/>
          <w:szCs w:val="24"/>
          <w:lang w:val="en-US"/>
        </w:rPr>
        <w:t>n=</w:t>
      </w:r>
      <w:r w:rsidR="006D52FC" w:rsidRPr="00EB0495">
        <w:rPr>
          <w:rFonts w:ascii="Arial" w:eastAsia="Calibri" w:hAnsi="Arial" w:cs="Arial"/>
          <w:sz w:val="24"/>
          <w:szCs w:val="24"/>
          <w:lang w:val="en-US"/>
        </w:rPr>
        <w:t xml:space="preserve">37; R-chemo, </w:t>
      </w:r>
      <w:r w:rsidR="00D85999" w:rsidRPr="00EB0495">
        <w:rPr>
          <w:rFonts w:ascii="Arial" w:eastAsia="Calibri" w:hAnsi="Arial" w:cs="Arial"/>
          <w:sz w:val="24"/>
          <w:szCs w:val="24"/>
          <w:lang w:val="en-US"/>
        </w:rPr>
        <w:t>n=</w:t>
      </w:r>
      <w:r w:rsidR="006D52FC" w:rsidRPr="00EB0495">
        <w:rPr>
          <w:rFonts w:ascii="Arial" w:eastAsia="Calibri" w:hAnsi="Arial" w:cs="Arial"/>
          <w:sz w:val="24"/>
          <w:szCs w:val="24"/>
          <w:lang w:val="en-US"/>
        </w:rPr>
        <w:t>63) and by 24</w:t>
      </w:r>
      <w:r w:rsidR="00D85999" w:rsidRPr="00EB0495">
        <w:rPr>
          <w:rFonts w:ascii="Arial" w:eastAsia="Calibri" w:hAnsi="Arial" w:cs="Arial"/>
          <w:sz w:val="24"/>
          <w:szCs w:val="24"/>
          <w:lang w:val="en-US"/>
        </w:rPr>
        <w:t xml:space="preserve"> of </w:t>
      </w:r>
      <w:r w:rsidR="00384615" w:rsidRPr="00EB0495">
        <w:rPr>
          <w:rFonts w:ascii="Arial" w:eastAsia="Calibri" w:hAnsi="Arial" w:cs="Arial"/>
          <w:sz w:val="24"/>
          <w:szCs w:val="24"/>
          <w:lang w:val="en-US"/>
        </w:rPr>
        <w:t xml:space="preserve">88 </w:t>
      </w:r>
      <w:r w:rsidR="00865B34" w:rsidRPr="00EB0495">
        <w:rPr>
          <w:rFonts w:ascii="Arial" w:eastAsia="Calibri" w:hAnsi="Arial" w:cs="Arial"/>
          <w:sz w:val="24"/>
          <w:szCs w:val="24"/>
          <w:lang w:val="en-US"/>
        </w:rPr>
        <w:t xml:space="preserve">patients </w:t>
      </w:r>
      <w:r w:rsidR="006D52FC" w:rsidRPr="00EB0495">
        <w:rPr>
          <w:rFonts w:ascii="Arial" w:eastAsia="Calibri" w:hAnsi="Arial" w:cs="Arial"/>
          <w:sz w:val="24"/>
          <w:szCs w:val="24"/>
          <w:lang w:val="en-US"/>
        </w:rPr>
        <w:t>(</w:t>
      </w:r>
      <w:r w:rsidR="00D01E35" w:rsidRPr="00EB0495">
        <w:rPr>
          <w:rFonts w:ascii="Arial" w:eastAsia="Calibri" w:hAnsi="Arial" w:cs="Arial"/>
          <w:sz w:val="24"/>
          <w:szCs w:val="24"/>
          <w:lang w:val="en-US"/>
        </w:rPr>
        <w:t>27</w:t>
      </w:r>
      <w:r w:rsidR="0042370A" w:rsidRPr="00EB0495">
        <w:rPr>
          <w:rFonts w:ascii="Arial" w:eastAsia="Calibri" w:hAnsi="Arial" w:cs="Arial"/>
          <w:sz w:val="24"/>
          <w:szCs w:val="24"/>
          <w:lang w:val="en-US"/>
        </w:rPr>
        <w:t>.3</w:t>
      </w:r>
      <w:r w:rsidR="00D01E35" w:rsidRPr="00EB0495">
        <w:rPr>
          <w:rFonts w:ascii="Arial" w:eastAsia="Calibri" w:hAnsi="Arial" w:cs="Arial"/>
          <w:sz w:val="24"/>
          <w:szCs w:val="24"/>
          <w:lang w:val="en-US"/>
        </w:rPr>
        <w:t>%</w:t>
      </w:r>
      <w:r w:rsidR="00865B34" w:rsidRPr="00EB0495">
        <w:rPr>
          <w:rFonts w:ascii="Arial" w:eastAsia="Calibri" w:hAnsi="Arial" w:cs="Arial"/>
          <w:sz w:val="24"/>
          <w:szCs w:val="24"/>
          <w:lang w:val="en-US"/>
        </w:rPr>
        <w:t>)</w:t>
      </w:r>
      <w:r w:rsidR="006D52FC" w:rsidRPr="00EB0495">
        <w:rPr>
          <w:rFonts w:ascii="Arial" w:eastAsia="Calibri" w:hAnsi="Arial" w:cs="Arial"/>
          <w:sz w:val="24"/>
          <w:szCs w:val="24"/>
          <w:lang w:val="en-US"/>
        </w:rPr>
        <w:t xml:space="preserve"> </w:t>
      </w:r>
      <w:r w:rsidR="00104A4E" w:rsidRPr="00EB0495">
        <w:rPr>
          <w:rFonts w:ascii="Arial" w:eastAsia="Calibri" w:hAnsi="Arial" w:cs="Arial"/>
          <w:sz w:val="24"/>
          <w:szCs w:val="24"/>
          <w:lang w:val="en-US"/>
        </w:rPr>
        <w:t xml:space="preserve">with a POD event later than the 24-month time point </w:t>
      </w:r>
      <w:r w:rsidR="00865B34" w:rsidRPr="00EB0495">
        <w:rPr>
          <w:rFonts w:ascii="Arial" w:eastAsia="Calibri" w:hAnsi="Arial" w:cs="Arial"/>
          <w:sz w:val="24"/>
          <w:szCs w:val="24"/>
          <w:lang w:val="en-US"/>
        </w:rPr>
        <w:t xml:space="preserve">(G-chemo, </w:t>
      </w:r>
      <w:r w:rsidR="00D85999" w:rsidRPr="00EB0495">
        <w:rPr>
          <w:rFonts w:ascii="Arial" w:eastAsia="Calibri" w:hAnsi="Arial" w:cs="Arial"/>
          <w:sz w:val="24"/>
          <w:szCs w:val="24"/>
          <w:lang w:val="en-US"/>
        </w:rPr>
        <w:t>n=</w:t>
      </w:r>
      <w:r w:rsidR="00865B34" w:rsidRPr="00EB0495">
        <w:rPr>
          <w:rFonts w:ascii="Arial" w:eastAsia="Calibri" w:hAnsi="Arial" w:cs="Arial"/>
          <w:sz w:val="24"/>
          <w:szCs w:val="24"/>
          <w:lang w:val="en-US"/>
        </w:rPr>
        <w:t xml:space="preserve">11; R-chemo, </w:t>
      </w:r>
      <w:r w:rsidR="00D85999" w:rsidRPr="00EB0495">
        <w:rPr>
          <w:rFonts w:ascii="Arial" w:eastAsia="Calibri" w:hAnsi="Arial" w:cs="Arial"/>
          <w:sz w:val="24"/>
          <w:szCs w:val="24"/>
          <w:lang w:val="en-US"/>
        </w:rPr>
        <w:t>n=</w:t>
      </w:r>
      <w:r w:rsidR="00865B34" w:rsidRPr="00EB0495">
        <w:rPr>
          <w:rFonts w:ascii="Arial" w:eastAsia="Calibri" w:hAnsi="Arial" w:cs="Arial"/>
          <w:sz w:val="24"/>
          <w:szCs w:val="24"/>
          <w:lang w:val="en-US"/>
        </w:rPr>
        <w:t>13</w:t>
      </w:r>
      <w:r w:rsidR="00EC0C40" w:rsidRPr="00EB0495">
        <w:rPr>
          <w:rFonts w:ascii="Arial" w:eastAsia="Calibri" w:hAnsi="Arial" w:cs="Arial"/>
          <w:sz w:val="24"/>
          <w:szCs w:val="24"/>
          <w:lang w:val="en-US"/>
        </w:rPr>
        <w:t xml:space="preserve">; </w:t>
      </w:r>
      <w:r w:rsidR="001E6DB1" w:rsidRPr="00EB0495">
        <w:rPr>
          <w:rFonts w:ascii="Arial" w:eastAsia="Calibri" w:hAnsi="Arial" w:cs="Arial"/>
          <w:i/>
          <w:sz w:val="24"/>
          <w:szCs w:val="24"/>
          <w:lang w:val="en-US"/>
        </w:rPr>
        <w:t>Online Supplementary Table S8</w:t>
      </w:r>
      <w:r w:rsidR="006D52FC" w:rsidRPr="00EB0495">
        <w:rPr>
          <w:rFonts w:ascii="Arial" w:eastAsia="Calibri" w:hAnsi="Arial" w:cs="Arial"/>
          <w:sz w:val="24"/>
          <w:szCs w:val="24"/>
          <w:lang w:val="en-US"/>
        </w:rPr>
        <w:t xml:space="preserve">). </w:t>
      </w:r>
      <w:r w:rsidR="00624C52" w:rsidRPr="00EB0495">
        <w:rPr>
          <w:rFonts w:ascii="Arial" w:eastAsia="Calibri" w:hAnsi="Arial" w:cs="Arial"/>
          <w:sz w:val="24"/>
          <w:szCs w:val="24"/>
          <w:lang w:val="en-US"/>
        </w:rPr>
        <w:t>A</w:t>
      </w:r>
      <w:r w:rsidR="003E6713" w:rsidRPr="00EB0495">
        <w:rPr>
          <w:rFonts w:ascii="Arial" w:eastAsia="Calibri" w:hAnsi="Arial" w:cs="Arial"/>
          <w:sz w:val="24"/>
          <w:szCs w:val="24"/>
          <w:lang w:val="en-US"/>
        </w:rPr>
        <w:t xml:space="preserve"> </w:t>
      </w:r>
      <w:r w:rsidR="00F14B18" w:rsidRPr="00EB0495">
        <w:rPr>
          <w:rFonts w:ascii="Arial" w:eastAsia="Calibri" w:hAnsi="Arial" w:cs="Arial"/>
          <w:sz w:val="24"/>
          <w:szCs w:val="24"/>
          <w:lang w:val="en-US"/>
        </w:rPr>
        <w:t>cumulative incidence plot</w:t>
      </w:r>
      <w:r w:rsidR="00624C52" w:rsidRPr="00EB0495">
        <w:rPr>
          <w:rFonts w:ascii="Arial" w:eastAsia="Calibri" w:hAnsi="Arial" w:cs="Arial"/>
          <w:sz w:val="24"/>
          <w:szCs w:val="24"/>
          <w:lang w:val="en-US"/>
        </w:rPr>
        <w:t xml:space="preserve"> of </w:t>
      </w:r>
      <w:r w:rsidR="00F14B18" w:rsidRPr="00EB0495">
        <w:rPr>
          <w:rFonts w:ascii="Arial" w:eastAsia="Calibri" w:hAnsi="Arial" w:cs="Arial"/>
          <w:sz w:val="24"/>
          <w:szCs w:val="24"/>
          <w:lang w:val="en-US"/>
        </w:rPr>
        <w:t xml:space="preserve">time from PD to </w:t>
      </w:r>
      <w:r w:rsidR="003E6713" w:rsidRPr="00EB0495">
        <w:rPr>
          <w:rFonts w:ascii="Arial" w:eastAsia="Calibri" w:hAnsi="Arial" w:cs="Arial"/>
          <w:sz w:val="24"/>
          <w:szCs w:val="24"/>
          <w:lang w:val="en-US"/>
        </w:rPr>
        <w:t>NALT for those with PD b</w:t>
      </w:r>
      <w:r w:rsidR="00F14B18" w:rsidRPr="00EB0495">
        <w:rPr>
          <w:rFonts w:ascii="Arial" w:eastAsia="Calibri" w:hAnsi="Arial" w:cs="Arial"/>
          <w:sz w:val="24"/>
          <w:szCs w:val="24"/>
          <w:lang w:val="en-US"/>
        </w:rPr>
        <w:t xml:space="preserve">efore </w:t>
      </w:r>
      <w:r w:rsidR="003E6713" w:rsidRPr="00EB0495">
        <w:rPr>
          <w:rFonts w:ascii="Arial" w:eastAsia="Calibri" w:hAnsi="Arial" w:cs="Arial"/>
          <w:sz w:val="24"/>
          <w:szCs w:val="24"/>
          <w:lang w:val="en-US"/>
        </w:rPr>
        <w:t xml:space="preserve">and </w:t>
      </w:r>
      <w:r w:rsidR="00F14B18" w:rsidRPr="00EB0495">
        <w:rPr>
          <w:rFonts w:ascii="Arial" w:eastAsia="Calibri" w:hAnsi="Arial" w:cs="Arial"/>
          <w:sz w:val="24"/>
          <w:szCs w:val="24"/>
          <w:lang w:val="en-US"/>
        </w:rPr>
        <w:t>after 24 months</w:t>
      </w:r>
      <w:r w:rsidR="00624C52" w:rsidRPr="00EB0495">
        <w:rPr>
          <w:rFonts w:ascii="Arial" w:eastAsia="Calibri" w:hAnsi="Arial" w:cs="Arial"/>
          <w:sz w:val="24"/>
          <w:szCs w:val="24"/>
          <w:lang w:val="en-US"/>
        </w:rPr>
        <w:t xml:space="preserve"> </w:t>
      </w:r>
      <w:r w:rsidR="003E6713" w:rsidRPr="00EB0495">
        <w:rPr>
          <w:rFonts w:ascii="Arial" w:eastAsia="Calibri" w:hAnsi="Arial" w:cs="Arial"/>
          <w:sz w:val="24"/>
          <w:szCs w:val="24"/>
          <w:lang w:val="en-US"/>
        </w:rPr>
        <w:t>show</w:t>
      </w:r>
      <w:r w:rsidR="00F1031D" w:rsidRPr="00EB0495">
        <w:rPr>
          <w:rFonts w:ascii="Arial" w:eastAsia="Calibri" w:hAnsi="Arial" w:cs="Arial"/>
          <w:sz w:val="24"/>
          <w:szCs w:val="24"/>
          <w:lang w:val="en-US"/>
        </w:rPr>
        <w:t>ed that</w:t>
      </w:r>
      <w:r w:rsidR="003E6713" w:rsidRPr="00EB0495">
        <w:rPr>
          <w:rFonts w:ascii="Arial" w:eastAsia="Calibri" w:hAnsi="Arial" w:cs="Arial"/>
          <w:sz w:val="24"/>
          <w:szCs w:val="24"/>
          <w:lang w:val="en-US"/>
        </w:rPr>
        <w:t xml:space="preserve"> 49.7% </w:t>
      </w:r>
      <w:r w:rsidR="00F14B18" w:rsidRPr="00EB0495">
        <w:rPr>
          <w:rFonts w:ascii="Arial" w:eastAsia="Calibri" w:hAnsi="Arial" w:cs="Arial"/>
          <w:sz w:val="24"/>
          <w:szCs w:val="24"/>
          <w:lang w:val="en-US"/>
        </w:rPr>
        <w:t>(95% CI</w:t>
      </w:r>
      <w:r w:rsidR="00FC0250" w:rsidRPr="00EB0495">
        <w:rPr>
          <w:rFonts w:ascii="Arial" w:eastAsia="Calibri" w:hAnsi="Arial" w:cs="Arial"/>
          <w:sz w:val="24"/>
          <w:szCs w:val="24"/>
          <w:lang w:val="en-US"/>
        </w:rPr>
        <w:t>:</w:t>
      </w:r>
      <w:r w:rsidR="003E6713" w:rsidRPr="00EB0495">
        <w:rPr>
          <w:rFonts w:ascii="Arial" w:eastAsia="Calibri" w:hAnsi="Arial" w:cs="Arial"/>
          <w:sz w:val="24"/>
          <w:szCs w:val="24"/>
          <w:lang w:val="en-US"/>
        </w:rPr>
        <w:t xml:space="preserve"> </w:t>
      </w:r>
      <w:r w:rsidR="00F14B18" w:rsidRPr="00EB0495">
        <w:rPr>
          <w:rFonts w:ascii="Arial" w:eastAsia="Calibri" w:hAnsi="Arial" w:cs="Arial"/>
          <w:sz w:val="24"/>
          <w:szCs w:val="24"/>
          <w:lang w:val="en-US"/>
        </w:rPr>
        <w:t>41.3</w:t>
      </w:r>
      <w:r w:rsidR="001E6DB1" w:rsidRPr="00EB0495">
        <w:rPr>
          <w:rFonts w:ascii="Arial" w:eastAsia="Calibri" w:hAnsi="Arial" w:cs="Arial"/>
          <w:sz w:val="24"/>
          <w:szCs w:val="24"/>
          <w:lang w:val="en-US"/>
        </w:rPr>
        <w:t>-</w:t>
      </w:r>
      <w:r w:rsidR="00FC0250" w:rsidRPr="00EB0495">
        <w:rPr>
          <w:rFonts w:ascii="Arial" w:eastAsia="Calibri" w:hAnsi="Arial" w:cs="Arial"/>
          <w:sz w:val="24"/>
          <w:szCs w:val="24"/>
          <w:lang w:val="en-US"/>
        </w:rPr>
        <w:t xml:space="preserve"> </w:t>
      </w:r>
      <w:r w:rsidR="003E6713" w:rsidRPr="00EB0495">
        <w:rPr>
          <w:rFonts w:ascii="Arial" w:eastAsia="Calibri" w:hAnsi="Arial" w:cs="Arial"/>
          <w:sz w:val="24"/>
          <w:szCs w:val="24"/>
          <w:lang w:val="en-US"/>
        </w:rPr>
        <w:t>5</w:t>
      </w:r>
      <w:r w:rsidR="00F14B18" w:rsidRPr="00EB0495">
        <w:rPr>
          <w:rFonts w:ascii="Arial" w:eastAsia="Calibri" w:hAnsi="Arial" w:cs="Arial"/>
          <w:sz w:val="24"/>
          <w:szCs w:val="24"/>
          <w:lang w:val="en-US"/>
        </w:rPr>
        <w:t>7.5</w:t>
      </w:r>
      <w:r w:rsidR="00D85999" w:rsidRPr="00EB0495">
        <w:rPr>
          <w:rFonts w:ascii="Arial" w:eastAsia="Calibri" w:hAnsi="Arial" w:cs="Arial"/>
          <w:sz w:val="24"/>
          <w:szCs w:val="24"/>
          <w:lang w:val="en-US"/>
        </w:rPr>
        <w:t>%</w:t>
      </w:r>
      <w:r w:rsidR="00F14B18" w:rsidRPr="00EB0495">
        <w:rPr>
          <w:rFonts w:ascii="Arial" w:eastAsia="Calibri" w:hAnsi="Arial" w:cs="Arial"/>
          <w:sz w:val="24"/>
          <w:szCs w:val="24"/>
          <w:lang w:val="en-US"/>
        </w:rPr>
        <w:t>) of POD24 patien</w:t>
      </w:r>
      <w:r w:rsidR="003E6713" w:rsidRPr="00EB0495">
        <w:rPr>
          <w:rFonts w:ascii="Arial" w:eastAsia="Calibri" w:hAnsi="Arial" w:cs="Arial"/>
          <w:sz w:val="24"/>
          <w:szCs w:val="24"/>
          <w:lang w:val="en-US"/>
        </w:rPr>
        <w:t>t</w:t>
      </w:r>
      <w:r w:rsidR="00F14B18" w:rsidRPr="00EB0495">
        <w:rPr>
          <w:rFonts w:ascii="Arial" w:eastAsia="Calibri" w:hAnsi="Arial" w:cs="Arial"/>
          <w:sz w:val="24"/>
          <w:szCs w:val="24"/>
          <w:lang w:val="en-US"/>
        </w:rPr>
        <w:t xml:space="preserve">s started NALT within 3 months </w:t>
      </w:r>
      <w:r w:rsidR="00E67A36" w:rsidRPr="00EB0495">
        <w:rPr>
          <w:rFonts w:ascii="Arial" w:eastAsia="Calibri" w:hAnsi="Arial" w:cs="Arial"/>
          <w:sz w:val="24"/>
          <w:szCs w:val="24"/>
          <w:lang w:val="en-US"/>
        </w:rPr>
        <w:t>of</w:t>
      </w:r>
      <w:r w:rsidR="00F14B18" w:rsidRPr="00EB0495">
        <w:rPr>
          <w:rFonts w:ascii="Arial" w:eastAsia="Calibri" w:hAnsi="Arial" w:cs="Arial"/>
          <w:sz w:val="24"/>
          <w:szCs w:val="24"/>
          <w:lang w:val="en-US"/>
        </w:rPr>
        <w:t xml:space="preserve"> </w:t>
      </w:r>
      <w:r w:rsidR="00624C52" w:rsidRPr="00EB0495">
        <w:rPr>
          <w:rFonts w:ascii="Arial" w:eastAsia="Calibri" w:hAnsi="Arial" w:cs="Arial"/>
          <w:sz w:val="24"/>
          <w:szCs w:val="24"/>
          <w:lang w:val="en-US"/>
        </w:rPr>
        <w:t xml:space="preserve">PD, compared with </w:t>
      </w:r>
      <w:r w:rsidR="00F14B18" w:rsidRPr="00EB0495">
        <w:rPr>
          <w:rFonts w:ascii="Arial" w:eastAsia="Calibri" w:hAnsi="Arial" w:cs="Arial"/>
          <w:sz w:val="24"/>
          <w:szCs w:val="24"/>
          <w:lang w:val="en-US"/>
        </w:rPr>
        <w:t>19.4% (95% CI</w:t>
      </w:r>
      <w:r w:rsidR="00FC0250" w:rsidRPr="00EB0495">
        <w:rPr>
          <w:rFonts w:ascii="Arial" w:eastAsia="Calibri" w:hAnsi="Arial" w:cs="Arial"/>
          <w:sz w:val="24"/>
          <w:szCs w:val="24"/>
          <w:lang w:val="en-US"/>
        </w:rPr>
        <w:t>:</w:t>
      </w:r>
      <w:r w:rsidR="00F14B18" w:rsidRPr="00EB0495">
        <w:rPr>
          <w:rFonts w:ascii="Arial" w:eastAsia="Calibri" w:hAnsi="Arial" w:cs="Arial"/>
          <w:sz w:val="24"/>
          <w:szCs w:val="24"/>
          <w:lang w:val="en-US"/>
        </w:rPr>
        <w:t xml:space="preserve"> 11.2</w:t>
      </w:r>
      <w:r w:rsidR="001E6DB1" w:rsidRPr="00EB0495">
        <w:rPr>
          <w:rFonts w:ascii="Arial" w:eastAsia="Calibri" w:hAnsi="Arial" w:cs="Arial"/>
          <w:sz w:val="24"/>
          <w:szCs w:val="24"/>
          <w:lang w:val="en-US"/>
        </w:rPr>
        <w:t>-</w:t>
      </w:r>
      <w:r w:rsidR="00624C52" w:rsidRPr="00EB0495">
        <w:rPr>
          <w:rFonts w:ascii="Arial" w:eastAsia="Calibri" w:hAnsi="Arial" w:cs="Arial"/>
          <w:sz w:val="24"/>
          <w:szCs w:val="24"/>
          <w:lang w:val="en-US"/>
        </w:rPr>
        <w:t>29</w:t>
      </w:r>
      <w:r w:rsidR="00F14B18" w:rsidRPr="00EB0495">
        <w:rPr>
          <w:rFonts w:ascii="Arial" w:eastAsia="Calibri" w:hAnsi="Arial" w:cs="Arial"/>
          <w:sz w:val="24"/>
          <w:szCs w:val="24"/>
          <w:lang w:val="en-US"/>
        </w:rPr>
        <w:t>.3</w:t>
      </w:r>
      <w:r w:rsidR="00D85999" w:rsidRPr="00EB0495">
        <w:rPr>
          <w:rFonts w:ascii="Arial" w:eastAsia="Calibri" w:hAnsi="Arial" w:cs="Arial"/>
          <w:sz w:val="24"/>
          <w:szCs w:val="24"/>
          <w:lang w:val="en-US"/>
        </w:rPr>
        <w:t>%</w:t>
      </w:r>
      <w:r w:rsidR="00F14B18" w:rsidRPr="00EB0495">
        <w:rPr>
          <w:rFonts w:ascii="Arial" w:eastAsia="Calibri" w:hAnsi="Arial" w:cs="Arial"/>
          <w:sz w:val="24"/>
          <w:szCs w:val="24"/>
          <w:lang w:val="en-US"/>
        </w:rPr>
        <w:t>)</w:t>
      </w:r>
      <w:r w:rsidR="003E6713" w:rsidRPr="00EB0495">
        <w:rPr>
          <w:rFonts w:ascii="Arial" w:eastAsia="Calibri" w:hAnsi="Arial" w:cs="Arial"/>
          <w:sz w:val="24"/>
          <w:szCs w:val="24"/>
          <w:lang w:val="en-US"/>
        </w:rPr>
        <w:t xml:space="preserve"> of </w:t>
      </w:r>
      <w:r w:rsidR="00624C52" w:rsidRPr="00EB0495">
        <w:rPr>
          <w:rFonts w:ascii="Arial" w:eastAsia="Calibri" w:hAnsi="Arial" w:cs="Arial"/>
          <w:sz w:val="24"/>
          <w:szCs w:val="24"/>
          <w:lang w:val="en-US"/>
        </w:rPr>
        <w:t>those who progressed after 24 months (</w:t>
      </w:r>
      <w:r w:rsidR="007F0646" w:rsidRPr="00EB0495">
        <w:rPr>
          <w:rFonts w:ascii="Arial" w:eastAsia="Calibri" w:hAnsi="Arial" w:cs="Arial"/>
          <w:i/>
          <w:sz w:val="24"/>
          <w:szCs w:val="24"/>
          <w:lang w:val="en-US"/>
        </w:rPr>
        <w:t xml:space="preserve">Online Supplementary </w:t>
      </w:r>
      <w:r w:rsidR="001E6DB1" w:rsidRPr="00EB0495">
        <w:rPr>
          <w:rFonts w:ascii="Arial" w:eastAsia="Calibri" w:hAnsi="Arial" w:cs="Arial"/>
          <w:i/>
          <w:sz w:val="24"/>
          <w:szCs w:val="24"/>
          <w:lang w:val="en-US"/>
        </w:rPr>
        <w:t>Figure S3</w:t>
      </w:r>
      <w:r w:rsidR="00624C52" w:rsidRPr="00EB0495">
        <w:rPr>
          <w:rFonts w:ascii="Arial" w:eastAsia="Calibri" w:hAnsi="Arial" w:cs="Arial"/>
          <w:sz w:val="24"/>
          <w:szCs w:val="24"/>
          <w:lang w:val="en-US"/>
        </w:rPr>
        <w:t>)</w:t>
      </w:r>
      <w:r w:rsidR="00624C52" w:rsidRPr="00EB0495">
        <w:rPr>
          <w:rFonts w:ascii="Arial" w:eastAsia="Calibri" w:hAnsi="Arial" w:cs="Arial"/>
          <w:i/>
          <w:sz w:val="24"/>
          <w:szCs w:val="24"/>
          <w:lang w:val="en-US"/>
        </w:rPr>
        <w:t>.</w:t>
      </w:r>
      <w:r w:rsidR="004B0C99" w:rsidRPr="00EB0495">
        <w:rPr>
          <w:rFonts w:ascii="Arial" w:eastAsia="Calibri" w:hAnsi="Arial" w:cs="Arial"/>
          <w:sz w:val="24"/>
          <w:szCs w:val="24"/>
          <w:lang w:val="en-US"/>
        </w:rPr>
        <w:t xml:space="preserve"> Details of </w:t>
      </w:r>
      <w:r w:rsidR="005F7E15" w:rsidRPr="00EB0495">
        <w:rPr>
          <w:rFonts w:ascii="Arial" w:eastAsia="Calibri" w:hAnsi="Arial" w:cs="Arial"/>
          <w:sz w:val="24"/>
          <w:szCs w:val="24"/>
          <w:lang w:val="en-US"/>
        </w:rPr>
        <w:t xml:space="preserve">the </w:t>
      </w:r>
      <w:r w:rsidR="004B0C99" w:rsidRPr="00EB0495">
        <w:rPr>
          <w:rFonts w:ascii="Arial" w:eastAsia="Calibri" w:hAnsi="Arial" w:cs="Arial"/>
          <w:sz w:val="24"/>
          <w:szCs w:val="24"/>
          <w:lang w:val="en-US"/>
        </w:rPr>
        <w:t xml:space="preserve">type </w:t>
      </w:r>
      <w:r w:rsidR="005F7E15" w:rsidRPr="00EB0495">
        <w:rPr>
          <w:rFonts w:ascii="Arial" w:eastAsia="Calibri" w:hAnsi="Arial" w:cs="Arial"/>
          <w:sz w:val="24"/>
          <w:szCs w:val="24"/>
          <w:lang w:val="en-US"/>
        </w:rPr>
        <w:t xml:space="preserve">of NALT received after PD according to the timing of </w:t>
      </w:r>
      <w:r w:rsidR="005F7E15" w:rsidRPr="00EB0495">
        <w:rPr>
          <w:rFonts w:ascii="Arial" w:eastAsia="Calibri" w:hAnsi="Arial" w:cs="Arial"/>
          <w:sz w:val="24"/>
          <w:szCs w:val="24"/>
          <w:lang w:val="en-US"/>
        </w:rPr>
        <w:lastRenderedPageBreak/>
        <w:t xml:space="preserve">POD are provided </w:t>
      </w:r>
      <w:r w:rsidR="004B0C99" w:rsidRPr="00EB0495">
        <w:rPr>
          <w:rFonts w:ascii="Arial" w:eastAsia="Calibri" w:hAnsi="Arial" w:cs="Arial"/>
          <w:sz w:val="24"/>
          <w:szCs w:val="24"/>
          <w:lang w:val="en-US"/>
        </w:rPr>
        <w:t xml:space="preserve">in the </w:t>
      </w:r>
      <w:r w:rsidR="00EC0C40" w:rsidRPr="00EB0495">
        <w:rPr>
          <w:rFonts w:ascii="Arial" w:eastAsia="Calibri" w:hAnsi="Arial" w:cs="Arial"/>
          <w:sz w:val="24"/>
          <w:szCs w:val="24"/>
          <w:lang w:val="en-US"/>
        </w:rPr>
        <w:t>online s</w:t>
      </w:r>
      <w:r w:rsidR="001E6DB1" w:rsidRPr="00EB0495">
        <w:rPr>
          <w:rFonts w:ascii="Arial" w:eastAsia="Calibri" w:hAnsi="Arial" w:cs="Arial"/>
          <w:sz w:val="24"/>
          <w:szCs w:val="24"/>
          <w:lang w:val="en-US"/>
        </w:rPr>
        <w:t xml:space="preserve">upplementary material </w:t>
      </w:r>
      <w:r w:rsidR="004B0C99" w:rsidRPr="00EB0495">
        <w:rPr>
          <w:rFonts w:ascii="Arial" w:eastAsia="Calibri" w:hAnsi="Arial" w:cs="Arial"/>
          <w:sz w:val="24"/>
          <w:szCs w:val="24"/>
          <w:lang w:val="en-US"/>
        </w:rPr>
        <w:t>(</w:t>
      </w:r>
      <w:r w:rsidR="001E6DB1" w:rsidRPr="00EB0495">
        <w:rPr>
          <w:rFonts w:ascii="Arial" w:eastAsia="Calibri" w:hAnsi="Arial" w:cs="Arial"/>
          <w:i/>
          <w:sz w:val="24"/>
          <w:szCs w:val="24"/>
          <w:lang w:val="en-US"/>
        </w:rPr>
        <w:t>Online Supplementary Results</w:t>
      </w:r>
      <w:r w:rsidR="001E6DB1" w:rsidRPr="00EB0495">
        <w:rPr>
          <w:rFonts w:ascii="Arial" w:eastAsia="Calibri" w:hAnsi="Arial" w:cs="Arial"/>
          <w:sz w:val="24"/>
          <w:szCs w:val="24"/>
          <w:lang w:val="en-US"/>
        </w:rPr>
        <w:t xml:space="preserve"> </w:t>
      </w:r>
      <w:r w:rsidR="004B0C99" w:rsidRPr="00EB0495">
        <w:rPr>
          <w:rFonts w:ascii="Arial" w:eastAsia="Calibri" w:hAnsi="Arial" w:cs="Arial"/>
          <w:sz w:val="24"/>
          <w:szCs w:val="24"/>
          <w:lang w:val="en-US"/>
        </w:rPr>
        <w:t xml:space="preserve">and </w:t>
      </w:r>
      <w:r w:rsidR="001E6DB1" w:rsidRPr="00EB0495">
        <w:rPr>
          <w:rFonts w:ascii="Arial" w:eastAsia="Calibri" w:hAnsi="Arial" w:cs="Arial"/>
          <w:i/>
          <w:sz w:val="24"/>
          <w:szCs w:val="24"/>
          <w:lang w:val="en-US"/>
        </w:rPr>
        <w:t>Table S8</w:t>
      </w:r>
      <w:r w:rsidR="004B0C99" w:rsidRPr="00EB0495">
        <w:rPr>
          <w:rFonts w:ascii="Arial" w:eastAsia="Calibri" w:hAnsi="Arial" w:cs="Arial"/>
          <w:sz w:val="24"/>
          <w:szCs w:val="24"/>
          <w:lang w:val="en-US"/>
        </w:rPr>
        <w:t>).</w:t>
      </w:r>
    </w:p>
    <w:p w14:paraId="1B852652" w14:textId="2BFCE82A" w:rsidR="000403E1" w:rsidRPr="00EB0495" w:rsidRDefault="00F7773B" w:rsidP="00234282">
      <w:pPr>
        <w:keepNext/>
        <w:spacing w:after="240"/>
        <w:rPr>
          <w:rFonts w:ascii="Arial" w:eastAsia="Calibri" w:hAnsi="Arial" w:cs="Arial"/>
          <w:b/>
          <w:sz w:val="24"/>
          <w:szCs w:val="24"/>
          <w:lang w:val="en-US"/>
        </w:rPr>
      </w:pPr>
      <w:r w:rsidRPr="00EB0495">
        <w:rPr>
          <w:rFonts w:ascii="Arial" w:eastAsia="Calibri" w:hAnsi="Arial" w:cs="Arial"/>
          <w:b/>
          <w:bCs/>
          <w:i/>
          <w:sz w:val="24"/>
          <w:szCs w:val="24"/>
          <w:lang w:val="en-US"/>
        </w:rPr>
        <w:t>Time</w:t>
      </w:r>
      <w:r w:rsidR="00FC0250" w:rsidRPr="00EB0495">
        <w:rPr>
          <w:rFonts w:ascii="Arial" w:eastAsia="Calibri" w:hAnsi="Arial" w:cs="Arial"/>
          <w:b/>
          <w:bCs/>
          <w:i/>
          <w:sz w:val="24"/>
          <w:szCs w:val="24"/>
          <w:lang w:val="en-US"/>
        </w:rPr>
        <w:t>-</w:t>
      </w:r>
      <w:r w:rsidR="00F50D64" w:rsidRPr="00EB0495">
        <w:rPr>
          <w:rFonts w:ascii="Arial" w:eastAsia="Calibri" w:hAnsi="Arial" w:cs="Arial"/>
          <w:b/>
          <w:bCs/>
          <w:i/>
          <w:sz w:val="24"/>
          <w:szCs w:val="24"/>
          <w:lang w:val="en-US"/>
        </w:rPr>
        <w:t>d</w:t>
      </w:r>
      <w:r w:rsidR="00FC0250" w:rsidRPr="00EB0495">
        <w:rPr>
          <w:rFonts w:ascii="Arial" w:eastAsia="Calibri" w:hAnsi="Arial" w:cs="Arial"/>
          <w:b/>
          <w:bCs/>
          <w:i/>
          <w:sz w:val="24"/>
          <w:szCs w:val="24"/>
          <w:lang w:val="en-US"/>
        </w:rPr>
        <w:t xml:space="preserve">ependent </w:t>
      </w:r>
      <w:r w:rsidR="001E6DB1" w:rsidRPr="00EB0495">
        <w:rPr>
          <w:rFonts w:ascii="Arial" w:eastAsia="Calibri" w:hAnsi="Arial" w:cs="Arial"/>
          <w:b/>
          <w:bCs/>
          <w:i/>
          <w:sz w:val="24"/>
          <w:szCs w:val="24"/>
          <w:lang w:val="en-US"/>
        </w:rPr>
        <w:t>m</w:t>
      </w:r>
      <w:r w:rsidR="00BB4416" w:rsidRPr="00EB0495">
        <w:rPr>
          <w:rFonts w:ascii="Arial" w:eastAsia="Calibri" w:hAnsi="Arial" w:cs="Arial"/>
          <w:b/>
          <w:bCs/>
          <w:i/>
          <w:sz w:val="24"/>
          <w:szCs w:val="24"/>
          <w:lang w:val="en-US"/>
        </w:rPr>
        <w:t>ortality</w:t>
      </w:r>
      <w:r w:rsidRPr="00EB0495">
        <w:rPr>
          <w:rFonts w:ascii="Arial" w:eastAsia="Calibri" w:hAnsi="Arial" w:cs="Arial"/>
          <w:b/>
          <w:bCs/>
          <w:i/>
          <w:sz w:val="24"/>
          <w:szCs w:val="24"/>
          <w:lang w:val="en-US"/>
        </w:rPr>
        <w:t xml:space="preserve"> </w:t>
      </w:r>
      <w:r w:rsidR="001E6DB1" w:rsidRPr="00EB0495">
        <w:rPr>
          <w:rFonts w:ascii="Arial" w:eastAsia="Calibri" w:hAnsi="Arial" w:cs="Arial"/>
          <w:b/>
          <w:bCs/>
          <w:i/>
          <w:sz w:val="24"/>
          <w:szCs w:val="24"/>
          <w:lang w:val="en-US"/>
        </w:rPr>
        <w:t>a</w:t>
      </w:r>
      <w:r w:rsidR="00FC0250" w:rsidRPr="00EB0495">
        <w:rPr>
          <w:rFonts w:ascii="Arial" w:eastAsia="Calibri" w:hAnsi="Arial" w:cs="Arial"/>
          <w:b/>
          <w:bCs/>
          <w:i/>
          <w:sz w:val="24"/>
          <w:szCs w:val="24"/>
          <w:lang w:val="en-US"/>
        </w:rPr>
        <w:t>nalysis</w:t>
      </w:r>
    </w:p>
    <w:p w14:paraId="5E1BD4EE" w14:textId="4F09FEA9" w:rsidR="00234282" w:rsidRPr="00EB0495" w:rsidRDefault="000403E1" w:rsidP="00FC0250">
      <w:pPr>
        <w:spacing w:after="240"/>
        <w:ind w:firstLine="720"/>
        <w:rPr>
          <w:rFonts w:ascii="Arial" w:eastAsia="Calibri" w:hAnsi="Arial" w:cs="Arial"/>
          <w:i/>
          <w:sz w:val="24"/>
          <w:szCs w:val="24"/>
          <w:lang w:val="en-US"/>
        </w:rPr>
      </w:pPr>
      <w:r w:rsidRPr="00EB0495">
        <w:rPr>
          <w:rFonts w:ascii="Arial" w:eastAsia="Calibri" w:hAnsi="Arial" w:cs="Arial"/>
          <w:sz w:val="24"/>
          <w:szCs w:val="24"/>
          <w:lang w:val="en-US"/>
        </w:rPr>
        <w:t>Time-dependent regression analysis showed that at any given time</w:t>
      </w:r>
      <w:r w:rsidR="00C941C1" w:rsidRPr="00EB0495">
        <w:rPr>
          <w:rFonts w:ascii="Arial" w:eastAsia="Calibri" w:hAnsi="Arial" w:cs="Arial"/>
          <w:sz w:val="24"/>
          <w:szCs w:val="24"/>
          <w:lang w:val="en-US"/>
        </w:rPr>
        <w:t xml:space="preserve"> during study follow-up</w:t>
      </w:r>
      <w:r w:rsidRPr="00EB0495">
        <w:rPr>
          <w:rFonts w:ascii="Arial" w:eastAsia="Calibri" w:hAnsi="Arial" w:cs="Arial"/>
          <w:sz w:val="24"/>
          <w:szCs w:val="24"/>
          <w:lang w:val="en-US"/>
        </w:rPr>
        <w:t xml:space="preserve">, the risk of death was </w:t>
      </w:r>
      <w:r w:rsidR="00CB5C59" w:rsidRPr="00EB0495">
        <w:rPr>
          <w:rFonts w:ascii="Arial" w:eastAsia="Calibri" w:hAnsi="Arial" w:cs="Arial"/>
          <w:sz w:val="24"/>
          <w:szCs w:val="24"/>
          <w:lang w:val="en-US"/>
        </w:rPr>
        <w:t xml:space="preserve">considerably greater </w:t>
      </w:r>
      <w:r w:rsidR="009F2D10" w:rsidRPr="00EB0495">
        <w:rPr>
          <w:rFonts w:ascii="Arial" w:eastAsia="Calibri" w:hAnsi="Arial" w:cs="Arial"/>
          <w:sz w:val="24"/>
          <w:szCs w:val="24"/>
          <w:lang w:val="en-US"/>
        </w:rPr>
        <w:t xml:space="preserve">following </w:t>
      </w:r>
      <w:r w:rsidRPr="00EB0495">
        <w:rPr>
          <w:rFonts w:ascii="Arial" w:eastAsia="Calibri" w:hAnsi="Arial" w:cs="Arial"/>
          <w:sz w:val="24"/>
          <w:szCs w:val="24"/>
          <w:lang w:val="en-US"/>
        </w:rPr>
        <w:t xml:space="preserve">a POD24 event than </w:t>
      </w:r>
      <w:r w:rsidR="00F067A7" w:rsidRPr="00EB0495">
        <w:rPr>
          <w:rFonts w:ascii="Arial" w:eastAsia="Calibri" w:hAnsi="Arial" w:cs="Arial"/>
          <w:sz w:val="24"/>
          <w:szCs w:val="24"/>
          <w:lang w:val="en-US"/>
        </w:rPr>
        <w:t xml:space="preserve">in </w:t>
      </w:r>
      <w:r w:rsidR="00967EA7" w:rsidRPr="00EB0495">
        <w:rPr>
          <w:rFonts w:ascii="Arial" w:eastAsia="Calibri" w:hAnsi="Arial" w:cs="Arial"/>
          <w:sz w:val="24"/>
          <w:szCs w:val="24"/>
          <w:lang w:val="en-US"/>
        </w:rPr>
        <w:t xml:space="preserve">those without a </w:t>
      </w:r>
      <w:r w:rsidR="009F2D10" w:rsidRPr="00EB0495">
        <w:rPr>
          <w:rFonts w:ascii="Arial" w:eastAsia="Calibri" w:hAnsi="Arial" w:cs="Arial"/>
          <w:sz w:val="24"/>
          <w:szCs w:val="24"/>
          <w:lang w:val="en-US"/>
        </w:rPr>
        <w:t>POD24</w:t>
      </w:r>
      <w:r w:rsidR="00873B48" w:rsidRPr="00EB0495">
        <w:rPr>
          <w:rFonts w:ascii="Arial" w:eastAsia="Calibri" w:hAnsi="Arial" w:cs="Arial"/>
          <w:sz w:val="24"/>
          <w:szCs w:val="24"/>
          <w:lang w:val="en-US"/>
        </w:rPr>
        <w:t xml:space="preserve"> </w:t>
      </w:r>
      <w:r w:rsidR="00967EA7" w:rsidRPr="00EB0495">
        <w:rPr>
          <w:rFonts w:ascii="Arial" w:eastAsia="Calibri" w:hAnsi="Arial" w:cs="Arial"/>
          <w:sz w:val="24"/>
          <w:szCs w:val="24"/>
          <w:lang w:val="en-US"/>
        </w:rPr>
        <w:t>event</w:t>
      </w:r>
      <w:r w:rsidR="00F067A7" w:rsidRPr="00EB0495">
        <w:rPr>
          <w:rFonts w:ascii="Arial" w:eastAsia="Calibri" w:hAnsi="Arial" w:cs="Arial"/>
          <w:sz w:val="24"/>
          <w:szCs w:val="24"/>
          <w:lang w:val="en-US"/>
        </w:rPr>
        <w:t xml:space="preserve"> </w:t>
      </w:r>
      <w:r w:rsidR="00614D8E" w:rsidRPr="00EB0495">
        <w:rPr>
          <w:rFonts w:ascii="Arial" w:eastAsia="Calibri" w:hAnsi="Arial" w:cs="Arial"/>
          <w:sz w:val="24"/>
          <w:szCs w:val="24"/>
          <w:lang w:val="en-US"/>
        </w:rPr>
        <w:t>(stratified HR</w:t>
      </w:r>
      <w:r w:rsidR="002129E1" w:rsidRPr="00EB0495">
        <w:rPr>
          <w:rFonts w:ascii="Arial" w:eastAsia="Calibri" w:hAnsi="Arial" w:cs="Arial"/>
          <w:sz w:val="24"/>
          <w:szCs w:val="24"/>
          <w:lang w:val="en-US"/>
        </w:rPr>
        <w:t>,</w:t>
      </w:r>
      <w:r w:rsidRPr="00EB0495">
        <w:rPr>
          <w:rFonts w:ascii="Arial" w:eastAsia="Calibri" w:hAnsi="Arial" w:cs="Arial"/>
          <w:sz w:val="24"/>
          <w:szCs w:val="24"/>
          <w:lang w:val="en-US"/>
        </w:rPr>
        <w:t xml:space="preserve"> 25.5</w:t>
      </w:r>
      <w:r w:rsidR="009C7532" w:rsidRPr="00EB0495">
        <w:rPr>
          <w:rFonts w:ascii="Arial" w:eastAsia="Calibri" w:hAnsi="Arial" w:cs="Arial"/>
          <w:sz w:val="24"/>
          <w:szCs w:val="24"/>
          <w:lang w:val="en-US"/>
        </w:rPr>
        <w:t xml:space="preserve">; </w:t>
      </w:r>
      <w:r w:rsidRPr="00EB0495">
        <w:rPr>
          <w:rFonts w:ascii="Arial" w:eastAsia="Calibri" w:hAnsi="Arial" w:cs="Arial"/>
          <w:sz w:val="24"/>
          <w:szCs w:val="24"/>
          <w:lang w:val="en-US"/>
        </w:rPr>
        <w:t>95%</w:t>
      </w:r>
      <w:r w:rsidR="00614D8E" w:rsidRPr="00EB0495">
        <w:rPr>
          <w:rFonts w:ascii="Arial" w:eastAsia="Calibri" w:hAnsi="Arial" w:cs="Arial"/>
          <w:sz w:val="24"/>
          <w:szCs w:val="24"/>
          <w:lang w:val="en-US"/>
        </w:rPr>
        <w:t xml:space="preserve"> CI</w:t>
      </w:r>
      <w:r w:rsidR="00FC0250" w:rsidRPr="00EB0495">
        <w:rPr>
          <w:rFonts w:ascii="Arial" w:eastAsia="Calibri" w:hAnsi="Arial" w:cs="Arial"/>
          <w:sz w:val="24"/>
          <w:szCs w:val="24"/>
          <w:lang w:val="en-US"/>
        </w:rPr>
        <w:t>:</w:t>
      </w:r>
      <w:r w:rsidRPr="00EB0495">
        <w:rPr>
          <w:rFonts w:ascii="Arial" w:eastAsia="Calibri" w:hAnsi="Arial" w:cs="Arial"/>
          <w:sz w:val="24"/>
          <w:szCs w:val="24"/>
          <w:lang w:val="en-US"/>
        </w:rPr>
        <w:t xml:space="preserve"> 16.2</w:t>
      </w:r>
      <w:r w:rsidR="001E6DB1" w:rsidRPr="00EB0495">
        <w:rPr>
          <w:rFonts w:ascii="Arial" w:eastAsia="Calibri" w:hAnsi="Arial" w:cs="Arial"/>
          <w:sz w:val="24"/>
          <w:szCs w:val="24"/>
          <w:lang w:val="en-US"/>
        </w:rPr>
        <w:t>-</w:t>
      </w:r>
      <w:r w:rsidRPr="00EB0495">
        <w:rPr>
          <w:rFonts w:ascii="Arial" w:eastAsia="Calibri" w:hAnsi="Arial" w:cs="Arial"/>
          <w:sz w:val="24"/>
          <w:szCs w:val="24"/>
          <w:lang w:val="en-US"/>
        </w:rPr>
        <w:t>40.3</w:t>
      </w:r>
      <w:r w:rsidR="00CA066E" w:rsidRPr="00EB0495">
        <w:rPr>
          <w:rFonts w:ascii="Arial" w:eastAsia="Calibri" w:hAnsi="Arial" w:cs="Arial"/>
          <w:sz w:val="24"/>
          <w:szCs w:val="24"/>
          <w:lang w:val="en-US"/>
        </w:rPr>
        <w:t>%</w:t>
      </w:r>
      <w:r w:rsidR="00AE391D" w:rsidRPr="00EB0495">
        <w:rPr>
          <w:rFonts w:ascii="Arial" w:eastAsia="Calibri" w:hAnsi="Arial" w:cs="Arial"/>
          <w:sz w:val="24"/>
          <w:szCs w:val="24"/>
          <w:lang w:val="en-US"/>
        </w:rPr>
        <w:t xml:space="preserve">; </w:t>
      </w:r>
      <w:r w:rsidR="001E6DB1" w:rsidRPr="00EB0495">
        <w:rPr>
          <w:rFonts w:ascii="Arial" w:eastAsia="Calibri" w:hAnsi="Arial" w:cs="Arial"/>
          <w:i/>
          <w:sz w:val="24"/>
          <w:szCs w:val="24"/>
          <w:lang w:val="en-US"/>
        </w:rPr>
        <w:t>Online Supplementary Table S9</w:t>
      </w:r>
      <w:r w:rsidR="0072363E" w:rsidRPr="00EB0495">
        <w:rPr>
          <w:rFonts w:ascii="Arial" w:eastAsia="Calibri" w:hAnsi="Arial" w:cs="Arial"/>
          <w:sz w:val="24"/>
          <w:szCs w:val="24"/>
          <w:lang w:val="en-US"/>
        </w:rPr>
        <w:t>).</w:t>
      </w:r>
    </w:p>
    <w:p w14:paraId="24BDEEA5" w14:textId="148A9044" w:rsidR="00E91DCD" w:rsidRPr="00EB0495" w:rsidRDefault="000403E1" w:rsidP="00E91DCD">
      <w:pPr>
        <w:spacing w:after="240"/>
        <w:rPr>
          <w:rFonts w:ascii="Arial" w:eastAsia="Calibri" w:hAnsi="Arial" w:cs="Arial"/>
          <w:b/>
          <w:bCs/>
          <w:i/>
          <w:sz w:val="24"/>
          <w:szCs w:val="24"/>
          <w:lang w:val="en-US"/>
        </w:rPr>
      </w:pPr>
      <w:r w:rsidRPr="00EB0495">
        <w:rPr>
          <w:rFonts w:ascii="Arial" w:eastAsia="Calibri" w:hAnsi="Arial" w:cs="Arial"/>
          <w:b/>
          <w:bCs/>
          <w:i/>
          <w:sz w:val="24"/>
          <w:szCs w:val="24"/>
          <w:lang w:val="en-US"/>
        </w:rPr>
        <w:t xml:space="preserve">Landmark </w:t>
      </w:r>
      <w:r w:rsidR="001E6DB1" w:rsidRPr="00EB0495">
        <w:rPr>
          <w:rFonts w:ascii="Arial" w:eastAsia="Calibri" w:hAnsi="Arial" w:cs="Arial"/>
          <w:b/>
          <w:bCs/>
          <w:i/>
          <w:sz w:val="24"/>
          <w:szCs w:val="24"/>
          <w:lang w:val="en-US"/>
        </w:rPr>
        <w:t>a</w:t>
      </w:r>
      <w:r w:rsidR="004011C7" w:rsidRPr="00EB0495">
        <w:rPr>
          <w:rFonts w:ascii="Arial" w:eastAsia="Calibri" w:hAnsi="Arial" w:cs="Arial"/>
          <w:b/>
          <w:bCs/>
          <w:i/>
          <w:sz w:val="24"/>
          <w:szCs w:val="24"/>
          <w:lang w:val="en-US"/>
        </w:rPr>
        <w:t>nalysis</w:t>
      </w:r>
      <w:r w:rsidR="00306928" w:rsidRPr="00EB0495">
        <w:rPr>
          <w:rFonts w:ascii="Arial" w:eastAsia="Calibri" w:hAnsi="Arial" w:cs="Arial"/>
          <w:b/>
          <w:bCs/>
          <w:i/>
          <w:sz w:val="24"/>
          <w:szCs w:val="24"/>
          <w:lang w:val="en-US"/>
        </w:rPr>
        <w:t xml:space="preserve"> of OS and </w:t>
      </w:r>
      <w:r w:rsidR="001E6DB1" w:rsidRPr="00EB0495">
        <w:rPr>
          <w:rFonts w:ascii="Arial" w:eastAsia="Calibri" w:hAnsi="Arial" w:cs="Arial"/>
          <w:b/>
          <w:bCs/>
          <w:i/>
          <w:sz w:val="24"/>
          <w:szCs w:val="24"/>
          <w:lang w:val="en-US"/>
        </w:rPr>
        <w:t>mortality</w:t>
      </w:r>
    </w:p>
    <w:p w14:paraId="40BCA9E7" w14:textId="5939F681" w:rsidR="008B6230" w:rsidRPr="00EB0495" w:rsidRDefault="000403E1" w:rsidP="00E91DCD">
      <w:pPr>
        <w:spacing w:after="240"/>
        <w:ind w:firstLine="720"/>
        <w:rPr>
          <w:rFonts w:ascii="Arial" w:eastAsia="Calibri" w:hAnsi="Arial" w:cs="Arial"/>
          <w:sz w:val="24"/>
          <w:szCs w:val="24"/>
          <w:lang w:val="en-US"/>
        </w:rPr>
      </w:pPr>
      <w:r w:rsidRPr="00EB0495">
        <w:rPr>
          <w:rFonts w:ascii="Arial" w:eastAsia="Calibri" w:hAnsi="Arial" w:cs="Arial"/>
          <w:sz w:val="24"/>
          <w:szCs w:val="24"/>
          <w:lang w:val="en-US"/>
        </w:rPr>
        <w:t xml:space="preserve">In 110 patients with POD24 </w:t>
      </w:r>
      <w:r w:rsidR="00FB6308" w:rsidRPr="00EB0495">
        <w:rPr>
          <w:rFonts w:ascii="Arial" w:eastAsia="Calibri" w:hAnsi="Arial" w:cs="Arial"/>
          <w:sz w:val="24"/>
          <w:szCs w:val="24"/>
          <w:lang w:val="en-US"/>
        </w:rPr>
        <w:t xml:space="preserve">events </w:t>
      </w:r>
      <w:r w:rsidRPr="00EB0495">
        <w:rPr>
          <w:rFonts w:ascii="Arial" w:eastAsia="Calibri" w:hAnsi="Arial" w:cs="Arial"/>
          <w:sz w:val="24"/>
          <w:szCs w:val="24"/>
          <w:lang w:val="en-US"/>
        </w:rPr>
        <w:t>who were still a</w:t>
      </w:r>
      <w:r w:rsidR="00614D8E" w:rsidRPr="00EB0495">
        <w:rPr>
          <w:rFonts w:ascii="Arial" w:eastAsia="Calibri" w:hAnsi="Arial" w:cs="Arial"/>
          <w:sz w:val="24"/>
          <w:szCs w:val="24"/>
          <w:lang w:val="en-US"/>
        </w:rPr>
        <w:t>live at the 24-month landmark (</w:t>
      </w:r>
      <w:r w:rsidR="00AE391D" w:rsidRPr="00EB0495">
        <w:rPr>
          <w:rFonts w:ascii="Arial" w:eastAsia="Calibri" w:hAnsi="Arial" w:cs="Arial"/>
          <w:sz w:val="24"/>
          <w:szCs w:val="24"/>
          <w:lang w:val="en-US"/>
        </w:rPr>
        <w:t>4</w:t>
      </w:r>
      <w:r w:rsidRPr="00EB0495">
        <w:rPr>
          <w:rFonts w:ascii="Arial" w:eastAsia="Calibri" w:hAnsi="Arial" w:cs="Arial"/>
          <w:sz w:val="24"/>
          <w:szCs w:val="24"/>
          <w:lang w:val="en-US"/>
        </w:rPr>
        <w:t xml:space="preserve"> censored patients excluded), the OS rate </w:t>
      </w:r>
      <w:r w:rsidR="00F7773B" w:rsidRPr="00EB0495">
        <w:rPr>
          <w:rFonts w:ascii="Arial" w:eastAsia="Calibri" w:hAnsi="Arial" w:cs="Arial"/>
          <w:sz w:val="24"/>
          <w:szCs w:val="24"/>
          <w:lang w:val="en-US"/>
        </w:rPr>
        <w:t xml:space="preserve">at </w:t>
      </w:r>
      <w:r w:rsidRPr="00EB0495">
        <w:rPr>
          <w:rFonts w:ascii="Arial" w:eastAsia="Calibri" w:hAnsi="Arial" w:cs="Arial"/>
          <w:sz w:val="24"/>
          <w:szCs w:val="24"/>
          <w:lang w:val="en-US"/>
        </w:rPr>
        <w:t>2 years after the landmark was 82.</w:t>
      </w:r>
      <w:r w:rsidR="00D33B84" w:rsidRPr="00EB0495">
        <w:rPr>
          <w:rFonts w:ascii="Arial" w:eastAsia="Calibri" w:hAnsi="Arial" w:cs="Arial"/>
          <w:sz w:val="24"/>
          <w:szCs w:val="24"/>
          <w:lang w:val="en-US"/>
        </w:rPr>
        <w:t>4</w:t>
      </w:r>
      <w:r w:rsidRPr="00EB0495">
        <w:rPr>
          <w:rFonts w:ascii="Arial" w:eastAsia="Calibri" w:hAnsi="Arial" w:cs="Arial"/>
          <w:sz w:val="24"/>
          <w:szCs w:val="24"/>
          <w:lang w:val="en-US"/>
        </w:rPr>
        <w:t>%</w:t>
      </w:r>
      <w:r w:rsidR="002A15D7" w:rsidRPr="00EB0495">
        <w:rPr>
          <w:rFonts w:ascii="Arial" w:eastAsia="Calibri" w:hAnsi="Arial" w:cs="Arial"/>
          <w:sz w:val="24"/>
          <w:szCs w:val="24"/>
          <w:lang w:val="en-US"/>
        </w:rPr>
        <w:t xml:space="preserve"> (95% CI: 74.2</w:t>
      </w:r>
      <w:r w:rsidR="001E6DB1" w:rsidRPr="00EB0495">
        <w:rPr>
          <w:rFonts w:ascii="Arial" w:eastAsia="Calibri" w:hAnsi="Arial" w:cs="Arial"/>
          <w:sz w:val="24"/>
          <w:szCs w:val="24"/>
          <w:lang w:val="en-US"/>
        </w:rPr>
        <w:t>-</w:t>
      </w:r>
      <w:r w:rsidR="00480CC8" w:rsidRPr="00EB0495">
        <w:rPr>
          <w:rFonts w:ascii="Arial" w:eastAsia="Calibri" w:hAnsi="Arial" w:cs="Arial"/>
          <w:sz w:val="24"/>
          <w:szCs w:val="24"/>
          <w:lang w:val="en-US"/>
        </w:rPr>
        <w:t>91.3%)</w:t>
      </w:r>
      <w:r w:rsidRPr="00EB0495">
        <w:rPr>
          <w:rFonts w:ascii="Arial" w:eastAsia="Calibri" w:hAnsi="Arial" w:cs="Arial"/>
          <w:sz w:val="24"/>
          <w:szCs w:val="24"/>
          <w:lang w:val="en-US"/>
        </w:rPr>
        <w:t>, compared with 98.2%</w:t>
      </w:r>
      <w:r w:rsidR="002A15D7" w:rsidRPr="00EB0495">
        <w:rPr>
          <w:rFonts w:ascii="Arial" w:eastAsia="Calibri" w:hAnsi="Arial" w:cs="Arial"/>
          <w:sz w:val="24"/>
          <w:szCs w:val="24"/>
          <w:lang w:val="en-US"/>
        </w:rPr>
        <w:t xml:space="preserve"> (95% CI: 97.1</w:t>
      </w:r>
      <w:r w:rsidR="001E6DB1" w:rsidRPr="00EB0495">
        <w:rPr>
          <w:rFonts w:ascii="Arial" w:eastAsia="Calibri" w:hAnsi="Arial" w:cs="Arial"/>
          <w:sz w:val="24"/>
          <w:szCs w:val="24"/>
          <w:lang w:val="en-US"/>
        </w:rPr>
        <w:t>-</w:t>
      </w:r>
      <w:r w:rsidR="00480CC8" w:rsidRPr="00EB0495">
        <w:rPr>
          <w:rFonts w:ascii="Arial" w:eastAsia="Calibri" w:hAnsi="Arial" w:cs="Arial"/>
          <w:sz w:val="24"/>
          <w:szCs w:val="24"/>
          <w:lang w:val="en-US"/>
        </w:rPr>
        <w:t>99.2%)</w:t>
      </w:r>
      <w:r w:rsidRPr="00EB0495">
        <w:rPr>
          <w:rFonts w:ascii="Arial" w:eastAsia="Calibri" w:hAnsi="Arial" w:cs="Arial"/>
          <w:sz w:val="24"/>
          <w:szCs w:val="24"/>
          <w:lang w:val="en-US"/>
        </w:rPr>
        <w:t xml:space="preserve"> in 916 noPOD24 patients; the age-adjusted HR for </w:t>
      </w:r>
      <w:r w:rsidR="005465C4" w:rsidRPr="00EB0495">
        <w:rPr>
          <w:rFonts w:ascii="Arial" w:eastAsia="Calibri" w:hAnsi="Arial" w:cs="Arial"/>
          <w:sz w:val="24"/>
          <w:szCs w:val="24"/>
          <w:lang w:val="en-US"/>
        </w:rPr>
        <w:t>OS</w:t>
      </w:r>
      <w:r w:rsidRPr="00EB0495">
        <w:rPr>
          <w:rFonts w:ascii="Arial" w:eastAsia="Calibri" w:hAnsi="Arial" w:cs="Arial"/>
          <w:sz w:val="24"/>
          <w:szCs w:val="24"/>
          <w:lang w:val="en-US"/>
        </w:rPr>
        <w:t xml:space="preserve"> in this 2-year window was 12.2 (95% CI</w:t>
      </w:r>
      <w:r w:rsidR="004011C7" w:rsidRPr="00EB0495">
        <w:rPr>
          <w:rFonts w:ascii="Arial" w:eastAsia="Calibri" w:hAnsi="Arial" w:cs="Arial"/>
          <w:sz w:val="24"/>
          <w:szCs w:val="24"/>
          <w:lang w:val="en-US"/>
        </w:rPr>
        <w:t>:</w:t>
      </w:r>
      <w:r w:rsidRPr="00EB0495">
        <w:rPr>
          <w:rFonts w:ascii="Arial" w:eastAsia="Calibri" w:hAnsi="Arial" w:cs="Arial"/>
          <w:sz w:val="24"/>
          <w:szCs w:val="24"/>
          <w:lang w:val="en-US"/>
        </w:rPr>
        <w:t xml:space="preserve"> 5.6</w:t>
      </w:r>
      <w:r w:rsidR="001E6DB1" w:rsidRPr="00EB0495">
        <w:rPr>
          <w:rFonts w:ascii="Arial" w:eastAsia="Calibri" w:hAnsi="Arial" w:cs="Arial"/>
          <w:sz w:val="24"/>
          <w:szCs w:val="24"/>
          <w:lang w:val="en-US"/>
        </w:rPr>
        <w:t>-</w:t>
      </w:r>
      <w:r w:rsidRPr="00EB0495">
        <w:rPr>
          <w:rFonts w:ascii="Arial" w:eastAsia="Calibri" w:hAnsi="Arial" w:cs="Arial"/>
          <w:sz w:val="24"/>
          <w:szCs w:val="24"/>
          <w:lang w:val="en-US"/>
        </w:rPr>
        <w:t>26.5</w:t>
      </w:r>
      <w:r w:rsidR="00CA066E" w:rsidRPr="00EB0495">
        <w:rPr>
          <w:rFonts w:ascii="Arial" w:eastAsia="Calibri" w:hAnsi="Arial" w:cs="Arial"/>
          <w:sz w:val="24"/>
          <w:szCs w:val="24"/>
          <w:lang w:val="en-US"/>
        </w:rPr>
        <w:t>%</w:t>
      </w:r>
      <w:r w:rsidR="00EC0C40" w:rsidRPr="00EB0495">
        <w:rPr>
          <w:rFonts w:ascii="Arial" w:eastAsia="Calibri" w:hAnsi="Arial" w:cs="Arial"/>
          <w:sz w:val="24"/>
          <w:szCs w:val="24"/>
          <w:lang w:val="en-US"/>
        </w:rPr>
        <w:t xml:space="preserve">; </w:t>
      </w:r>
      <w:r w:rsidRPr="00EB0495">
        <w:rPr>
          <w:rFonts w:ascii="Arial" w:eastAsia="Calibri" w:hAnsi="Arial" w:cs="Arial"/>
          <w:sz w:val="24"/>
          <w:szCs w:val="24"/>
          <w:lang w:val="en-US"/>
        </w:rPr>
        <w:t>Fig</w:t>
      </w:r>
      <w:r w:rsidR="001E6DB1" w:rsidRPr="00EB0495">
        <w:rPr>
          <w:rFonts w:ascii="Arial" w:eastAsia="Calibri" w:hAnsi="Arial" w:cs="Arial"/>
          <w:sz w:val="24"/>
          <w:szCs w:val="24"/>
          <w:lang w:val="en-US"/>
        </w:rPr>
        <w:t>ure</w:t>
      </w:r>
      <w:r w:rsidRPr="00EB0495">
        <w:rPr>
          <w:rFonts w:ascii="Arial" w:eastAsia="Calibri" w:hAnsi="Arial" w:cs="Arial"/>
          <w:sz w:val="24"/>
          <w:szCs w:val="24"/>
          <w:lang w:val="en-US"/>
        </w:rPr>
        <w:t xml:space="preserve"> </w:t>
      </w:r>
      <w:r w:rsidR="00AE7208" w:rsidRPr="00EB0495">
        <w:rPr>
          <w:rFonts w:ascii="Arial" w:eastAsia="Calibri" w:hAnsi="Arial" w:cs="Arial"/>
          <w:sz w:val="24"/>
          <w:szCs w:val="24"/>
          <w:lang w:val="en-US"/>
        </w:rPr>
        <w:t>3</w:t>
      </w:r>
      <w:r w:rsidR="00447ED7" w:rsidRPr="00EB0495">
        <w:rPr>
          <w:rFonts w:ascii="Arial" w:eastAsia="Calibri" w:hAnsi="Arial" w:cs="Arial"/>
          <w:sz w:val="24"/>
          <w:szCs w:val="24"/>
          <w:lang w:val="en-US"/>
        </w:rPr>
        <w:t>D</w:t>
      </w:r>
      <w:r w:rsidRPr="00EB0495">
        <w:rPr>
          <w:rFonts w:ascii="Arial" w:eastAsia="Calibri" w:hAnsi="Arial" w:cs="Arial"/>
          <w:sz w:val="24"/>
          <w:szCs w:val="24"/>
          <w:lang w:val="en-US"/>
        </w:rPr>
        <w:t>).</w:t>
      </w:r>
      <w:r w:rsidR="00FB6308" w:rsidRPr="00EB0495">
        <w:rPr>
          <w:rFonts w:ascii="Arial" w:eastAsia="Calibri" w:hAnsi="Arial" w:cs="Arial"/>
          <w:sz w:val="24"/>
          <w:szCs w:val="24"/>
          <w:lang w:val="en-US"/>
        </w:rPr>
        <w:t xml:space="preserve"> </w:t>
      </w:r>
      <w:r w:rsidRPr="00EB0495">
        <w:rPr>
          <w:rFonts w:ascii="Arial" w:eastAsia="Calibri" w:hAnsi="Arial" w:cs="Arial"/>
          <w:sz w:val="24"/>
          <w:szCs w:val="24"/>
          <w:lang w:val="en-US"/>
        </w:rPr>
        <w:t xml:space="preserve">KM </w:t>
      </w:r>
      <w:r w:rsidR="00967EA7" w:rsidRPr="00EB0495">
        <w:rPr>
          <w:rFonts w:ascii="Arial" w:eastAsia="Calibri" w:hAnsi="Arial" w:cs="Arial"/>
          <w:sz w:val="24"/>
          <w:szCs w:val="24"/>
          <w:lang w:val="en-US"/>
        </w:rPr>
        <w:t xml:space="preserve">survival </w:t>
      </w:r>
      <w:r w:rsidRPr="00EB0495">
        <w:rPr>
          <w:rFonts w:ascii="Arial" w:eastAsia="Calibri" w:hAnsi="Arial" w:cs="Arial"/>
          <w:sz w:val="24"/>
          <w:szCs w:val="24"/>
          <w:lang w:val="en-US"/>
        </w:rPr>
        <w:t>plots after the 6</w:t>
      </w:r>
      <w:r w:rsidR="00FB6308" w:rsidRPr="00EB0495">
        <w:rPr>
          <w:rFonts w:ascii="Arial" w:eastAsia="Calibri" w:hAnsi="Arial" w:cs="Arial"/>
          <w:sz w:val="24"/>
          <w:szCs w:val="24"/>
          <w:lang w:val="en-US"/>
        </w:rPr>
        <w:t>-</w:t>
      </w:r>
      <w:r w:rsidRPr="00EB0495">
        <w:rPr>
          <w:rFonts w:ascii="Arial" w:eastAsia="Calibri" w:hAnsi="Arial" w:cs="Arial"/>
          <w:sz w:val="24"/>
          <w:szCs w:val="24"/>
          <w:lang w:val="en-US"/>
        </w:rPr>
        <w:t>, 12</w:t>
      </w:r>
      <w:r w:rsidR="00FB6308" w:rsidRPr="00EB0495">
        <w:rPr>
          <w:rFonts w:ascii="Arial" w:eastAsia="Calibri" w:hAnsi="Arial" w:cs="Arial"/>
          <w:sz w:val="24"/>
          <w:szCs w:val="24"/>
          <w:lang w:val="en-US"/>
        </w:rPr>
        <w:t>-</w:t>
      </w:r>
      <w:r w:rsidR="00145D2B" w:rsidRPr="00EB0495">
        <w:rPr>
          <w:rFonts w:ascii="Arial" w:eastAsia="Calibri" w:hAnsi="Arial" w:cs="Arial"/>
          <w:sz w:val="24"/>
          <w:szCs w:val="24"/>
          <w:lang w:val="en-US"/>
        </w:rPr>
        <w:t>,</w:t>
      </w:r>
      <w:r w:rsidRPr="00EB0495">
        <w:rPr>
          <w:rFonts w:ascii="Arial" w:eastAsia="Calibri" w:hAnsi="Arial" w:cs="Arial"/>
          <w:sz w:val="24"/>
          <w:szCs w:val="24"/>
          <w:lang w:val="en-US"/>
        </w:rPr>
        <w:t xml:space="preserve"> and 18-month landmarks showed that </w:t>
      </w:r>
      <w:r w:rsidR="00FB6308" w:rsidRPr="00EB0495">
        <w:rPr>
          <w:rFonts w:ascii="Arial" w:eastAsia="Calibri" w:hAnsi="Arial" w:cs="Arial"/>
          <w:sz w:val="24"/>
          <w:szCs w:val="24"/>
          <w:lang w:val="en-US"/>
        </w:rPr>
        <w:t xml:space="preserve">the </w:t>
      </w:r>
      <w:r w:rsidRPr="00EB0495">
        <w:rPr>
          <w:rFonts w:ascii="Arial" w:eastAsia="Calibri" w:hAnsi="Arial" w:cs="Arial"/>
          <w:sz w:val="24"/>
          <w:szCs w:val="24"/>
          <w:lang w:val="en-US"/>
        </w:rPr>
        <w:t xml:space="preserve">risk </w:t>
      </w:r>
      <w:r w:rsidR="00783505" w:rsidRPr="00EB0495">
        <w:rPr>
          <w:rFonts w:ascii="Arial" w:eastAsia="Calibri" w:hAnsi="Arial" w:cs="Arial"/>
          <w:sz w:val="24"/>
          <w:szCs w:val="24"/>
          <w:lang w:val="en-US"/>
        </w:rPr>
        <w:t xml:space="preserve">of death </w:t>
      </w:r>
      <w:r w:rsidR="00FB6308" w:rsidRPr="00EB0495">
        <w:rPr>
          <w:rFonts w:ascii="Arial" w:eastAsia="Calibri" w:hAnsi="Arial" w:cs="Arial"/>
          <w:sz w:val="24"/>
          <w:szCs w:val="24"/>
          <w:lang w:val="en-US"/>
        </w:rPr>
        <w:t xml:space="preserve">in </w:t>
      </w:r>
      <w:r w:rsidR="00145D2B" w:rsidRPr="00EB0495">
        <w:rPr>
          <w:rFonts w:ascii="Arial" w:eastAsia="Calibri" w:hAnsi="Arial" w:cs="Arial"/>
          <w:sz w:val="24"/>
          <w:szCs w:val="24"/>
          <w:lang w:val="en-US"/>
        </w:rPr>
        <w:t>patients</w:t>
      </w:r>
      <w:r w:rsidR="00FB6308" w:rsidRPr="00EB0495">
        <w:rPr>
          <w:rFonts w:ascii="Arial" w:eastAsia="Calibri" w:hAnsi="Arial" w:cs="Arial"/>
          <w:sz w:val="24"/>
          <w:szCs w:val="24"/>
          <w:lang w:val="en-US"/>
        </w:rPr>
        <w:t xml:space="preserve"> whose disease progressed </w:t>
      </w:r>
      <w:r w:rsidRPr="00EB0495">
        <w:rPr>
          <w:rFonts w:ascii="Arial" w:eastAsia="Calibri" w:hAnsi="Arial" w:cs="Arial"/>
          <w:sz w:val="24"/>
          <w:szCs w:val="24"/>
          <w:lang w:val="en-US"/>
        </w:rPr>
        <w:t xml:space="preserve">was higher the earlier </w:t>
      </w:r>
      <w:r w:rsidR="00FB6308" w:rsidRPr="00EB0495">
        <w:rPr>
          <w:rFonts w:ascii="Arial" w:eastAsia="Calibri" w:hAnsi="Arial" w:cs="Arial"/>
          <w:sz w:val="24"/>
          <w:szCs w:val="24"/>
          <w:lang w:val="en-US"/>
        </w:rPr>
        <w:t>progression occurred</w:t>
      </w:r>
      <w:r w:rsidRPr="00EB0495">
        <w:rPr>
          <w:rFonts w:ascii="Arial" w:eastAsia="Calibri" w:hAnsi="Arial" w:cs="Arial"/>
          <w:sz w:val="24"/>
          <w:szCs w:val="24"/>
          <w:lang w:val="en-US"/>
        </w:rPr>
        <w:t xml:space="preserve"> (Fig</w:t>
      </w:r>
      <w:r w:rsidR="001E6DB1" w:rsidRPr="00EB0495">
        <w:rPr>
          <w:rFonts w:ascii="Arial" w:eastAsia="Calibri" w:hAnsi="Arial" w:cs="Arial"/>
          <w:sz w:val="24"/>
          <w:szCs w:val="24"/>
          <w:lang w:val="en-US"/>
        </w:rPr>
        <w:t>ure</w:t>
      </w:r>
      <w:r w:rsidRPr="00EB0495">
        <w:rPr>
          <w:rFonts w:ascii="Arial" w:eastAsia="Calibri" w:hAnsi="Arial" w:cs="Arial"/>
          <w:sz w:val="24"/>
          <w:szCs w:val="24"/>
          <w:lang w:val="en-US"/>
        </w:rPr>
        <w:t xml:space="preserve"> </w:t>
      </w:r>
      <w:r w:rsidR="00AE7208" w:rsidRPr="00EB0495">
        <w:rPr>
          <w:rFonts w:ascii="Arial" w:eastAsia="Calibri" w:hAnsi="Arial" w:cs="Arial"/>
          <w:sz w:val="24"/>
          <w:szCs w:val="24"/>
          <w:lang w:val="en-US"/>
        </w:rPr>
        <w:t>3</w:t>
      </w:r>
      <w:r w:rsidR="001E6DB1" w:rsidRPr="00EB0495">
        <w:rPr>
          <w:rFonts w:ascii="Arial" w:eastAsia="Calibri" w:hAnsi="Arial" w:cs="Arial"/>
          <w:sz w:val="24"/>
          <w:szCs w:val="24"/>
          <w:lang w:val="en-US"/>
        </w:rPr>
        <w:t xml:space="preserve"> </w:t>
      </w:r>
      <w:r w:rsidR="00447ED7" w:rsidRPr="00EB0495">
        <w:rPr>
          <w:rFonts w:ascii="Arial" w:eastAsia="Calibri" w:hAnsi="Arial" w:cs="Arial"/>
          <w:sz w:val="24"/>
          <w:szCs w:val="24"/>
          <w:lang w:val="en-US"/>
        </w:rPr>
        <w:t>A</w:t>
      </w:r>
      <w:r w:rsidR="001E6DB1" w:rsidRPr="00EB0495">
        <w:rPr>
          <w:rFonts w:ascii="Arial" w:eastAsia="Calibri" w:hAnsi="Arial" w:cs="Arial"/>
          <w:sz w:val="24"/>
          <w:szCs w:val="24"/>
          <w:lang w:val="en-US"/>
        </w:rPr>
        <w:t>-</w:t>
      </w:r>
      <w:r w:rsidR="00447ED7" w:rsidRPr="00EB0495">
        <w:rPr>
          <w:rFonts w:ascii="Arial" w:eastAsia="Calibri" w:hAnsi="Arial" w:cs="Arial"/>
          <w:sz w:val="24"/>
          <w:szCs w:val="24"/>
          <w:lang w:val="en-US"/>
        </w:rPr>
        <w:t>D</w:t>
      </w:r>
      <w:r w:rsidRPr="00EB0495">
        <w:rPr>
          <w:rFonts w:ascii="Arial" w:eastAsia="Calibri" w:hAnsi="Arial" w:cs="Arial"/>
          <w:sz w:val="24"/>
          <w:szCs w:val="24"/>
          <w:lang w:val="en-US"/>
        </w:rPr>
        <w:t xml:space="preserve">). This is also shown by the corresponding mortality rates after progression during </w:t>
      </w:r>
      <w:r w:rsidR="00430D80" w:rsidRPr="00EB0495">
        <w:rPr>
          <w:rFonts w:ascii="Arial" w:eastAsia="Calibri" w:hAnsi="Arial" w:cs="Arial"/>
          <w:sz w:val="24"/>
          <w:szCs w:val="24"/>
          <w:lang w:val="en-US"/>
        </w:rPr>
        <w:t xml:space="preserve">the </w:t>
      </w:r>
      <w:r w:rsidRPr="00EB0495">
        <w:rPr>
          <w:rFonts w:ascii="Arial" w:eastAsia="Calibri" w:hAnsi="Arial" w:cs="Arial"/>
          <w:sz w:val="24"/>
          <w:szCs w:val="24"/>
          <w:lang w:val="en-US"/>
        </w:rPr>
        <w:t>selected time windows (</w:t>
      </w:r>
      <w:r w:rsidR="00430D80" w:rsidRPr="00EB0495">
        <w:rPr>
          <w:rFonts w:ascii="Arial" w:eastAsia="Calibri" w:hAnsi="Arial" w:cs="Arial"/>
          <w:sz w:val="24"/>
          <w:szCs w:val="24"/>
          <w:lang w:val="en-US"/>
        </w:rPr>
        <w:t>0</w:t>
      </w:r>
      <w:r w:rsidR="001E6DB1" w:rsidRPr="00EB0495">
        <w:rPr>
          <w:rFonts w:ascii="Arial" w:eastAsia="Calibri" w:hAnsi="Arial" w:cs="Arial"/>
          <w:sz w:val="24"/>
          <w:szCs w:val="24"/>
          <w:lang w:val="en-US"/>
        </w:rPr>
        <w:t>-</w:t>
      </w:r>
      <w:r w:rsidR="00430D80" w:rsidRPr="00EB0495">
        <w:rPr>
          <w:rFonts w:ascii="Arial" w:eastAsia="Calibri" w:hAnsi="Arial" w:cs="Arial"/>
          <w:sz w:val="24"/>
          <w:szCs w:val="24"/>
          <w:lang w:val="en-US"/>
        </w:rPr>
        <w:t>6, &gt;6</w:t>
      </w:r>
      <w:r w:rsidR="001E6DB1" w:rsidRPr="00EB0495">
        <w:rPr>
          <w:rFonts w:ascii="Arial" w:eastAsia="Calibri" w:hAnsi="Arial" w:cs="Arial"/>
          <w:sz w:val="24"/>
          <w:szCs w:val="24"/>
          <w:lang w:val="en-US"/>
        </w:rPr>
        <w:t>-</w:t>
      </w:r>
      <w:r w:rsidR="00430D80" w:rsidRPr="00EB0495">
        <w:rPr>
          <w:rFonts w:ascii="Arial" w:eastAsia="Calibri" w:hAnsi="Arial" w:cs="Arial"/>
          <w:sz w:val="24"/>
          <w:szCs w:val="24"/>
          <w:lang w:val="en-US"/>
        </w:rPr>
        <w:t>12, &gt;12</w:t>
      </w:r>
      <w:r w:rsidR="001E6DB1" w:rsidRPr="00EB0495">
        <w:rPr>
          <w:rFonts w:ascii="Arial" w:eastAsia="Calibri" w:hAnsi="Arial" w:cs="Arial"/>
          <w:sz w:val="24"/>
          <w:szCs w:val="24"/>
          <w:lang w:val="en-US"/>
        </w:rPr>
        <w:t>-1</w:t>
      </w:r>
      <w:r w:rsidR="00430D80" w:rsidRPr="00EB0495">
        <w:rPr>
          <w:rFonts w:ascii="Arial" w:eastAsia="Calibri" w:hAnsi="Arial" w:cs="Arial"/>
          <w:sz w:val="24"/>
          <w:szCs w:val="24"/>
          <w:lang w:val="en-US"/>
        </w:rPr>
        <w:t>8, and &gt;18</w:t>
      </w:r>
      <w:r w:rsidR="001E6DB1" w:rsidRPr="00EB0495">
        <w:rPr>
          <w:rFonts w:ascii="Arial" w:eastAsia="Calibri" w:hAnsi="Arial" w:cs="Arial"/>
          <w:sz w:val="24"/>
          <w:szCs w:val="24"/>
          <w:lang w:val="en-US"/>
        </w:rPr>
        <w:t>-</w:t>
      </w:r>
      <w:r w:rsidR="00430D80" w:rsidRPr="00EB0495">
        <w:rPr>
          <w:rFonts w:ascii="Arial" w:eastAsia="Calibri" w:hAnsi="Arial" w:cs="Arial"/>
          <w:sz w:val="24"/>
          <w:szCs w:val="24"/>
          <w:lang w:val="en-US"/>
        </w:rPr>
        <w:t xml:space="preserve">24 months from randomization; </w:t>
      </w:r>
      <w:r w:rsidRPr="00EB0495">
        <w:rPr>
          <w:rFonts w:ascii="Arial" w:eastAsia="Calibri" w:hAnsi="Arial" w:cs="Arial"/>
          <w:sz w:val="24"/>
          <w:szCs w:val="24"/>
          <w:lang w:val="en-US"/>
        </w:rPr>
        <w:t>Table</w:t>
      </w:r>
      <w:r w:rsidR="00E24E6E" w:rsidRPr="00EB0495">
        <w:rPr>
          <w:rFonts w:ascii="Arial" w:eastAsia="Calibri" w:hAnsi="Arial" w:cs="Arial"/>
          <w:sz w:val="24"/>
          <w:szCs w:val="24"/>
          <w:lang w:val="en-US"/>
        </w:rPr>
        <w:t> </w:t>
      </w:r>
      <w:r w:rsidR="00AE6416" w:rsidRPr="00EB0495">
        <w:rPr>
          <w:rFonts w:ascii="Arial" w:eastAsia="Calibri" w:hAnsi="Arial" w:cs="Arial"/>
          <w:sz w:val="24"/>
          <w:szCs w:val="24"/>
          <w:lang w:val="en-US"/>
        </w:rPr>
        <w:t>2</w:t>
      </w:r>
      <w:r w:rsidRPr="00EB0495">
        <w:rPr>
          <w:rFonts w:ascii="Arial" w:eastAsia="Calibri" w:hAnsi="Arial" w:cs="Arial"/>
          <w:sz w:val="24"/>
          <w:szCs w:val="24"/>
          <w:lang w:val="en-US"/>
        </w:rPr>
        <w:t>)</w:t>
      </w:r>
      <w:r w:rsidR="003C1126" w:rsidRPr="00EB0495">
        <w:rPr>
          <w:rFonts w:ascii="Arial" w:eastAsia="Calibri" w:hAnsi="Arial" w:cs="Arial"/>
          <w:sz w:val="24"/>
          <w:szCs w:val="24"/>
          <w:lang w:val="en-US"/>
        </w:rPr>
        <w:t>; rates during each time window were similar for G-chemo- and R-chemo-treated patients (</w:t>
      </w:r>
      <w:r w:rsidR="00CA066E" w:rsidRPr="00EB0495">
        <w:rPr>
          <w:rFonts w:ascii="Arial" w:eastAsia="Calibri" w:hAnsi="Arial" w:cs="Arial"/>
          <w:i/>
          <w:sz w:val="24"/>
          <w:szCs w:val="24"/>
          <w:lang w:val="en-US"/>
        </w:rPr>
        <w:t>Online Supplementary Table S10</w:t>
      </w:r>
      <w:r w:rsidR="003C1126" w:rsidRPr="00EB0495">
        <w:rPr>
          <w:rFonts w:ascii="Arial" w:eastAsia="Calibri" w:hAnsi="Arial" w:cs="Arial"/>
          <w:sz w:val="24"/>
          <w:szCs w:val="24"/>
          <w:lang w:val="en-US"/>
        </w:rPr>
        <w:t>)</w:t>
      </w:r>
      <w:r w:rsidRPr="00EB0495">
        <w:rPr>
          <w:rFonts w:ascii="Arial" w:eastAsia="Calibri" w:hAnsi="Arial" w:cs="Arial"/>
          <w:sz w:val="24"/>
          <w:szCs w:val="24"/>
          <w:lang w:val="en-US"/>
        </w:rPr>
        <w:t>.</w:t>
      </w:r>
    </w:p>
    <w:p w14:paraId="32CABE19" w14:textId="77777777" w:rsidR="004E1695" w:rsidRPr="00EB0495" w:rsidRDefault="004E1695" w:rsidP="004E1695">
      <w:pPr>
        <w:spacing w:after="240"/>
        <w:rPr>
          <w:rFonts w:ascii="Arial" w:eastAsia="Calibri" w:hAnsi="Arial" w:cs="Arial"/>
          <w:b/>
          <w:bCs/>
          <w:i/>
          <w:sz w:val="24"/>
          <w:szCs w:val="24"/>
          <w:lang w:val="en-US"/>
        </w:rPr>
      </w:pPr>
    </w:p>
    <w:p w14:paraId="4605BE3C" w14:textId="48B989F9" w:rsidR="00C66D88" w:rsidRPr="00EB0495" w:rsidRDefault="004011C7" w:rsidP="0098718F">
      <w:pPr>
        <w:keepNext/>
        <w:spacing w:after="240"/>
        <w:rPr>
          <w:rFonts w:ascii="Arial" w:eastAsia="Calibri" w:hAnsi="Arial" w:cs="Arial"/>
          <w:b/>
          <w:bCs/>
          <w:sz w:val="24"/>
          <w:szCs w:val="24"/>
          <w:lang w:val="en-US"/>
        </w:rPr>
      </w:pPr>
      <w:r w:rsidRPr="00EB0495">
        <w:rPr>
          <w:rFonts w:ascii="Arial" w:eastAsia="Calibri" w:hAnsi="Arial" w:cs="Arial"/>
          <w:b/>
          <w:bCs/>
          <w:sz w:val="24"/>
          <w:szCs w:val="24"/>
          <w:lang w:val="en-US"/>
        </w:rPr>
        <w:lastRenderedPageBreak/>
        <w:t>DISCUSSION</w:t>
      </w:r>
    </w:p>
    <w:p w14:paraId="185DBFF6" w14:textId="42652089" w:rsidR="00AF46D0" w:rsidRPr="00EB0495" w:rsidRDefault="00CC6EEC" w:rsidP="004011C7">
      <w:pPr>
        <w:keepNext/>
        <w:spacing w:after="240"/>
        <w:ind w:firstLine="720"/>
        <w:rPr>
          <w:rFonts w:ascii="Arial" w:eastAsia="Calibri" w:hAnsi="Arial" w:cs="Arial"/>
          <w:bCs/>
          <w:sz w:val="24"/>
          <w:szCs w:val="24"/>
          <w:lang w:val="en-US"/>
        </w:rPr>
      </w:pPr>
      <w:r w:rsidRPr="00EB0495">
        <w:rPr>
          <w:rFonts w:ascii="Arial" w:eastAsia="Calibri" w:hAnsi="Arial" w:cs="Arial"/>
          <w:bCs/>
          <w:sz w:val="24"/>
          <w:szCs w:val="24"/>
          <w:lang w:val="en-US"/>
        </w:rPr>
        <w:t>This</w:t>
      </w:r>
      <w:r w:rsidR="00E803FD" w:rsidRPr="00EB0495">
        <w:rPr>
          <w:rFonts w:ascii="Arial" w:eastAsia="Calibri" w:hAnsi="Arial" w:cs="Arial"/>
          <w:bCs/>
          <w:sz w:val="24"/>
          <w:szCs w:val="24"/>
          <w:lang w:val="en-US"/>
        </w:rPr>
        <w:t xml:space="preserve"> analysis of </w:t>
      </w:r>
      <w:r w:rsidR="00CB5C59" w:rsidRPr="00EB0495">
        <w:rPr>
          <w:rFonts w:ascii="Arial" w:eastAsia="Calibri" w:hAnsi="Arial" w:cs="Arial"/>
          <w:bCs/>
          <w:sz w:val="24"/>
          <w:szCs w:val="24"/>
          <w:lang w:val="en-US"/>
        </w:rPr>
        <w:t xml:space="preserve">updated </w:t>
      </w:r>
      <w:r w:rsidR="00E803FD" w:rsidRPr="00EB0495">
        <w:rPr>
          <w:rFonts w:ascii="Arial" w:eastAsia="Calibri" w:hAnsi="Arial" w:cs="Arial"/>
          <w:bCs/>
          <w:sz w:val="24"/>
          <w:szCs w:val="24"/>
          <w:lang w:val="en-US"/>
        </w:rPr>
        <w:t xml:space="preserve">data from the GALLIUM study confirmed the findings of </w:t>
      </w:r>
      <w:r w:rsidR="00867605" w:rsidRPr="00EB0495">
        <w:rPr>
          <w:rFonts w:ascii="Arial" w:eastAsia="Calibri" w:hAnsi="Arial" w:cs="Arial"/>
          <w:bCs/>
          <w:sz w:val="24"/>
          <w:szCs w:val="24"/>
          <w:lang w:val="en-US"/>
        </w:rPr>
        <w:t>prior</w:t>
      </w:r>
      <w:r w:rsidR="00E803FD" w:rsidRPr="00EB0495">
        <w:rPr>
          <w:rFonts w:ascii="Arial" w:eastAsia="Calibri" w:hAnsi="Arial" w:cs="Arial"/>
          <w:bCs/>
          <w:sz w:val="24"/>
          <w:szCs w:val="24"/>
          <w:lang w:val="en-US"/>
        </w:rPr>
        <w:t xml:space="preserve"> studies</w:t>
      </w:r>
      <w:r w:rsidR="00CA066E" w:rsidRPr="00EB0495">
        <w:rPr>
          <w:rFonts w:ascii="Arial" w:eastAsia="Calibri" w:hAnsi="Arial" w:cs="Arial"/>
          <w:bCs/>
          <w:sz w:val="24"/>
          <w:szCs w:val="24"/>
          <w:lang w:val="en-US"/>
        </w:rPr>
        <w:t>,</w:t>
      </w:r>
      <w:r w:rsidR="003D5DAF" w:rsidRPr="00EB0495">
        <w:rPr>
          <w:rFonts w:ascii="Arial" w:eastAsia="Calibri" w:hAnsi="Arial" w:cs="Arial"/>
          <w:bCs/>
          <w:sz w:val="24"/>
          <w:szCs w:val="24"/>
          <w:vertAlign w:val="superscript"/>
          <w:lang w:val="en-US"/>
        </w:rPr>
        <w:t>4, 1</w:t>
      </w:r>
      <w:r w:rsidR="0055098D" w:rsidRPr="00EB0495">
        <w:rPr>
          <w:rFonts w:ascii="Arial" w:eastAsia="Calibri" w:hAnsi="Arial" w:cs="Arial"/>
          <w:bCs/>
          <w:sz w:val="24"/>
          <w:szCs w:val="24"/>
          <w:vertAlign w:val="superscript"/>
          <w:lang w:val="en-US"/>
        </w:rPr>
        <w:t>0</w:t>
      </w:r>
      <w:r w:rsidR="003D5DAF" w:rsidRPr="00EB0495">
        <w:rPr>
          <w:rFonts w:ascii="Arial" w:eastAsia="Calibri" w:hAnsi="Arial" w:cs="Arial"/>
          <w:bCs/>
          <w:sz w:val="24"/>
          <w:szCs w:val="24"/>
          <w:vertAlign w:val="superscript"/>
          <w:lang w:val="en-US"/>
        </w:rPr>
        <w:t>, 1</w:t>
      </w:r>
      <w:r w:rsidR="0055098D" w:rsidRPr="00EB0495">
        <w:rPr>
          <w:rFonts w:ascii="Arial" w:eastAsia="Calibri" w:hAnsi="Arial" w:cs="Arial"/>
          <w:bCs/>
          <w:sz w:val="24"/>
          <w:szCs w:val="24"/>
          <w:vertAlign w:val="superscript"/>
          <w:lang w:val="en-US"/>
        </w:rPr>
        <w:t>1</w:t>
      </w:r>
      <w:r w:rsidR="00E803FD" w:rsidRPr="00EB0495">
        <w:rPr>
          <w:rFonts w:ascii="Arial" w:eastAsia="Calibri" w:hAnsi="Arial" w:cs="Arial"/>
          <w:bCs/>
          <w:sz w:val="24"/>
          <w:szCs w:val="24"/>
          <w:lang w:val="en-US"/>
        </w:rPr>
        <w:t xml:space="preserve"> show</w:t>
      </w:r>
      <w:r w:rsidR="00FD6B0B" w:rsidRPr="00EB0495">
        <w:rPr>
          <w:rFonts w:ascii="Arial" w:eastAsia="Calibri" w:hAnsi="Arial" w:cs="Arial"/>
          <w:bCs/>
          <w:sz w:val="24"/>
          <w:szCs w:val="24"/>
          <w:lang w:val="en-US"/>
        </w:rPr>
        <w:t>ing</w:t>
      </w:r>
      <w:r w:rsidR="00E803FD" w:rsidRPr="00EB0495">
        <w:rPr>
          <w:rFonts w:ascii="Arial" w:eastAsia="Calibri" w:hAnsi="Arial" w:cs="Arial"/>
          <w:bCs/>
          <w:sz w:val="24"/>
          <w:szCs w:val="24"/>
          <w:lang w:val="en-US"/>
        </w:rPr>
        <w:t xml:space="preserve"> </w:t>
      </w:r>
      <w:r w:rsidRPr="00EB0495">
        <w:rPr>
          <w:rFonts w:ascii="Arial" w:eastAsia="Calibri" w:hAnsi="Arial" w:cs="Arial"/>
          <w:bCs/>
          <w:sz w:val="24"/>
          <w:szCs w:val="24"/>
          <w:lang w:val="en-US"/>
        </w:rPr>
        <w:t>that</w:t>
      </w:r>
      <w:r w:rsidRPr="00EB0495">
        <w:rPr>
          <w:rFonts w:ascii="Arial" w:eastAsia="Calibri" w:hAnsi="Arial" w:cs="Arial"/>
          <w:bCs/>
          <w:i/>
          <w:sz w:val="24"/>
          <w:szCs w:val="24"/>
          <w:lang w:val="en-US"/>
        </w:rPr>
        <w:t xml:space="preserve"> </w:t>
      </w:r>
      <w:r w:rsidR="00E803FD" w:rsidRPr="00EB0495">
        <w:rPr>
          <w:rFonts w:ascii="Arial" w:eastAsia="Calibri" w:hAnsi="Arial" w:cs="Arial"/>
          <w:bCs/>
          <w:sz w:val="24"/>
          <w:szCs w:val="24"/>
          <w:lang w:val="en-US"/>
        </w:rPr>
        <w:t xml:space="preserve">early disease progression in </w:t>
      </w:r>
      <w:r w:rsidR="008A3101" w:rsidRPr="00EB0495">
        <w:rPr>
          <w:rFonts w:ascii="Arial" w:eastAsia="Calibri" w:hAnsi="Arial" w:cs="Arial"/>
          <w:bCs/>
          <w:sz w:val="24"/>
          <w:szCs w:val="24"/>
          <w:lang w:val="en-US"/>
        </w:rPr>
        <w:t xml:space="preserve">patients with </w:t>
      </w:r>
      <w:r w:rsidR="00E803FD" w:rsidRPr="00EB0495">
        <w:rPr>
          <w:rFonts w:ascii="Arial" w:eastAsia="Calibri" w:hAnsi="Arial" w:cs="Arial"/>
          <w:bCs/>
          <w:sz w:val="24"/>
          <w:szCs w:val="24"/>
          <w:lang w:val="en-US"/>
        </w:rPr>
        <w:t xml:space="preserve">FL </w:t>
      </w:r>
      <w:r w:rsidRPr="00EB0495">
        <w:rPr>
          <w:rFonts w:ascii="Arial" w:eastAsia="Calibri" w:hAnsi="Arial" w:cs="Arial"/>
          <w:bCs/>
          <w:sz w:val="24"/>
          <w:szCs w:val="24"/>
          <w:lang w:val="en-US"/>
        </w:rPr>
        <w:t>is</w:t>
      </w:r>
      <w:r w:rsidR="00E803FD" w:rsidRPr="00EB0495">
        <w:rPr>
          <w:rFonts w:ascii="Arial" w:eastAsia="Calibri" w:hAnsi="Arial" w:cs="Arial"/>
          <w:bCs/>
          <w:sz w:val="24"/>
          <w:szCs w:val="24"/>
          <w:lang w:val="en-US"/>
        </w:rPr>
        <w:t xml:space="preserve"> associated with a poor prognosis. </w:t>
      </w:r>
      <w:r w:rsidR="00AF46D0" w:rsidRPr="00EB0495">
        <w:rPr>
          <w:rFonts w:ascii="Arial" w:eastAsia="Calibri" w:hAnsi="Arial" w:cs="Arial"/>
          <w:bCs/>
          <w:sz w:val="24"/>
          <w:szCs w:val="24"/>
          <w:lang w:val="en-US"/>
        </w:rPr>
        <w:t xml:space="preserve">The proportion of POD24 patients surviving at 2 years after </w:t>
      </w:r>
      <w:r w:rsidR="00427E8B" w:rsidRPr="00EB0495">
        <w:rPr>
          <w:rFonts w:ascii="Arial" w:eastAsia="Calibri" w:hAnsi="Arial" w:cs="Arial"/>
          <w:bCs/>
          <w:sz w:val="24"/>
          <w:szCs w:val="24"/>
          <w:lang w:val="en-US"/>
        </w:rPr>
        <w:t>the 24-month landmark</w:t>
      </w:r>
      <w:r w:rsidR="00AF46D0" w:rsidRPr="00EB0495">
        <w:rPr>
          <w:rFonts w:ascii="Arial" w:eastAsia="Calibri" w:hAnsi="Arial" w:cs="Arial"/>
          <w:bCs/>
          <w:sz w:val="24"/>
          <w:szCs w:val="24"/>
          <w:lang w:val="en-US"/>
        </w:rPr>
        <w:t xml:space="preserve"> was </w:t>
      </w:r>
      <w:r w:rsidR="00543412" w:rsidRPr="00EB0495">
        <w:rPr>
          <w:rFonts w:ascii="Arial" w:eastAsia="Calibri" w:hAnsi="Arial" w:cs="Arial"/>
          <w:bCs/>
          <w:sz w:val="24"/>
          <w:szCs w:val="24"/>
          <w:lang w:val="en-US"/>
        </w:rPr>
        <w:t>82.4</w:t>
      </w:r>
      <w:r w:rsidR="00AF46D0" w:rsidRPr="00EB0495">
        <w:rPr>
          <w:rFonts w:ascii="Arial" w:eastAsia="Calibri" w:hAnsi="Arial" w:cs="Arial"/>
          <w:bCs/>
          <w:sz w:val="24"/>
          <w:szCs w:val="24"/>
          <w:lang w:val="en-US"/>
        </w:rPr>
        <w:t>%</w:t>
      </w:r>
      <w:r w:rsidR="002E26D1" w:rsidRPr="00EB0495">
        <w:rPr>
          <w:rFonts w:ascii="Arial" w:eastAsia="Calibri" w:hAnsi="Arial" w:cs="Arial"/>
          <w:bCs/>
          <w:sz w:val="24"/>
          <w:szCs w:val="24"/>
          <w:lang w:val="en-US"/>
        </w:rPr>
        <w:t xml:space="preserve"> (although 26% of POD24 patients had died before the 2-year landmark)</w:t>
      </w:r>
      <w:r w:rsidR="00AE391D" w:rsidRPr="00EB0495">
        <w:rPr>
          <w:rFonts w:ascii="Arial" w:eastAsia="Calibri" w:hAnsi="Arial" w:cs="Arial"/>
          <w:bCs/>
          <w:sz w:val="24"/>
          <w:szCs w:val="24"/>
          <w:lang w:val="en-US"/>
        </w:rPr>
        <w:t>,</w:t>
      </w:r>
      <w:r w:rsidR="00AF46D0" w:rsidRPr="00EB0495">
        <w:rPr>
          <w:rFonts w:ascii="Arial" w:eastAsia="Calibri" w:hAnsi="Arial" w:cs="Arial"/>
          <w:bCs/>
          <w:sz w:val="24"/>
          <w:szCs w:val="24"/>
          <w:lang w:val="en-US"/>
        </w:rPr>
        <w:t xml:space="preserve"> whereas for the noPOD24 group</w:t>
      </w:r>
      <w:r w:rsidR="00CA066E" w:rsidRPr="00EB0495">
        <w:rPr>
          <w:rFonts w:ascii="Arial" w:eastAsia="Calibri" w:hAnsi="Arial" w:cs="Arial"/>
          <w:bCs/>
          <w:sz w:val="24"/>
          <w:szCs w:val="24"/>
          <w:lang w:val="en-US"/>
        </w:rPr>
        <w:t>,</w:t>
      </w:r>
      <w:r w:rsidR="00AF46D0" w:rsidRPr="00EB0495">
        <w:rPr>
          <w:rFonts w:ascii="Arial" w:eastAsia="Calibri" w:hAnsi="Arial" w:cs="Arial"/>
          <w:bCs/>
          <w:sz w:val="24"/>
          <w:szCs w:val="24"/>
          <w:lang w:val="en-US"/>
        </w:rPr>
        <w:t xml:space="preserve"> the proportion surviving at </w:t>
      </w:r>
      <w:r w:rsidR="00427E8B" w:rsidRPr="00EB0495">
        <w:rPr>
          <w:rFonts w:ascii="Arial" w:eastAsia="Calibri" w:hAnsi="Arial" w:cs="Arial"/>
          <w:bCs/>
          <w:sz w:val="24"/>
          <w:szCs w:val="24"/>
          <w:lang w:val="en-US"/>
        </w:rPr>
        <w:t>this time</w:t>
      </w:r>
      <w:r w:rsidR="008244A3" w:rsidRPr="00EB0495">
        <w:rPr>
          <w:rFonts w:ascii="Arial" w:eastAsia="Calibri" w:hAnsi="Arial" w:cs="Arial"/>
          <w:bCs/>
          <w:sz w:val="24"/>
          <w:szCs w:val="24"/>
          <w:lang w:val="en-US"/>
        </w:rPr>
        <w:t xml:space="preserve"> </w:t>
      </w:r>
      <w:r w:rsidR="00427E8B" w:rsidRPr="00EB0495">
        <w:rPr>
          <w:rFonts w:ascii="Arial" w:eastAsia="Calibri" w:hAnsi="Arial" w:cs="Arial"/>
          <w:bCs/>
          <w:sz w:val="24"/>
          <w:szCs w:val="24"/>
          <w:lang w:val="en-US"/>
        </w:rPr>
        <w:t>point</w:t>
      </w:r>
      <w:r w:rsidR="00AF46D0" w:rsidRPr="00EB0495">
        <w:rPr>
          <w:rFonts w:ascii="Arial" w:eastAsia="Calibri" w:hAnsi="Arial" w:cs="Arial"/>
          <w:bCs/>
          <w:sz w:val="24"/>
          <w:szCs w:val="24"/>
          <w:lang w:val="en-US"/>
        </w:rPr>
        <w:t xml:space="preserve"> was 98.2%. </w:t>
      </w:r>
      <w:r w:rsidR="00AF46D0" w:rsidRPr="00EB0495">
        <w:rPr>
          <w:rFonts w:ascii="Arial" w:hAnsi="Arial" w:cs="Arial"/>
          <w:sz w:val="24"/>
          <w:szCs w:val="24"/>
          <w:lang w:val="en-US"/>
        </w:rPr>
        <w:t xml:space="preserve">Irrespective of treatment arm, patients who had PD in the 24 months after randomization were </w:t>
      </w:r>
      <w:r w:rsidR="002238D3" w:rsidRPr="00EB0495">
        <w:rPr>
          <w:rFonts w:ascii="Arial" w:hAnsi="Arial" w:cs="Arial"/>
          <w:sz w:val="24"/>
          <w:szCs w:val="24"/>
          <w:lang w:val="en-US"/>
        </w:rPr>
        <w:t xml:space="preserve">also </w:t>
      </w:r>
      <w:r w:rsidR="00AF46D0" w:rsidRPr="00EB0495">
        <w:rPr>
          <w:rFonts w:ascii="Arial" w:hAnsi="Arial" w:cs="Arial"/>
          <w:sz w:val="24"/>
          <w:szCs w:val="24"/>
          <w:lang w:val="en-US"/>
        </w:rPr>
        <w:t xml:space="preserve">much more likely to receive additional lymphoma therapy within 3 months of progression than patients who had PD later. </w:t>
      </w:r>
      <w:r w:rsidR="00EF6C0A" w:rsidRPr="00EB0495">
        <w:rPr>
          <w:rFonts w:ascii="Arial" w:hAnsi="Arial" w:cs="Arial"/>
          <w:sz w:val="24"/>
          <w:szCs w:val="24"/>
          <w:lang w:val="en-US"/>
        </w:rPr>
        <w:t>By all</w:t>
      </w:r>
      <w:r w:rsidR="00E67A36" w:rsidRPr="00EB0495">
        <w:rPr>
          <w:rFonts w:ascii="Arial" w:hAnsi="Arial" w:cs="Arial"/>
          <w:sz w:val="24"/>
          <w:szCs w:val="24"/>
          <w:lang w:val="en-US"/>
        </w:rPr>
        <w:t xml:space="preserve"> of</w:t>
      </w:r>
      <w:r w:rsidR="00EF6C0A" w:rsidRPr="00EB0495">
        <w:rPr>
          <w:rFonts w:ascii="Arial" w:hAnsi="Arial" w:cs="Arial"/>
          <w:sz w:val="24"/>
          <w:szCs w:val="24"/>
          <w:lang w:val="en-US"/>
        </w:rPr>
        <w:t xml:space="preserve"> these measures</w:t>
      </w:r>
      <w:r w:rsidR="00E07118" w:rsidRPr="00EB0495">
        <w:rPr>
          <w:rFonts w:ascii="Arial" w:hAnsi="Arial" w:cs="Arial"/>
          <w:sz w:val="24"/>
          <w:szCs w:val="24"/>
          <w:lang w:val="en-US"/>
        </w:rPr>
        <w:t>,</w:t>
      </w:r>
      <w:r w:rsidR="00EF6C0A" w:rsidRPr="00EB0495">
        <w:rPr>
          <w:rFonts w:ascii="Arial" w:hAnsi="Arial" w:cs="Arial"/>
          <w:sz w:val="24"/>
          <w:szCs w:val="24"/>
          <w:lang w:val="en-US"/>
        </w:rPr>
        <w:t xml:space="preserve"> we confirm</w:t>
      </w:r>
      <w:r w:rsidR="00E07118" w:rsidRPr="00EB0495">
        <w:rPr>
          <w:rFonts w:ascii="Arial" w:hAnsi="Arial" w:cs="Arial"/>
          <w:sz w:val="24"/>
          <w:szCs w:val="24"/>
          <w:lang w:val="en-US"/>
        </w:rPr>
        <w:t xml:space="preserve"> the adverse outlook </w:t>
      </w:r>
      <w:r w:rsidR="00867605" w:rsidRPr="00EB0495">
        <w:rPr>
          <w:rFonts w:ascii="Arial" w:hAnsi="Arial" w:cs="Arial"/>
          <w:sz w:val="24"/>
          <w:szCs w:val="24"/>
          <w:lang w:val="en-US"/>
        </w:rPr>
        <w:t>associated with</w:t>
      </w:r>
      <w:r w:rsidR="00EF6C0A" w:rsidRPr="00EB0495">
        <w:rPr>
          <w:rFonts w:ascii="Arial" w:hAnsi="Arial" w:cs="Arial"/>
          <w:sz w:val="24"/>
          <w:szCs w:val="24"/>
          <w:lang w:val="en-US"/>
        </w:rPr>
        <w:t xml:space="preserve"> a POD24 event.</w:t>
      </w:r>
    </w:p>
    <w:p w14:paraId="6D398BAD" w14:textId="55DDF003" w:rsidR="008C3F38" w:rsidRPr="00EB0495" w:rsidRDefault="00D20952" w:rsidP="008C3F38">
      <w:pPr>
        <w:keepNext/>
        <w:spacing w:after="240"/>
        <w:ind w:firstLine="720"/>
        <w:rPr>
          <w:rFonts w:ascii="Arial" w:eastAsia="Calibri" w:hAnsi="Arial" w:cs="Arial"/>
          <w:bCs/>
          <w:sz w:val="24"/>
          <w:szCs w:val="24"/>
          <w:lang w:val="en-US"/>
        </w:rPr>
      </w:pPr>
      <w:r w:rsidRPr="00EB0495">
        <w:rPr>
          <w:rFonts w:ascii="Arial" w:eastAsia="Calibri" w:hAnsi="Arial" w:cs="Arial"/>
          <w:bCs/>
          <w:sz w:val="24"/>
          <w:szCs w:val="24"/>
          <w:lang w:val="en-US"/>
        </w:rPr>
        <w:t>T</w:t>
      </w:r>
      <w:r w:rsidR="004667F7" w:rsidRPr="00EB0495">
        <w:rPr>
          <w:rFonts w:ascii="Arial" w:eastAsia="Calibri" w:hAnsi="Arial" w:cs="Arial"/>
          <w:bCs/>
          <w:sz w:val="24"/>
          <w:szCs w:val="24"/>
          <w:lang w:val="en-US"/>
        </w:rPr>
        <w:t xml:space="preserve">reatment with G-chemo was associated with a marked reduction in the </w:t>
      </w:r>
      <w:r w:rsidR="00AD10C8" w:rsidRPr="00EB0495">
        <w:rPr>
          <w:rFonts w:ascii="Arial" w:eastAsia="Calibri" w:hAnsi="Arial" w:cs="Arial"/>
          <w:bCs/>
          <w:sz w:val="24"/>
          <w:szCs w:val="24"/>
          <w:lang w:val="en-US"/>
        </w:rPr>
        <w:t xml:space="preserve">rate </w:t>
      </w:r>
      <w:r w:rsidR="004667F7" w:rsidRPr="00EB0495">
        <w:rPr>
          <w:rFonts w:ascii="Arial" w:eastAsia="Calibri" w:hAnsi="Arial" w:cs="Arial"/>
          <w:bCs/>
          <w:sz w:val="24"/>
          <w:szCs w:val="24"/>
          <w:lang w:val="en-US"/>
        </w:rPr>
        <w:t xml:space="preserve">of POD24 events </w:t>
      </w:r>
      <w:r w:rsidR="00C24ACC" w:rsidRPr="00EB0495">
        <w:rPr>
          <w:rFonts w:ascii="Arial" w:eastAsia="Calibri" w:hAnsi="Arial" w:cs="Arial"/>
          <w:bCs/>
          <w:sz w:val="24"/>
          <w:szCs w:val="24"/>
          <w:lang w:val="en-US"/>
        </w:rPr>
        <w:t>relative to R-chemo</w:t>
      </w:r>
      <w:r w:rsidR="00543412" w:rsidRPr="00EB0495">
        <w:rPr>
          <w:rFonts w:ascii="Arial" w:eastAsia="Calibri" w:hAnsi="Arial" w:cs="Arial"/>
          <w:bCs/>
          <w:sz w:val="24"/>
          <w:szCs w:val="24"/>
          <w:lang w:val="en-US"/>
        </w:rPr>
        <w:t xml:space="preserve"> and these data therefore support the superiority of the G-chemo regimen seen in the </w:t>
      </w:r>
      <w:r w:rsidR="00EC0C40" w:rsidRPr="00EB0495">
        <w:rPr>
          <w:rFonts w:ascii="Arial" w:eastAsia="Calibri" w:hAnsi="Arial" w:cs="Arial"/>
          <w:bCs/>
          <w:sz w:val="24"/>
          <w:szCs w:val="24"/>
          <w:lang w:val="en-US"/>
        </w:rPr>
        <w:t xml:space="preserve">GALLIUM </w:t>
      </w:r>
      <w:r w:rsidR="00543412" w:rsidRPr="00EB0495">
        <w:rPr>
          <w:rFonts w:ascii="Arial" w:eastAsia="Calibri" w:hAnsi="Arial" w:cs="Arial"/>
          <w:bCs/>
          <w:sz w:val="24"/>
          <w:szCs w:val="24"/>
          <w:lang w:val="en-US"/>
        </w:rPr>
        <w:t>primary analysis</w:t>
      </w:r>
      <w:r w:rsidR="00D275F6" w:rsidRPr="00EB0495">
        <w:rPr>
          <w:rFonts w:ascii="Arial" w:eastAsia="Calibri" w:hAnsi="Arial" w:cs="Arial"/>
          <w:bCs/>
          <w:sz w:val="24"/>
          <w:szCs w:val="24"/>
          <w:lang w:val="en-US"/>
        </w:rPr>
        <w:t>.</w:t>
      </w:r>
      <w:r w:rsidR="00543412" w:rsidRPr="00EB0495">
        <w:rPr>
          <w:rFonts w:ascii="Arial" w:eastAsia="Calibri" w:hAnsi="Arial" w:cs="Arial"/>
          <w:bCs/>
          <w:sz w:val="24"/>
          <w:szCs w:val="24"/>
          <w:vertAlign w:val="superscript"/>
          <w:lang w:val="en-US"/>
        </w:rPr>
        <w:t>9</w:t>
      </w:r>
      <w:r w:rsidR="00D275F6" w:rsidRPr="00EB0495">
        <w:rPr>
          <w:rFonts w:ascii="Arial" w:eastAsia="Calibri" w:hAnsi="Arial" w:cs="Arial"/>
          <w:bCs/>
          <w:sz w:val="24"/>
          <w:szCs w:val="24"/>
          <w:lang w:val="en-US"/>
        </w:rPr>
        <w:t xml:space="preserve"> </w:t>
      </w:r>
      <w:r w:rsidR="00D33B84" w:rsidRPr="00EB0495">
        <w:rPr>
          <w:rFonts w:ascii="Arial" w:eastAsia="Calibri" w:hAnsi="Arial" w:cs="Arial"/>
          <w:bCs/>
          <w:sz w:val="24"/>
          <w:szCs w:val="24"/>
          <w:lang w:val="en-US"/>
        </w:rPr>
        <w:t>Notably</w:t>
      </w:r>
      <w:r w:rsidR="004667F7" w:rsidRPr="00EB0495">
        <w:rPr>
          <w:rFonts w:ascii="Arial" w:eastAsia="Calibri" w:hAnsi="Arial" w:cs="Arial"/>
          <w:bCs/>
          <w:sz w:val="24"/>
          <w:szCs w:val="24"/>
          <w:lang w:val="en-US"/>
        </w:rPr>
        <w:t xml:space="preserve">, </w:t>
      </w:r>
      <w:r w:rsidR="00B12214" w:rsidRPr="00EB0495">
        <w:rPr>
          <w:rFonts w:ascii="Arial" w:eastAsia="Calibri" w:hAnsi="Arial" w:cs="Arial"/>
          <w:bCs/>
          <w:sz w:val="24"/>
          <w:szCs w:val="24"/>
          <w:lang w:val="en-US"/>
        </w:rPr>
        <w:t xml:space="preserve">there was little </w:t>
      </w:r>
      <w:r w:rsidR="00C24ACC" w:rsidRPr="00EB0495">
        <w:rPr>
          <w:rFonts w:ascii="Arial" w:eastAsia="Calibri" w:hAnsi="Arial" w:cs="Arial"/>
          <w:bCs/>
          <w:sz w:val="24"/>
          <w:szCs w:val="24"/>
          <w:lang w:val="en-US"/>
        </w:rPr>
        <w:t xml:space="preserve">difference in the </w:t>
      </w:r>
      <w:r w:rsidR="00B12214" w:rsidRPr="00EB0495">
        <w:rPr>
          <w:rFonts w:ascii="Arial" w:eastAsia="Calibri" w:hAnsi="Arial" w:cs="Arial"/>
          <w:bCs/>
          <w:sz w:val="24"/>
          <w:szCs w:val="24"/>
          <w:lang w:val="en-US"/>
        </w:rPr>
        <w:t xml:space="preserve">proportion </w:t>
      </w:r>
      <w:r w:rsidR="004667F7" w:rsidRPr="00EB0495">
        <w:rPr>
          <w:rFonts w:ascii="Arial" w:eastAsia="Calibri" w:hAnsi="Arial" w:cs="Arial"/>
          <w:bCs/>
          <w:sz w:val="24"/>
          <w:szCs w:val="24"/>
          <w:lang w:val="en-US"/>
        </w:rPr>
        <w:t xml:space="preserve">of patients </w:t>
      </w:r>
      <w:r w:rsidR="00B12214" w:rsidRPr="00EB0495">
        <w:rPr>
          <w:rFonts w:ascii="Arial" w:eastAsia="Calibri" w:hAnsi="Arial" w:cs="Arial"/>
          <w:bCs/>
          <w:sz w:val="24"/>
          <w:szCs w:val="24"/>
          <w:lang w:val="en-US"/>
        </w:rPr>
        <w:t xml:space="preserve">in each treatment arm </w:t>
      </w:r>
      <w:r w:rsidR="00AD10C8" w:rsidRPr="00EB0495">
        <w:rPr>
          <w:rFonts w:ascii="Arial" w:eastAsia="Calibri" w:hAnsi="Arial" w:cs="Arial"/>
          <w:bCs/>
          <w:sz w:val="24"/>
          <w:szCs w:val="24"/>
          <w:lang w:val="en-US"/>
        </w:rPr>
        <w:t xml:space="preserve">with </w:t>
      </w:r>
      <w:r w:rsidR="005F4EB2" w:rsidRPr="00EB0495">
        <w:rPr>
          <w:rFonts w:ascii="Arial" w:eastAsia="Calibri" w:hAnsi="Arial" w:cs="Arial"/>
          <w:bCs/>
          <w:sz w:val="24"/>
          <w:szCs w:val="24"/>
          <w:lang w:val="en-US"/>
        </w:rPr>
        <w:t xml:space="preserve">PD </w:t>
      </w:r>
      <w:r w:rsidR="0002426F" w:rsidRPr="00EB0495">
        <w:rPr>
          <w:rFonts w:ascii="Arial" w:eastAsia="Calibri" w:hAnsi="Arial" w:cs="Arial"/>
          <w:bCs/>
          <w:sz w:val="24"/>
          <w:szCs w:val="24"/>
          <w:lang w:val="en-US"/>
        </w:rPr>
        <w:t>after the 24-month time point</w:t>
      </w:r>
      <w:r w:rsidR="00C512B7" w:rsidRPr="00EB0495">
        <w:rPr>
          <w:rFonts w:ascii="Arial" w:eastAsia="Calibri" w:hAnsi="Arial" w:cs="Arial"/>
          <w:bCs/>
          <w:sz w:val="24"/>
          <w:szCs w:val="24"/>
          <w:lang w:val="en-US"/>
        </w:rPr>
        <w:t>, indicating that</w:t>
      </w:r>
      <w:r w:rsidR="00F27E98" w:rsidRPr="00EB0495">
        <w:rPr>
          <w:rFonts w:ascii="Arial" w:eastAsia="Calibri" w:hAnsi="Arial" w:cs="Arial"/>
          <w:bCs/>
          <w:sz w:val="24"/>
          <w:szCs w:val="24"/>
          <w:lang w:val="en-US"/>
        </w:rPr>
        <w:t>,</w:t>
      </w:r>
      <w:r w:rsidR="00C512B7" w:rsidRPr="00EB0495">
        <w:rPr>
          <w:rFonts w:ascii="Arial" w:eastAsia="Calibri" w:hAnsi="Arial" w:cs="Arial"/>
          <w:bCs/>
          <w:sz w:val="24"/>
          <w:szCs w:val="24"/>
          <w:lang w:val="en-US"/>
        </w:rPr>
        <w:t xml:space="preserve"> </w:t>
      </w:r>
      <w:r w:rsidR="00FD6B0B" w:rsidRPr="00EB0495">
        <w:rPr>
          <w:rFonts w:ascii="Arial" w:eastAsia="Calibri" w:hAnsi="Arial" w:cs="Arial"/>
          <w:bCs/>
          <w:sz w:val="24"/>
          <w:szCs w:val="24"/>
          <w:lang w:val="en-US"/>
        </w:rPr>
        <w:t>to date</w:t>
      </w:r>
      <w:r w:rsidR="00F27E98" w:rsidRPr="00EB0495">
        <w:rPr>
          <w:rFonts w:ascii="Arial" w:eastAsia="Calibri" w:hAnsi="Arial" w:cs="Arial"/>
          <w:bCs/>
          <w:sz w:val="24"/>
          <w:szCs w:val="24"/>
          <w:lang w:val="en-US"/>
        </w:rPr>
        <w:t>,</w:t>
      </w:r>
      <w:r w:rsidR="00FD6B0B" w:rsidRPr="00EB0495">
        <w:rPr>
          <w:rFonts w:ascii="Arial" w:eastAsia="Calibri" w:hAnsi="Arial" w:cs="Arial"/>
          <w:bCs/>
          <w:sz w:val="24"/>
          <w:szCs w:val="24"/>
          <w:lang w:val="en-US"/>
        </w:rPr>
        <w:t xml:space="preserve"> </w:t>
      </w:r>
      <w:r w:rsidR="00C512B7" w:rsidRPr="00EB0495">
        <w:rPr>
          <w:rFonts w:ascii="Arial" w:eastAsia="Calibri" w:hAnsi="Arial" w:cs="Arial"/>
          <w:bCs/>
          <w:sz w:val="24"/>
          <w:szCs w:val="24"/>
          <w:lang w:val="en-US"/>
        </w:rPr>
        <w:t>t</w:t>
      </w:r>
      <w:r w:rsidR="00B12214" w:rsidRPr="00EB0495">
        <w:rPr>
          <w:rFonts w:ascii="Arial" w:eastAsia="Calibri" w:hAnsi="Arial" w:cs="Arial"/>
          <w:bCs/>
          <w:sz w:val="24"/>
          <w:szCs w:val="24"/>
          <w:lang w:val="en-US"/>
        </w:rPr>
        <w:t xml:space="preserve">he protective effect of G-chemo against early progression </w:t>
      </w:r>
      <w:r w:rsidR="004B23FD" w:rsidRPr="00EB0495">
        <w:rPr>
          <w:rFonts w:ascii="Arial" w:eastAsia="Calibri" w:hAnsi="Arial" w:cs="Arial"/>
          <w:bCs/>
          <w:sz w:val="24"/>
          <w:szCs w:val="24"/>
          <w:lang w:val="en-US"/>
        </w:rPr>
        <w:t>h</w:t>
      </w:r>
      <w:r w:rsidR="00B12214" w:rsidRPr="00EB0495">
        <w:rPr>
          <w:rFonts w:ascii="Arial" w:eastAsia="Calibri" w:hAnsi="Arial" w:cs="Arial"/>
          <w:bCs/>
          <w:sz w:val="24"/>
          <w:szCs w:val="24"/>
          <w:lang w:val="en-US"/>
        </w:rPr>
        <w:t xml:space="preserve">as not </w:t>
      </w:r>
      <w:r w:rsidR="004B23FD" w:rsidRPr="00EB0495">
        <w:rPr>
          <w:rFonts w:ascii="Arial" w:eastAsia="Calibri" w:hAnsi="Arial" w:cs="Arial"/>
          <w:bCs/>
          <w:sz w:val="24"/>
          <w:szCs w:val="24"/>
          <w:lang w:val="en-US"/>
        </w:rPr>
        <w:t xml:space="preserve">been </w:t>
      </w:r>
      <w:r w:rsidR="00966C0E" w:rsidRPr="00EB0495">
        <w:rPr>
          <w:rFonts w:ascii="Arial" w:eastAsia="Calibri" w:hAnsi="Arial" w:cs="Arial"/>
          <w:bCs/>
          <w:sz w:val="24"/>
          <w:szCs w:val="24"/>
          <w:lang w:val="en-US"/>
        </w:rPr>
        <w:t>counterbalanced</w:t>
      </w:r>
      <w:r w:rsidR="00B12214" w:rsidRPr="00EB0495">
        <w:rPr>
          <w:rFonts w:ascii="Arial" w:eastAsia="Calibri" w:hAnsi="Arial" w:cs="Arial"/>
          <w:bCs/>
          <w:sz w:val="24"/>
          <w:szCs w:val="24"/>
          <w:lang w:val="en-US"/>
        </w:rPr>
        <w:t xml:space="preserve"> </w:t>
      </w:r>
      <w:r w:rsidR="00C512B7" w:rsidRPr="00EB0495">
        <w:rPr>
          <w:rFonts w:ascii="Arial" w:eastAsia="Calibri" w:hAnsi="Arial" w:cs="Arial"/>
          <w:bCs/>
          <w:sz w:val="24"/>
          <w:szCs w:val="24"/>
          <w:lang w:val="en-US"/>
        </w:rPr>
        <w:t>by a</w:t>
      </w:r>
      <w:r w:rsidR="00DA4B35" w:rsidRPr="00EB0495">
        <w:rPr>
          <w:rFonts w:ascii="Arial" w:eastAsia="Calibri" w:hAnsi="Arial" w:cs="Arial"/>
          <w:bCs/>
          <w:sz w:val="24"/>
          <w:szCs w:val="24"/>
          <w:lang w:val="en-US"/>
        </w:rPr>
        <w:t>n</w:t>
      </w:r>
      <w:r w:rsidR="00EF6C0A" w:rsidRPr="00EB0495">
        <w:rPr>
          <w:rFonts w:ascii="Arial" w:eastAsia="Calibri" w:hAnsi="Arial" w:cs="Arial"/>
          <w:bCs/>
          <w:sz w:val="24"/>
          <w:szCs w:val="24"/>
          <w:lang w:val="en-US"/>
        </w:rPr>
        <w:t>y</w:t>
      </w:r>
      <w:r w:rsidR="00C512B7" w:rsidRPr="00EB0495">
        <w:rPr>
          <w:rFonts w:ascii="Arial" w:eastAsia="Calibri" w:hAnsi="Arial" w:cs="Arial"/>
          <w:bCs/>
          <w:sz w:val="24"/>
          <w:szCs w:val="24"/>
          <w:lang w:val="en-US"/>
        </w:rPr>
        <w:t xml:space="preserve"> increased risk of </w:t>
      </w:r>
      <w:r w:rsidR="004B23FD" w:rsidRPr="00EB0495">
        <w:rPr>
          <w:rFonts w:ascii="Arial" w:eastAsia="Calibri" w:hAnsi="Arial" w:cs="Arial"/>
          <w:bCs/>
          <w:sz w:val="24"/>
          <w:szCs w:val="24"/>
          <w:lang w:val="en-US"/>
        </w:rPr>
        <w:t xml:space="preserve">later </w:t>
      </w:r>
      <w:r w:rsidR="00CC6EEC" w:rsidRPr="00EB0495">
        <w:rPr>
          <w:rFonts w:ascii="Arial" w:eastAsia="Calibri" w:hAnsi="Arial" w:cs="Arial"/>
          <w:bCs/>
          <w:sz w:val="24"/>
          <w:szCs w:val="24"/>
          <w:lang w:val="en-US"/>
        </w:rPr>
        <w:t>progression</w:t>
      </w:r>
      <w:r w:rsidR="004667F7" w:rsidRPr="00EB0495">
        <w:rPr>
          <w:rFonts w:ascii="Arial" w:eastAsia="Calibri" w:hAnsi="Arial" w:cs="Arial"/>
          <w:bCs/>
          <w:sz w:val="24"/>
          <w:szCs w:val="24"/>
          <w:lang w:val="en-US"/>
        </w:rPr>
        <w:t>.</w:t>
      </w:r>
      <w:r w:rsidR="00F51BF8" w:rsidRPr="00EB0495">
        <w:rPr>
          <w:rFonts w:ascii="Arial" w:eastAsia="Calibri" w:hAnsi="Arial" w:cs="Arial"/>
          <w:bCs/>
          <w:sz w:val="24"/>
          <w:szCs w:val="24"/>
          <w:lang w:val="en-US"/>
        </w:rPr>
        <w:t xml:space="preserve"> </w:t>
      </w:r>
      <w:r w:rsidR="008C3F38" w:rsidRPr="00EB0495">
        <w:rPr>
          <w:rFonts w:ascii="Arial" w:eastAsia="Calibri" w:hAnsi="Arial" w:cs="Arial"/>
          <w:bCs/>
          <w:sz w:val="24"/>
          <w:szCs w:val="24"/>
          <w:lang w:val="en-US"/>
        </w:rPr>
        <w:t xml:space="preserve"> With small numbers of deaths in both arms and comparatively short follow-up (approximately 3.5 years), it should be noted that, despite a reduced risk of POD24 with G-chemo, we have not yet seen an impact on OS in the GALLIUM study. However, this is not unexpected with current follow-up given available salvage therapies. </w:t>
      </w:r>
    </w:p>
    <w:p w14:paraId="5312E6D6" w14:textId="0532C4CB" w:rsidR="00D468D4" w:rsidRPr="00EB0495" w:rsidRDefault="00170233" w:rsidP="003F263C">
      <w:pPr>
        <w:keepNext/>
        <w:spacing w:after="240"/>
        <w:ind w:firstLine="720"/>
        <w:rPr>
          <w:rFonts w:ascii="Arial" w:eastAsia="Calibri" w:hAnsi="Arial" w:cs="Arial"/>
          <w:sz w:val="24"/>
          <w:szCs w:val="24"/>
          <w:lang w:val="en-US"/>
        </w:rPr>
      </w:pPr>
      <w:r w:rsidRPr="00EB0495">
        <w:rPr>
          <w:rFonts w:ascii="Arial" w:eastAsia="Calibri" w:hAnsi="Arial" w:cs="Arial"/>
          <w:bCs/>
          <w:sz w:val="24"/>
          <w:szCs w:val="24"/>
          <w:lang w:val="en-US"/>
        </w:rPr>
        <w:t xml:space="preserve">Our results </w:t>
      </w:r>
      <w:r w:rsidR="00867605" w:rsidRPr="00EB0495">
        <w:rPr>
          <w:rFonts w:ascii="Arial" w:eastAsia="Calibri" w:hAnsi="Arial" w:cs="Arial"/>
          <w:bCs/>
          <w:sz w:val="24"/>
          <w:szCs w:val="24"/>
          <w:lang w:val="en-US"/>
        </w:rPr>
        <w:t xml:space="preserve">suggest </w:t>
      </w:r>
      <w:r w:rsidRPr="00EB0495">
        <w:rPr>
          <w:rFonts w:ascii="Arial" w:eastAsia="Calibri" w:hAnsi="Arial" w:cs="Arial"/>
          <w:bCs/>
          <w:sz w:val="24"/>
          <w:szCs w:val="24"/>
          <w:lang w:val="en-US"/>
        </w:rPr>
        <w:t>that POD24 events are more common in patients treated with CVP compared with patients tr</w:t>
      </w:r>
      <w:r w:rsidR="00D468D4" w:rsidRPr="00EB0495">
        <w:rPr>
          <w:rFonts w:ascii="Arial" w:eastAsia="Calibri" w:hAnsi="Arial" w:cs="Arial"/>
          <w:bCs/>
          <w:sz w:val="24"/>
          <w:szCs w:val="24"/>
          <w:lang w:val="en-US"/>
        </w:rPr>
        <w:t>eated with CHOP or bendamustine.</w:t>
      </w:r>
      <w:r w:rsidRPr="00EB0495">
        <w:rPr>
          <w:rFonts w:ascii="Arial" w:eastAsia="Calibri" w:hAnsi="Arial" w:cs="Arial"/>
          <w:bCs/>
          <w:sz w:val="24"/>
          <w:szCs w:val="24"/>
          <w:lang w:val="en-US"/>
        </w:rPr>
        <w:t xml:space="preserve"> However, it is </w:t>
      </w:r>
      <w:r w:rsidRPr="00EB0495">
        <w:rPr>
          <w:rFonts w:ascii="Arial" w:eastAsia="Calibri" w:hAnsi="Arial" w:cs="Arial"/>
          <w:bCs/>
          <w:sz w:val="24"/>
          <w:szCs w:val="24"/>
          <w:lang w:val="en-US"/>
        </w:rPr>
        <w:lastRenderedPageBreak/>
        <w:t xml:space="preserve">difficult to draw firm conclusions from these results, </w:t>
      </w:r>
      <w:r w:rsidRPr="00EB0495">
        <w:rPr>
          <w:rFonts w:ascii="Arial" w:eastAsia="Calibri" w:hAnsi="Arial" w:cs="Arial"/>
          <w:sz w:val="24"/>
          <w:szCs w:val="24"/>
          <w:lang w:val="en-US"/>
        </w:rPr>
        <w:t xml:space="preserve">as patient numbers within the subgroups are low. Furthermore, statistical comparisons across chemotherapy regimens were not performed, as chemotherapy allocation was not randomized; rather the chemotherapy treatment was selected by the investigator, with all patients at </w:t>
      </w:r>
      <w:r w:rsidR="00143DF6" w:rsidRPr="00EB0495">
        <w:rPr>
          <w:rFonts w:ascii="Arial" w:eastAsia="Calibri" w:hAnsi="Arial" w:cs="Arial"/>
          <w:sz w:val="24"/>
          <w:szCs w:val="24"/>
          <w:lang w:val="en-US"/>
        </w:rPr>
        <w:t xml:space="preserve">1 </w:t>
      </w:r>
      <w:r w:rsidRPr="00EB0495">
        <w:rPr>
          <w:rFonts w:ascii="Arial" w:eastAsia="Calibri" w:hAnsi="Arial" w:cs="Arial"/>
          <w:sz w:val="24"/>
          <w:szCs w:val="24"/>
          <w:lang w:val="en-US"/>
        </w:rPr>
        <w:t xml:space="preserve">center receiving the same regimen. </w:t>
      </w:r>
    </w:p>
    <w:p w14:paraId="2AA99DAC" w14:textId="448BA193" w:rsidR="00960084" w:rsidRPr="00EB0495" w:rsidRDefault="00FE5838" w:rsidP="003D5DAF">
      <w:pPr>
        <w:keepNext/>
        <w:spacing w:after="240"/>
        <w:ind w:firstLine="720"/>
        <w:rPr>
          <w:rFonts w:ascii="Arial" w:hAnsi="Arial" w:cs="Arial"/>
          <w:sz w:val="24"/>
          <w:szCs w:val="24"/>
          <w:lang w:val="en-US"/>
        </w:rPr>
      </w:pPr>
      <w:r w:rsidRPr="00EB0495">
        <w:rPr>
          <w:rFonts w:ascii="Arial" w:hAnsi="Arial" w:cs="Arial"/>
          <w:sz w:val="24"/>
          <w:szCs w:val="24"/>
          <w:lang w:val="en-US"/>
        </w:rPr>
        <w:t xml:space="preserve">As previously reported, fewer </w:t>
      </w:r>
      <w:r w:rsidR="008A3101" w:rsidRPr="00EB0495">
        <w:rPr>
          <w:rFonts w:ascii="Arial" w:hAnsi="Arial" w:cs="Arial"/>
          <w:sz w:val="24"/>
          <w:szCs w:val="24"/>
          <w:lang w:val="en-US"/>
        </w:rPr>
        <w:t xml:space="preserve">patients with </w:t>
      </w:r>
      <w:r w:rsidRPr="00EB0495">
        <w:rPr>
          <w:rFonts w:ascii="Arial" w:hAnsi="Arial" w:cs="Arial"/>
          <w:sz w:val="24"/>
          <w:szCs w:val="24"/>
          <w:lang w:val="en-US"/>
        </w:rPr>
        <w:t xml:space="preserve">FL in the G-chemo arm than in the R-chemo arm started NALT during </w:t>
      </w:r>
      <w:r w:rsidR="00F51BF8" w:rsidRPr="00EB0495">
        <w:rPr>
          <w:rFonts w:ascii="Arial" w:hAnsi="Arial" w:cs="Arial"/>
          <w:sz w:val="24"/>
          <w:szCs w:val="24"/>
          <w:lang w:val="en-US"/>
        </w:rPr>
        <w:t>GALLIUM</w:t>
      </w:r>
      <w:r w:rsidRPr="00EB0495">
        <w:rPr>
          <w:rFonts w:ascii="Arial" w:hAnsi="Arial" w:cs="Arial"/>
          <w:sz w:val="24"/>
          <w:szCs w:val="24"/>
          <w:lang w:val="en-US"/>
        </w:rPr>
        <w:t xml:space="preserve"> (estimated proportions </w:t>
      </w:r>
      <w:r w:rsidR="00AD10C8" w:rsidRPr="00EB0495">
        <w:rPr>
          <w:rFonts w:ascii="Arial" w:hAnsi="Arial" w:cs="Arial"/>
          <w:sz w:val="24"/>
          <w:szCs w:val="24"/>
          <w:lang w:val="en-US"/>
        </w:rPr>
        <w:t xml:space="preserve">without NALT </w:t>
      </w:r>
      <w:r w:rsidRPr="00EB0495">
        <w:rPr>
          <w:rFonts w:ascii="Arial" w:hAnsi="Arial" w:cs="Arial"/>
          <w:sz w:val="24"/>
          <w:szCs w:val="24"/>
          <w:lang w:val="en-US"/>
        </w:rPr>
        <w:t>at 3 years</w:t>
      </w:r>
      <w:r w:rsidR="00CF12CF" w:rsidRPr="00EB0495">
        <w:rPr>
          <w:rFonts w:ascii="Arial" w:hAnsi="Arial" w:cs="Arial"/>
          <w:sz w:val="24"/>
          <w:szCs w:val="24"/>
          <w:lang w:val="en-US"/>
        </w:rPr>
        <w:t>:</w:t>
      </w:r>
      <w:r w:rsidRPr="00EB0495">
        <w:rPr>
          <w:rFonts w:ascii="Arial" w:hAnsi="Arial" w:cs="Arial"/>
          <w:sz w:val="24"/>
          <w:szCs w:val="24"/>
          <w:lang w:val="en-US"/>
        </w:rPr>
        <w:t xml:space="preserve"> </w:t>
      </w:r>
      <w:r w:rsidR="00AD10C8" w:rsidRPr="00EB0495">
        <w:rPr>
          <w:rFonts w:ascii="Arial" w:hAnsi="Arial" w:cs="Arial"/>
          <w:sz w:val="24"/>
          <w:szCs w:val="24"/>
          <w:lang w:val="en-US"/>
        </w:rPr>
        <w:t xml:space="preserve">87% and </w:t>
      </w:r>
      <w:r w:rsidRPr="00EB0495">
        <w:rPr>
          <w:rFonts w:ascii="Arial" w:hAnsi="Arial" w:cs="Arial"/>
          <w:sz w:val="24"/>
          <w:szCs w:val="24"/>
          <w:lang w:val="en-US"/>
        </w:rPr>
        <w:t>81</w:t>
      </w:r>
      <w:r w:rsidR="00DA4B35" w:rsidRPr="00EB0495">
        <w:rPr>
          <w:rFonts w:ascii="Arial" w:hAnsi="Arial" w:cs="Arial"/>
          <w:sz w:val="24"/>
          <w:szCs w:val="24"/>
          <w:lang w:val="en-US"/>
        </w:rPr>
        <w:t>%</w:t>
      </w:r>
      <w:r w:rsidRPr="00EB0495">
        <w:rPr>
          <w:rFonts w:ascii="Arial" w:hAnsi="Arial" w:cs="Arial"/>
          <w:sz w:val="24"/>
          <w:szCs w:val="24"/>
          <w:lang w:val="en-US"/>
        </w:rPr>
        <w:t xml:space="preserve"> respectively).</w:t>
      </w:r>
      <w:r w:rsidR="003D5DAF" w:rsidRPr="00EB0495">
        <w:rPr>
          <w:rFonts w:ascii="Arial" w:hAnsi="Arial" w:cs="Arial"/>
          <w:sz w:val="24"/>
          <w:szCs w:val="24"/>
          <w:vertAlign w:val="superscript"/>
          <w:lang w:val="en-US"/>
        </w:rPr>
        <w:t>9</w:t>
      </w:r>
      <w:r w:rsidRPr="00EB0495">
        <w:rPr>
          <w:rFonts w:ascii="Arial" w:hAnsi="Arial" w:cs="Arial"/>
          <w:sz w:val="24"/>
          <w:szCs w:val="24"/>
          <w:lang w:val="en-US"/>
        </w:rPr>
        <w:t xml:space="preserve"> </w:t>
      </w:r>
      <w:r w:rsidR="00F51BF8" w:rsidRPr="00EB0495">
        <w:rPr>
          <w:rFonts w:ascii="Arial" w:hAnsi="Arial" w:cs="Arial"/>
          <w:sz w:val="24"/>
          <w:szCs w:val="24"/>
          <w:lang w:val="en-US"/>
        </w:rPr>
        <w:t xml:space="preserve">However, the </w:t>
      </w:r>
      <w:r w:rsidRPr="00EB0495">
        <w:rPr>
          <w:rFonts w:ascii="Arial" w:hAnsi="Arial" w:cs="Arial"/>
          <w:sz w:val="24"/>
          <w:szCs w:val="24"/>
          <w:lang w:val="en-US"/>
        </w:rPr>
        <w:t xml:space="preserve">current analysis </w:t>
      </w:r>
      <w:r w:rsidR="00E12A0B" w:rsidRPr="00EB0495">
        <w:rPr>
          <w:rFonts w:ascii="Arial" w:hAnsi="Arial" w:cs="Arial"/>
          <w:sz w:val="24"/>
          <w:szCs w:val="24"/>
          <w:lang w:val="en-US"/>
        </w:rPr>
        <w:t xml:space="preserve">shows </w:t>
      </w:r>
      <w:r w:rsidR="00C24DFE" w:rsidRPr="00EB0495">
        <w:rPr>
          <w:rFonts w:ascii="Arial" w:hAnsi="Arial" w:cs="Arial"/>
          <w:sz w:val="24"/>
          <w:szCs w:val="24"/>
          <w:lang w:val="en-US"/>
        </w:rPr>
        <w:t>that</w:t>
      </w:r>
      <w:r w:rsidR="00F51BF8" w:rsidRPr="00EB0495">
        <w:rPr>
          <w:rFonts w:ascii="Arial" w:hAnsi="Arial" w:cs="Arial"/>
          <w:sz w:val="24"/>
          <w:szCs w:val="24"/>
          <w:lang w:val="en-US"/>
        </w:rPr>
        <w:t xml:space="preserve"> </w:t>
      </w:r>
      <w:r w:rsidR="00384A12" w:rsidRPr="00EB0495">
        <w:rPr>
          <w:rFonts w:ascii="Arial" w:hAnsi="Arial" w:cs="Arial"/>
          <w:sz w:val="24"/>
          <w:szCs w:val="24"/>
          <w:lang w:val="en-US"/>
        </w:rPr>
        <w:t>patients who progressed early (within 24 months of randomization)</w:t>
      </w:r>
      <w:r w:rsidR="00F51BF8" w:rsidRPr="00EB0495">
        <w:rPr>
          <w:rFonts w:ascii="Arial" w:hAnsi="Arial" w:cs="Arial"/>
          <w:sz w:val="24"/>
          <w:szCs w:val="24"/>
          <w:lang w:val="en-US"/>
        </w:rPr>
        <w:t xml:space="preserve"> were much more likely to receive </w:t>
      </w:r>
      <w:r w:rsidR="00422921" w:rsidRPr="00EB0495">
        <w:rPr>
          <w:rFonts w:ascii="Arial" w:hAnsi="Arial" w:cs="Arial"/>
          <w:sz w:val="24"/>
          <w:szCs w:val="24"/>
          <w:lang w:val="en-US"/>
        </w:rPr>
        <w:t>NALT</w:t>
      </w:r>
      <w:r w:rsidR="00DD02B3" w:rsidRPr="00EB0495">
        <w:rPr>
          <w:rFonts w:ascii="Arial" w:hAnsi="Arial" w:cs="Arial"/>
          <w:sz w:val="24"/>
          <w:szCs w:val="24"/>
          <w:lang w:val="en-US"/>
        </w:rPr>
        <w:t xml:space="preserve"> within 3 months </w:t>
      </w:r>
      <w:r w:rsidR="00234282" w:rsidRPr="00EB0495">
        <w:rPr>
          <w:rFonts w:ascii="Arial" w:hAnsi="Arial" w:cs="Arial"/>
          <w:sz w:val="24"/>
          <w:szCs w:val="24"/>
          <w:lang w:val="en-US"/>
        </w:rPr>
        <w:t xml:space="preserve">of progression </w:t>
      </w:r>
      <w:r w:rsidR="00422921" w:rsidRPr="00EB0495">
        <w:rPr>
          <w:rFonts w:ascii="Arial" w:hAnsi="Arial" w:cs="Arial"/>
          <w:sz w:val="24"/>
          <w:szCs w:val="24"/>
          <w:lang w:val="en-US"/>
        </w:rPr>
        <w:t xml:space="preserve">than </w:t>
      </w:r>
      <w:r w:rsidR="00F51BF8" w:rsidRPr="00EB0495">
        <w:rPr>
          <w:rFonts w:ascii="Arial" w:hAnsi="Arial" w:cs="Arial"/>
          <w:sz w:val="24"/>
          <w:szCs w:val="24"/>
          <w:lang w:val="en-US"/>
        </w:rPr>
        <w:t xml:space="preserve">patients </w:t>
      </w:r>
      <w:r w:rsidR="00384A12" w:rsidRPr="00EB0495">
        <w:rPr>
          <w:rFonts w:ascii="Arial" w:hAnsi="Arial" w:cs="Arial"/>
          <w:sz w:val="24"/>
          <w:szCs w:val="24"/>
          <w:lang w:val="en-US"/>
        </w:rPr>
        <w:t xml:space="preserve">who </w:t>
      </w:r>
      <w:r w:rsidR="00402661" w:rsidRPr="00EB0495">
        <w:rPr>
          <w:rFonts w:ascii="Arial" w:hAnsi="Arial" w:cs="Arial"/>
          <w:sz w:val="24"/>
          <w:szCs w:val="24"/>
          <w:lang w:val="en-US"/>
        </w:rPr>
        <w:t>had PD later</w:t>
      </w:r>
      <w:r w:rsidR="00F51BF8" w:rsidRPr="00EB0495">
        <w:rPr>
          <w:rFonts w:ascii="Arial" w:hAnsi="Arial" w:cs="Arial"/>
          <w:sz w:val="24"/>
          <w:szCs w:val="24"/>
          <w:lang w:val="en-US"/>
        </w:rPr>
        <w:t>, irrespective of treatment arm</w:t>
      </w:r>
      <w:r w:rsidR="00422921" w:rsidRPr="00EB0495">
        <w:rPr>
          <w:rFonts w:ascii="Arial" w:hAnsi="Arial" w:cs="Arial"/>
          <w:sz w:val="24"/>
          <w:szCs w:val="24"/>
          <w:lang w:val="en-US"/>
        </w:rPr>
        <w:t>.</w:t>
      </w:r>
    </w:p>
    <w:p w14:paraId="48129637" w14:textId="0E6AACAB" w:rsidR="00146087" w:rsidRPr="00EB0495" w:rsidRDefault="00960084" w:rsidP="00592FF5">
      <w:pPr>
        <w:keepNext/>
        <w:spacing w:after="240"/>
        <w:ind w:firstLine="720"/>
        <w:rPr>
          <w:rFonts w:ascii="Arial" w:hAnsi="Arial" w:cs="Arial"/>
          <w:sz w:val="24"/>
          <w:szCs w:val="24"/>
          <w:lang w:val="en-US"/>
        </w:rPr>
      </w:pPr>
      <w:r w:rsidRPr="00EB0495">
        <w:rPr>
          <w:rFonts w:ascii="Arial" w:hAnsi="Arial" w:cs="Arial"/>
          <w:sz w:val="24"/>
          <w:szCs w:val="24"/>
          <w:lang w:val="en-US"/>
        </w:rPr>
        <w:t xml:space="preserve">Transformation to a more aggressive lymphoma at the time of PD occurred in just under 20% of </w:t>
      </w:r>
      <w:r w:rsidR="00EF6C0A" w:rsidRPr="00EB0495">
        <w:rPr>
          <w:rFonts w:ascii="Arial" w:hAnsi="Arial" w:cs="Arial"/>
          <w:sz w:val="24"/>
          <w:szCs w:val="24"/>
          <w:lang w:val="en-US"/>
        </w:rPr>
        <w:t xml:space="preserve">those </w:t>
      </w:r>
      <w:r w:rsidRPr="00EB0495">
        <w:rPr>
          <w:rFonts w:ascii="Arial" w:hAnsi="Arial" w:cs="Arial"/>
          <w:sz w:val="24"/>
          <w:szCs w:val="24"/>
          <w:lang w:val="en-US"/>
        </w:rPr>
        <w:t xml:space="preserve">patients with POD24 events, with no </w:t>
      </w:r>
      <w:r w:rsidR="00AD10C8" w:rsidRPr="00EB0495">
        <w:rPr>
          <w:rFonts w:ascii="Arial" w:hAnsi="Arial" w:cs="Arial"/>
          <w:sz w:val="24"/>
          <w:szCs w:val="24"/>
          <w:lang w:val="en-US"/>
        </w:rPr>
        <w:t xml:space="preserve">discernible </w:t>
      </w:r>
      <w:r w:rsidRPr="00EB0495">
        <w:rPr>
          <w:rFonts w:ascii="Arial" w:hAnsi="Arial" w:cs="Arial"/>
          <w:sz w:val="24"/>
          <w:szCs w:val="24"/>
          <w:lang w:val="en-US"/>
        </w:rPr>
        <w:t xml:space="preserve">difference in </w:t>
      </w:r>
      <w:r w:rsidR="00EF6C0A" w:rsidRPr="00EB0495">
        <w:rPr>
          <w:rFonts w:ascii="Arial" w:hAnsi="Arial" w:cs="Arial"/>
          <w:sz w:val="24"/>
          <w:szCs w:val="24"/>
          <w:lang w:val="en-US"/>
        </w:rPr>
        <w:t>these proportions</w:t>
      </w:r>
      <w:r w:rsidRPr="00EB0495">
        <w:rPr>
          <w:rFonts w:ascii="Arial" w:hAnsi="Arial" w:cs="Arial"/>
          <w:sz w:val="24"/>
          <w:szCs w:val="24"/>
          <w:lang w:val="en-US"/>
        </w:rPr>
        <w:t xml:space="preserve"> by treatment arm. However, transformations </w:t>
      </w:r>
      <w:r w:rsidR="00B84346" w:rsidRPr="00EB0495">
        <w:rPr>
          <w:rFonts w:ascii="Arial" w:hAnsi="Arial" w:cs="Arial"/>
          <w:sz w:val="24"/>
          <w:szCs w:val="24"/>
          <w:lang w:val="en-US"/>
        </w:rPr>
        <w:t>appear to be much</w:t>
      </w:r>
      <w:r w:rsidRPr="00EB0495">
        <w:rPr>
          <w:rFonts w:ascii="Arial" w:hAnsi="Arial" w:cs="Arial"/>
          <w:sz w:val="24"/>
          <w:szCs w:val="24"/>
          <w:lang w:val="en-US"/>
        </w:rPr>
        <w:t xml:space="preserve"> less frequent in patients with later progression</w:t>
      </w:r>
      <w:r w:rsidR="00B84346" w:rsidRPr="00EB0495">
        <w:rPr>
          <w:rFonts w:ascii="Arial" w:hAnsi="Arial" w:cs="Arial"/>
          <w:sz w:val="24"/>
          <w:szCs w:val="24"/>
          <w:lang w:val="en-US"/>
        </w:rPr>
        <w:t>;</w:t>
      </w:r>
      <w:r w:rsidRPr="00EB0495">
        <w:rPr>
          <w:rFonts w:ascii="Arial" w:hAnsi="Arial" w:cs="Arial"/>
          <w:sz w:val="24"/>
          <w:szCs w:val="24"/>
          <w:lang w:val="en-US"/>
        </w:rPr>
        <w:t xml:space="preserve"> </w:t>
      </w:r>
      <w:r w:rsidR="00B84346" w:rsidRPr="00EB0495">
        <w:rPr>
          <w:rFonts w:ascii="Arial" w:hAnsi="Arial" w:cs="Arial"/>
          <w:sz w:val="24"/>
          <w:szCs w:val="24"/>
          <w:lang w:val="en-US"/>
        </w:rPr>
        <w:t>in the current data cut, only</w:t>
      </w:r>
      <w:r w:rsidRPr="00EB0495">
        <w:rPr>
          <w:rFonts w:ascii="Arial" w:hAnsi="Arial" w:cs="Arial"/>
          <w:sz w:val="24"/>
          <w:szCs w:val="24"/>
          <w:lang w:val="en-US"/>
        </w:rPr>
        <w:t xml:space="preserve"> </w:t>
      </w:r>
      <w:r w:rsidR="005F4A82" w:rsidRPr="00EB0495">
        <w:rPr>
          <w:rFonts w:ascii="Arial" w:hAnsi="Arial" w:cs="Arial"/>
          <w:sz w:val="24"/>
          <w:szCs w:val="24"/>
          <w:lang w:val="en-US"/>
        </w:rPr>
        <w:t>5.7</w:t>
      </w:r>
      <w:r w:rsidRPr="00EB0495">
        <w:rPr>
          <w:rFonts w:ascii="Arial" w:hAnsi="Arial" w:cs="Arial"/>
          <w:sz w:val="24"/>
          <w:szCs w:val="24"/>
          <w:lang w:val="en-US"/>
        </w:rPr>
        <w:t>%</w:t>
      </w:r>
      <w:r w:rsidR="00B84346" w:rsidRPr="00EB0495">
        <w:rPr>
          <w:rFonts w:ascii="Arial" w:hAnsi="Arial" w:cs="Arial"/>
          <w:sz w:val="24"/>
          <w:szCs w:val="24"/>
          <w:lang w:val="en-US"/>
        </w:rPr>
        <w:t xml:space="preserve"> of patients</w:t>
      </w:r>
      <w:r w:rsidRPr="00EB0495">
        <w:rPr>
          <w:rFonts w:ascii="Arial" w:hAnsi="Arial" w:cs="Arial"/>
          <w:sz w:val="24"/>
          <w:szCs w:val="24"/>
          <w:lang w:val="en-US"/>
        </w:rPr>
        <w:t xml:space="preserve"> in the noPOD24 group</w:t>
      </w:r>
      <w:r w:rsidR="00B84346" w:rsidRPr="00EB0495">
        <w:rPr>
          <w:rFonts w:ascii="Arial" w:hAnsi="Arial" w:cs="Arial"/>
          <w:sz w:val="24"/>
          <w:szCs w:val="24"/>
          <w:lang w:val="en-US"/>
        </w:rPr>
        <w:t xml:space="preserve"> experienced transformation</w:t>
      </w:r>
      <w:r w:rsidRPr="00EB0495">
        <w:rPr>
          <w:rFonts w:ascii="Arial" w:hAnsi="Arial" w:cs="Arial"/>
          <w:sz w:val="24"/>
          <w:szCs w:val="24"/>
          <w:lang w:val="en-US"/>
        </w:rPr>
        <w:t>.</w:t>
      </w:r>
    </w:p>
    <w:p w14:paraId="0C19A7CE" w14:textId="39CC305F" w:rsidR="001A43B9" w:rsidRPr="00EB0495" w:rsidRDefault="0042434D" w:rsidP="00592FF5">
      <w:pPr>
        <w:keepNext/>
        <w:spacing w:after="240"/>
        <w:ind w:firstLine="720"/>
        <w:rPr>
          <w:rFonts w:ascii="Arial" w:eastAsia="Calibri" w:hAnsi="Arial" w:cs="Arial"/>
          <w:bCs/>
          <w:sz w:val="24"/>
          <w:szCs w:val="24"/>
          <w:lang w:val="en-US"/>
        </w:rPr>
      </w:pPr>
      <w:r w:rsidRPr="00EB0495">
        <w:rPr>
          <w:rFonts w:ascii="Arial" w:eastAsia="Calibri" w:hAnsi="Arial" w:cs="Arial"/>
          <w:bCs/>
          <w:sz w:val="24"/>
          <w:szCs w:val="24"/>
          <w:lang w:val="en-US"/>
        </w:rPr>
        <w:t>The increase in mortality risk associated with POD24 in the current analysis (HR from stratified Cox regression analysis</w:t>
      </w:r>
      <w:r w:rsidR="00CF12CF" w:rsidRPr="00EB0495">
        <w:rPr>
          <w:rFonts w:ascii="Arial" w:eastAsia="Calibri" w:hAnsi="Arial" w:cs="Arial"/>
          <w:bCs/>
          <w:sz w:val="24"/>
          <w:szCs w:val="24"/>
          <w:lang w:val="en-US"/>
        </w:rPr>
        <w:t>,</w:t>
      </w:r>
      <w:r w:rsidRPr="00EB0495">
        <w:rPr>
          <w:rFonts w:ascii="Arial" w:eastAsia="Calibri" w:hAnsi="Arial" w:cs="Arial"/>
          <w:bCs/>
          <w:sz w:val="24"/>
          <w:szCs w:val="24"/>
          <w:lang w:val="en-US"/>
        </w:rPr>
        <w:t xml:space="preserve"> 25.5) was much larger </w:t>
      </w:r>
      <w:r w:rsidR="00004262" w:rsidRPr="00EB0495">
        <w:rPr>
          <w:rFonts w:ascii="Arial" w:eastAsia="Calibri" w:hAnsi="Arial" w:cs="Arial"/>
          <w:bCs/>
          <w:sz w:val="24"/>
          <w:szCs w:val="24"/>
          <w:lang w:val="en-US"/>
        </w:rPr>
        <w:t xml:space="preserve">than in a recent pooled analysis of POD24 in 5453 patients </w:t>
      </w:r>
      <w:r w:rsidR="001E161B" w:rsidRPr="00EB0495">
        <w:rPr>
          <w:rFonts w:ascii="Arial" w:eastAsia="Calibri" w:hAnsi="Arial" w:cs="Arial"/>
          <w:bCs/>
          <w:sz w:val="24"/>
          <w:szCs w:val="24"/>
          <w:lang w:val="en-US"/>
        </w:rPr>
        <w:t>from</w:t>
      </w:r>
      <w:r w:rsidR="00004262" w:rsidRPr="00EB0495">
        <w:rPr>
          <w:rFonts w:ascii="Arial" w:eastAsia="Calibri" w:hAnsi="Arial" w:cs="Arial"/>
          <w:bCs/>
          <w:sz w:val="24"/>
          <w:szCs w:val="24"/>
          <w:lang w:val="en-US"/>
        </w:rPr>
        <w:t xml:space="preserve"> 13 clinical trials (HR for OS, 5.24)</w:t>
      </w:r>
      <w:r w:rsidR="003D5DAF" w:rsidRPr="00EB0495">
        <w:rPr>
          <w:rFonts w:ascii="Arial" w:eastAsia="Calibri" w:hAnsi="Arial" w:cs="Arial"/>
          <w:bCs/>
          <w:sz w:val="24"/>
          <w:szCs w:val="24"/>
          <w:lang w:val="en-US"/>
        </w:rPr>
        <w:t>,</w:t>
      </w:r>
      <w:r w:rsidR="003D5DAF" w:rsidRPr="00EB0495">
        <w:rPr>
          <w:rFonts w:ascii="Arial" w:eastAsia="Calibri" w:hAnsi="Arial" w:cs="Arial"/>
          <w:bCs/>
          <w:sz w:val="24"/>
          <w:szCs w:val="24"/>
          <w:vertAlign w:val="superscript"/>
          <w:lang w:val="en-US"/>
        </w:rPr>
        <w:t>5</w:t>
      </w:r>
      <w:r w:rsidR="00004262" w:rsidRPr="00EB0495">
        <w:rPr>
          <w:rFonts w:ascii="Arial" w:eastAsia="Calibri" w:hAnsi="Arial" w:cs="Arial"/>
          <w:bCs/>
          <w:sz w:val="24"/>
          <w:szCs w:val="24"/>
          <w:lang w:val="en-US"/>
        </w:rPr>
        <w:t xml:space="preserve"> and </w:t>
      </w:r>
      <w:r w:rsidRPr="00EB0495">
        <w:rPr>
          <w:rFonts w:ascii="Arial" w:eastAsia="Calibri" w:hAnsi="Arial" w:cs="Arial"/>
          <w:bCs/>
          <w:sz w:val="24"/>
          <w:szCs w:val="24"/>
          <w:lang w:val="en-US"/>
        </w:rPr>
        <w:t>the</w:t>
      </w:r>
      <w:r w:rsidR="007A63C0" w:rsidRPr="00EB0495">
        <w:rPr>
          <w:rFonts w:ascii="Arial" w:eastAsia="Calibri" w:hAnsi="Arial" w:cs="Arial"/>
          <w:bCs/>
          <w:sz w:val="24"/>
          <w:szCs w:val="24"/>
          <w:lang w:val="en-US"/>
        </w:rPr>
        <w:t xml:space="preserve"> National LymphoCare Study</w:t>
      </w:r>
      <w:r w:rsidRPr="00EB0495">
        <w:rPr>
          <w:rFonts w:ascii="Arial" w:eastAsia="Calibri" w:hAnsi="Arial" w:cs="Arial"/>
          <w:bCs/>
          <w:sz w:val="24"/>
          <w:szCs w:val="24"/>
          <w:lang w:val="en-US"/>
        </w:rPr>
        <w:t xml:space="preserve"> </w:t>
      </w:r>
      <w:r w:rsidR="007A63C0" w:rsidRPr="00EB0495">
        <w:rPr>
          <w:rFonts w:ascii="Arial" w:eastAsia="Calibri" w:hAnsi="Arial" w:cs="Arial"/>
          <w:bCs/>
          <w:sz w:val="24"/>
          <w:szCs w:val="24"/>
          <w:lang w:val="en-US"/>
        </w:rPr>
        <w:t>(</w:t>
      </w:r>
      <w:r w:rsidRPr="00EB0495">
        <w:rPr>
          <w:rFonts w:ascii="Arial" w:eastAsia="Calibri" w:hAnsi="Arial" w:cs="Arial"/>
          <w:bCs/>
          <w:sz w:val="24"/>
          <w:szCs w:val="24"/>
          <w:lang w:val="en-US"/>
        </w:rPr>
        <w:t>NLCS</w:t>
      </w:r>
      <w:r w:rsidR="007A63C0" w:rsidRPr="00EB0495">
        <w:rPr>
          <w:rFonts w:ascii="Arial" w:eastAsia="Calibri" w:hAnsi="Arial" w:cs="Arial"/>
          <w:bCs/>
          <w:sz w:val="24"/>
          <w:szCs w:val="24"/>
          <w:lang w:val="en-US"/>
        </w:rPr>
        <w:t>)</w:t>
      </w:r>
      <w:r w:rsidRPr="00EB0495">
        <w:rPr>
          <w:rFonts w:ascii="Arial" w:eastAsia="Calibri" w:hAnsi="Arial" w:cs="Arial"/>
          <w:bCs/>
          <w:sz w:val="24"/>
          <w:szCs w:val="24"/>
          <w:lang w:val="en-US"/>
        </w:rPr>
        <w:t xml:space="preserve"> analysis by Casulo </w:t>
      </w:r>
      <w:r w:rsidRPr="00EB0495">
        <w:rPr>
          <w:rFonts w:ascii="Arial" w:eastAsia="Calibri" w:hAnsi="Arial" w:cs="Arial"/>
          <w:bCs/>
          <w:i/>
          <w:sz w:val="24"/>
          <w:szCs w:val="24"/>
          <w:lang w:val="en-US"/>
        </w:rPr>
        <w:t>et al</w:t>
      </w:r>
      <w:r w:rsidR="003D5DAF" w:rsidRPr="00EB0495">
        <w:rPr>
          <w:rFonts w:ascii="Arial" w:eastAsia="Calibri" w:hAnsi="Arial" w:cs="Arial"/>
          <w:bCs/>
          <w:sz w:val="24"/>
          <w:szCs w:val="24"/>
          <w:lang w:val="en-US"/>
        </w:rPr>
        <w:t>,</w:t>
      </w:r>
      <w:r w:rsidR="003D5DAF" w:rsidRPr="00EB0495">
        <w:rPr>
          <w:rFonts w:ascii="Arial" w:eastAsia="Calibri" w:hAnsi="Arial" w:cs="Arial"/>
          <w:bCs/>
          <w:sz w:val="24"/>
          <w:szCs w:val="24"/>
          <w:vertAlign w:val="superscript"/>
          <w:lang w:val="en-US"/>
        </w:rPr>
        <w:t>4</w:t>
      </w:r>
      <w:r w:rsidR="00004262" w:rsidRPr="00EB0495">
        <w:rPr>
          <w:rFonts w:ascii="Arial" w:eastAsia="Calibri" w:hAnsi="Arial" w:cs="Arial"/>
          <w:bCs/>
          <w:sz w:val="24"/>
          <w:szCs w:val="24"/>
          <w:lang w:val="en-US"/>
        </w:rPr>
        <w:t xml:space="preserve"> </w:t>
      </w:r>
      <w:r w:rsidR="00D33B84" w:rsidRPr="00EB0495">
        <w:rPr>
          <w:rFonts w:ascii="Arial" w:eastAsia="Calibri" w:hAnsi="Arial" w:cs="Arial"/>
          <w:bCs/>
          <w:sz w:val="24"/>
          <w:szCs w:val="24"/>
          <w:lang w:val="en-US"/>
        </w:rPr>
        <w:t xml:space="preserve">which reported </w:t>
      </w:r>
      <w:r w:rsidR="003123E2" w:rsidRPr="00EB0495">
        <w:rPr>
          <w:rFonts w:ascii="Arial" w:eastAsia="Calibri" w:hAnsi="Arial" w:cs="Arial"/>
          <w:bCs/>
          <w:sz w:val="24"/>
          <w:szCs w:val="24"/>
          <w:lang w:val="en-US"/>
        </w:rPr>
        <w:t>a</w:t>
      </w:r>
      <w:r w:rsidR="007C4175" w:rsidRPr="00EB0495">
        <w:rPr>
          <w:rFonts w:ascii="Arial" w:eastAsia="Calibri" w:hAnsi="Arial" w:cs="Arial"/>
          <w:bCs/>
          <w:sz w:val="24"/>
          <w:szCs w:val="24"/>
          <w:lang w:val="en-US"/>
        </w:rPr>
        <w:t>n</w:t>
      </w:r>
      <w:r w:rsidR="003123E2" w:rsidRPr="00EB0495">
        <w:rPr>
          <w:rFonts w:ascii="Arial" w:eastAsia="Calibri" w:hAnsi="Arial" w:cs="Arial"/>
          <w:bCs/>
          <w:sz w:val="24"/>
          <w:szCs w:val="24"/>
          <w:lang w:val="en-US"/>
        </w:rPr>
        <w:t xml:space="preserve"> </w:t>
      </w:r>
      <w:r w:rsidR="00D33B84" w:rsidRPr="00EB0495">
        <w:rPr>
          <w:rFonts w:ascii="Arial" w:eastAsia="Calibri" w:hAnsi="Arial" w:cs="Arial"/>
          <w:bCs/>
          <w:sz w:val="24"/>
          <w:szCs w:val="24"/>
          <w:lang w:val="en-US"/>
        </w:rPr>
        <w:t>HR</w:t>
      </w:r>
      <w:r w:rsidR="00104A4E" w:rsidRPr="00EB0495">
        <w:rPr>
          <w:rFonts w:ascii="Arial" w:eastAsia="Calibri" w:hAnsi="Arial" w:cs="Arial"/>
          <w:bCs/>
          <w:sz w:val="24"/>
          <w:szCs w:val="24"/>
          <w:lang w:val="en-US"/>
        </w:rPr>
        <w:t xml:space="preserve"> </w:t>
      </w:r>
      <w:r w:rsidR="004B23FD" w:rsidRPr="00EB0495">
        <w:rPr>
          <w:rFonts w:ascii="Arial" w:eastAsia="Calibri" w:hAnsi="Arial" w:cs="Arial"/>
          <w:bCs/>
          <w:sz w:val="24"/>
          <w:szCs w:val="24"/>
          <w:lang w:val="en-US"/>
        </w:rPr>
        <w:t xml:space="preserve">of </w:t>
      </w:r>
      <w:r w:rsidR="00104A4E" w:rsidRPr="00EB0495">
        <w:rPr>
          <w:rFonts w:ascii="Arial" w:eastAsia="Calibri" w:hAnsi="Arial" w:cs="Arial"/>
          <w:bCs/>
          <w:sz w:val="24"/>
          <w:szCs w:val="24"/>
          <w:lang w:val="en-US"/>
        </w:rPr>
        <w:t xml:space="preserve">8.1 in an exploratory analysis </w:t>
      </w:r>
      <w:r w:rsidR="00D33B84" w:rsidRPr="00EB0495">
        <w:rPr>
          <w:rFonts w:ascii="Arial" w:eastAsia="Calibri" w:hAnsi="Arial" w:cs="Arial"/>
          <w:bCs/>
          <w:sz w:val="24"/>
          <w:szCs w:val="24"/>
          <w:lang w:val="en-US"/>
        </w:rPr>
        <w:t>that</w:t>
      </w:r>
      <w:r w:rsidR="00104A4E" w:rsidRPr="00EB0495">
        <w:rPr>
          <w:rFonts w:ascii="Arial" w:eastAsia="Calibri" w:hAnsi="Arial" w:cs="Arial"/>
          <w:bCs/>
          <w:sz w:val="24"/>
          <w:szCs w:val="24"/>
          <w:lang w:val="en-US"/>
        </w:rPr>
        <w:t xml:space="preserve"> used the same method</w:t>
      </w:r>
      <w:r w:rsidR="007C4175" w:rsidRPr="00EB0495">
        <w:rPr>
          <w:rFonts w:ascii="Arial" w:eastAsia="Calibri" w:hAnsi="Arial" w:cs="Arial"/>
          <w:bCs/>
          <w:sz w:val="24"/>
          <w:szCs w:val="24"/>
          <w:lang w:val="en-US"/>
        </w:rPr>
        <w:t xml:space="preserve"> as in the current analysis</w:t>
      </w:r>
      <w:r w:rsidR="007245AB" w:rsidRPr="00EB0495">
        <w:rPr>
          <w:rFonts w:ascii="Arial" w:eastAsia="Calibri" w:hAnsi="Arial" w:cs="Arial"/>
          <w:bCs/>
          <w:sz w:val="24"/>
          <w:szCs w:val="24"/>
          <w:lang w:val="en-US"/>
        </w:rPr>
        <w:t>, i</w:t>
      </w:r>
      <w:r w:rsidR="00CF12CF" w:rsidRPr="00EB0495">
        <w:rPr>
          <w:rFonts w:ascii="Arial" w:eastAsia="Calibri" w:hAnsi="Arial" w:cs="Arial"/>
          <w:bCs/>
          <w:sz w:val="24"/>
          <w:szCs w:val="24"/>
          <w:lang w:val="en-US"/>
        </w:rPr>
        <w:t>.</w:t>
      </w:r>
      <w:r w:rsidR="00470F32" w:rsidRPr="00EB0495">
        <w:rPr>
          <w:rFonts w:ascii="Arial" w:eastAsia="Calibri" w:hAnsi="Arial" w:cs="Arial"/>
          <w:bCs/>
          <w:sz w:val="24"/>
          <w:szCs w:val="24"/>
          <w:lang w:val="en-US"/>
        </w:rPr>
        <w:t>e</w:t>
      </w:r>
      <w:r w:rsidR="00CF12CF" w:rsidRPr="00EB0495">
        <w:rPr>
          <w:rFonts w:ascii="Arial" w:eastAsia="Calibri" w:hAnsi="Arial" w:cs="Arial"/>
          <w:bCs/>
          <w:sz w:val="24"/>
          <w:szCs w:val="24"/>
          <w:lang w:val="en-US"/>
        </w:rPr>
        <w:t>.</w:t>
      </w:r>
      <w:r w:rsidR="007245AB" w:rsidRPr="00EB0495">
        <w:rPr>
          <w:rFonts w:ascii="Arial" w:eastAsia="Calibri" w:hAnsi="Arial" w:cs="Arial"/>
          <w:bCs/>
          <w:sz w:val="24"/>
          <w:szCs w:val="24"/>
          <w:lang w:val="en-US"/>
        </w:rPr>
        <w:t>,</w:t>
      </w:r>
      <w:r w:rsidR="00470F32" w:rsidRPr="00EB0495">
        <w:rPr>
          <w:rFonts w:ascii="Arial" w:eastAsia="Calibri" w:hAnsi="Arial" w:cs="Arial"/>
          <w:bCs/>
          <w:sz w:val="24"/>
          <w:szCs w:val="24"/>
          <w:lang w:val="en-US"/>
        </w:rPr>
        <w:t xml:space="preserve"> POD</w:t>
      </w:r>
      <w:r w:rsidR="002912A3" w:rsidRPr="00EB0495">
        <w:rPr>
          <w:rFonts w:ascii="Arial" w:eastAsia="Calibri" w:hAnsi="Arial" w:cs="Arial"/>
          <w:bCs/>
          <w:sz w:val="24"/>
          <w:szCs w:val="24"/>
          <w:lang w:val="en-US"/>
        </w:rPr>
        <w:t>24</w:t>
      </w:r>
      <w:r w:rsidR="00470F32" w:rsidRPr="00EB0495">
        <w:rPr>
          <w:rFonts w:ascii="Arial" w:eastAsia="Calibri" w:hAnsi="Arial" w:cs="Arial"/>
          <w:bCs/>
          <w:sz w:val="24"/>
          <w:szCs w:val="24"/>
          <w:lang w:val="en-US"/>
        </w:rPr>
        <w:t xml:space="preserve"> as a time-varying covariate and adjus</w:t>
      </w:r>
      <w:r w:rsidR="004803BB" w:rsidRPr="00EB0495">
        <w:rPr>
          <w:rFonts w:ascii="Arial" w:eastAsia="Calibri" w:hAnsi="Arial" w:cs="Arial"/>
          <w:bCs/>
          <w:sz w:val="24"/>
          <w:szCs w:val="24"/>
          <w:lang w:val="en-US"/>
        </w:rPr>
        <w:t>t</w:t>
      </w:r>
      <w:r w:rsidR="00470F32" w:rsidRPr="00EB0495">
        <w:rPr>
          <w:rFonts w:ascii="Arial" w:eastAsia="Calibri" w:hAnsi="Arial" w:cs="Arial"/>
          <w:bCs/>
          <w:sz w:val="24"/>
          <w:szCs w:val="24"/>
          <w:lang w:val="en-US"/>
        </w:rPr>
        <w:t>ing for FLIPI</w:t>
      </w:r>
      <w:r w:rsidRPr="00EB0495">
        <w:rPr>
          <w:rFonts w:ascii="Arial" w:eastAsia="Calibri" w:hAnsi="Arial" w:cs="Arial"/>
          <w:bCs/>
          <w:sz w:val="24"/>
          <w:szCs w:val="24"/>
          <w:lang w:val="en-US"/>
        </w:rPr>
        <w:t xml:space="preserve">. </w:t>
      </w:r>
      <w:r w:rsidR="002C2153" w:rsidRPr="00EB0495">
        <w:rPr>
          <w:rFonts w:ascii="Arial" w:eastAsia="Calibri" w:hAnsi="Arial" w:cs="Arial"/>
          <w:bCs/>
          <w:sz w:val="24"/>
          <w:szCs w:val="24"/>
          <w:lang w:val="en-US"/>
        </w:rPr>
        <w:t xml:space="preserve">Importantly, the follow-up duration </w:t>
      </w:r>
      <w:r w:rsidR="00204C34" w:rsidRPr="00EB0495">
        <w:rPr>
          <w:rFonts w:ascii="Arial" w:eastAsia="Calibri" w:hAnsi="Arial" w:cs="Arial"/>
          <w:bCs/>
          <w:sz w:val="24"/>
          <w:szCs w:val="24"/>
          <w:lang w:val="en-US"/>
        </w:rPr>
        <w:t xml:space="preserve">in our analysis </w:t>
      </w:r>
      <w:r w:rsidR="002C2153" w:rsidRPr="00EB0495">
        <w:rPr>
          <w:rFonts w:ascii="Arial" w:eastAsia="Calibri" w:hAnsi="Arial" w:cs="Arial"/>
          <w:bCs/>
          <w:sz w:val="24"/>
          <w:szCs w:val="24"/>
          <w:lang w:val="en-US"/>
        </w:rPr>
        <w:t xml:space="preserve">was shorter than in </w:t>
      </w:r>
      <w:r w:rsidR="00FE50EB" w:rsidRPr="00EB0495">
        <w:rPr>
          <w:rFonts w:ascii="Arial" w:eastAsia="Calibri" w:hAnsi="Arial" w:cs="Arial"/>
          <w:bCs/>
          <w:sz w:val="24"/>
          <w:szCs w:val="24"/>
          <w:lang w:val="en-US"/>
        </w:rPr>
        <w:t xml:space="preserve">the </w:t>
      </w:r>
      <w:r w:rsidR="002C2153" w:rsidRPr="00EB0495">
        <w:rPr>
          <w:rFonts w:ascii="Arial" w:eastAsia="Calibri" w:hAnsi="Arial" w:cs="Arial"/>
          <w:bCs/>
          <w:sz w:val="24"/>
          <w:szCs w:val="24"/>
          <w:lang w:val="en-US"/>
        </w:rPr>
        <w:t xml:space="preserve">NLCS </w:t>
      </w:r>
      <w:r w:rsidR="00204C34" w:rsidRPr="00EB0495">
        <w:rPr>
          <w:rFonts w:ascii="Arial" w:eastAsia="Calibri" w:hAnsi="Arial" w:cs="Arial"/>
          <w:bCs/>
          <w:sz w:val="24"/>
          <w:szCs w:val="24"/>
          <w:lang w:val="en-US"/>
        </w:rPr>
        <w:t>(median</w:t>
      </w:r>
      <w:r w:rsidR="002C2153" w:rsidRPr="00EB0495">
        <w:rPr>
          <w:rFonts w:ascii="Arial" w:eastAsia="Calibri" w:hAnsi="Arial" w:cs="Arial"/>
          <w:bCs/>
          <w:sz w:val="24"/>
          <w:szCs w:val="24"/>
          <w:lang w:val="en-US"/>
        </w:rPr>
        <w:t>s,</w:t>
      </w:r>
      <w:r w:rsidRPr="00EB0495">
        <w:rPr>
          <w:rFonts w:ascii="Arial" w:eastAsia="Calibri" w:hAnsi="Arial" w:cs="Arial"/>
          <w:bCs/>
          <w:sz w:val="24"/>
          <w:szCs w:val="24"/>
          <w:lang w:val="en-US"/>
        </w:rPr>
        <w:t xml:space="preserve"> 3.4 </w:t>
      </w:r>
      <w:r w:rsidR="002C2153" w:rsidRPr="00EB0495">
        <w:rPr>
          <w:rFonts w:ascii="Arial" w:eastAsia="Calibri" w:hAnsi="Arial" w:cs="Arial"/>
          <w:bCs/>
          <w:sz w:val="24"/>
          <w:szCs w:val="24"/>
          <w:lang w:val="en-US"/>
        </w:rPr>
        <w:t xml:space="preserve">and </w:t>
      </w:r>
      <w:r w:rsidRPr="00EB0495">
        <w:rPr>
          <w:rFonts w:ascii="Arial" w:eastAsia="Calibri" w:hAnsi="Arial" w:cs="Arial"/>
          <w:bCs/>
          <w:sz w:val="24"/>
          <w:szCs w:val="24"/>
          <w:lang w:val="en-US"/>
        </w:rPr>
        <w:t>7 years</w:t>
      </w:r>
      <w:r w:rsidR="002C2153" w:rsidRPr="00EB0495">
        <w:rPr>
          <w:rFonts w:ascii="Arial" w:eastAsia="Calibri" w:hAnsi="Arial" w:cs="Arial"/>
          <w:bCs/>
          <w:sz w:val="24"/>
          <w:szCs w:val="24"/>
          <w:lang w:val="en-US"/>
        </w:rPr>
        <w:t>, respectively</w:t>
      </w:r>
      <w:r w:rsidRPr="00EB0495">
        <w:rPr>
          <w:rFonts w:ascii="Arial" w:eastAsia="Calibri" w:hAnsi="Arial" w:cs="Arial"/>
          <w:bCs/>
          <w:sz w:val="24"/>
          <w:szCs w:val="24"/>
          <w:lang w:val="en-US"/>
        </w:rPr>
        <w:t xml:space="preserve">); as </w:t>
      </w:r>
      <w:r w:rsidR="00204C34" w:rsidRPr="00EB0495">
        <w:rPr>
          <w:rFonts w:ascii="Arial" w:eastAsia="Calibri" w:hAnsi="Arial" w:cs="Arial"/>
          <w:bCs/>
          <w:sz w:val="24"/>
          <w:szCs w:val="24"/>
          <w:lang w:val="en-US"/>
        </w:rPr>
        <w:t>the follow-up duration in GALLIUM</w:t>
      </w:r>
      <w:r w:rsidRPr="00EB0495">
        <w:rPr>
          <w:rFonts w:ascii="Arial" w:eastAsia="Calibri" w:hAnsi="Arial" w:cs="Arial"/>
          <w:bCs/>
          <w:sz w:val="24"/>
          <w:szCs w:val="24"/>
          <w:lang w:val="en-US"/>
        </w:rPr>
        <w:t xml:space="preserve"> </w:t>
      </w:r>
      <w:r w:rsidRPr="00EB0495">
        <w:rPr>
          <w:rFonts w:ascii="Arial" w:eastAsia="Calibri" w:hAnsi="Arial" w:cs="Arial"/>
          <w:bCs/>
          <w:sz w:val="24"/>
          <w:szCs w:val="24"/>
          <w:lang w:val="en-US"/>
        </w:rPr>
        <w:lastRenderedPageBreak/>
        <w:t xml:space="preserve">increases, </w:t>
      </w:r>
      <w:r w:rsidR="00470F32" w:rsidRPr="00EB0495">
        <w:rPr>
          <w:rFonts w:ascii="Arial" w:eastAsia="Calibri" w:hAnsi="Arial" w:cs="Arial"/>
          <w:bCs/>
          <w:sz w:val="24"/>
          <w:szCs w:val="24"/>
          <w:lang w:val="en-US"/>
        </w:rPr>
        <w:t xml:space="preserve">the </w:t>
      </w:r>
      <w:r w:rsidRPr="00EB0495">
        <w:rPr>
          <w:rFonts w:ascii="Arial" w:eastAsia="Calibri" w:hAnsi="Arial" w:cs="Arial"/>
          <w:bCs/>
          <w:sz w:val="24"/>
          <w:szCs w:val="24"/>
          <w:lang w:val="en-US"/>
        </w:rPr>
        <w:t>HR value is likely to fall</w:t>
      </w:r>
      <w:r w:rsidR="00470F32" w:rsidRPr="00EB0495">
        <w:rPr>
          <w:rFonts w:ascii="Arial" w:eastAsia="Calibri" w:hAnsi="Arial" w:cs="Arial"/>
          <w:bCs/>
          <w:sz w:val="24"/>
          <w:szCs w:val="24"/>
          <w:lang w:val="en-US"/>
        </w:rPr>
        <w:t>,</w:t>
      </w:r>
      <w:r w:rsidR="00CB4BBF" w:rsidRPr="00EB0495">
        <w:rPr>
          <w:rFonts w:ascii="Arial" w:eastAsia="Calibri" w:hAnsi="Arial" w:cs="Arial"/>
          <w:bCs/>
          <w:sz w:val="24"/>
          <w:szCs w:val="24"/>
          <w:lang w:val="en-US"/>
        </w:rPr>
        <w:t xml:space="preserve"> as </w:t>
      </w:r>
      <w:r w:rsidR="00470F32" w:rsidRPr="00EB0495">
        <w:rPr>
          <w:rFonts w:ascii="Arial" w:eastAsia="Calibri" w:hAnsi="Arial" w:cs="Arial"/>
          <w:bCs/>
          <w:sz w:val="24"/>
          <w:szCs w:val="24"/>
          <w:lang w:val="en-US"/>
        </w:rPr>
        <w:t>we showed that the risk of death is higher for patients with earlier progression</w:t>
      </w:r>
      <w:r w:rsidRPr="00EB0495">
        <w:rPr>
          <w:rFonts w:ascii="Arial" w:eastAsia="Calibri" w:hAnsi="Arial" w:cs="Arial"/>
          <w:bCs/>
          <w:sz w:val="24"/>
          <w:szCs w:val="24"/>
          <w:lang w:val="en-US"/>
        </w:rPr>
        <w:t xml:space="preserve">. </w:t>
      </w:r>
      <w:r w:rsidR="008F23A2" w:rsidRPr="00EB0495">
        <w:rPr>
          <w:rFonts w:ascii="Arial" w:eastAsia="Calibri" w:hAnsi="Arial" w:cs="Arial"/>
          <w:bCs/>
          <w:sz w:val="24"/>
          <w:szCs w:val="24"/>
          <w:lang w:val="en-US"/>
        </w:rPr>
        <w:t>However</w:t>
      </w:r>
      <w:r w:rsidR="00470F32" w:rsidRPr="00EB0495">
        <w:rPr>
          <w:rFonts w:ascii="Arial" w:eastAsia="Calibri" w:hAnsi="Arial" w:cs="Arial"/>
          <w:bCs/>
          <w:sz w:val="24"/>
          <w:szCs w:val="24"/>
          <w:lang w:val="en-US"/>
        </w:rPr>
        <w:t xml:space="preserve">, </w:t>
      </w:r>
      <w:r w:rsidR="001A70AB" w:rsidRPr="00EB0495">
        <w:rPr>
          <w:rFonts w:ascii="Arial" w:eastAsia="Calibri" w:hAnsi="Arial" w:cs="Arial"/>
          <w:bCs/>
          <w:sz w:val="24"/>
          <w:szCs w:val="24"/>
          <w:lang w:val="en-US"/>
        </w:rPr>
        <w:t xml:space="preserve">survival </w:t>
      </w:r>
      <w:r w:rsidR="00470F32" w:rsidRPr="00EB0495">
        <w:rPr>
          <w:rFonts w:ascii="Arial" w:eastAsia="Calibri" w:hAnsi="Arial" w:cs="Arial"/>
          <w:bCs/>
          <w:sz w:val="24"/>
          <w:szCs w:val="24"/>
          <w:lang w:val="en-US"/>
        </w:rPr>
        <w:t xml:space="preserve">data for </w:t>
      </w:r>
      <w:r w:rsidR="008F23A2" w:rsidRPr="00EB0495">
        <w:rPr>
          <w:rFonts w:ascii="Arial" w:eastAsia="Calibri" w:hAnsi="Arial" w:cs="Arial"/>
          <w:bCs/>
          <w:sz w:val="24"/>
          <w:szCs w:val="24"/>
          <w:lang w:val="en-US"/>
        </w:rPr>
        <w:t xml:space="preserve">the first 2 years of follow-up </w:t>
      </w:r>
      <w:r w:rsidR="00470F32" w:rsidRPr="00EB0495">
        <w:rPr>
          <w:rFonts w:ascii="Arial" w:eastAsia="Calibri" w:hAnsi="Arial" w:cs="Arial"/>
          <w:bCs/>
          <w:sz w:val="24"/>
          <w:szCs w:val="24"/>
          <w:lang w:val="en-US"/>
        </w:rPr>
        <w:t xml:space="preserve">in our study </w:t>
      </w:r>
      <w:r w:rsidR="00E871FD" w:rsidRPr="00EB0495">
        <w:rPr>
          <w:rFonts w:ascii="Arial" w:eastAsia="Calibri" w:hAnsi="Arial" w:cs="Arial"/>
          <w:bCs/>
          <w:sz w:val="24"/>
          <w:szCs w:val="24"/>
          <w:lang w:val="en-US"/>
        </w:rPr>
        <w:t>look</w:t>
      </w:r>
      <w:r w:rsidR="008F23A2" w:rsidRPr="00EB0495">
        <w:rPr>
          <w:rFonts w:ascii="Arial" w:eastAsia="Calibri" w:hAnsi="Arial" w:cs="Arial"/>
          <w:bCs/>
          <w:sz w:val="24"/>
          <w:szCs w:val="24"/>
          <w:lang w:val="en-US"/>
        </w:rPr>
        <w:t xml:space="preserve"> </w:t>
      </w:r>
      <w:r w:rsidR="004B23FD" w:rsidRPr="00EB0495">
        <w:rPr>
          <w:rFonts w:ascii="Arial" w:eastAsia="Calibri" w:hAnsi="Arial" w:cs="Arial"/>
          <w:bCs/>
          <w:sz w:val="24"/>
          <w:szCs w:val="24"/>
          <w:lang w:val="en-US"/>
        </w:rPr>
        <w:t>remarkably</w:t>
      </w:r>
      <w:r w:rsidR="008F23A2" w:rsidRPr="00EB0495">
        <w:rPr>
          <w:rFonts w:ascii="Arial" w:eastAsia="Calibri" w:hAnsi="Arial" w:cs="Arial"/>
          <w:bCs/>
          <w:sz w:val="24"/>
          <w:szCs w:val="24"/>
          <w:lang w:val="en-US"/>
        </w:rPr>
        <w:t xml:space="preserve"> similar</w:t>
      </w:r>
      <w:r w:rsidR="00470F32" w:rsidRPr="00EB0495">
        <w:rPr>
          <w:rFonts w:ascii="Arial" w:eastAsia="Calibri" w:hAnsi="Arial" w:cs="Arial"/>
          <w:bCs/>
          <w:sz w:val="24"/>
          <w:szCs w:val="24"/>
          <w:lang w:val="en-US"/>
        </w:rPr>
        <w:t xml:space="preserve"> to the NLCS analysis</w:t>
      </w:r>
      <w:r w:rsidR="008F23A2" w:rsidRPr="00EB0495">
        <w:rPr>
          <w:rFonts w:ascii="Arial" w:eastAsia="Calibri" w:hAnsi="Arial" w:cs="Arial"/>
          <w:bCs/>
          <w:sz w:val="24"/>
          <w:szCs w:val="24"/>
          <w:lang w:val="en-US"/>
        </w:rPr>
        <w:t xml:space="preserve">. </w:t>
      </w:r>
      <w:r w:rsidR="008E47B1" w:rsidRPr="00EB0495">
        <w:rPr>
          <w:rFonts w:ascii="Arial" w:eastAsia="Calibri" w:hAnsi="Arial" w:cs="Arial"/>
          <w:bCs/>
          <w:sz w:val="24"/>
          <w:szCs w:val="24"/>
          <w:lang w:val="en-US"/>
        </w:rPr>
        <w:t>I</w:t>
      </w:r>
      <w:r w:rsidR="00485E51" w:rsidRPr="00EB0495">
        <w:rPr>
          <w:rFonts w:ascii="Arial" w:eastAsia="Calibri" w:hAnsi="Arial" w:cs="Arial"/>
          <w:bCs/>
          <w:sz w:val="24"/>
          <w:szCs w:val="24"/>
          <w:lang w:val="en-US"/>
        </w:rPr>
        <w:t>n GALLIUM, the proportion of POD24 patients surviving at 2 years af</w:t>
      </w:r>
      <w:r w:rsidR="007245AB" w:rsidRPr="00EB0495">
        <w:rPr>
          <w:rFonts w:ascii="Arial" w:eastAsia="Calibri" w:hAnsi="Arial" w:cs="Arial"/>
          <w:bCs/>
          <w:sz w:val="24"/>
          <w:szCs w:val="24"/>
          <w:lang w:val="en-US"/>
        </w:rPr>
        <w:t>ter progression was 66% (95% CI:</w:t>
      </w:r>
      <w:r w:rsidR="00485E51" w:rsidRPr="00EB0495">
        <w:rPr>
          <w:rFonts w:ascii="Arial" w:eastAsia="Calibri" w:hAnsi="Arial" w:cs="Arial"/>
          <w:bCs/>
          <w:sz w:val="24"/>
          <w:szCs w:val="24"/>
          <w:lang w:val="en-US"/>
        </w:rPr>
        <w:t xml:space="preserve"> 58.3</w:t>
      </w:r>
      <w:r w:rsidR="00CF12CF" w:rsidRPr="00EB0495">
        <w:rPr>
          <w:rFonts w:ascii="Arial" w:eastAsia="Calibri" w:hAnsi="Arial" w:cs="Arial"/>
          <w:bCs/>
          <w:sz w:val="24"/>
          <w:szCs w:val="24"/>
          <w:lang w:val="en-US"/>
        </w:rPr>
        <w:t>-</w:t>
      </w:r>
      <w:r w:rsidR="00485E51" w:rsidRPr="00EB0495">
        <w:rPr>
          <w:rFonts w:ascii="Arial" w:eastAsia="Calibri" w:hAnsi="Arial" w:cs="Arial"/>
          <w:bCs/>
          <w:sz w:val="24"/>
          <w:szCs w:val="24"/>
          <w:lang w:val="en-US"/>
        </w:rPr>
        <w:t>73.9</w:t>
      </w:r>
      <w:r w:rsidR="00DA24D3" w:rsidRPr="00EB0495">
        <w:rPr>
          <w:rFonts w:ascii="Arial" w:eastAsia="Calibri" w:hAnsi="Arial" w:cs="Arial"/>
          <w:bCs/>
          <w:sz w:val="24"/>
          <w:szCs w:val="24"/>
          <w:lang w:val="en-US"/>
        </w:rPr>
        <w:t>%</w:t>
      </w:r>
      <w:r w:rsidR="00485E51" w:rsidRPr="00EB0495">
        <w:rPr>
          <w:rFonts w:ascii="Arial" w:eastAsia="Calibri" w:hAnsi="Arial" w:cs="Arial"/>
          <w:bCs/>
          <w:sz w:val="24"/>
          <w:szCs w:val="24"/>
          <w:lang w:val="en-US"/>
        </w:rPr>
        <w:t xml:space="preserve">) whereas for the noPOD24 group, </w:t>
      </w:r>
      <w:r w:rsidR="007A71A3" w:rsidRPr="00EB0495">
        <w:rPr>
          <w:rFonts w:ascii="Arial" w:eastAsia="Calibri" w:hAnsi="Arial" w:cs="Arial"/>
          <w:bCs/>
          <w:sz w:val="24"/>
          <w:szCs w:val="24"/>
          <w:lang w:val="en-US"/>
        </w:rPr>
        <w:t>the proportion surviving at 2 years after the 24-month landmark</w:t>
      </w:r>
      <w:r w:rsidR="00485E51" w:rsidRPr="00EB0495">
        <w:rPr>
          <w:rFonts w:ascii="Arial" w:eastAsia="Calibri" w:hAnsi="Arial" w:cs="Arial"/>
          <w:bCs/>
          <w:sz w:val="24"/>
          <w:szCs w:val="24"/>
          <w:lang w:val="en-US"/>
        </w:rPr>
        <w:t xml:space="preserve"> was 98</w:t>
      </w:r>
      <w:r w:rsidR="0042370A" w:rsidRPr="00EB0495">
        <w:rPr>
          <w:rFonts w:ascii="Arial" w:eastAsia="Calibri" w:hAnsi="Arial" w:cs="Arial"/>
          <w:bCs/>
          <w:sz w:val="24"/>
          <w:szCs w:val="24"/>
          <w:lang w:val="en-US"/>
        </w:rPr>
        <w:t>.2</w:t>
      </w:r>
      <w:r w:rsidR="00485E51" w:rsidRPr="00EB0495">
        <w:rPr>
          <w:rFonts w:ascii="Arial" w:eastAsia="Calibri" w:hAnsi="Arial" w:cs="Arial"/>
          <w:bCs/>
          <w:sz w:val="24"/>
          <w:szCs w:val="24"/>
          <w:lang w:val="en-US"/>
        </w:rPr>
        <w:t>% (</w:t>
      </w:r>
      <w:r w:rsidR="007245AB" w:rsidRPr="00EB0495">
        <w:rPr>
          <w:rFonts w:ascii="Arial" w:eastAsia="Calibri" w:hAnsi="Arial" w:cs="Arial"/>
          <w:bCs/>
          <w:sz w:val="24"/>
          <w:szCs w:val="24"/>
          <w:lang w:val="en-US"/>
        </w:rPr>
        <w:t>95% CI:</w:t>
      </w:r>
      <w:r w:rsidR="00D33B84" w:rsidRPr="00EB0495">
        <w:rPr>
          <w:rFonts w:ascii="Arial" w:eastAsia="Calibri" w:hAnsi="Arial" w:cs="Arial"/>
          <w:bCs/>
          <w:sz w:val="24"/>
          <w:szCs w:val="24"/>
          <w:lang w:val="en-US"/>
        </w:rPr>
        <w:t xml:space="preserve"> </w:t>
      </w:r>
      <w:r w:rsidR="00485E51" w:rsidRPr="00EB0495">
        <w:rPr>
          <w:rFonts w:ascii="Arial" w:eastAsia="Calibri" w:hAnsi="Arial" w:cs="Arial"/>
          <w:bCs/>
          <w:sz w:val="24"/>
          <w:szCs w:val="24"/>
          <w:lang w:val="en-US"/>
        </w:rPr>
        <w:t>97.1</w:t>
      </w:r>
      <w:r w:rsidR="00CF12CF" w:rsidRPr="00EB0495">
        <w:rPr>
          <w:rFonts w:ascii="Arial" w:eastAsia="Calibri" w:hAnsi="Arial" w:cs="Arial"/>
          <w:bCs/>
          <w:sz w:val="24"/>
          <w:szCs w:val="24"/>
          <w:lang w:val="en-US"/>
        </w:rPr>
        <w:t>-</w:t>
      </w:r>
      <w:r w:rsidR="00485E51" w:rsidRPr="00EB0495">
        <w:rPr>
          <w:rFonts w:ascii="Arial" w:eastAsia="Calibri" w:hAnsi="Arial" w:cs="Arial"/>
          <w:bCs/>
          <w:sz w:val="24"/>
          <w:szCs w:val="24"/>
          <w:lang w:val="en-US"/>
        </w:rPr>
        <w:t>99.2); in NLCS, the corresponding proportions were 68% (</w:t>
      </w:r>
      <w:r w:rsidR="007245AB" w:rsidRPr="00EB0495">
        <w:rPr>
          <w:rFonts w:ascii="Arial" w:eastAsia="Calibri" w:hAnsi="Arial" w:cs="Arial"/>
          <w:bCs/>
          <w:sz w:val="24"/>
          <w:szCs w:val="24"/>
          <w:lang w:val="en-US"/>
        </w:rPr>
        <w:t>95% CI:</w:t>
      </w:r>
      <w:r w:rsidR="00D33B84" w:rsidRPr="00EB0495">
        <w:rPr>
          <w:rFonts w:ascii="Arial" w:eastAsia="Calibri" w:hAnsi="Arial" w:cs="Arial"/>
          <w:bCs/>
          <w:sz w:val="24"/>
          <w:szCs w:val="24"/>
          <w:lang w:val="en-US"/>
        </w:rPr>
        <w:t xml:space="preserve"> </w:t>
      </w:r>
      <w:r w:rsidR="00485E51" w:rsidRPr="00EB0495">
        <w:rPr>
          <w:rFonts w:ascii="Arial" w:eastAsia="Calibri" w:hAnsi="Arial" w:cs="Arial"/>
          <w:bCs/>
          <w:sz w:val="24"/>
          <w:szCs w:val="24"/>
          <w:lang w:val="en-US"/>
        </w:rPr>
        <w:t>58.2</w:t>
      </w:r>
      <w:r w:rsidR="00CF12CF" w:rsidRPr="00EB0495">
        <w:rPr>
          <w:rFonts w:ascii="Arial" w:eastAsia="Calibri" w:hAnsi="Arial" w:cs="Arial"/>
          <w:bCs/>
          <w:sz w:val="24"/>
          <w:szCs w:val="24"/>
          <w:lang w:val="en-US"/>
        </w:rPr>
        <w:t>-</w:t>
      </w:r>
      <w:r w:rsidR="00485E51" w:rsidRPr="00EB0495">
        <w:rPr>
          <w:rFonts w:ascii="Arial" w:eastAsia="Calibri" w:hAnsi="Arial" w:cs="Arial"/>
          <w:bCs/>
          <w:sz w:val="24"/>
          <w:szCs w:val="24"/>
          <w:lang w:val="en-US"/>
        </w:rPr>
        <w:t>76.3) and 97% (</w:t>
      </w:r>
      <w:r w:rsidR="00D33B84" w:rsidRPr="00EB0495">
        <w:rPr>
          <w:rFonts w:ascii="Arial" w:eastAsia="Calibri" w:hAnsi="Arial" w:cs="Arial"/>
          <w:bCs/>
          <w:sz w:val="24"/>
          <w:szCs w:val="24"/>
          <w:lang w:val="en-US"/>
        </w:rPr>
        <w:t>95% CI</w:t>
      </w:r>
      <w:r w:rsidR="007245AB" w:rsidRPr="00EB0495">
        <w:rPr>
          <w:rFonts w:ascii="Arial" w:eastAsia="Calibri" w:hAnsi="Arial" w:cs="Arial"/>
          <w:bCs/>
          <w:sz w:val="24"/>
          <w:szCs w:val="24"/>
          <w:lang w:val="en-US"/>
        </w:rPr>
        <w:t>:</w:t>
      </w:r>
      <w:r w:rsidR="00D33B84" w:rsidRPr="00EB0495">
        <w:rPr>
          <w:rFonts w:ascii="Arial" w:eastAsia="Calibri" w:hAnsi="Arial" w:cs="Arial"/>
          <w:bCs/>
          <w:sz w:val="24"/>
          <w:szCs w:val="24"/>
          <w:lang w:val="en-US"/>
        </w:rPr>
        <w:t xml:space="preserve"> </w:t>
      </w:r>
      <w:r w:rsidR="00485E51" w:rsidRPr="00EB0495">
        <w:rPr>
          <w:rFonts w:ascii="Arial" w:eastAsia="Calibri" w:hAnsi="Arial" w:cs="Arial"/>
          <w:bCs/>
          <w:sz w:val="24"/>
          <w:szCs w:val="24"/>
          <w:lang w:val="en-US"/>
        </w:rPr>
        <w:t>94.6</w:t>
      </w:r>
      <w:r w:rsidR="00CF12CF" w:rsidRPr="00EB0495">
        <w:rPr>
          <w:rFonts w:ascii="Arial" w:eastAsia="Calibri" w:hAnsi="Arial" w:cs="Arial"/>
          <w:bCs/>
          <w:sz w:val="24"/>
          <w:szCs w:val="24"/>
          <w:lang w:val="en-US"/>
        </w:rPr>
        <w:t>-</w:t>
      </w:r>
      <w:r w:rsidR="00485E51" w:rsidRPr="00EB0495">
        <w:rPr>
          <w:rFonts w:ascii="Arial" w:eastAsia="Calibri" w:hAnsi="Arial" w:cs="Arial"/>
          <w:bCs/>
          <w:sz w:val="24"/>
          <w:szCs w:val="24"/>
          <w:lang w:val="en-US"/>
        </w:rPr>
        <w:t>98.1) respectively</w:t>
      </w:r>
      <w:r w:rsidR="007245AB" w:rsidRPr="00EB0495">
        <w:rPr>
          <w:rFonts w:ascii="Arial" w:eastAsia="Calibri" w:hAnsi="Arial" w:cs="Arial"/>
          <w:bCs/>
          <w:sz w:val="24"/>
          <w:szCs w:val="24"/>
          <w:lang w:val="en-US"/>
        </w:rPr>
        <w:t>.</w:t>
      </w:r>
      <w:r w:rsidR="007245AB" w:rsidRPr="00EB0495">
        <w:rPr>
          <w:rFonts w:ascii="Arial" w:eastAsia="Calibri" w:hAnsi="Arial" w:cs="Arial"/>
          <w:bCs/>
          <w:sz w:val="24"/>
          <w:szCs w:val="24"/>
          <w:vertAlign w:val="superscript"/>
          <w:lang w:val="en-US"/>
        </w:rPr>
        <w:t>4</w:t>
      </w:r>
      <w:r w:rsidR="00867605" w:rsidRPr="00EB0495">
        <w:rPr>
          <w:rFonts w:ascii="Arial" w:eastAsia="Calibri" w:hAnsi="Arial" w:cs="Arial"/>
          <w:bCs/>
          <w:sz w:val="24"/>
          <w:szCs w:val="24"/>
          <w:vertAlign w:val="superscript"/>
          <w:lang w:val="en-US"/>
        </w:rPr>
        <w:t xml:space="preserve"> </w:t>
      </w:r>
    </w:p>
    <w:p w14:paraId="153839BB" w14:textId="225E9AED" w:rsidR="007E0098" w:rsidRPr="00EB0495" w:rsidRDefault="00AF46D0" w:rsidP="00722E6B">
      <w:pPr>
        <w:keepNext/>
        <w:spacing w:after="240"/>
        <w:ind w:firstLine="720"/>
        <w:rPr>
          <w:rFonts w:ascii="Arial" w:eastAsia="Calibri" w:hAnsi="Arial" w:cs="Arial"/>
          <w:bCs/>
          <w:sz w:val="24"/>
          <w:szCs w:val="24"/>
          <w:lang w:val="en-US"/>
        </w:rPr>
      </w:pPr>
      <w:r w:rsidRPr="00EB0495">
        <w:rPr>
          <w:rFonts w:ascii="Arial" w:eastAsia="Calibri" w:hAnsi="Arial" w:cs="Arial"/>
          <w:bCs/>
          <w:sz w:val="24"/>
          <w:szCs w:val="24"/>
          <w:lang w:val="en-US"/>
        </w:rPr>
        <w:t xml:space="preserve">Our findings also suggest that the earlier progression occurs, the greater the subsequent mortality risk. This subset of </w:t>
      </w:r>
      <w:r w:rsidR="008A3101" w:rsidRPr="00EB0495">
        <w:rPr>
          <w:rFonts w:ascii="Arial" w:eastAsia="Calibri" w:hAnsi="Arial" w:cs="Arial"/>
          <w:bCs/>
          <w:sz w:val="24"/>
          <w:szCs w:val="24"/>
          <w:lang w:val="en-US"/>
        </w:rPr>
        <w:t xml:space="preserve">patients with </w:t>
      </w:r>
      <w:r w:rsidRPr="00EB0495">
        <w:rPr>
          <w:rFonts w:ascii="Arial" w:eastAsia="Calibri" w:hAnsi="Arial" w:cs="Arial"/>
          <w:bCs/>
          <w:sz w:val="24"/>
          <w:szCs w:val="24"/>
          <w:lang w:val="en-US"/>
        </w:rPr>
        <w:t xml:space="preserve">FL in whom the disease follows a relatively aggressive clinical course may benefit from alternative </w:t>
      </w:r>
      <w:r w:rsidR="00EF6C0A" w:rsidRPr="00EB0495">
        <w:rPr>
          <w:rFonts w:ascii="Arial" w:eastAsia="Calibri" w:hAnsi="Arial" w:cs="Arial"/>
          <w:bCs/>
          <w:sz w:val="24"/>
          <w:szCs w:val="24"/>
          <w:lang w:val="en-US"/>
        </w:rPr>
        <w:t xml:space="preserve">initial </w:t>
      </w:r>
      <w:r w:rsidRPr="00EB0495">
        <w:rPr>
          <w:rFonts w:ascii="Arial" w:eastAsia="Calibri" w:hAnsi="Arial" w:cs="Arial"/>
          <w:bCs/>
          <w:sz w:val="24"/>
          <w:szCs w:val="24"/>
          <w:lang w:val="en-US"/>
        </w:rPr>
        <w:t xml:space="preserve">therapies. </w:t>
      </w:r>
      <w:r w:rsidR="00EF6C0A" w:rsidRPr="00EB0495">
        <w:rPr>
          <w:rFonts w:ascii="Arial" w:eastAsia="Calibri" w:hAnsi="Arial" w:cs="Arial"/>
          <w:bCs/>
          <w:sz w:val="24"/>
          <w:szCs w:val="24"/>
          <w:lang w:val="en-US"/>
        </w:rPr>
        <w:t>Therefore, i</w:t>
      </w:r>
      <w:r w:rsidRPr="00EB0495">
        <w:rPr>
          <w:rFonts w:ascii="Arial" w:eastAsia="Calibri" w:hAnsi="Arial" w:cs="Arial"/>
          <w:bCs/>
          <w:sz w:val="24"/>
          <w:szCs w:val="24"/>
          <w:lang w:val="en-US"/>
        </w:rPr>
        <w:t>dentifying these patients</w:t>
      </w:r>
      <w:r w:rsidR="007D7203" w:rsidRPr="00EB0495">
        <w:rPr>
          <w:rFonts w:ascii="Arial" w:eastAsia="Calibri" w:hAnsi="Arial" w:cs="Arial"/>
          <w:bCs/>
          <w:sz w:val="24"/>
          <w:szCs w:val="24"/>
          <w:lang w:val="en-US"/>
        </w:rPr>
        <w:t xml:space="preserve"> </w:t>
      </w:r>
      <w:r w:rsidRPr="00EB0495">
        <w:rPr>
          <w:rFonts w:ascii="Arial" w:eastAsia="Calibri" w:hAnsi="Arial" w:cs="Arial"/>
          <w:bCs/>
          <w:sz w:val="24"/>
          <w:szCs w:val="24"/>
          <w:lang w:val="en-US"/>
        </w:rPr>
        <w:t>is crucial. The baseline factor in the current analysis most strongly associated with risk of POD24 was</w:t>
      </w:r>
      <w:r w:rsidR="007C4175" w:rsidRPr="00EB0495">
        <w:rPr>
          <w:rFonts w:ascii="Arial" w:eastAsia="Calibri" w:hAnsi="Arial" w:cs="Arial"/>
          <w:bCs/>
          <w:sz w:val="24"/>
          <w:szCs w:val="24"/>
          <w:lang w:val="en-US"/>
        </w:rPr>
        <w:t xml:space="preserve"> serum</w:t>
      </w:r>
      <w:r w:rsidRPr="00EB0495">
        <w:rPr>
          <w:rFonts w:ascii="Arial" w:eastAsia="Calibri" w:hAnsi="Arial" w:cs="Arial"/>
          <w:bCs/>
          <w:sz w:val="24"/>
          <w:szCs w:val="24"/>
          <w:lang w:val="en-US"/>
        </w:rPr>
        <w:t xml:space="preserve"> LDH level</w:t>
      </w:r>
      <w:r w:rsidR="006A75F7" w:rsidRPr="00EB0495">
        <w:rPr>
          <w:rFonts w:ascii="Arial" w:eastAsia="Calibri" w:hAnsi="Arial" w:cs="Arial"/>
          <w:bCs/>
          <w:sz w:val="24"/>
          <w:szCs w:val="24"/>
          <w:lang w:val="en-US"/>
        </w:rPr>
        <w:t>, in line with previous studies that have identified LDH as a prognostic factor for progression</w:t>
      </w:r>
      <w:r w:rsidR="0007288E" w:rsidRPr="00EB0495">
        <w:rPr>
          <w:rFonts w:ascii="Arial" w:eastAsia="Calibri" w:hAnsi="Arial" w:cs="Arial"/>
          <w:bCs/>
          <w:sz w:val="24"/>
          <w:szCs w:val="24"/>
          <w:lang w:val="en-US"/>
        </w:rPr>
        <w:t xml:space="preserve"> in patients with FL</w:t>
      </w:r>
      <w:r w:rsidR="00CE196C" w:rsidRPr="00EB0495">
        <w:rPr>
          <w:rFonts w:ascii="Arial" w:eastAsia="Calibri" w:hAnsi="Arial" w:cs="Arial"/>
          <w:bCs/>
          <w:sz w:val="24"/>
          <w:szCs w:val="24"/>
          <w:lang w:val="en-US"/>
        </w:rPr>
        <w:t>.</w:t>
      </w:r>
      <w:r w:rsidR="0055098D" w:rsidRPr="00EB0495">
        <w:rPr>
          <w:rFonts w:ascii="Arial" w:eastAsia="Calibri" w:hAnsi="Arial" w:cs="Arial"/>
          <w:bCs/>
          <w:sz w:val="24"/>
          <w:szCs w:val="24"/>
          <w:vertAlign w:val="superscript"/>
          <w:lang w:val="en-US"/>
        </w:rPr>
        <w:t>12</w:t>
      </w:r>
      <w:r w:rsidR="0063639C" w:rsidRPr="00EB0495">
        <w:rPr>
          <w:rFonts w:ascii="Arial" w:eastAsia="Calibri" w:hAnsi="Arial" w:cs="Arial"/>
          <w:bCs/>
          <w:sz w:val="24"/>
          <w:szCs w:val="24"/>
          <w:vertAlign w:val="superscript"/>
          <w:lang w:val="en-US"/>
        </w:rPr>
        <w:t xml:space="preserve">, </w:t>
      </w:r>
      <w:r w:rsidR="0055098D" w:rsidRPr="00EB0495">
        <w:rPr>
          <w:rFonts w:ascii="Arial" w:eastAsia="Calibri" w:hAnsi="Arial" w:cs="Arial"/>
          <w:bCs/>
          <w:sz w:val="24"/>
          <w:szCs w:val="24"/>
          <w:vertAlign w:val="superscript"/>
          <w:lang w:val="en-US"/>
        </w:rPr>
        <w:t>13</w:t>
      </w:r>
      <w:r w:rsidR="0055098D" w:rsidRPr="00EB0495">
        <w:rPr>
          <w:rFonts w:ascii="Arial" w:eastAsia="Calibri" w:hAnsi="Arial" w:cs="Arial"/>
          <w:bCs/>
          <w:sz w:val="24"/>
          <w:szCs w:val="24"/>
          <w:lang w:val="en-US"/>
        </w:rPr>
        <w:t xml:space="preserve"> </w:t>
      </w:r>
      <w:r w:rsidRPr="00EB0495">
        <w:rPr>
          <w:rFonts w:ascii="Arial" w:eastAsia="Calibri" w:hAnsi="Arial" w:cs="Arial"/>
          <w:bCs/>
          <w:sz w:val="24"/>
          <w:szCs w:val="24"/>
          <w:lang w:val="en-US"/>
        </w:rPr>
        <w:t>Other factors associated with greater POD risk were FLIPI risk group, disease stage and histologic grade, male sex, and treatment with CVP chemotherapy</w:t>
      </w:r>
      <w:r w:rsidR="00214881" w:rsidRPr="00EB0495">
        <w:rPr>
          <w:rFonts w:ascii="Arial" w:eastAsia="Calibri" w:hAnsi="Arial" w:cs="Arial"/>
          <w:bCs/>
          <w:sz w:val="24"/>
          <w:szCs w:val="24"/>
          <w:lang w:val="en-US"/>
        </w:rPr>
        <w:t>;</w:t>
      </w:r>
      <w:r w:rsidRPr="00EB0495">
        <w:rPr>
          <w:rFonts w:ascii="Arial" w:eastAsia="Calibri" w:hAnsi="Arial" w:cs="Arial"/>
          <w:bCs/>
          <w:sz w:val="24"/>
          <w:szCs w:val="24"/>
          <w:lang w:val="en-US"/>
        </w:rPr>
        <w:t xml:space="preserve"> although the extent of difference in POD risk accounted for by these was not as great as the influence of </w:t>
      </w:r>
      <w:r w:rsidR="008E6D97" w:rsidRPr="00EB0495">
        <w:rPr>
          <w:rFonts w:ascii="Arial" w:eastAsia="Calibri" w:hAnsi="Arial" w:cs="Arial"/>
          <w:bCs/>
          <w:sz w:val="24"/>
          <w:szCs w:val="24"/>
          <w:lang w:val="en-US"/>
        </w:rPr>
        <w:t>anti-</w:t>
      </w:r>
      <w:r w:rsidRPr="00EB0495">
        <w:rPr>
          <w:rFonts w:ascii="Arial" w:eastAsia="Calibri" w:hAnsi="Arial" w:cs="Arial"/>
          <w:bCs/>
          <w:sz w:val="24"/>
          <w:szCs w:val="24"/>
          <w:lang w:val="en-US"/>
        </w:rPr>
        <w:t>CD20 antibody treatment.</w:t>
      </w:r>
    </w:p>
    <w:p w14:paraId="7D387E83" w14:textId="1BB68AEA" w:rsidR="00BA0248" w:rsidRPr="00EB0495" w:rsidRDefault="00BF4520" w:rsidP="00722E6B">
      <w:pPr>
        <w:keepNext/>
        <w:spacing w:after="240"/>
        <w:ind w:firstLine="720"/>
        <w:rPr>
          <w:rFonts w:ascii="Arial" w:eastAsia="Calibri" w:hAnsi="Arial" w:cs="Arial"/>
          <w:bCs/>
          <w:sz w:val="24"/>
          <w:szCs w:val="24"/>
          <w:lang w:val="en-US"/>
        </w:rPr>
      </w:pPr>
      <w:r w:rsidRPr="00EB0495">
        <w:rPr>
          <w:rFonts w:ascii="Arial" w:eastAsia="Calibri" w:hAnsi="Arial" w:cs="Arial"/>
          <w:bCs/>
          <w:sz w:val="24"/>
          <w:szCs w:val="24"/>
          <w:lang w:val="en-US"/>
        </w:rPr>
        <w:t xml:space="preserve">Promising </w:t>
      </w:r>
      <w:r w:rsidR="000D7A98" w:rsidRPr="00EB0495">
        <w:rPr>
          <w:rFonts w:ascii="Arial" w:eastAsia="Calibri" w:hAnsi="Arial" w:cs="Arial"/>
          <w:bCs/>
          <w:sz w:val="24"/>
          <w:szCs w:val="24"/>
          <w:lang w:val="en-US"/>
        </w:rPr>
        <w:t>pro</w:t>
      </w:r>
      <w:r w:rsidR="008721E1" w:rsidRPr="00EB0495">
        <w:rPr>
          <w:rFonts w:ascii="Arial" w:eastAsia="Calibri" w:hAnsi="Arial" w:cs="Arial"/>
          <w:bCs/>
          <w:sz w:val="24"/>
          <w:szCs w:val="24"/>
          <w:lang w:val="en-US"/>
        </w:rPr>
        <w:t xml:space="preserve">spective identification </w:t>
      </w:r>
      <w:r w:rsidR="000D7A98" w:rsidRPr="00EB0495">
        <w:rPr>
          <w:rFonts w:ascii="Arial" w:eastAsia="Calibri" w:hAnsi="Arial" w:cs="Arial"/>
          <w:bCs/>
          <w:sz w:val="24"/>
          <w:szCs w:val="24"/>
          <w:lang w:val="en-US"/>
        </w:rPr>
        <w:t xml:space="preserve">of </w:t>
      </w:r>
      <w:r w:rsidR="008721E1" w:rsidRPr="00EB0495">
        <w:rPr>
          <w:rFonts w:ascii="Arial" w:eastAsia="Calibri" w:hAnsi="Arial" w:cs="Arial"/>
          <w:bCs/>
          <w:sz w:val="24"/>
          <w:szCs w:val="24"/>
          <w:lang w:val="en-US"/>
        </w:rPr>
        <w:t xml:space="preserve">patients with a high risk of </w:t>
      </w:r>
      <w:r w:rsidR="000D7A98" w:rsidRPr="00EB0495">
        <w:rPr>
          <w:rFonts w:ascii="Arial" w:eastAsia="Calibri" w:hAnsi="Arial" w:cs="Arial"/>
          <w:bCs/>
          <w:sz w:val="24"/>
          <w:szCs w:val="24"/>
          <w:lang w:val="en-US"/>
        </w:rPr>
        <w:t xml:space="preserve">early PD events </w:t>
      </w:r>
      <w:r w:rsidRPr="00EB0495">
        <w:rPr>
          <w:rFonts w:ascii="Arial" w:eastAsia="Calibri" w:hAnsi="Arial" w:cs="Arial"/>
          <w:bCs/>
          <w:sz w:val="24"/>
          <w:szCs w:val="24"/>
          <w:lang w:val="en-US"/>
        </w:rPr>
        <w:t>ha</w:t>
      </w:r>
      <w:r w:rsidR="000D7A98" w:rsidRPr="00EB0495">
        <w:rPr>
          <w:rFonts w:ascii="Arial" w:eastAsia="Calibri" w:hAnsi="Arial" w:cs="Arial"/>
          <w:bCs/>
          <w:sz w:val="24"/>
          <w:szCs w:val="24"/>
          <w:lang w:val="en-US"/>
        </w:rPr>
        <w:t>s</w:t>
      </w:r>
      <w:r w:rsidRPr="00EB0495">
        <w:rPr>
          <w:rFonts w:ascii="Arial" w:eastAsia="Calibri" w:hAnsi="Arial" w:cs="Arial"/>
          <w:bCs/>
          <w:sz w:val="24"/>
          <w:szCs w:val="24"/>
          <w:lang w:val="en-US"/>
        </w:rPr>
        <w:t xml:space="preserve"> been achieved by using the m7-FLIPI</w:t>
      </w:r>
      <w:r w:rsidR="000751FA" w:rsidRPr="00EB0495">
        <w:rPr>
          <w:rFonts w:ascii="Arial" w:eastAsia="Calibri" w:hAnsi="Arial" w:cs="Arial"/>
          <w:bCs/>
          <w:sz w:val="24"/>
          <w:szCs w:val="24"/>
          <w:lang w:val="en-US"/>
        </w:rPr>
        <w:t xml:space="preserve">, a clinicogenetic risk model </w:t>
      </w:r>
      <w:r w:rsidR="008721E1" w:rsidRPr="00EB0495">
        <w:rPr>
          <w:rFonts w:ascii="Arial" w:eastAsia="Calibri" w:hAnsi="Arial" w:cs="Arial"/>
          <w:bCs/>
          <w:sz w:val="24"/>
          <w:szCs w:val="24"/>
          <w:lang w:val="en-US"/>
        </w:rPr>
        <w:t>incorporating</w:t>
      </w:r>
      <w:r w:rsidR="007D7203" w:rsidRPr="00EB0495">
        <w:rPr>
          <w:rFonts w:ascii="Arial" w:eastAsia="Calibri" w:hAnsi="Arial" w:cs="Arial"/>
          <w:bCs/>
          <w:sz w:val="24"/>
          <w:szCs w:val="24"/>
          <w:lang w:val="en-US"/>
        </w:rPr>
        <w:t xml:space="preserve"> </w:t>
      </w:r>
      <w:r w:rsidR="008721E1" w:rsidRPr="00EB0495">
        <w:rPr>
          <w:rFonts w:ascii="Arial" w:eastAsia="Calibri" w:hAnsi="Arial" w:cs="Arial"/>
          <w:bCs/>
          <w:sz w:val="24"/>
          <w:szCs w:val="24"/>
          <w:lang w:val="en-US"/>
        </w:rPr>
        <w:t xml:space="preserve">the impact of mutations in </w:t>
      </w:r>
      <w:r w:rsidR="007D7203" w:rsidRPr="00EB0495">
        <w:rPr>
          <w:rFonts w:ascii="Arial" w:eastAsia="Calibri" w:hAnsi="Arial" w:cs="Arial"/>
          <w:bCs/>
          <w:sz w:val="24"/>
          <w:szCs w:val="24"/>
          <w:lang w:val="en-US"/>
        </w:rPr>
        <w:t xml:space="preserve">the genes </w:t>
      </w:r>
      <w:r w:rsidR="007D7203" w:rsidRPr="00EB0495">
        <w:rPr>
          <w:rFonts w:ascii="Arial" w:eastAsia="Calibri" w:hAnsi="Arial" w:cs="Arial"/>
          <w:bCs/>
          <w:i/>
          <w:sz w:val="24"/>
          <w:szCs w:val="24"/>
          <w:lang w:val="en-US"/>
        </w:rPr>
        <w:t>EZH2, ARID1A, MEF2B, EP300, FOXO1, CREBBP</w:t>
      </w:r>
      <w:r w:rsidR="009866AF" w:rsidRPr="00EB0495">
        <w:rPr>
          <w:rFonts w:ascii="Arial" w:eastAsia="Calibri" w:hAnsi="Arial" w:cs="Arial"/>
          <w:bCs/>
          <w:sz w:val="24"/>
          <w:szCs w:val="24"/>
          <w:lang w:val="en-US"/>
        </w:rPr>
        <w:t>,</w:t>
      </w:r>
      <w:r w:rsidR="007D7203" w:rsidRPr="00EB0495">
        <w:rPr>
          <w:rFonts w:ascii="Arial" w:eastAsia="Calibri" w:hAnsi="Arial" w:cs="Arial"/>
          <w:bCs/>
          <w:sz w:val="24"/>
          <w:szCs w:val="24"/>
          <w:lang w:val="en-US"/>
        </w:rPr>
        <w:t xml:space="preserve"> and </w:t>
      </w:r>
      <w:r w:rsidR="007D7203" w:rsidRPr="00EB0495">
        <w:rPr>
          <w:rFonts w:ascii="Arial" w:eastAsia="Calibri" w:hAnsi="Arial" w:cs="Arial"/>
          <w:bCs/>
          <w:i/>
          <w:sz w:val="24"/>
          <w:szCs w:val="24"/>
          <w:lang w:val="en-US"/>
        </w:rPr>
        <w:t>CARD11</w:t>
      </w:r>
      <w:r w:rsidR="00635F8A" w:rsidRPr="00EB0495">
        <w:rPr>
          <w:rFonts w:ascii="Arial" w:eastAsia="Calibri" w:hAnsi="Arial" w:cs="Arial"/>
          <w:bCs/>
          <w:sz w:val="24"/>
          <w:szCs w:val="24"/>
          <w:lang w:val="en-US"/>
        </w:rPr>
        <w:t>.</w:t>
      </w:r>
      <w:r w:rsidR="0055098D" w:rsidRPr="00EB0495">
        <w:rPr>
          <w:rFonts w:ascii="Arial" w:eastAsia="Calibri" w:hAnsi="Arial" w:cs="Arial"/>
          <w:bCs/>
          <w:sz w:val="24"/>
          <w:szCs w:val="24"/>
          <w:vertAlign w:val="superscript"/>
          <w:lang w:val="en-US"/>
        </w:rPr>
        <w:t>14</w:t>
      </w:r>
      <w:r w:rsidR="0055098D" w:rsidRPr="00EB0495">
        <w:rPr>
          <w:rFonts w:ascii="Arial" w:eastAsia="Calibri" w:hAnsi="Arial" w:cs="Arial"/>
          <w:bCs/>
          <w:sz w:val="24"/>
          <w:szCs w:val="24"/>
          <w:lang w:val="en-US"/>
        </w:rPr>
        <w:t xml:space="preserve"> </w:t>
      </w:r>
      <w:r w:rsidR="007E0764" w:rsidRPr="00EB0495">
        <w:rPr>
          <w:rFonts w:ascii="Arial" w:eastAsia="Calibri" w:hAnsi="Arial" w:cs="Arial"/>
          <w:bCs/>
          <w:sz w:val="24"/>
          <w:szCs w:val="24"/>
          <w:lang w:val="en-US"/>
        </w:rPr>
        <w:t>Th</w:t>
      </w:r>
      <w:r w:rsidR="000751FA" w:rsidRPr="00EB0495">
        <w:rPr>
          <w:rFonts w:ascii="Arial" w:eastAsia="Calibri" w:hAnsi="Arial" w:cs="Arial"/>
          <w:bCs/>
          <w:sz w:val="24"/>
          <w:szCs w:val="24"/>
          <w:lang w:val="en-US"/>
        </w:rPr>
        <w:t>e</w:t>
      </w:r>
      <w:r w:rsidR="007E0764" w:rsidRPr="00EB0495">
        <w:rPr>
          <w:rFonts w:ascii="Arial" w:eastAsia="Calibri" w:hAnsi="Arial" w:cs="Arial"/>
          <w:bCs/>
          <w:sz w:val="24"/>
          <w:szCs w:val="24"/>
          <w:lang w:val="en-US"/>
        </w:rPr>
        <w:t xml:space="preserve"> </w:t>
      </w:r>
      <w:r w:rsidR="000751FA" w:rsidRPr="00EB0495">
        <w:rPr>
          <w:rFonts w:ascii="Arial" w:eastAsia="Calibri" w:hAnsi="Arial" w:cs="Arial"/>
          <w:bCs/>
          <w:sz w:val="24"/>
          <w:szCs w:val="24"/>
          <w:lang w:val="en-US"/>
        </w:rPr>
        <w:t xml:space="preserve">m7-FLIPI </w:t>
      </w:r>
      <w:r w:rsidRPr="00EB0495">
        <w:rPr>
          <w:rFonts w:ascii="Arial" w:eastAsia="Calibri" w:hAnsi="Arial" w:cs="Arial"/>
          <w:bCs/>
          <w:sz w:val="24"/>
          <w:szCs w:val="24"/>
          <w:lang w:val="en-US"/>
        </w:rPr>
        <w:t>had higher predictive accuracy for POD24 than either the FLIPI or another speci</w:t>
      </w:r>
      <w:r w:rsidR="007D7203" w:rsidRPr="00EB0495">
        <w:rPr>
          <w:rFonts w:ascii="Arial" w:eastAsia="Calibri" w:hAnsi="Arial" w:cs="Arial"/>
          <w:bCs/>
          <w:sz w:val="24"/>
          <w:szCs w:val="24"/>
          <w:lang w:val="en-US"/>
        </w:rPr>
        <w:t xml:space="preserve">fic </w:t>
      </w:r>
      <w:r w:rsidRPr="00EB0495">
        <w:rPr>
          <w:rFonts w:ascii="Arial" w:eastAsia="Calibri" w:hAnsi="Arial" w:cs="Arial"/>
          <w:bCs/>
          <w:sz w:val="24"/>
          <w:szCs w:val="24"/>
          <w:lang w:val="en-US"/>
        </w:rPr>
        <w:t xml:space="preserve">clinicogenetic risk model, the </w:t>
      </w:r>
      <w:r w:rsidR="00993B69" w:rsidRPr="00EB0495">
        <w:rPr>
          <w:rFonts w:ascii="Arial" w:eastAsia="Calibri" w:hAnsi="Arial" w:cs="Arial"/>
          <w:bCs/>
          <w:sz w:val="24"/>
          <w:szCs w:val="24"/>
          <w:lang w:val="en-US"/>
        </w:rPr>
        <w:t>POD24 Prognostic Index (</w:t>
      </w:r>
      <w:r w:rsidRPr="00EB0495">
        <w:rPr>
          <w:rFonts w:ascii="Arial" w:eastAsia="Calibri" w:hAnsi="Arial" w:cs="Arial"/>
          <w:bCs/>
          <w:sz w:val="24"/>
          <w:szCs w:val="24"/>
          <w:lang w:val="en-US"/>
        </w:rPr>
        <w:t>POD24-PI</w:t>
      </w:r>
      <w:r w:rsidR="00993B69" w:rsidRPr="00EB0495">
        <w:rPr>
          <w:rFonts w:ascii="Arial" w:eastAsia="Calibri" w:hAnsi="Arial" w:cs="Arial"/>
          <w:bCs/>
          <w:sz w:val="24"/>
          <w:szCs w:val="24"/>
          <w:lang w:val="en-US"/>
        </w:rPr>
        <w:t>)</w:t>
      </w:r>
      <w:r w:rsidRPr="00EB0495">
        <w:rPr>
          <w:rFonts w:ascii="Arial" w:eastAsia="Calibri" w:hAnsi="Arial" w:cs="Arial"/>
          <w:bCs/>
          <w:sz w:val="24"/>
          <w:szCs w:val="24"/>
          <w:lang w:val="en-US"/>
        </w:rPr>
        <w:t xml:space="preserve">, in an analysis of 258 patients from </w:t>
      </w:r>
      <w:r w:rsidR="00CF12CF" w:rsidRPr="00EB0495">
        <w:rPr>
          <w:rFonts w:ascii="Arial" w:eastAsia="Calibri" w:hAnsi="Arial" w:cs="Arial"/>
          <w:bCs/>
          <w:sz w:val="24"/>
          <w:szCs w:val="24"/>
          <w:lang w:val="en-US"/>
        </w:rPr>
        <w:t xml:space="preserve">2 </w:t>
      </w:r>
      <w:r w:rsidRPr="00EB0495">
        <w:rPr>
          <w:rFonts w:ascii="Arial" w:eastAsia="Calibri" w:hAnsi="Arial" w:cs="Arial"/>
          <w:bCs/>
          <w:sz w:val="24"/>
          <w:szCs w:val="24"/>
          <w:lang w:val="en-US"/>
        </w:rPr>
        <w:lastRenderedPageBreak/>
        <w:t>independent cohorts.</w:t>
      </w:r>
      <w:r w:rsidR="0055098D" w:rsidRPr="00EB0495">
        <w:rPr>
          <w:rFonts w:ascii="Arial" w:eastAsia="Calibri" w:hAnsi="Arial" w:cs="Arial"/>
          <w:bCs/>
          <w:sz w:val="24"/>
          <w:szCs w:val="24"/>
          <w:vertAlign w:val="superscript"/>
          <w:lang w:val="en-US"/>
        </w:rPr>
        <w:t>10</w:t>
      </w:r>
      <w:r w:rsidR="0055098D" w:rsidRPr="00EB0495">
        <w:rPr>
          <w:rFonts w:ascii="Arial" w:eastAsia="Calibri" w:hAnsi="Arial" w:cs="Arial"/>
          <w:bCs/>
          <w:sz w:val="24"/>
          <w:szCs w:val="24"/>
          <w:lang w:val="en-US"/>
        </w:rPr>
        <w:t xml:space="preserve"> </w:t>
      </w:r>
      <w:r w:rsidR="000751FA" w:rsidRPr="00EB0495">
        <w:rPr>
          <w:rFonts w:ascii="Arial" w:eastAsia="Calibri" w:hAnsi="Arial" w:cs="Arial"/>
          <w:bCs/>
          <w:sz w:val="24"/>
          <w:szCs w:val="24"/>
          <w:lang w:val="en-US"/>
        </w:rPr>
        <w:t>A</w:t>
      </w:r>
      <w:r w:rsidR="001071B8" w:rsidRPr="00EB0495">
        <w:rPr>
          <w:rFonts w:ascii="Arial" w:eastAsia="Calibri" w:hAnsi="Arial" w:cs="Arial"/>
          <w:bCs/>
          <w:sz w:val="24"/>
          <w:szCs w:val="24"/>
          <w:lang w:val="en-US"/>
        </w:rPr>
        <w:t xml:space="preserve"> new 23-gene </w:t>
      </w:r>
      <w:r w:rsidR="008721E1" w:rsidRPr="00EB0495">
        <w:rPr>
          <w:rFonts w:ascii="Arial" w:eastAsia="Calibri" w:hAnsi="Arial" w:cs="Arial"/>
          <w:bCs/>
          <w:sz w:val="24"/>
          <w:szCs w:val="24"/>
          <w:lang w:val="en-US"/>
        </w:rPr>
        <w:t xml:space="preserve">expression </w:t>
      </w:r>
      <w:r w:rsidR="001071B8" w:rsidRPr="00EB0495">
        <w:rPr>
          <w:rFonts w:ascii="Arial" w:eastAsia="Calibri" w:hAnsi="Arial" w:cs="Arial"/>
          <w:bCs/>
          <w:sz w:val="24"/>
          <w:szCs w:val="24"/>
          <w:lang w:val="en-US"/>
        </w:rPr>
        <w:t xml:space="preserve">model was also reported to </w:t>
      </w:r>
      <w:r w:rsidR="000751FA" w:rsidRPr="00EB0495">
        <w:rPr>
          <w:rFonts w:ascii="Arial" w:eastAsia="Calibri" w:hAnsi="Arial" w:cs="Arial"/>
          <w:bCs/>
          <w:sz w:val="24"/>
          <w:szCs w:val="24"/>
          <w:lang w:val="en-US"/>
        </w:rPr>
        <w:t>predict</w:t>
      </w:r>
      <w:r w:rsidR="001071B8" w:rsidRPr="00EB0495">
        <w:rPr>
          <w:rFonts w:ascii="Arial" w:eastAsia="Calibri" w:hAnsi="Arial" w:cs="Arial"/>
          <w:bCs/>
          <w:sz w:val="24"/>
          <w:szCs w:val="24"/>
          <w:lang w:val="en-US"/>
        </w:rPr>
        <w:t xml:space="preserve"> early progression.</w:t>
      </w:r>
      <w:r w:rsidR="0055098D" w:rsidRPr="00EB0495">
        <w:rPr>
          <w:rFonts w:ascii="Arial" w:eastAsia="Calibri" w:hAnsi="Arial" w:cs="Arial"/>
          <w:bCs/>
          <w:sz w:val="24"/>
          <w:szCs w:val="24"/>
          <w:vertAlign w:val="superscript"/>
          <w:lang w:val="en-US"/>
        </w:rPr>
        <w:t>15</w:t>
      </w:r>
      <w:r w:rsidR="0055098D" w:rsidRPr="00EB0495">
        <w:rPr>
          <w:rFonts w:ascii="Arial" w:eastAsia="Calibri" w:hAnsi="Arial" w:cs="Arial"/>
          <w:bCs/>
          <w:sz w:val="24"/>
          <w:szCs w:val="24"/>
          <w:lang w:val="en-US"/>
        </w:rPr>
        <w:t xml:space="preserve"> </w:t>
      </w:r>
      <w:r w:rsidR="00C4371C" w:rsidRPr="00EB0495">
        <w:rPr>
          <w:rFonts w:ascii="Arial" w:eastAsia="Calibri" w:hAnsi="Arial" w:cs="Arial"/>
          <w:bCs/>
          <w:sz w:val="24"/>
          <w:szCs w:val="24"/>
          <w:lang w:val="en-US"/>
        </w:rPr>
        <w:t>Additionally</w:t>
      </w:r>
      <w:r w:rsidR="008E4B26" w:rsidRPr="00EB0495">
        <w:rPr>
          <w:rFonts w:ascii="Arial" w:eastAsia="Calibri" w:hAnsi="Arial" w:cs="Arial"/>
          <w:bCs/>
          <w:sz w:val="24"/>
          <w:szCs w:val="24"/>
          <w:lang w:val="en-US"/>
        </w:rPr>
        <w:t xml:space="preserve">, </w:t>
      </w:r>
      <w:r w:rsidR="00C410F5" w:rsidRPr="00EB0495">
        <w:rPr>
          <w:rFonts w:ascii="Arial" w:eastAsia="Calibri" w:hAnsi="Arial" w:cs="Arial"/>
          <w:bCs/>
          <w:i/>
          <w:sz w:val="24"/>
          <w:szCs w:val="24"/>
          <w:lang w:val="en-US"/>
        </w:rPr>
        <w:t>TP53</w:t>
      </w:r>
      <w:r w:rsidR="00C410F5" w:rsidRPr="00EB0495">
        <w:rPr>
          <w:rFonts w:ascii="Arial" w:eastAsia="Calibri" w:hAnsi="Arial" w:cs="Arial"/>
          <w:bCs/>
          <w:sz w:val="24"/>
          <w:szCs w:val="24"/>
          <w:lang w:val="en-US"/>
        </w:rPr>
        <w:t xml:space="preserve"> mutation status</w:t>
      </w:r>
      <w:r w:rsidR="00E25B3B" w:rsidRPr="00EB0495">
        <w:rPr>
          <w:rFonts w:ascii="Arial" w:eastAsia="Calibri" w:hAnsi="Arial" w:cs="Arial"/>
          <w:bCs/>
          <w:sz w:val="24"/>
          <w:szCs w:val="24"/>
          <w:lang w:val="en-US"/>
        </w:rPr>
        <w:t xml:space="preserve"> has been evaluated as a pr</w:t>
      </w:r>
      <w:r w:rsidR="00D138EB" w:rsidRPr="00EB0495">
        <w:rPr>
          <w:rFonts w:ascii="Arial" w:eastAsia="Calibri" w:hAnsi="Arial" w:cs="Arial"/>
          <w:bCs/>
          <w:sz w:val="24"/>
          <w:szCs w:val="24"/>
          <w:lang w:val="en-US"/>
        </w:rPr>
        <w:t xml:space="preserve">ognostic factor in </w:t>
      </w:r>
      <w:r w:rsidR="008A3101" w:rsidRPr="00EB0495">
        <w:rPr>
          <w:rFonts w:ascii="Arial" w:eastAsia="Calibri" w:hAnsi="Arial" w:cs="Arial"/>
          <w:bCs/>
          <w:sz w:val="24"/>
          <w:szCs w:val="24"/>
          <w:lang w:val="en-US"/>
        </w:rPr>
        <w:t xml:space="preserve">patients with </w:t>
      </w:r>
      <w:r w:rsidR="00D138EB" w:rsidRPr="00EB0495">
        <w:rPr>
          <w:rFonts w:ascii="Arial" w:eastAsia="Calibri" w:hAnsi="Arial" w:cs="Arial"/>
          <w:bCs/>
          <w:sz w:val="24"/>
          <w:szCs w:val="24"/>
          <w:lang w:val="en-US"/>
        </w:rPr>
        <w:t>FL and found to be significantly correlated with shorter PFS</w:t>
      </w:r>
      <w:r w:rsidR="008E4B26" w:rsidRPr="00EB0495">
        <w:rPr>
          <w:rFonts w:ascii="Arial" w:eastAsia="Calibri" w:hAnsi="Arial" w:cs="Arial"/>
          <w:bCs/>
          <w:sz w:val="24"/>
          <w:szCs w:val="24"/>
          <w:lang w:val="en-US"/>
        </w:rPr>
        <w:t xml:space="preserve">, </w:t>
      </w:r>
      <w:r w:rsidR="00D138EB" w:rsidRPr="00EB0495">
        <w:rPr>
          <w:rFonts w:ascii="Arial" w:eastAsia="Calibri" w:hAnsi="Arial" w:cs="Arial"/>
          <w:bCs/>
          <w:sz w:val="24"/>
          <w:szCs w:val="24"/>
          <w:lang w:val="en-US"/>
        </w:rPr>
        <w:t>OS</w:t>
      </w:r>
      <w:r w:rsidR="008E4B26" w:rsidRPr="00EB0495">
        <w:rPr>
          <w:rFonts w:ascii="Arial" w:eastAsia="Calibri" w:hAnsi="Arial" w:cs="Arial"/>
          <w:bCs/>
          <w:sz w:val="24"/>
          <w:szCs w:val="24"/>
          <w:lang w:val="en-US"/>
        </w:rPr>
        <w:t>,</w:t>
      </w:r>
      <w:r w:rsidR="00D138EB" w:rsidRPr="00EB0495">
        <w:rPr>
          <w:rFonts w:ascii="Arial" w:eastAsia="Calibri" w:hAnsi="Arial" w:cs="Arial"/>
          <w:bCs/>
          <w:sz w:val="24"/>
          <w:szCs w:val="24"/>
          <w:lang w:val="en-US"/>
        </w:rPr>
        <w:t xml:space="preserve"> </w:t>
      </w:r>
      <w:r w:rsidR="00AF46D0" w:rsidRPr="00EB0495">
        <w:rPr>
          <w:rFonts w:ascii="Arial" w:eastAsia="Calibri" w:hAnsi="Arial" w:cs="Arial"/>
          <w:bCs/>
          <w:sz w:val="24"/>
          <w:szCs w:val="24"/>
          <w:lang w:val="en-US"/>
        </w:rPr>
        <w:t>and disease transformation</w:t>
      </w:r>
      <w:r w:rsidR="00D138EB" w:rsidRPr="00EB0495">
        <w:rPr>
          <w:rFonts w:ascii="Arial" w:eastAsia="Calibri" w:hAnsi="Arial" w:cs="Arial"/>
          <w:bCs/>
          <w:sz w:val="24"/>
          <w:szCs w:val="24"/>
          <w:lang w:val="en-US"/>
        </w:rPr>
        <w:t>.</w:t>
      </w:r>
      <w:r w:rsidR="0055098D" w:rsidRPr="00EB0495">
        <w:rPr>
          <w:rFonts w:ascii="Arial" w:eastAsia="Calibri" w:hAnsi="Arial" w:cs="Arial"/>
          <w:bCs/>
          <w:sz w:val="24"/>
          <w:szCs w:val="24"/>
          <w:vertAlign w:val="superscript"/>
          <w:lang w:val="en-US"/>
        </w:rPr>
        <w:t>16</w:t>
      </w:r>
      <w:r w:rsidR="00722E6B" w:rsidRPr="00EB0495">
        <w:rPr>
          <w:rFonts w:ascii="Arial" w:eastAsia="Calibri" w:hAnsi="Arial" w:cs="Arial"/>
          <w:bCs/>
          <w:sz w:val="24"/>
          <w:szCs w:val="24"/>
          <w:vertAlign w:val="superscript"/>
          <w:lang w:val="en-US"/>
        </w:rPr>
        <w:t xml:space="preserve">, </w:t>
      </w:r>
      <w:r w:rsidR="0055098D" w:rsidRPr="00EB0495">
        <w:rPr>
          <w:rFonts w:ascii="Arial" w:eastAsia="Calibri" w:hAnsi="Arial" w:cs="Arial"/>
          <w:bCs/>
          <w:sz w:val="24"/>
          <w:szCs w:val="24"/>
          <w:vertAlign w:val="superscript"/>
          <w:lang w:val="en-US"/>
        </w:rPr>
        <w:t>17</w:t>
      </w:r>
      <w:r w:rsidR="0055098D" w:rsidRPr="00EB0495">
        <w:rPr>
          <w:rFonts w:ascii="Arial" w:eastAsia="Calibri" w:hAnsi="Arial" w:cs="Arial"/>
          <w:bCs/>
          <w:sz w:val="24"/>
          <w:szCs w:val="24"/>
          <w:lang w:val="en-US"/>
        </w:rPr>
        <w:t xml:space="preserve"> </w:t>
      </w:r>
      <w:r w:rsidR="008721E1" w:rsidRPr="00EB0495">
        <w:rPr>
          <w:rFonts w:ascii="Arial" w:eastAsia="Calibri" w:hAnsi="Arial" w:cs="Arial"/>
          <w:bCs/>
          <w:sz w:val="24"/>
          <w:szCs w:val="24"/>
          <w:lang w:val="en-US"/>
        </w:rPr>
        <w:t>Interrogation</w:t>
      </w:r>
      <w:r w:rsidR="00E25B3B" w:rsidRPr="00EB0495">
        <w:rPr>
          <w:rFonts w:ascii="Arial" w:eastAsia="Calibri" w:hAnsi="Arial" w:cs="Arial"/>
          <w:bCs/>
          <w:sz w:val="24"/>
          <w:szCs w:val="24"/>
          <w:lang w:val="en-US"/>
        </w:rPr>
        <w:t xml:space="preserve"> of the GALLIUM dataset using </w:t>
      </w:r>
      <w:r w:rsidR="000B4444" w:rsidRPr="00EB0495">
        <w:rPr>
          <w:rFonts w:ascii="Arial" w:eastAsia="Calibri" w:hAnsi="Arial" w:cs="Arial"/>
          <w:bCs/>
          <w:sz w:val="24"/>
          <w:szCs w:val="24"/>
          <w:lang w:val="en-US"/>
        </w:rPr>
        <w:t xml:space="preserve">m7-FLIPI </w:t>
      </w:r>
      <w:r w:rsidR="00E25B3B" w:rsidRPr="00EB0495">
        <w:rPr>
          <w:rFonts w:ascii="Arial" w:eastAsia="Calibri" w:hAnsi="Arial" w:cs="Arial"/>
          <w:bCs/>
          <w:sz w:val="24"/>
          <w:szCs w:val="24"/>
          <w:lang w:val="en-US"/>
        </w:rPr>
        <w:t xml:space="preserve">and </w:t>
      </w:r>
      <w:r w:rsidR="000B4444" w:rsidRPr="00EB0495">
        <w:rPr>
          <w:rFonts w:ascii="Arial" w:eastAsia="Calibri" w:hAnsi="Arial" w:cs="Arial"/>
          <w:bCs/>
          <w:sz w:val="24"/>
          <w:szCs w:val="24"/>
          <w:lang w:val="en-US"/>
        </w:rPr>
        <w:t xml:space="preserve">other </w:t>
      </w:r>
      <w:r w:rsidR="00E25B3B" w:rsidRPr="00EB0495">
        <w:rPr>
          <w:rFonts w:ascii="Arial" w:eastAsia="Calibri" w:hAnsi="Arial" w:cs="Arial"/>
          <w:bCs/>
          <w:sz w:val="24"/>
          <w:szCs w:val="24"/>
          <w:lang w:val="en-US"/>
        </w:rPr>
        <w:t xml:space="preserve">potentially </w:t>
      </w:r>
      <w:r w:rsidR="000B4444" w:rsidRPr="00EB0495">
        <w:rPr>
          <w:rFonts w:ascii="Arial" w:eastAsia="Calibri" w:hAnsi="Arial" w:cs="Arial"/>
          <w:bCs/>
          <w:sz w:val="24"/>
          <w:szCs w:val="24"/>
          <w:lang w:val="en-US"/>
        </w:rPr>
        <w:t xml:space="preserve">predictive indices </w:t>
      </w:r>
      <w:r w:rsidR="000068C3" w:rsidRPr="00EB0495">
        <w:rPr>
          <w:rFonts w:ascii="Arial" w:eastAsia="Calibri" w:hAnsi="Arial" w:cs="Arial"/>
          <w:bCs/>
          <w:sz w:val="24"/>
          <w:szCs w:val="24"/>
          <w:lang w:val="en-US"/>
        </w:rPr>
        <w:t xml:space="preserve">is </w:t>
      </w:r>
      <w:r w:rsidR="004B23FD" w:rsidRPr="00EB0495">
        <w:rPr>
          <w:rFonts w:ascii="Arial" w:eastAsia="Calibri" w:hAnsi="Arial" w:cs="Arial"/>
          <w:bCs/>
          <w:sz w:val="24"/>
          <w:szCs w:val="24"/>
          <w:lang w:val="en-US"/>
        </w:rPr>
        <w:t>ongoing</w:t>
      </w:r>
      <w:r w:rsidR="000068C3" w:rsidRPr="00EB0495">
        <w:rPr>
          <w:rFonts w:ascii="Arial" w:eastAsia="Calibri" w:hAnsi="Arial" w:cs="Arial"/>
          <w:bCs/>
          <w:sz w:val="24"/>
          <w:szCs w:val="24"/>
          <w:lang w:val="en-US"/>
        </w:rPr>
        <w:t>.</w:t>
      </w:r>
    </w:p>
    <w:p w14:paraId="7B5A695D" w14:textId="5CB4AB90" w:rsidR="00A45E80" w:rsidRPr="00EB0495" w:rsidRDefault="002E08C6" w:rsidP="00D15173">
      <w:pPr>
        <w:keepNext/>
        <w:spacing w:after="240"/>
        <w:ind w:firstLine="720"/>
        <w:rPr>
          <w:rFonts w:ascii="Arial" w:eastAsia="Calibri" w:hAnsi="Arial" w:cs="Arial"/>
          <w:bCs/>
          <w:sz w:val="24"/>
          <w:szCs w:val="24"/>
          <w:lang w:val="en-US"/>
        </w:rPr>
      </w:pPr>
      <w:r w:rsidRPr="00EB0495">
        <w:rPr>
          <w:rFonts w:ascii="Arial" w:eastAsia="Calibri" w:hAnsi="Arial" w:cs="Arial"/>
          <w:bCs/>
          <w:sz w:val="24"/>
          <w:szCs w:val="24"/>
          <w:lang w:val="en-US"/>
        </w:rPr>
        <w:t>In conclusion, o</w:t>
      </w:r>
      <w:r w:rsidR="003F30EE" w:rsidRPr="00EB0495">
        <w:rPr>
          <w:rFonts w:ascii="Arial" w:eastAsia="Calibri" w:hAnsi="Arial" w:cs="Arial"/>
          <w:bCs/>
          <w:sz w:val="24"/>
          <w:szCs w:val="24"/>
          <w:lang w:val="en-US"/>
        </w:rPr>
        <w:t>ur results are consistent with</w:t>
      </w:r>
      <w:r w:rsidR="00A45E80" w:rsidRPr="00EB0495">
        <w:rPr>
          <w:rFonts w:ascii="Arial" w:eastAsia="Calibri" w:hAnsi="Arial" w:cs="Arial"/>
          <w:bCs/>
          <w:sz w:val="24"/>
          <w:szCs w:val="24"/>
          <w:lang w:val="en-US"/>
        </w:rPr>
        <w:t xml:space="preserve"> previous</w:t>
      </w:r>
      <w:r w:rsidR="001A70AB" w:rsidRPr="00EB0495">
        <w:rPr>
          <w:rFonts w:ascii="Arial" w:eastAsia="Calibri" w:hAnsi="Arial" w:cs="Arial"/>
          <w:bCs/>
          <w:sz w:val="24"/>
          <w:szCs w:val="24"/>
          <w:lang w:val="en-US"/>
        </w:rPr>
        <w:t xml:space="preserve"> studies that found a </w:t>
      </w:r>
      <w:r w:rsidR="00446AF6" w:rsidRPr="00EB0495">
        <w:rPr>
          <w:rFonts w:ascii="Arial" w:eastAsia="Calibri" w:hAnsi="Arial" w:cs="Arial"/>
          <w:bCs/>
          <w:sz w:val="24"/>
          <w:szCs w:val="24"/>
          <w:lang w:val="en-US"/>
        </w:rPr>
        <w:t>particularly poor</w:t>
      </w:r>
      <w:r w:rsidR="00A45E80" w:rsidRPr="00EB0495">
        <w:rPr>
          <w:rFonts w:ascii="Arial" w:eastAsia="Calibri" w:hAnsi="Arial" w:cs="Arial"/>
          <w:bCs/>
          <w:sz w:val="24"/>
          <w:szCs w:val="24"/>
          <w:lang w:val="en-US"/>
        </w:rPr>
        <w:t xml:space="preserve"> outlook for patients with FL who suffer </w:t>
      </w:r>
      <w:r w:rsidR="00C4371C" w:rsidRPr="00EB0495">
        <w:rPr>
          <w:rFonts w:ascii="Arial" w:eastAsia="Calibri" w:hAnsi="Arial" w:cs="Arial"/>
          <w:bCs/>
          <w:sz w:val="24"/>
          <w:szCs w:val="24"/>
          <w:lang w:val="en-US"/>
        </w:rPr>
        <w:t>PD</w:t>
      </w:r>
      <w:r w:rsidR="00A45E80" w:rsidRPr="00EB0495">
        <w:rPr>
          <w:rFonts w:ascii="Arial" w:eastAsia="Calibri" w:hAnsi="Arial" w:cs="Arial"/>
          <w:bCs/>
          <w:sz w:val="24"/>
          <w:szCs w:val="24"/>
          <w:lang w:val="en-US"/>
        </w:rPr>
        <w:t xml:space="preserve"> within 24 months of </w:t>
      </w:r>
      <w:r w:rsidR="001A70AB" w:rsidRPr="00EB0495">
        <w:rPr>
          <w:rFonts w:ascii="Arial" w:eastAsia="Calibri" w:hAnsi="Arial" w:cs="Arial"/>
          <w:bCs/>
          <w:sz w:val="24"/>
          <w:szCs w:val="24"/>
          <w:lang w:val="en-US"/>
        </w:rPr>
        <w:t xml:space="preserve">starting </w:t>
      </w:r>
      <w:r w:rsidR="00A45E80" w:rsidRPr="00EB0495">
        <w:rPr>
          <w:rFonts w:ascii="Arial" w:eastAsia="Calibri" w:hAnsi="Arial" w:cs="Arial"/>
          <w:bCs/>
          <w:sz w:val="24"/>
          <w:szCs w:val="24"/>
          <w:lang w:val="en-US"/>
        </w:rPr>
        <w:t>immunochemotherapy</w:t>
      </w:r>
      <w:r w:rsidR="000D7A98" w:rsidRPr="00EB0495">
        <w:rPr>
          <w:rFonts w:ascii="Arial" w:eastAsia="Calibri" w:hAnsi="Arial" w:cs="Arial"/>
          <w:bCs/>
          <w:sz w:val="24"/>
          <w:szCs w:val="24"/>
          <w:lang w:val="en-US"/>
        </w:rPr>
        <w:t>, and additionally</w:t>
      </w:r>
      <w:r w:rsidR="001A70AB" w:rsidRPr="00EB0495">
        <w:rPr>
          <w:rFonts w:ascii="Arial" w:eastAsia="Calibri" w:hAnsi="Arial" w:cs="Arial"/>
          <w:bCs/>
          <w:sz w:val="24"/>
          <w:szCs w:val="24"/>
          <w:lang w:val="en-US"/>
        </w:rPr>
        <w:t xml:space="preserve"> </w:t>
      </w:r>
      <w:r w:rsidR="00A45E80" w:rsidRPr="00EB0495">
        <w:rPr>
          <w:rFonts w:ascii="Arial" w:eastAsia="Calibri" w:hAnsi="Arial" w:cs="Arial"/>
          <w:bCs/>
          <w:sz w:val="24"/>
          <w:szCs w:val="24"/>
          <w:lang w:val="en-US"/>
        </w:rPr>
        <w:t>further refine this observation</w:t>
      </w:r>
      <w:r w:rsidR="001A70AB" w:rsidRPr="00EB0495">
        <w:rPr>
          <w:rFonts w:ascii="Arial" w:eastAsia="Calibri" w:hAnsi="Arial" w:cs="Arial"/>
          <w:bCs/>
          <w:sz w:val="24"/>
          <w:szCs w:val="24"/>
          <w:lang w:val="en-US"/>
        </w:rPr>
        <w:t xml:space="preserve"> by</w:t>
      </w:r>
      <w:r w:rsidR="00A45E80" w:rsidRPr="00EB0495">
        <w:rPr>
          <w:rFonts w:ascii="Arial" w:eastAsia="Calibri" w:hAnsi="Arial" w:cs="Arial"/>
          <w:bCs/>
          <w:sz w:val="24"/>
          <w:szCs w:val="24"/>
          <w:lang w:val="en-US"/>
        </w:rPr>
        <w:t xml:space="preserve"> showing that there is a gradation of prognosis even within the POD24 subset</w:t>
      </w:r>
      <w:r w:rsidR="00E67A36" w:rsidRPr="00EB0495">
        <w:rPr>
          <w:rFonts w:ascii="Arial" w:eastAsia="Calibri" w:hAnsi="Arial" w:cs="Arial"/>
          <w:bCs/>
          <w:sz w:val="24"/>
          <w:szCs w:val="24"/>
          <w:lang w:val="en-US"/>
        </w:rPr>
        <w:t>,</w:t>
      </w:r>
      <w:r w:rsidR="00A45E80" w:rsidRPr="00EB0495">
        <w:rPr>
          <w:rFonts w:ascii="Arial" w:eastAsia="Calibri" w:hAnsi="Arial" w:cs="Arial"/>
          <w:bCs/>
          <w:sz w:val="24"/>
          <w:szCs w:val="24"/>
          <w:lang w:val="en-US"/>
        </w:rPr>
        <w:t xml:space="preserve"> with earlier events </w:t>
      </w:r>
      <w:r w:rsidR="001A70AB" w:rsidRPr="00EB0495">
        <w:rPr>
          <w:rFonts w:ascii="Arial" w:eastAsia="Calibri" w:hAnsi="Arial" w:cs="Arial"/>
          <w:bCs/>
          <w:sz w:val="24"/>
          <w:szCs w:val="24"/>
          <w:lang w:val="en-US"/>
        </w:rPr>
        <w:t xml:space="preserve">predicting </w:t>
      </w:r>
      <w:r w:rsidR="00A45E80" w:rsidRPr="00EB0495">
        <w:rPr>
          <w:rFonts w:ascii="Arial" w:eastAsia="Calibri" w:hAnsi="Arial" w:cs="Arial"/>
          <w:bCs/>
          <w:sz w:val="24"/>
          <w:szCs w:val="24"/>
          <w:lang w:val="en-US"/>
        </w:rPr>
        <w:t>more adverse</w:t>
      </w:r>
      <w:r w:rsidR="001A70AB" w:rsidRPr="00EB0495">
        <w:rPr>
          <w:rFonts w:ascii="Arial" w:eastAsia="Calibri" w:hAnsi="Arial" w:cs="Arial"/>
          <w:bCs/>
          <w:sz w:val="24"/>
          <w:szCs w:val="24"/>
          <w:lang w:val="en-US"/>
        </w:rPr>
        <w:t xml:space="preserve"> outcomes</w:t>
      </w:r>
      <w:r w:rsidR="00A45E80" w:rsidRPr="00EB0495">
        <w:rPr>
          <w:rFonts w:ascii="Arial" w:eastAsia="Calibri" w:hAnsi="Arial" w:cs="Arial"/>
          <w:bCs/>
          <w:sz w:val="24"/>
          <w:szCs w:val="24"/>
          <w:lang w:val="en-US"/>
        </w:rPr>
        <w:t xml:space="preserve">. </w:t>
      </w:r>
      <w:r w:rsidR="00446AF6" w:rsidRPr="00EB0495">
        <w:rPr>
          <w:rFonts w:ascii="Arial" w:eastAsia="Calibri" w:hAnsi="Arial" w:cs="Arial"/>
          <w:bCs/>
          <w:sz w:val="24"/>
          <w:szCs w:val="24"/>
          <w:lang w:val="en-US"/>
        </w:rPr>
        <w:t xml:space="preserve">We observed that patients receiving </w:t>
      </w:r>
      <w:r w:rsidR="006820FD" w:rsidRPr="00EB0495">
        <w:rPr>
          <w:rFonts w:ascii="Arial" w:eastAsia="Calibri" w:hAnsi="Arial" w:cs="Arial"/>
          <w:bCs/>
          <w:sz w:val="24"/>
          <w:szCs w:val="24"/>
          <w:lang w:val="en-US"/>
        </w:rPr>
        <w:t>G</w:t>
      </w:r>
      <w:r w:rsidR="000C7EB1" w:rsidRPr="00EB0495">
        <w:rPr>
          <w:rFonts w:ascii="Arial" w:eastAsia="Calibri" w:hAnsi="Arial" w:cs="Arial"/>
          <w:bCs/>
          <w:sz w:val="24"/>
          <w:szCs w:val="24"/>
          <w:lang w:val="en-US"/>
        </w:rPr>
        <w:t>-based</w:t>
      </w:r>
      <w:r w:rsidR="00446AF6" w:rsidRPr="00EB0495">
        <w:rPr>
          <w:rFonts w:ascii="Arial" w:eastAsia="Calibri" w:hAnsi="Arial" w:cs="Arial"/>
          <w:bCs/>
          <w:sz w:val="24"/>
          <w:szCs w:val="24"/>
          <w:lang w:val="en-US"/>
        </w:rPr>
        <w:t xml:space="preserve"> </w:t>
      </w:r>
      <w:r w:rsidR="00A45E80" w:rsidRPr="00EB0495">
        <w:rPr>
          <w:rFonts w:ascii="Arial" w:eastAsia="Calibri" w:hAnsi="Arial" w:cs="Arial"/>
          <w:bCs/>
          <w:sz w:val="24"/>
          <w:szCs w:val="24"/>
          <w:lang w:val="en-US"/>
        </w:rPr>
        <w:t xml:space="preserve">treatment </w:t>
      </w:r>
      <w:r w:rsidR="00446AF6" w:rsidRPr="00EB0495">
        <w:rPr>
          <w:rFonts w:ascii="Arial" w:eastAsia="Calibri" w:hAnsi="Arial" w:cs="Arial"/>
          <w:bCs/>
          <w:sz w:val="24"/>
          <w:szCs w:val="24"/>
          <w:lang w:val="en-US"/>
        </w:rPr>
        <w:t>have</w:t>
      </w:r>
      <w:r w:rsidR="003F30EE" w:rsidRPr="00EB0495">
        <w:rPr>
          <w:rFonts w:ascii="Arial" w:eastAsia="Calibri" w:hAnsi="Arial" w:cs="Arial"/>
          <w:bCs/>
          <w:sz w:val="24"/>
          <w:szCs w:val="24"/>
          <w:lang w:val="en-US"/>
        </w:rPr>
        <w:t xml:space="preserve"> </w:t>
      </w:r>
      <w:r w:rsidR="00A45E80" w:rsidRPr="00EB0495">
        <w:rPr>
          <w:rFonts w:ascii="Arial" w:eastAsia="Calibri" w:hAnsi="Arial" w:cs="Arial"/>
          <w:bCs/>
          <w:sz w:val="24"/>
          <w:szCs w:val="24"/>
          <w:lang w:val="en-US"/>
        </w:rPr>
        <w:t xml:space="preserve">a much </w:t>
      </w:r>
      <w:r w:rsidR="001A70AB" w:rsidRPr="00EB0495">
        <w:rPr>
          <w:rFonts w:ascii="Arial" w:eastAsia="Calibri" w:hAnsi="Arial" w:cs="Arial"/>
          <w:bCs/>
          <w:sz w:val="24"/>
          <w:szCs w:val="24"/>
          <w:lang w:val="en-US"/>
        </w:rPr>
        <w:t xml:space="preserve">lower </w:t>
      </w:r>
      <w:r w:rsidR="00A45E80" w:rsidRPr="00EB0495">
        <w:rPr>
          <w:rFonts w:ascii="Arial" w:eastAsia="Calibri" w:hAnsi="Arial" w:cs="Arial"/>
          <w:bCs/>
          <w:sz w:val="24"/>
          <w:szCs w:val="24"/>
          <w:lang w:val="en-US"/>
        </w:rPr>
        <w:t xml:space="preserve">POD24 rate </w:t>
      </w:r>
      <w:r w:rsidR="001A70AB" w:rsidRPr="00EB0495">
        <w:rPr>
          <w:rFonts w:ascii="Arial" w:eastAsia="Calibri" w:hAnsi="Arial" w:cs="Arial"/>
          <w:bCs/>
          <w:sz w:val="24"/>
          <w:szCs w:val="24"/>
          <w:lang w:val="en-US"/>
        </w:rPr>
        <w:t xml:space="preserve">than </w:t>
      </w:r>
      <w:r w:rsidR="00446AF6" w:rsidRPr="00EB0495">
        <w:rPr>
          <w:rFonts w:ascii="Arial" w:eastAsia="Calibri" w:hAnsi="Arial" w:cs="Arial"/>
          <w:bCs/>
          <w:sz w:val="24"/>
          <w:szCs w:val="24"/>
          <w:lang w:val="en-US"/>
        </w:rPr>
        <w:t xml:space="preserve">those receiving </w:t>
      </w:r>
      <w:r w:rsidR="006820FD" w:rsidRPr="00EB0495">
        <w:rPr>
          <w:rFonts w:ascii="Arial" w:eastAsia="Calibri" w:hAnsi="Arial" w:cs="Arial"/>
          <w:bCs/>
          <w:sz w:val="24"/>
          <w:szCs w:val="24"/>
          <w:lang w:val="en-US"/>
        </w:rPr>
        <w:t>R</w:t>
      </w:r>
      <w:r w:rsidR="000C7EB1" w:rsidRPr="00EB0495">
        <w:rPr>
          <w:rFonts w:ascii="Arial" w:eastAsia="Calibri" w:hAnsi="Arial" w:cs="Arial"/>
          <w:bCs/>
          <w:sz w:val="24"/>
          <w:szCs w:val="24"/>
          <w:lang w:val="en-US"/>
        </w:rPr>
        <w:t>-based</w:t>
      </w:r>
      <w:r w:rsidR="001A70AB" w:rsidRPr="00EB0495">
        <w:rPr>
          <w:rFonts w:ascii="Arial" w:eastAsia="Calibri" w:hAnsi="Arial" w:cs="Arial"/>
          <w:bCs/>
          <w:sz w:val="24"/>
          <w:szCs w:val="24"/>
          <w:lang w:val="en-US"/>
        </w:rPr>
        <w:t xml:space="preserve"> treatment; this </w:t>
      </w:r>
      <w:r w:rsidR="00A45E80" w:rsidRPr="00EB0495">
        <w:rPr>
          <w:rFonts w:ascii="Arial" w:eastAsia="Calibri" w:hAnsi="Arial" w:cs="Arial"/>
          <w:bCs/>
          <w:sz w:val="24"/>
          <w:szCs w:val="24"/>
          <w:lang w:val="en-US"/>
        </w:rPr>
        <w:t xml:space="preserve">supports the contention that </w:t>
      </w:r>
      <w:r w:rsidR="00446AF6" w:rsidRPr="00EB0495">
        <w:rPr>
          <w:rFonts w:ascii="Arial" w:eastAsia="Calibri" w:hAnsi="Arial" w:cs="Arial"/>
          <w:bCs/>
          <w:sz w:val="24"/>
          <w:szCs w:val="24"/>
          <w:lang w:val="en-US"/>
        </w:rPr>
        <w:t xml:space="preserve">more effective first-line </w:t>
      </w:r>
      <w:r w:rsidR="00C24DFE" w:rsidRPr="00EB0495">
        <w:rPr>
          <w:rFonts w:ascii="Arial" w:eastAsia="Calibri" w:hAnsi="Arial" w:cs="Arial"/>
          <w:bCs/>
          <w:sz w:val="24"/>
          <w:szCs w:val="24"/>
          <w:lang w:val="en-US"/>
        </w:rPr>
        <w:t>treatment</w:t>
      </w:r>
      <w:r w:rsidR="00446AF6" w:rsidRPr="00EB0495">
        <w:rPr>
          <w:rFonts w:ascii="Arial" w:eastAsia="Calibri" w:hAnsi="Arial" w:cs="Arial"/>
          <w:bCs/>
          <w:sz w:val="24"/>
          <w:szCs w:val="24"/>
          <w:lang w:val="en-US"/>
        </w:rPr>
        <w:t xml:space="preserve"> that</w:t>
      </w:r>
      <w:r w:rsidR="00A45E80" w:rsidRPr="00EB0495">
        <w:rPr>
          <w:rFonts w:ascii="Arial" w:eastAsia="Calibri" w:hAnsi="Arial" w:cs="Arial"/>
          <w:bCs/>
          <w:sz w:val="24"/>
          <w:szCs w:val="24"/>
          <w:lang w:val="en-US"/>
        </w:rPr>
        <w:t xml:space="preserve"> reduce</w:t>
      </w:r>
      <w:r w:rsidR="00543709" w:rsidRPr="00EB0495">
        <w:rPr>
          <w:rFonts w:ascii="Arial" w:eastAsia="Calibri" w:hAnsi="Arial" w:cs="Arial"/>
          <w:bCs/>
          <w:sz w:val="24"/>
          <w:szCs w:val="24"/>
          <w:lang w:val="en-US"/>
        </w:rPr>
        <w:t>s</w:t>
      </w:r>
      <w:r w:rsidR="00A45E80" w:rsidRPr="00EB0495">
        <w:rPr>
          <w:rFonts w:ascii="Arial" w:eastAsia="Calibri" w:hAnsi="Arial" w:cs="Arial"/>
          <w:bCs/>
          <w:sz w:val="24"/>
          <w:szCs w:val="24"/>
          <w:lang w:val="en-US"/>
        </w:rPr>
        <w:t xml:space="preserve"> </w:t>
      </w:r>
      <w:r w:rsidR="001A70AB" w:rsidRPr="00EB0495">
        <w:rPr>
          <w:rFonts w:ascii="Arial" w:eastAsia="Calibri" w:hAnsi="Arial" w:cs="Arial"/>
          <w:bCs/>
          <w:sz w:val="24"/>
          <w:szCs w:val="24"/>
          <w:lang w:val="en-US"/>
        </w:rPr>
        <w:t xml:space="preserve">the </w:t>
      </w:r>
      <w:r w:rsidR="00A45E80" w:rsidRPr="00EB0495">
        <w:rPr>
          <w:rFonts w:ascii="Arial" w:eastAsia="Calibri" w:hAnsi="Arial" w:cs="Arial"/>
          <w:bCs/>
          <w:sz w:val="24"/>
          <w:szCs w:val="24"/>
          <w:lang w:val="en-US"/>
        </w:rPr>
        <w:t xml:space="preserve">POD24 rate </w:t>
      </w:r>
      <w:r w:rsidR="00934A66" w:rsidRPr="00EB0495">
        <w:rPr>
          <w:rFonts w:ascii="Arial" w:eastAsia="Calibri" w:hAnsi="Arial" w:cs="Arial"/>
          <w:bCs/>
          <w:sz w:val="24"/>
          <w:szCs w:val="24"/>
          <w:lang w:val="en-US"/>
        </w:rPr>
        <w:t xml:space="preserve">may </w:t>
      </w:r>
      <w:r w:rsidR="00A45E80" w:rsidRPr="00EB0495">
        <w:rPr>
          <w:rFonts w:ascii="Arial" w:eastAsia="Calibri" w:hAnsi="Arial" w:cs="Arial"/>
          <w:bCs/>
          <w:sz w:val="24"/>
          <w:szCs w:val="24"/>
          <w:lang w:val="en-US"/>
        </w:rPr>
        <w:t>yield long-term benefit</w:t>
      </w:r>
      <w:r w:rsidR="001A70AB" w:rsidRPr="00EB0495">
        <w:rPr>
          <w:rFonts w:ascii="Arial" w:eastAsia="Calibri" w:hAnsi="Arial" w:cs="Arial"/>
          <w:bCs/>
          <w:sz w:val="24"/>
          <w:szCs w:val="24"/>
          <w:lang w:val="en-US"/>
        </w:rPr>
        <w:t xml:space="preserve">. Our analysis also </w:t>
      </w:r>
      <w:r w:rsidR="00A45E80" w:rsidRPr="00EB0495">
        <w:rPr>
          <w:rFonts w:ascii="Arial" w:eastAsia="Calibri" w:hAnsi="Arial" w:cs="Arial"/>
          <w:bCs/>
          <w:sz w:val="24"/>
          <w:szCs w:val="24"/>
          <w:lang w:val="en-US"/>
        </w:rPr>
        <w:t>add</w:t>
      </w:r>
      <w:r w:rsidR="001A70AB" w:rsidRPr="00EB0495">
        <w:rPr>
          <w:rFonts w:ascii="Arial" w:eastAsia="Calibri" w:hAnsi="Arial" w:cs="Arial"/>
          <w:bCs/>
          <w:sz w:val="24"/>
          <w:szCs w:val="24"/>
          <w:lang w:val="en-US"/>
        </w:rPr>
        <w:t xml:space="preserve">s </w:t>
      </w:r>
      <w:r w:rsidR="00A45E80" w:rsidRPr="00EB0495">
        <w:rPr>
          <w:rFonts w:ascii="Arial" w:eastAsia="Calibri" w:hAnsi="Arial" w:cs="Arial"/>
          <w:bCs/>
          <w:sz w:val="24"/>
          <w:szCs w:val="24"/>
          <w:lang w:val="en-US"/>
        </w:rPr>
        <w:t>to the weight of data supporting the use of POD24 rate as a</w:t>
      </w:r>
      <w:r w:rsidR="000C7EB1" w:rsidRPr="00EB0495">
        <w:rPr>
          <w:rFonts w:ascii="Arial" w:eastAsia="Calibri" w:hAnsi="Arial" w:cs="Arial"/>
          <w:bCs/>
          <w:sz w:val="24"/>
          <w:szCs w:val="24"/>
          <w:lang w:val="en-US"/>
        </w:rPr>
        <w:t>n</w:t>
      </w:r>
      <w:r w:rsidR="00A45E80" w:rsidRPr="00EB0495">
        <w:rPr>
          <w:rFonts w:ascii="Arial" w:eastAsia="Calibri" w:hAnsi="Arial" w:cs="Arial"/>
          <w:bCs/>
          <w:sz w:val="24"/>
          <w:szCs w:val="24"/>
          <w:lang w:val="en-US"/>
        </w:rPr>
        <w:t xml:space="preserve"> efficacy endpoint for future clinical trials in </w:t>
      </w:r>
      <w:r w:rsidR="007F640D" w:rsidRPr="00EB0495">
        <w:rPr>
          <w:rFonts w:ascii="Arial" w:eastAsia="Calibri" w:hAnsi="Arial" w:cs="Arial"/>
          <w:bCs/>
          <w:sz w:val="24"/>
          <w:szCs w:val="24"/>
          <w:lang w:val="en-US"/>
        </w:rPr>
        <w:t xml:space="preserve">patients with </w:t>
      </w:r>
      <w:r w:rsidR="001A70AB" w:rsidRPr="00EB0495">
        <w:rPr>
          <w:rFonts w:ascii="Arial" w:eastAsia="Calibri" w:hAnsi="Arial" w:cs="Arial"/>
          <w:bCs/>
          <w:sz w:val="24"/>
          <w:szCs w:val="24"/>
          <w:lang w:val="en-US"/>
        </w:rPr>
        <w:t xml:space="preserve">previously untreated </w:t>
      </w:r>
      <w:r w:rsidR="00A45E80" w:rsidRPr="00EB0495">
        <w:rPr>
          <w:rFonts w:ascii="Arial" w:eastAsia="Calibri" w:hAnsi="Arial" w:cs="Arial"/>
          <w:bCs/>
          <w:sz w:val="24"/>
          <w:szCs w:val="24"/>
          <w:lang w:val="en-US"/>
        </w:rPr>
        <w:t>FL.</w:t>
      </w:r>
    </w:p>
    <w:p w14:paraId="3598E26C" w14:textId="77777777" w:rsidR="00EB1B6E" w:rsidRPr="00EB0495" w:rsidRDefault="00EB1B6E" w:rsidP="0004127F">
      <w:pPr>
        <w:keepNext/>
        <w:spacing w:after="240"/>
        <w:rPr>
          <w:rFonts w:ascii="Arial" w:eastAsia="Calibri" w:hAnsi="Arial" w:cs="Arial"/>
          <w:bCs/>
          <w:sz w:val="24"/>
          <w:szCs w:val="24"/>
          <w:lang w:val="en-US"/>
        </w:rPr>
      </w:pPr>
    </w:p>
    <w:p w14:paraId="0B9933B7" w14:textId="0A51A9F8" w:rsidR="00EB1B6E" w:rsidRPr="00EB0495" w:rsidRDefault="00F506E5" w:rsidP="00EB1B6E">
      <w:pPr>
        <w:autoSpaceDE w:val="0"/>
        <w:autoSpaceDN w:val="0"/>
        <w:adjustRightInd w:val="0"/>
        <w:spacing w:before="240" w:after="120"/>
        <w:rPr>
          <w:rFonts w:ascii="Arial" w:eastAsia="Calibri" w:hAnsi="Arial" w:cs="Arial"/>
          <w:b/>
          <w:i/>
          <w:sz w:val="24"/>
          <w:lang w:val="en-US"/>
        </w:rPr>
      </w:pPr>
      <w:r w:rsidRPr="00EB0495">
        <w:rPr>
          <w:rFonts w:ascii="Arial" w:eastAsia="Calibri" w:hAnsi="Arial" w:cs="Arial"/>
          <w:b/>
          <w:i/>
          <w:sz w:val="24"/>
          <w:lang w:val="en-US"/>
        </w:rPr>
        <w:t>ACKNOWLEDGMENTS</w:t>
      </w:r>
    </w:p>
    <w:p w14:paraId="0F61BCC3" w14:textId="47E5992D" w:rsidR="00EB1B6E" w:rsidRPr="00EB0495" w:rsidRDefault="00EB1B6E" w:rsidP="00EB1B6E">
      <w:pPr>
        <w:autoSpaceDE w:val="0"/>
        <w:autoSpaceDN w:val="0"/>
        <w:adjustRightInd w:val="0"/>
        <w:spacing w:after="120"/>
        <w:ind w:firstLine="720"/>
        <w:rPr>
          <w:rFonts w:ascii="Arial" w:hAnsi="Arial" w:cs="Arial"/>
          <w:sz w:val="24"/>
          <w:lang w:val="en-US"/>
        </w:rPr>
      </w:pPr>
      <w:r w:rsidRPr="00EB0495">
        <w:rPr>
          <w:rFonts w:ascii="Arial" w:eastAsia="Calibri" w:hAnsi="Arial" w:cs="Arial"/>
          <w:sz w:val="24"/>
          <w:lang w:val="en-US"/>
        </w:rPr>
        <w:t xml:space="preserve">The authors would like to thank all </w:t>
      </w:r>
      <w:r w:rsidR="00274F7D" w:rsidRPr="00EB0495">
        <w:rPr>
          <w:rFonts w:ascii="Arial" w:eastAsia="Calibri" w:hAnsi="Arial" w:cs="Arial"/>
          <w:sz w:val="24"/>
          <w:lang w:val="en-US"/>
        </w:rPr>
        <w:t xml:space="preserve">of </w:t>
      </w:r>
      <w:r w:rsidRPr="00EB0495">
        <w:rPr>
          <w:rFonts w:ascii="Arial" w:eastAsia="Calibri" w:hAnsi="Arial" w:cs="Arial"/>
          <w:sz w:val="24"/>
          <w:lang w:val="en-US"/>
        </w:rPr>
        <w:t>the pati</w:t>
      </w:r>
      <w:r w:rsidRPr="00EB0495">
        <w:rPr>
          <w:rFonts w:ascii="Arial" w:hAnsi="Arial" w:cs="Arial"/>
          <w:sz w:val="24"/>
          <w:lang w:val="en-US"/>
        </w:rPr>
        <w:t xml:space="preserve">ents who participated in the GALLIUM </w:t>
      </w:r>
      <w:r w:rsidRPr="00EB0495">
        <w:rPr>
          <w:rFonts w:ascii="Arial" w:eastAsia="Calibri" w:hAnsi="Arial" w:cs="Arial"/>
          <w:sz w:val="24"/>
          <w:lang w:val="en-US"/>
        </w:rPr>
        <w:t xml:space="preserve">study, and acknowledge all of the study investigators and their staff as well as the </w:t>
      </w:r>
      <w:r w:rsidRPr="00EB0495">
        <w:rPr>
          <w:rFonts w:ascii="Arial" w:hAnsi="Arial" w:cs="Arial"/>
          <w:sz w:val="24"/>
          <w:lang w:val="en-US"/>
        </w:rPr>
        <w:t xml:space="preserve">GALLIUM study team. </w:t>
      </w:r>
      <w:r w:rsidRPr="00EB0495">
        <w:rPr>
          <w:rFonts w:ascii="Arial" w:eastAsia="Calibri" w:hAnsi="Arial" w:cs="Arial"/>
          <w:sz w:val="24"/>
          <w:lang w:val="en-US"/>
        </w:rPr>
        <w:t xml:space="preserve">Third-party medical writing assistance, under the direction of </w:t>
      </w:r>
      <w:r w:rsidRPr="00EB0495">
        <w:rPr>
          <w:rFonts w:ascii="Arial" w:hAnsi="Arial" w:cs="Arial"/>
          <w:sz w:val="24"/>
          <w:lang w:val="en-US"/>
        </w:rPr>
        <w:t>John Seymour</w:t>
      </w:r>
      <w:r w:rsidRPr="00EB0495">
        <w:rPr>
          <w:rFonts w:ascii="Arial" w:eastAsia="Calibri" w:hAnsi="Arial" w:cs="Arial"/>
          <w:sz w:val="24"/>
          <w:lang w:val="en-US"/>
        </w:rPr>
        <w:t>, was provided by Roger Nutter</w:t>
      </w:r>
      <w:r w:rsidR="00274F7D" w:rsidRPr="00EB0495">
        <w:rPr>
          <w:rFonts w:ascii="Arial" w:eastAsia="Calibri" w:hAnsi="Arial" w:cs="Arial"/>
          <w:sz w:val="24"/>
          <w:lang w:val="en-US"/>
        </w:rPr>
        <w:t>,</w:t>
      </w:r>
      <w:r w:rsidRPr="00EB0495">
        <w:rPr>
          <w:rFonts w:ascii="Arial" w:eastAsia="Calibri" w:hAnsi="Arial" w:cs="Arial"/>
          <w:sz w:val="24"/>
          <w:lang w:val="en-US"/>
        </w:rPr>
        <w:t xml:space="preserve"> Scott Malkin</w:t>
      </w:r>
      <w:r w:rsidR="00274F7D" w:rsidRPr="00EB0495">
        <w:rPr>
          <w:rFonts w:ascii="Arial" w:eastAsia="Calibri" w:hAnsi="Arial" w:cs="Arial"/>
          <w:sz w:val="24"/>
          <w:lang w:val="en-US"/>
        </w:rPr>
        <w:t xml:space="preserve"> and Helen Cathro</w:t>
      </w:r>
      <w:r w:rsidRPr="00EB0495">
        <w:rPr>
          <w:rFonts w:ascii="Arial" w:eastAsia="Calibri" w:hAnsi="Arial" w:cs="Arial"/>
          <w:sz w:val="24"/>
          <w:lang w:val="en-US"/>
        </w:rPr>
        <w:t xml:space="preserve"> of Gardiner-Caldwell Communications, and was funded by F. Hoffmann-La Roche Ltd.</w:t>
      </w:r>
    </w:p>
    <w:p w14:paraId="10AACD7D" w14:textId="77777777" w:rsidR="007733FE" w:rsidRPr="00EB0495" w:rsidRDefault="007733FE" w:rsidP="00990A03">
      <w:pPr>
        <w:spacing w:after="240"/>
        <w:rPr>
          <w:rFonts w:ascii="Arial" w:eastAsia="Calibri" w:hAnsi="Arial" w:cs="Arial"/>
          <w:b/>
          <w:bCs/>
          <w:sz w:val="24"/>
          <w:szCs w:val="20"/>
          <w:lang w:val="fr-FR"/>
        </w:rPr>
      </w:pPr>
    </w:p>
    <w:p w14:paraId="0034B17C" w14:textId="193321E8" w:rsidR="00990A03" w:rsidRPr="00EB0495" w:rsidRDefault="00990A03" w:rsidP="00990A03">
      <w:pPr>
        <w:spacing w:after="240"/>
        <w:rPr>
          <w:rFonts w:ascii="Arial" w:eastAsia="Calibri" w:hAnsi="Arial" w:cs="Arial"/>
          <w:b/>
          <w:bCs/>
          <w:sz w:val="24"/>
          <w:szCs w:val="20"/>
          <w:lang w:val="fr-FR"/>
        </w:rPr>
      </w:pPr>
      <w:r w:rsidRPr="00EB0495">
        <w:rPr>
          <w:rFonts w:ascii="Arial" w:eastAsia="Calibri" w:hAnsi="Arial" w:cs="Arial"/>
          <w:b/>
          <w:bCs/>
          <w:sz w:val="24"/>
          <w:szCs w:val="20"/>
          <w:lang w:val="fr-FR"/>
        </w:rPr>
        <w:lastRenderedPageBreak/>
        <w:t>REFERENCES</w:t>
      </w:r>
    </w:p>
    <w:p w14:paraId="008996BA" w14:textId="1D7440B6" w:rsidR="00990A03" w:rsidRPr="00EB0495" w:rsidRDefault="00990A03" w:rsidP="00990A03">
      <w:pPr>
        <w:pStyle w:val="ListParagraph"/>
        <w:numPr>
          <w:ilvl w:val="0"/>
          <w:numId w:val="23"/>
        </w:numPr>
        <w:spacing w:after="240"/>
        <w:ind w:left="709" w:hanging="349"/>
        <w:rPr>
          <w:rFonts w:ascii="Arial" w:eastAsia="Calibri" w:hAnsi="Arial" w:cs="Arial"/>
          <w:sz w:val="24"/>
          <w:szCs w:val="20"/>
          <w:lang w:val="en-US"/>
        </w:rPr>
      </w:pPr>
      <w:r w:rsidRPr="00EB0495">
        <w:rPr>
          <w:rFonts w:ascii="Arial" w:eastAsia="Calibri" w:hAnsi="Arial" w:cs="Arial"/>
          <w:sz w:val="24"/>
          <w:szCs w:val="20"/>
          <w:lang w:val="en-US"/>
        </w:rPr>
        <w:t>Marcus R, Imrie K, Belch A, et al</w:t>
      </w:r>
      <w:r w:rsidR="00C40AC3" w:rsidRPr="00EB0495">
        <w:rPr>
          <w:rFonts w:ascii="Arial" w:eastAsia="Calibri" w:hAnsi="Arial" w:cs="Arial"/>
          <w:sz w:val="24"/>
          <w:szCs w:val="20"/>
          <w:lang w:val="en-US"/>
        </w:rPr>
        <w:t>.</w:t>
      </w:r>
      <w:r w:rsidRPr="00EB0495">
        <w:rPr>
          <w:rFonts w:ascii="Arial" w:eastAsia="Calibri" w:hAnsi="Arial" w:cs="Arial"/>
          <w:sz w:val="24"/>
          <w:szCs w:val="20"/>
          <w:lang w:val="en-US"/>
        </w:rPr>
        <w:t xml:space="preserve"> CVP chemotherapy plus rituximab compared with CVP as first-line treatment for advanced follicular lymphoma. Blood</w:t>
      </w:r>
      <w:r w:rsidR="00C40AC3" w:rsidRPr="00EB0495">
        <w:rPr>
          <w:rFonts w:ascii="Arial" w:eastAsia="Calibri" w:hAnsi="Arial" w:cs="Arial"/>
          <w:sz w:val="24"/>
          <w:szCs w:val="20"/>
          <w:lang w:val="en-US"/>
        </w:rPr>
        <w:t>.</w:t>
      </w:r>
      <w:r w:rsidRPr="00EB0495">
        <w:rPr>
          <w:rFonts w:ascii="Arial" w:eastAsia="Calibri" w:hAnsi="Arial" w:cs="Arial"/>
          <w:sz w:val="24"/>
          <w:szCs w:val="20"/>
          <w:lang w:val="en-US"/>
        </w:rPr>
        <w:t xml:space="preserve"> </w:t>
      </w:r>
      <w:r w:rsidR="00C40AC3" w:rsidRPr="00EB0495">
        <w:rPr>
          <w:rFonts w:ascii="Arial" w:eastAsia="Calibri" w:hAnsi="Arial" w:cs="Arial"/>
          <w:sz w:val="24"/>
          <w:szCs w:val="20"/>
          <w:lang w:val="en-US"/>
        </w:rPr>
        <w:t>2005;</w:t>
      </w:r>
      <w:r w:rsidRPr="00EB0495">
        <w:rPr>
          <w:rFonts w:ascii="Arial" w:eastAsia="Calibri" w:hAnsi="Arial" w:cs="Arial"/>
          <w:sz w:val="24"/>
          <w:szCs w:val="20"/>
          <w:lang w:val="en-US"/>
        </w:rPr>
        <w:t>105</w:t>
      </w:r>
      <w:r w:rsidR="00E512B5" w:rsidRPr="00EB0495">
        <w:rPr>
          <w:rFonts w:ascii="Arial" w:eastAsia="Calibri" w:hAnsi="Arial" w:cs="Arial"/>
          <w:sz w:val="24"/>
          <w:szCs w:val="20"/>
          <w:lang w:val="en-US"/>
        </w:rPr>
        <w:t>(4)</w:t>
      </w:r>
      <w:r w:rsidRPr="00EB0495">
        <w:rPr>
          <w:rFonts w:ascii="Arial" w:eastAsia="Calibri" w:hAnsi="Arial" w:cs="Arial"/>
          <w:sz w:val="24"/>
          <w:szCs w:val="20"/>
          <w:lang w:val="en-US"/>
        </w:rPr>
        <w:t>:1417-1423</w:t>
      </w:r>
      <w:r w:rsidR="00C40AC3" w:rsidRPr="00EB0495">
        <w:rPr>
          <w:rFonts w:ascii="Arial" w:eastAsia="Calibri" w:hAnsi="Arial" w:cs="Arial"/>
          <w:sz w:val="24"/>
          <w:szCs w:val="20"/>
          <w:lang w:val="en-US"/>
        </w:rPr>
        <w:t>.</w:t>
      </w:r>
    </w:p>
    <w:p w14:paraId="39680549" w14:textId="1D7778D8" w:rsidR="00990A03" w:rsidRPr="00EB0495" w:rsidRDefault="00990A03" w:rsidP="00990A03">
      <w:pPr>
        <w:pStyle w:val="ListParagraph"/>
        <w:numPr>
          <w:ilvl w:val="0"/>
          <w:numId w:val="23"/>
        </w:numPr>
        <w:spacing w:after="240"/>
        <w:rPr>
          <w:rFonts w:ascii="Arial" w:eastAsia="Calibri" w:hAnsi="Arial" w:cs="Arial"/>
          <w:sz w:val="24"/>
          <w:szCs w:val="20"/>
        </w:rPr>
      </w:pPr>
      <w:r w:rsidRPr="00EB0495">
        <w:rPr>
          <w:rFonts w:ascii="Arial" w:eastAsia="Calibri" w:hAnsi="Arial" w:cs="Arial"/>
          <w:sz w:val="24"/>
          <w:szCs w:val="20"/>
          <w:lang w:val="en-US"/>
        </w:rPr>
        <w:t>Press OW, Unger JM, Rimsza LM, et al</w:t>
      </w:r>
      <w:r w:rsidR="00C40AC3" w:rsidRPr="00EB0495">
        <w:rPr>
          <w:rFonts w:ascii="Arial" w:eastAsia="Calibri" w:hAnsi="Arial" w:cs="Arial"/>
          <w:sz w:val="24"/>
          <w:szCs w:val="20"/>
          <w:lang w:val="en-US"/>
        </w:rPr>
        <w:t>.</w:t>
      </w:r>
      <w:r w:rsidRPr="00EB0495">
        <w:rPr>
          <w:rFonts w:ascii="Arial" w:eastAsia="Calibri" w:hAnsi="Arial" w:cs="Arial"/>
          <w:sz w:val="24"/>
          <w:szCs w:val="20"/>
          <w:lang w:val="en-US"/>
        </w:rPr>
        <w:t xml:space="preserve"> Phase III randomized intergroup trial of CHOP plus rituximab compared with CHOP chemotherapy plus (131)iodine-tositumomab for previously untreated follicular non-Hodgkin lymphoma: SWOG S0016. </w:t>
      </w:r>
      <w:r w:rsidRPr="00EB0495">
        <w:rPr>
          <w:rFonts w:ascii="Arial" w:eastAsia="Calibri" w:hAnsi="Arial" w:cs="Arial"/>
          <w:sz w:val="24"/>
          <w:szCs w:val="20"/>
        </w:rPr>
        <w:t>J Clin Oncol</w:t>
      </w:r>
      <w:r w:rsidR="00C40AC3" w:rsidRPr="00EB0495">
        <w:rPr>
          <w:rFonts w:ascii="Arial" w:eastAsia="Calibri" w:hAnsi="Arial" w:cs="Arial"/>
          <w:sz w:val="24"/>
          <w:szCs w:val="20"/>
        </w:rPr>
        <w:t>. 2013;</w:t>
      </w:r>
      <w:r w:rsidRPr="00EB0495">
        <w:rPr>
          <w:rFonts w:ascii="Arial" w:eastAsia="Calibri" w:hAnsi="Arial" w:cs="Arial"/>
          <w:sz w:val="24"/>
          <w:szCs w:val="20"/>
        </w:rPr>
        <w:t>31</w:t>
      </w:r>
      <w:r w:rsidR="00E512B5" w:rsidRPr="00EB0495">
        <w:rPr>
          <w:rFonts w:ascii="Arial" w:eastAsia="Calibri" w:hAnsi="Arial" w:cs="Arial"/>
          <w:sz w:val="24"/>
          <w:szCs w:val="20"/>
        </w:rPr>
        <w:t>(3)</w:t>
      </w:r>
      <w:r w:rsidRPr="00EB0495">
        <w:rPr>
          <w:rFonts w:ascii="Arial" w:eastAsia="Calibri" w:hAnsi="Arial" w:cs="Arial"/>
          <w:sz w:val="24"/>
          <w:szCs w:val="20"/>
        </w:rPr>
        <w:t>:314-320</w:t>
      </w:r>
      <w:r w:rsidR="00C40AC3" w:rsidRPr="00EB0495">
        <w:rPr>
          <w:rFonts w:ascii="Arial" w:eastAsia="Calibri" w:hAnsi="Arial" w:cs="Arial"/>
          <w:sz w:val="24"/>
          <w:szCs w:val="20"/>
        </w:rPr>
        <w:t>.</w:t>
      </w:r>
    </w:p>
    <w:p w14:paraId="669F8DB5" w14:textId="1837C63D" w:rsidR="00990A03" w:rsidRPr="00EB0495" w:rsidRDefault="00990A03" w:rsidP="00990A03">
      <w:pPr>
        <w:pStyle w:val="ListParagraph"/>
        <w:numPr>
          <w:ilvl w:val="0"/>
          <w:numId w:val="23"/>
        </w:numPr>
        <w:spacing w:after="240"/>
        <w:rPr>
          <w:rFonts w:ascii="Arial" w:eastAsia="Calibri" w:hAnsi="Arial" w:cs="Arial"/>
          <w:sz w:val="24"/>
          <w:szCs w:val="20"/>
          <w:lang w:val="en-US"/>
        </w:rPr>
      </w:pPr>
      <w:r w:rsidRPr="00EB0495">
        <w:rPr>
          <w:rFonts w:ascii="Arial" w:eastAsia="Calibri" w:hAnsi="Arial" w:cs="Arial"/>
          <w:sz w:val="24"/>
          <w:szCs w:val="20"/>
        </w:rPr>
        <w:t xml:space="preserve">Rummel MJ, Niederle N, Maschmeyer G, et al: </w:t>
      </w:r>
      <w:r w:rsidRPr="00EB0495">
        <w:rPr>
          <w:rFonts w:ascii="Arial" w:eastAsia="Calibri" w:hAnsi="Arial" w:cs="Arial"/>
          <w:sz w:val="24"/>
          <w:szCs w:val="20"/>
          <w:lang w:val="en-US"/>
        </w:rPr>
        <w:t>Bendamustine plus rituximab versus CHOP plus rituximab as first-line treatment for patients with indolent and mantle-cell lymphomas: an open-label, multicentre, randomised, phase 3 non-inferiority trial. Lancet</w:t>
      </w:r>
      <w:r w:rsidR="00C40AC3" w:rsidRPr="00EB0495">
        <w:rPr>
          <w:rFonts w:ascii="Arial" w:eastAsia="Calibri" w:hAnsi="Arial" w:cs="Arial"/>
          <w:sz w:val="24"/>
          <w:szCs w:val="20"/>
          <w:lang w:val="en-US"/>
        </w:rPr>
        <w:t>. 2013;</w:t>
      </w:r>
      <w:r w:rsidRPr="00EB0495">
        <w:rPr>
          <w:rFonts w:ascii="Arial" w:eastAsia="Calibri" w:hAnsi="Arial" w:cs="Arial"/>
          <w:sz w:val="24"/>
          <w:szCs w:val="20"/>
          <w:lang w:val="en-US"/>
        </w:rPr>
        <w:t>381</w:t>
      </w:r>
      <w:r w:rsidR="00E512B5" w:rsidRPr="00EB0495">
        <w:rPr>
          <w:rFonts w:ascii="Arial" w:eastAsia="Calibri" w:hAnsi="Arial" w:cs="Arial"/>
          <w:sz w:val="24"/>
          <w:szCs w:val="20"/>
          <w:lang w:val="en-US"/>
        </w:rPr>
        <w:t>(9873)</w:t>
      </w:r>
      <w:r w:rsidRPr="00EB0495">
        <w:rPr>
          <w:rFonts w:ascii="Arial" w:eastAsia="Calibri" w:hAnsi="Arial" w:cs="Arial"/>
          <w:sz w:val="24"/>
          <w:szCs w:val="20"/>
          <w:lang w:val="en-US"/>
        </w:rPr>
        <w:t>:1203-1210</w:t>
      </w:r>
      <w:r w:rsidR="00C40AC3" w:rsidRPr="00EB0495">
        <w:rPr>
          <w:rFonts w:ascii="Arial" w:eastAsia="Calibri" w:hAnsi="Arial" w:cs="Arial"/>
          <w:sz w:val="24"/>
          <w:szCs w:val="20"/>
          <w:lang w:val="en-US"/>
        </w:rPr>
        <w:t>.</w:t>
      </w:r>
    </w:p>
    <w:p w14:paraId="120C4328" w14:textId="7561FA9C" w:rsidR="00990A03" w:rsidRPr="00EB0495" w:rsidRDefault="00990A03" w:rsidP="00990A03">
      <w:pPr>
        <w:pStyle w:val="ListParagraph"/>
        <w:numPr>
          <w:ilvl w:val="0"/>
          <w:numId w:val="23"/>
        </w:numPr>
        <w:spacing w:after="240"/>
        <w:rPr>
          <w:rFonts w:ascii="Arial" w:hAnsi="Arial" w:cs="Arial"/>
          <w:sz w:val="24"/>
          <w:lang w:val="fr-FR"/>
        </w:rPr>
      </w:pPr>
      <w:r w:rsidRPr="00EB0495">
        <w:rPr>
          <w:rFonts w:ascii="Arial" w:eastAsia="Calibri" w:hAnsi="Arial" w:cs="Arial"/>
          <w:sz w:val="24"/>
          <w:szCs w:val="24"/>
          <w:lang w:val="fr-FR"/>
        </w:rPr>
        <w:t xml:space="preserve">Casulo C, Byrtek M, Dawson KL, et al: </w:t>
      </w:r>
      <w:r w:rsidRPr="00EB0495">
        <w:rPr>
          <w:rFonts w:ascii="Arial" w:eastAsia="Calibri" w:hAnsi="Arial" w:cs="Arial"/>
          <w:sz w:val="24"/>
          <w:szCs w:val="24"/>
          <w:lang w:val="en-US"/>
        </w:rPr>
        <w:t xml:space="preserve">Early relapse of follicular lymphoma after rituximab plus cyclophosphamide, doxorubicin, vincristine, and prednisone defines patients at high risk for death: an analysis from the National LymphoCare Study. </w:t>
      </w:r>
      <w:r w:rsidRPr="00EB0495">
        <w:rPr>
          <w:rFonts w:ascii="Arial" w:eastAsia="Calibri" w:hAnsi="Arial" w:cs="Arial"/>
          <w:sz w:val="24"/>
          <w:szCs w:val="24"/>
          <w:lang w:val="fr-FR"/>
        </w:rPr>
        <w:t>J Clin Oncol</w:t>
      </w:r>
      <w:r w:rsidR="00E512B5" w:rsidRPr="00EB0495">
        <w:rPr>
          <w:rFonts w:ascii="Arial" w:eastAsia="Calibri" w:hAnsi="Arial" w:cs="Arial"/>
          <w:sz w:val="24"/>
          <w:szCs w:val="24"/>
          <w:lang w:val="fr-FR"/>
        </w:rPr>
        <w:t>. 2015</w:t>
      </w:r>
      <w:r w:rsidR="00C40AC3" w:rsidRPr="00EB0495">
        <w:rPr>
          <w:rFonts w:ascii="Arial" w:eastAsia="Calibri" w:hAnsi="Arial" w:cs="Arial"/>
          <w:sz w:val="24"/>
          <w:szCs w:val="24"/>
          <w:lang w:val="fr-FR"/>
        </w:rPr>
        <w:t>;</w:t>
      </w:r>
      <w:r w:rsidRPr="00EB0495">
        <w:rPr>
          <w:rFonts w:ascii="Arial" w:eastAsia="Calibri" w:hAnsi="Arial" w:cs="Arial"/>
          <w:sz w:val="24"/>
          <w:szCs w:val="24"/>
          <w:lang w:val="fr-FR"/>
        </w:rPr>
        <w:t>33</w:t>
      </w:r>
      <w:r w:rsidR="00E512B5" w:rsidRPr="00EB0495">
        <w:rPr>
          <w:rFonts w:ascii="Arial" w:eastAsia="Calibri" w:hAnsi="Arial" w:cs="Arial"/>
          <w:sz w:val="24"/>
          <w:szCs w:val="24"/>
          <w:lang w:val="fr-FR"/>
        </w:rPr>
        <w:t>(23)</w:t>
      </w:r>
      <w:r w:rsidRPr="00EB0495">
        <w:rPr>
          <w:rFonts w:ascii="Arial" w:eastAsia="Calibri" w:hAnsi="Arial" w:cs="Arial"/>
          <w:sz w:val="24"/>
          <w:szCs w:val="24"/>
          <w:lang w:val="fr-FR"/>
        </w:rPr>
        <w:t>:2516-2522</w:t>
      </w:r>
      <w:r w:rsidR="00C40AC3" w:rsidRPr="00EB0495">
        <w:rPr>
          <w:rFonts w:ascii="Arial" w:eastAsia="Calibri" w:hAnsi="Arial" w:cs="Arial"/>
          <w:sz w:val="24"/>
          <w:szCs w:val="24"/>
          <w:lang w:val="fr-FR"/>
        </w:rPr>
        <w:t>.</w:t>
      </w:r>
    </w:p>
    <w:p w14:paraId="7B79064E" w14:textId="74384A24" w:rsidR="00990A03" w:rsidRPr="00EB0495" w:rsidRDefault="00990A03" w:rsidP="00990A03">
      <w:pPr>
        <w:pStyle w:val="ListParagraph"/>
        <w:numPr>
          <w:ilvl w:val="0"/>
          <w:numId w:val="23"/>
        </w:numPr>
        <w:spacing w:after="240"/>
        <w:rPr>
          <w:rFonts w:ascii="Arial" w:eastAsia="Calibri" w:hAnsi="Arial" w:cs="Arial"/>
          <w:sz w:val="24"/>
          <w:szCs w:val="20"/>
        </w:rPr>
      </w:pPr>
      <w:r w:rsidRPr="00EB0495">
        <w:rPr>
          <w:rFonts w:ascii="Arial" w:eastAsia="Calibri" w:hAnsi="Arial" w:cs="Arial"/>
          <w:sz w:val="24"/>
          <w:szCs w:val="20"/>
          <w:lang w:val="fr-FR"/>
        </w:rPr>
        <w:t xml:space="preserve">Casulo C, Le-Rademacher J, Dixon J, et al: </w:t>
      </w:r>
      <w:r w:rsidRPr="00EB0495">
        <w:rPr>
          <w:rFonts w:ascii="Arial" w:eastAsia="Calibri" w:hAnsi="Arial" w:cs="Arial"/>
          <w:sz w:val="24"/>
          <w:szCs w:val="20"/>
        </w:rPr>
        <w:t xml:space="preserve">Validation of POD24 as a robust early clinical endpoint of poor survival in follicular lymphoma: results from the Follicular Lymphoma Analysis of Surrogacy Hypothesis (FLASH) investigation using individual data from 5,453 patients on 13 clinical trials. Blood </w:t>
      </w:r>
      <w:r w:rsidR="00C40AC3" w:rsidRPr="00EB0495">
        <w:rPr>
          <w:rFonts w:ascii="Arial" w:eastAsia="Calibri" w:hAnsi="Arial" w:cs="Arial"/>
          <w:sz w:val="24"/>
          <w:szCs w:val="20"/>
        </w:rPr>
        <w:t>2017;</w:t>
      </w:r>
      <w:r w:rsidRPr="00EB0495">
        <w:rPr>
          <w:rFonts w:ascii="Arial" w:eastAsia="Calibri" w:hAnsi="Arial" w:cs="Arial"/>
          <w:sz w:val="24"/>
          <w:szCs w:val="20"/>
        </w:rPr>
        <w:t xml:space="preserve">130:412 </w:t>
      </w:r>
      <w:r w:rsidR="00251FDF" w:rsidRPr="00EB0495">
        <w:rPr>
          <w:rFonts w:ascii="Arial" w:eastAsia="Calibri" w:hAnsi="Arial" w:cs="Arial"/>
          <w:sz w:val="24"/>
          <w:szCs w:val="20"/>
        </w:rPr>
        <w:t>(</w:t>
      </w:r>
      <w:r w:rsidR="00A5529F" w:rsidRPr="00EB0495">
        <w:rPr>
          <w:rFonts w:ascii="Arial" w:eastAsia="Calibri" w:hAnsi="Arial" w:cs="Arial"/>
          <w:sz w:val="24"/>
          <w:szCs w:val="20"/>
        </w:rPr>
        <w:t xml:space="preserve">suppl; </w:t>
      </w:r>
      <w:r w:rsidR="00251FDF" w:rsidRPr="00EB0495">
        <w:rPr>
          <w:rFonts w:ascii="Arial" w:eastAsia="Calibri" w:hAnsi="Arial" w:cs="Arial"/>
          <w:sz w:val="24"/>
          <w:szCs w:val="20"/>
        </w:rPr>
        <w:t>abstr)</w:t>
      </w:r>
      <w:r w:rsidR="00C40AC3" w:rsidRPr="00EB0495">
        <w:rPr>
          <w:rFonts w:ascii="Arial" w:eastAsia="Calibri" w:hAnsi="Arial" w:cs="Arial"/>
          <w:sz w:val="24"/>
          <w:szCs w:val="20"/>
        </w:rPr>
        <w:t>.</w:t>
      </w:r>
    </w:p>
    <w:p w14:paraId="6CF3E80D" w14:textId="0F14096A" w:rsidR="00990A03" w:rsidRPr="00EB0495" w:rsidRDefault="00990A03" w:rsidP="00990A03">
      <w:pPr>
        <w:pStyle w:val="ListParagraph"/>
        <w:numPr>
          <w:ilvl w:val="0"/>
          <w:numId w:val="23"/>
        </w:numPr>
        <w:spacing w:after="240"/>
        <w:rPr>
          <w:rFonts w:ascii="Arial" w:eastAsia="Calibri" w:hAnsi="Arial" w:cs="Arial"/>
          <w:sz w:val="24"/>
          <w:szCs w:val="20"/>
          <w:lang w:val="en-US"/>
        </w:rPr>
      </w:pPr>
      <w:r w:rsidRPr="00EB0495">
        <w:rPr>
          <w:rFonts w:ascii="Arial" w:eastAsia="Calibri" w:hAnsi="Arial" w:cs="Arial"/>
          <w:sz w:val="24"/>
          <w:szCs w:val="20"/>
          <w:lang w:val="en-US"/>
        </w:rPr>
        <w:t>Herter S, Herting F, Mindigl O, et al</w:t>
      </w:r>
      <w:r w:rsidR="00C40AC3" w:rsidRPr="00EB0495">
        <w:rPr>
          <w:rFonts w:ascii="Arial" w:eastAsia="Calibri" w:hAnsi="Arial" w:cs="Arial"/>
          <w:sz w:val="24"/>
          <w:szCs w:val="20"/>
          <w:lang w:val="en-US"/>
        </w:rPr>
        <w:t>.</w:t>
      </w:r>
      <w:r w:rsidRPr="00EB0495">
        <w:rPr>
          <w:rFonts w:ascii="Arial" w:eastAsia="Calibri" w:hAnsi="Arial" w:cs="Arial"/>
          <w:sz w:val="24"/>
          <w:szCs w:val="20"/>
          <w:lang w:val="en-US"/>
        </w:rPr>
        <w:t xml:space="preserve"> Preclinical activity of the type II CD20 antibody GA101 (obinutuzumab) compared with rituximab and ofatumumab in vitro and in xenograft models. Mol Cancer Ther</w:t>
      </w:r>
      <w:r w:rsidR="00C40AC3" w:rsidRPr="00EB0495">
        <w:rPr>
          <w:rFonts w:ascii="Arial" w:eastAsia="Calibri" w:hAnsi="Arial" w:cs="Arial"/>
          <w:sz w:val="24"/>
          <w:szCs w:val="20"/>
          <w:lang w:val="en-US"/>
        </w:rPr>
        <w:t>. 2013;</w:t>
      </w:r>
      <w:r w:rsidRPr="00EB0495">
        <w:rPr>
          <w:rFonts w:ascii="Arial" w:eastAsia="Calibri" w:hAnsi="Arial" w:cs="Arial"/>
          <w:sz w:val="24"/>
          <w:szCs w:val="20"/>
          <w:lang w:val="en-US"/>
        </w:rPr>
        <w:t>12</w:t>
      </w:r>
      <w:r w:rsidR="00E512B5" w:rsidRPr="00EB0495">
        <w:rPr>
          <w:rFonts w:ascii="Arial" w:eastAsia="Calibri" w:hAnsi="Arial" w:cs="Arial"/>
          <w:sz w:val="24"/>
          <w:szCs w:val="20"/>
          <w:lang w:val="en-US"/>
        </w:rPr>
        <w:t>(10)</w:t>
      </w:r>
      <w:r w:rsidRPr="00EB0495">
        <w:rPr>
          <w:rFonts w:ascii="Arial" w:eastAsia="Calibri" w:hAnsi="Arial" w:cs="Arial"/>
          <w:sz w:val="24"/>
          <w:szCs w:val="20"/>
          <w:lang w:val="en-US"/>
        </w:rPr>
        <w:t>:2031-2042</w:t>
      </w:r>
      <w:r w:rsidR="00C40AC3" w:rsidRPr="00EB0495">
        <w:rPr>
          <w:rFonts w:ascii="Arial" w:eastAsia="Calibri" w:hAnsi="Arial" w:cs="Arial"/>
          <w:sz w:val="24"/>
          <w:szCs w:val="20"/>
          <w:lang w:val="en-US"/>
        </w:rPr>
        <w:t>.</w:t>
      </w:r>
    </w:p>
    <w:p w14:paraId="641A3587" w14:textId="5416477C" w:rsidR="00990A03" w:rsidRPr="00EB0495" w:rsidRDefault="00990A03" w:rsidP="00990A03">
      <w:pPr>
        <w:pStyle w:val="ListParagraph"/>
        <w:numPr>
          <w:ilvl w:val="0"/>
          <w:numId w:val="23"/>
        </w:numPr>
        <w:spacing w:after="240"/>
        <w:rPr>
          <w:rFonts w:ascii="Arial" w:hAnsi="Arial" w:cs="Arial"/>
          <w:sz w:val="24"/>
        </w:rPr>
      </w:pPr>
      <w:r w:rsidRPr="00EB0495">
        <w:rPr>
          <w:rFonts w:ascii="Arial" w:hAnsi="Arial" w:cs="Arial"/>
          <w:sz w:val="24"/>
          <w:lang w:val="de-DE"/>
        </w:rPr>
        <w:lastRenderedPageBreak/>
        <w:t>Mössner E, Brünker P, Moser S</w:t>
      </w:r>
      <w:r w:rsidR="009D163A" w:rsidRPr="00EB0495">
        <w:rPr>
          <w:rFonts w:ascii="Arial" w:hAnsi="Arial" w:cs="Arial"/>
          <w:sz w:val="24"/>
          <w:lang w:val="de-DE"/>
        </w:rPr>
        <w:t>,</w:t>
      </w:r>
      <w:r w:rsidRPr="00EB0495" w:rsidDel="00244EA8">
        <w:rPr>
          <w:rFonts w:ascii="Arial" w:hAnsi="Arial" w:cs="Arial"/>
          <w:sz w:val="24"/>
          <w:lang w:val="de-DE"/>
        </w:rPr>
        <w:t xml:space="preserve"> </w:t>
      </w:r>
      <w:r w:rsidRPr="00EB0495">
        <w:rPr>
          <w:rFonts w:ascii="Arial" w:hAnsi="Arial" w:cs="Arial"/>
          <w:sz w:val="24"/>
          <w:lang w:val="de-DE"/>
        </w:rPr>
        <w:t>et al</w:t>
      </w:r>
      <w:r w:rsidR="00C40AC3" w:rsidRPr="00EB0495">
        <w:rPr>
          <w:rFonts w:ascii="Arial" w:hAnsi="Arial" w:cs="Arial"/>
          <w:sz w:val="24"/>
          <w:lang w:val="de-DE"/>
        </w:rPr>
        <w:t>.</w:t>
      </w:r>
      <w:r w:rsidRPr="00EB0495">
        <w:rPr>
          <w:rFonts w:ascii="Arial" w:hAnsi="Arial" w:cs="Arial"/>
          <w:sz w:val="24"/>
          <w:lang w:val="de-DE"/>
        </w:rPr>
        <w:t xml:space="preserve"> </w:t>
      </w:r>
      <w:r w:rsidRPr="00EB0495">
        <w:rPr>
          <w:rFonts w:ascii="Arial" w:hAnsi="Arial" w:cs="Arial"/>
          <w:sz w:val="24"/>
        </w:rPr>
        <w:t>Increasing the efficacy of CD20 antibody therapy through the engineering of a new type II anti-CD20 antibody with enhanced direct and immune effector cell-mediated B-cell cytotoxicity. Blood</w:t>
      </w:r>
      <w:r w:rsidR="00C40AC3" w:rsidRPr="00EB0495">
        <w:rPr>
          <w:rFonts w:ascii="Arial" w:hAnsi="Arial" w:cs="Arial"/>
          <w:sz w:val="24"/>
        </w:rPr>
        <w:t>. 2010;</w:t>
      </w:r>
      <w:r w:rsidRPr="00EB0495">
        <w:rPr>
          <w:rFonts w:ascii="Arial" w:hAnsi="Arial" w:cs="Arial"/>
          <w:sz w:val="24"/>
        </w:rPr>
        <w:t>115</w:t>
      </w:r>
      <w:r w:rsidR="00E512B5" w:rsidRPr="00EB0495">
        <w:rPr>
          <w:rFonts w:ascii="Arial" w:hAnsi="Arial" w:cs="Arial"/>
          <w:sz w:val="24"/>
        </w:rPr>
        <w:t>(22)</w:t>
      </w:r>
      <w:r w:rsidRPr="00EB0495">
        <w:rPr>
          <w:rFonts w:ascii="Arial" w:hAnsi="Arial" w:cs="Arial"/>
          <w:sz w:val="24"/>
        </w:rPr>
        <w:t>:4393-4402</w:t>
      </w:r>
      <w:r w:rsidR="00C40AC3" w:rsidRPr="00EB0495">
        <w:rPr>
          <w:rFonts w:ascii="Arial" w:hAnsi="Arial" w:cs="Arial"/>
          <w:sz w:val="24"/>
        </w:rPr>
        <w:t>.</w:t>
      </w:r>
    </w:p>
    <w:p w14:paraId="5C847128" w14:textId="7C9C2D06" w:rsidR="00990A03" w:rsidRPr="00EB0495" w:rsidRDefault="00990A03" w:rsidP="00C8744B">
      <w:pPr>
        <w:pStyle w:val="ListParagraph"/>
        <w:numPr>
          <w:ilvl w:val="0"/>
          <w:numId w:val="23"/>
        </w:numPr>
        <w:spacing w:after="240"/>
        <w:rPr>
          <w:rFonts w:ascii="Arial" w:eastAsia="Calibri" w:hAnsi="Arial" w:cs="Arial"/>
          <w:sz w:val="24"/>
          <w:szCs w:val="20"/>
          <w:lang w:val="en-US"/>
        </w:rPr>
      </w:pPr>
      <w:r w:rsidRPr="00EB0495">
        <w:rPr>
          <w:rFonts w:ascii="Arial" w:eastAsia="Calibri" w:hAnsi="Arial" w:cs="Arial"/>
          <w:sz w:val="24"/>
          <w:szCs w:val="20"/>
          <w:lang w:val="en-US"/>
        </w:rPr>
        <w:t>Hiddemann W, Barbui AM, Canales MA, et al</w:t>
      </w:r>
      <w:r w:rsidR="00C40AC3" w:rsidRPr="00EB0495">
        <w:rPr>
          <w:rFonts w:ascii="Arial" w:eastAsia="Calibri" w:hAnsi="Arial" w:cs="Arial"/>
          <w:sz w:val="24"/>
          <w:szCs w:val="20"/>
          <w:lang w:val="en-US"/>
        </w:rPr>
        <w:t>.</w:t>
      </w:r>
      <w:r w:rsidRPr="00EB0495">
        <w:rPr>
          <w:rFonts w:ascii="Arial" w:eastAsia="Calibri" w:hAnsi="Arial" w:cs="Arial"/>
          <w:sz w:val="24"/>
          <w:szCs w:val="20"/>
          <w:lang w:val="en-US"/>
        </w:rPr>
        <w:t xml:space="preserve"> Immunochemotherapy with obinutuzumab or rituximab for previously untreated follicular lymphoma in the GALLUM study: influence of chemotherapy on efficacy and safety. J Clin Oncol</w:t>
      </w:r>
      <w:r w:rsidR="00C40AC3" w:rsidRPr="00EB0495">
        <w:rPr>
          <w:rFonts w:ascii="Arial" w:eastAsia="Calibri" w:hAnsi="Arial" w:cs="Arial"/>
          <w:sz w:val="24"/>
          <w:szCs w:val="20"/>
          <w:lang w:val="en-US"/>
        </w:rPr>
        <w:t>. 2018;36(23):2395-2404.</w:t>
      </w:r>
    </w:p>
    <w:p w14:paraId="5FF5E1B2" w14:textId="6ADD9F79" w:rsidR="00990A03" w:rsidRPr="00EB0495" w:rsidRDefault="00990A03" w:rsidP="00990A03">
      <w:pPr>
        <w:pStyle w:val="ListParagraph"/>
        <w:numPr>
          <w:ilvl w:val="0"/>
          <w:numId w:val="23"/>
        </w:numPr>
        <w:spacing w:after="240"/>
        <w:rPr>
          <w:rFonts w:ascii="Arial" w:eastAsia="Calibri" w:hAnsi="Arial" w:cs="Arial"/>
          <w:sz w:val="24"/>
          <w:szCs w:val="20"/>
          <w:lang w:val="en-US"/>
        </w:rPr>
      </w:pPr>
      <w:r w:rsidRPr="00EB0495">
        <w:rPr>
          <w:rFonts w:ascii="Arial" w:eastAsia="Calibri" w:hAnsi="Arial" w:cs="Arial"/>
          <w:sz w:val="24"/>
          <w:szCs w:val="20"/>
          <w:lang w:val="pt-PT"/>
        </w:rPr>
        <w:t xml:space="preserve">Marcus R, Davies A, Ando K, et al: </w:t>
      </w:r>
      <w:r w:rsidRPr="00EB0495">
        <w:rPr>
          <w:rFonts w:ascii="Arial" w:eastAsia="Calibri" w:hAnsi="Arial" w:cs="Arial"/>
          <w:sz w:val="24"/>
          <w:szCs w:val="20"/>
          <w:lang w:val="en-US"/>
        </w:rPr>
        <w:t>Obinutuzumab for the first-line treatment of follicular lymphoma. N Engl J Med</w:t>
      </w:r>
      <w:r w:rsidR="008037DB" w:rsidRPr="00EB0495">
        <w:rPr>
          <w:rFonts w:ascii="Arial" w:eastAsia="Calibri" w:hAnsi="Arial" w:cs="Arial"/>
          <w:sz w:val="24"/>
          <w:szCs w:val="20"/>
          <w:lang w:val="en-US"/>
        </w:rPr>
        <w:t>. 2017;</w:t>
      </w:r>
      <w:r w:rsidRPr="00EB0495">
        <w:rPr>
          <w:rFonts w:ascii="Arial" w:eastAsia="Calibri" w:hAnsi="Arial" w:cs="Arial"/>
          <w:sz w:val="24"/>
          <w:szCs w:val="20"/>
          <w:lang w:val="en-US"/>
        </w:rPr>
        <w:t>377</w:t>
      </w:r>
      <w:r w:rsidR="00E512B5" w:rsidRPr="00EB0495">
        <w:rPr>
          <w:rFonts w:ascii="Arial" w:eastAsia="Calibri" w:hAnsi="Arial" w:cs="Arial"/>
          <w:sz w:val="24"/>
          <w:szCs w:val="20"/>
          <w:lang w:val="en-US"/>
        </w:rPr>
        <w:t>(14)</w:t>
      </w:r>
      <w:r w:rsidRPr="00EB0495">
        <w:rPr>
          <w:rFonts w:ascii="Arial" w:eastAsia="Calibri" w:hAnsi="Arial" w:cs="Arial"/>
          <w:sz w:val="24"/>
          <w:szCs w:val="20"/>
          <w:lang w:val="en-US"/>
        </w:rPr>
        <w:t>:1331-1344</w:t>
      </w:r>
      <w:r w:rsidR="00C40AC3" w:rsidRPr="00EB0495">
        <w:rPr>
          <w:rFonts w:ascii="Arial" w:eastAsia="Calibri" w:hAnsi="Arial" w:cs="Arial"/>
          <w:sz w:val="24"/>
          <w:szCs w:val="20"/>
          <w:lang w:val="en-US"/>
        </w:rPr>
        <w:t>.</w:t>
      </w:r>
    </w:p>
    <w:p w14:paraId="65F4912C" w14:textId="26D23E03" w:rsidR="00990A03" w:rsidRPr="00EB0495" w:rsidRDefault="00990A03" w:rsidP="00990A03">
      <w:pPr>
        <w:pStyle w:val="ListParagraph"/>
        <w:numPr>
          <w:ilvl w:val="0"/>
          <w:numId w:val="23"/>
        </w:numPr>
        <w:spacing w:after="240"/>
        <w:rPr>
          <w:rFonts w:ascii="Arial" w:eastAsia="Calibri" w:hAnsi="Arial" w:cs="Arial"/>
          <w:sz w:val="24"/>
          <w:szCs w:val="20"/>
          <w:lang w:val="en-US"/>
        </w:rPr>
      </w:pPr>
      <w:r w:rsidRPr="00EB0495">
        <w:rPr>
          <w:rFonts w:ascii="Arial" w:eastAsia="Calibri" w:hAnsi="Arial" w:cs="Arial"/>
          <w:sz w:val="24"/>
          <w:szCs w:val="20"/>
        </w:rPr>
        <w:t>Jurinovic V, Kridel R, Staiger AM, et al</w:t>
      </w:r>
      <w:r w:rsidR="008037DB" w:rsidRPr="00EB0495">
        <w:rPr>
          <w:rFonts w:ascii="Arial" w:eastAsia="Calibri" w:hAnsi="Arial" w:cs="Arial"/>
          <w:sz w:val="24"/>
          <w:szCs w:val="20"/>
        </w:rPr>
        <w:t>.</w:t>
      </w:r>
      <w:r w:rsidRPr="00EB0495">
        <w:rPr>
          <w:rFonts w:ascii="Arial" w:eastAsia="Calibri" w:hAnsi="Arial" w:cs="Arial"/>
          <w:sz w:val="24"/>
          <w:szCs w:val="20"/>
        </w:rPr>
        <w:t xml:space="preserve"> </w:t>
      </w:r>
      <w:r w:rsidRPr="00EB0495">
        <w:rPr>
          <w:rFonts w:ascii="Arial" w:eastAsia="Calibri" w:hAnsi="Arial" w:cs="Arial"/>
          <w:sz w:val="24"/>
          <w:szCs w:val="20"/>
          <w:lang w:val="en-US"/>
        </w:rPr>
        <w:t>Clinicogenetic risk models predict early progression of follicular lymphoma after first-line immunochemotherapy. Blood</w:t>
      </w:r>
      <w:r w:rsidR="008037DB" w:rsidRPr="00EB0495">
        <w:rPr>
          <w:rFonts w:ascii="Arial" w:eastAsia="Calibri" w:hAnsi="Arial" w:cs="Arial"/>
          <w:sz w:val="24"/>
          <w:szCs w:val="20"/>
          <w:lang w:val="en-US"/>
        </w:rPr>
        <w:t>. 2016;</w:t>
      </w:r>
      <w:r w:rsidRPr="00EB0495">
        <w:rPr>
          <w:rFonts w:ascii="Arial" w:eastAsia="Calibri" w:hAnsi="Arial" w:cs="Arial"/>
          <w:sz w:val="24"/>
          <w:szCs w:val="20"/>
          <w:lang w:val="en-US"/>
        </w:rPr>
        <w:t>128</w:t>
      </w:r>
      <w:r w:rsidR="00FC5D7E" w:rsidRPr="00EB0495">
        <w:rPr>
          <w:rFonts w:ascii="Arial" w:eastAsia="Calibri" w:hAnsi="Arial" w:cs="Arial"/>
          <w:sz w:val="24"/>
          <w:szCs w:val="20"/>
          <w:lang w:val="en-US"/>
        </w:rPr>
        <w:t>(8)</w:t>
      </w:r>
      <w:r w:rsidRPr="00EB0495">
        <w:rPr>
          <w:rFonts w:ascii="Arial" w:eastAsia="Calibri" w:hAnsi="Arial" w:cs="Arial"/>
          <w:sz w:val="24"/>
          <w:szCs w:val="20"/>
          <w:lang w:val="en-US"/>
        </w:rPr>
        <w:t>:1112-1120</w:t>
      </w:r>
      <w:r w:rsidR="008037DB" w:rsidRPr="00EB0495">
        <w:rPr>
          <w:rFonts w:ascii="Arial" w:eastAsia="Calibri" w:hAnsi="Arial" w:cs="Arial"/>
          <w:sz w:val="24"/>
          <w:szCs w:val="20"/>
          <w:lang w:val="en-US"/>
        </w:rPr>
        <w:t>.</w:t>
      </w:r>
    </w:p>
    <w:p w14:paraId="72724389" w14:textId="207C9493" w:rsidR="00990A03" w:rsidRPr="00EB0495" w:rsidRDefault="00990A03" w:rsidP="00990A03">
      <w:pPr>
        <w:pStyle w:val="ListParagraph"/>
        <w:numPr>
          <w:ilvl w:val="0"/>
          <w:numId w:val="23"/>
        </w:numPr>
        <w:spacing w:after="240"/>
        <w:rPr>
          <w:rFonts w:ascii="Arial" w:eastAsia="Calibri" w:hAnsi="Arial" w:cs="Arial"/>
          <w:sz w:val="24"/>
          <w:szCs w:val="20"/>
          <w:lang w:val="en-US"/>
        </w:rPr>
      </w:pPr>
      <w:r w:rsidRPr="00EB0495">
        <w:rPr>
          <w:rFonts w:ascii="Arial" w:eastAsia="Calibri" w:hAnsi="Arial" w:cs="Arial"/>
          <w:sz w:val="24"/>
          <w:szCs w:val="20"/>
        </w:rPr>
        <w:t>Maurer MJ, Bachy E, Ghesquières H, et al</w:t>
      </w:r>
      <w:r w:rsidR="008037DB" w:rsidRPr="00EB0495">
        <w:rPr>
          <w:rFonts w:ascii="Arial" w:eastAsia="Calibri" w:hAnsi="Arial" w:cs="Arial"/>
          <w:sz w:val="24"/>
          <w:szCs w:val="20"/>
        </w:rPr>
        <w:t>.</w:t>
      </w:r>
      <w:r w:rsidRPr="00EB0495">
        <w:rPr>
          <w:rFonts w:ascii="Arial" w:eastAsia="Calibri" w:hAnsi="Arial" w:cs="Arial"/>
          <w:sz w:val="24"/>
          <w:szCs w:val="20"/>
        </w:rPr>
        <w:t xml:space="preserve"> </w:t>
      </w:r>
      <w:r w:rsidRPr="00EB0495">
        <w:rPr>
          <w:rFonts w:ascii="Arial" w:eastAsia="Calibri" w:hAnsi="Arial" w:cs="Arial"/>
          <w:sz w:val="24"/>
          <w:szCs w:val="20"/>
          <w:lang w:val="en-US"/>
        </w:rPr>
        <w:t>Early event status informs subsequent outcome in newly diagnosed follicular lymphoma. Am J Hematol</w:t>
      </w:r>
      <w:r w:rsidR="008037DB" w:rsidRPr="00EB0495">
        <w:rPr>
          <w:rFonts w:ascii="Arial" w:eastAsia="Calibri" w:hAnsi="Arial" w:cs="Arial"/>
          <w:sz w:val="24"/>
          <w:szCs w:val="20"/>
          <w:lang w:val="en-US"/>
        </w:rPr>
        <w:t>.</w:t>
      </w:r>
      <w:r w:rsidRPr="00EB0495">
        <w:rPr>
          <w:rFonts w:ascii="Arial" w:eastAsia="Calibri" w:hAnsi="Arial" w:cs="Arial"/>
          <w:sz w:val="24"/>
          <w:szCs w:val="20"/>
          <w:lang w:val="en-US"/>
        </w:rPr>
        <w:t xml:space="preserve"> </w:t>
      </w:r>
      <w:r w:rsidR="008037DB" w:rsidRPr="00EB0495">
        <w:rPr>
          <w:rFonts w:ascii="Arial" w:eastAsia="Calibri" w:hAnsi="Arial" w:cs="Arial"/>
          <w:sz w:val="24"/>
          <w:szCs w:val="20"/>
          <w:lang w:val="en-US"/>
        </w:rPr>
        <w:t>2016;</w:t>
      </w:r>
      <w:r w:rsidRPr="00EB0495">
        <w:rPr>
          <w:rFonts w:ascii="Arial" w:eastAsia="Calibri" w:hAnsi="Arial" w:cs="Arial"/>
          <w:sz w:val="24"/>
          <w:szCs w:val="20"/>
          <w:lang w:val="en-US"/>
        </w:rPr>
        <w:t>91</w:t>
      </w:r>
      <w:r w:rsidR="00FC5D7E" w:rsidRPr="00EB0495">
        <w:rPr>
          <w:rFonts w:ascii="Arial" w:eastAsia="Calibri" w:hAnsi="Arial" w:cs="Arial"/>
          <w:sz w:val="24"/>
          <w:szCs w:val="20"/>
          <w:lang w:val="en-US"/>
        </w:rPr>
        <w:t>(11)</w:t>
      </w:r>
      <w:r w:rsidRPr="00EB0495">
        <w:rPr>
          <w:rFonts w:ascii="Arial" w:eastAsia="Calibri" w:hAnsi="Arial" w:cs="Arial"/>
          <w:sz w:val="24"/>
          <w:szCs w:val="20"/>
          <w:lang w:val="en-US"/>
        </w:rPr>
        <w:t>:1096-1101</w:t>
      </w:r>
      <w:r w:rsidR="008037DB" w:rsidRPr="00EB0495">
        <w:rPr>
          <w:rFonts w:ascii="Arial" w:eastAsia="Calibri" w:hAnsi="Arial" w:cs="Arial"/>
          <w:sz w:val="24"/>
          <w:szCs w:val="20"/>
          <w:lang w:val="en-US"/>
        </w:rPr>
        <w:t>.</w:t>
      </w:r>
    </w:p>
    <w:p w14:paraId="1C3F90E2" w14:textId="58411AE8" w:rsidR="006A75F7" w:rsidRPr="00EB0495" w:rsidRDefault="006A75F7" w:rsidP="00990A03">
      <w:pPr>
        <w:pStyle w:val="ListParagraph"/>
        <w:numPr>
          <w:ilvl w:val="0"/>
          <w:numId w:val="23"/>
        </w:numPr>
        <w:spacing w:after="240"/>
        <w:rPr>
          <w:rFonts w:ascii="Arial" w:eastAsia="Calibri" w:hAnsi="Arial" w:cs="Arial"/>
          <w:sz w:val="24"/>
          <w:szCs w:val="20"/>
          <w:lang w:val="en-US"/>
        </w:rPr>
      </w:pPr>
      <w:r w:rsidRPr="00EB0495">
        <w:rPr>
          <w:rFonts w:ascii="Arial" w:eastAsia="Calibri" w:hAnsi="Arial" w:cs="Arial"/>
          <w:sz w:val="24"/>
          <w:szCs w:val="20"/>
          <w:lang w:val="en-US"/>
        </w:rPr>
        <w:t>Montoto S, Lopez-Guillermo A, Ferrer A, et al</w:t>
      </w:r>
      <w:r w:rsidR="008037DB" w:rsidRPr="00EB0495">
        <w:rPr>
          <w:rFonts w:ascii="Arial" w:eastAsia="Calibri" w:hAnsi="Arial" w:cs="Arial"/>
          <w:sz w:val="24"/>
          <w:szCs w:val="20"/>
          <w:lang w:val="en-US"/>
        </w:rPr>
        <w:t>.</w:t>
      </w:r>
      <w:r w:rsidRPr="00EB0495">
        <w:rPr>
          <w:rFonts w:ascii="Arial" w:eastAsia="Calibri" w:hAnsi="Arial" w:cs="Arial"/>
          <w:sz w:val="24"/>
          <w:szCs w:val="20"/>
          <w:lang w:val="en-US"/>
        </w:rPr>
        <w:t xml:space="preserve"> Survival after progression in patients with follicular lymphoma: analysis of prognostic factors. Ann Oncol</w:t>
      </w:r>
      <w:r w:rsidR="008037DB" w:rsidRPr="00EB0495">
        <w:rPr>
          <w:rFonts w:ascii="Arial" w:eastAsia="Calibri" w:hAnsi="Arial" w:cs="Arial"/>
          <w:sz w:val="24"/>
          <w:szCs w:val="20"/>
          <w:lang w:val="en-US"/>
        </w:rPr>
        <w:t>. 2002;</w:t>
      </w:r>
      <w:r w:rsidRPr="00EB0495">
        <w:rPr>
          <w:rFonts w:ascii="Arial" w:eastAsia="Calibri" w:hAnsi="Arial" w:cs="Arial"/>
          <w:sz w:val="24"/>
          <w:szCs w:val="20"/>
          <w:lang w:val="en-US"/>
        </w:rPr>
        <w:t>13</w:t>
      </w:r>
      <w:r w:rsidR="00FC5D7E" w:rsidRPr="00EB0495">
        <w:rPr>
          <w:rFonts w:ascii="Arial" w:eastAsia="Calibri" w:hAnsi="Arial" w:cs="Arial"/>
          <w:sz w:val="24"/>
          <w:szCs w:val="20"/>
          <w:lang w:val="en-US"/>
        </w:rPr>
        <w:t>(4)</w:t>
      </w:r>
      <w:r w:rsidRPr="00EB0495">
        <w:rPr>
          <w:rFonts w:ascii="Arial" w:eastAsia="Calibri" w:hAnsi="Arial" w:cs="Arial"/>
          <w:sz w:val="24"/>
          <w:szCs w:val="20"/>
          <w:lang w:val="en-US"/>
        </w:rPr>
        <w:t>:525-530</w:t>
      </w:r>
      <w:r w:rsidR="008037DB" w:rsidRPr="00EB0495">
        <w:rPr>
          <w:rFonts w:ascii="Arial" w:eastAsia="Calibri" w:hAnsi="Arial" w:cs="Arial"/>
          <w:sz w:val="24"/>
          <w:szCs w:val="20"/>
          <w:lang w:val="en-US"/>
        </w:rPr>
        <w:t>.</w:t>
      </w:r>
    </w:p>
    <w:p w14:paraId="6DDD77D7" w14:textId="77B44439" w:rsidR="001257AF" w:rsidRPr="00EB0495" w:rsidRDefault="001257AF" w:rsidP="00990A03">
      <w:pPr>
        <w:pStyle w:val="ListParagraph"/>
        <w:numPr>
          <w:ilvl w:val="0"/>
          <w:numId w:val="23"/>
        </w:numPr>
        <w:spacing w:after="240"/>
        <w:rPr>
          <w:rFonts w:ascii="Arial" w:eastAsia="Calibri" w:hAnsi="Arial" w:cs="Arial"/>
          <w:sz w:val="24"/>
          <w:szCs w:val="20"/>
          <w:lang w:val="en-US"/>
        </w:rPr>
      </w:pPr>
      <w:r w:rsidRPr="00EB0495">
        <w:rPr>
          <w:rFonts w:ascii="Arial" w:eastAsia="Calibri" w:hAnsi="Arial" w:cs="Arial"/>
          <w:sz w:val="24"/>
          <w:szCs w:val="20"/>
          <w:lang w:val="en-US"/>
        </w:rPr>
        <w:t>Murakami S, Kato H, Yamamoto K, et al</w:t>
      </w:r>
      <w:r w:rsidR="008037DB" w:rsidRPr="00EB0495">
        <w:rPr>
          <w:rFonts w:ascii="Arial" w:eastAsia="Calibri" w:hAnsi="Arial" w:cs="Arial"/>
          <w:sz w:val="24"/>
          <w:szCs w:val="20"/>
          <w:lang w:val="en-US"/>
        </w:rPr>
        <w:t>.</w:t>
      </w:r>
      <w:r w:rsidRPr="00EB0495">
        <w:rPr>
          <w:rFonts w:ascii="Arial" w:eastAsia="Calibri" w:hAnsi="Arial" w:cs="Arial"/>
          <w:sz w:val="24"/>
          <w:szCs w:val="20"/>
          <w:lang w:val="en-US"/>
        </w:rPr>
        <w:t xml:space="preserve"> Combination of high serum lactate dehydrogenase levels at the time of first diagnosis and progression predicts early lymphoma related death in patients with follicular lymphoma receiving R-CHOP regimen. Blood</w:t>
      </w:r>
      <w:r w:rsidR="008037DB" w:rsidRPr="00EB0495">
        <w:rPr>
          <w:rFonts w:ascii="Arial" w:eastAsia="Calibri" w:hAnsi="Arial" w:cs="Arial"/>
          <w:sz w:val="24"/>
          <w:szCs w:val="20"/>
          <w:lang w:val="en-US"/>
        </w:rPr>
        <w:t>. 2014;</w:t>
      </w:r>
      <w:r w:rsidRPr="00EB0495">
        <w:rPr>
          <w:rFonts w:ascii="Arial" w:eastAsia="Calibri" w:hAnsi="Arial" w:cs="Arial"/>
          <w:sz w:val="24"/>
          <w:szCs w:val="20"/>
          <w:lang w:val="en-US"/>
        </w:rPr>
        <w:t>124:2972</w:t>
      </w:r>
      <w:r w:rsidR="000F0F5A" w:rsidRPr="00EB0495">
        <w:rPr>
          <w:rFonts w:ascii="Arial" w:eastAsia="Calibri" w:hAnsi="Arial" w:cs="Arial"/>
          <w:sz w:val="24"/>
          <w:szCs w:val="20"/>
          <w:lang w:val="en-US"/>
        </w:rPr>
        <w:t xml:space="preserve"> (suppl; abstr)</w:t>
      </w:r>
      <w:r w:rsidR="008037DB" w:rsidRPr="00EB0495">
        <w:rPr>
          <w:rFonts w:ascii="Arial" w:eastAsia="Calibri" w:hAnsi="Arial" w:cs="Arial"/>
          <w:sz w:val="24"/>
          <w:szCs w:val="20"/>
          <w:lang w:val="en-US"/>
        </w:rPr>
        <w:t>.</w:t>
      </w:r>
    </w:p>
    <w:p w14:paraId="01251150" w14:textId="36B0187C" w:rsidR="00A7399F" w:rsidRPr="00EB0495" w:rsidRDefault="00A7399F" w:rsidP="00990A03">
      <w:pPr>
        <w:pStyle w:val="ListParagraph"/>
        <w:numPr>
          <w:ilvl w:val="0"/>
          <w:numId w:val="23"/>
        </w:numPr>
        <w:spacing w:after="240"/>
        <w:rPr>
          <w:rFonts w:ascii="Arial" w:eastAsia="Calibri" w:hAnsi="Arial" w:cs="Arial"/>
          <w:sz w:val="24"/>
          <w:szCs w:val="20"/>
          <w:lang w:val="en-US"/>
        </w:rPr>
      </w:pPr>
      <w:r w:rsidRPr="00EB0495">
        <w:rPr>
          <w:rFonts w:ascii="Arial" w:eastAsia="Calibri" w:hAnsi="Arial" w:cs="Arial"/>
          <w:sz w:val="24"/>
          <w:szCs w:val="20"/>
          <w:lang w:val="en-US"/>
        </w:rPr>
        <w:t>Pastore A, Jurinovic V, Kridel R</w:t>
      </w:r>
      <w:r w:rsidR="007A62EB" w:rsidRPr="00EB0495">
        <w:rPr>
          <w:rFonts w:ascii="Arial" w:eastAsia="Calibri" w:hAnsi="Arial" w:cs="Arial"/>
          <w:sz w:val="24"/>
          <w:szCs w:val="20"/>
          <w:lang w:val="en-US"/>
        </w:rPr>
        <w:t>,</w:t>
      </w:r>
      <w:r w:rsidRPr="00EB0495">
        <w:rPr>
          <w:rFonts w:ascii="Arial" w:eastAsia="Calibri" w:hAnsi="Arial" w:cs="Arial"/>
          <w:sz w:val="24"/>
          <w:szCs w:val="20"/>
          <w:lang w:val="en-US"/>
        </w:rPr>
        <w:t xml:space="preserve"> et al</w:t>
      </w:r>
      <w:r w:rsidR="008037DB" w:rsidRPr="00EB0495">
        <w:rPr>
          <w:rFonts w:ascii="Arial" w:eastAsia="Calibri" w:hAnsi="Arial" w:cs="Arial"/>
          <w:sz w:val="24"/>
          <w:szCs w:val="20"/>
          <w:lang w:val="en-US"/>
        </w:rPr>
        <w:t>.</w:t>
      </w:r>
      <w:r w:rsidRPr="00EB0495">
        <w:rPr>
          <w:rFonts w:ascii="Arial" w:eastAsia="Calibri" w:hAnsi="Arial" w:cs="Arial"/>
          <w:sz w:val="24"/>
          <w:szCs w:val="20"/>
          <w:lang w:val="en-US"/>
        </w:rPr>
        <w:t xml:space="preserve"> Integration of gene mutations in risk prognostication for patients receiving first-line immunochemotherapy for </w:t>
      </w:r>
      <w:r w:rsidRPr="00EB0495">
        <w:rPr>
          <w:rFonts w:ascii="Arial" w:eastAsia="Calibri" w:hAnsi="Arial" w:cs="Arial"/>
          <w:sz w:val="24"/>
          <w:szCs w:val="20"/>
          <w:lang w:val="en-US"/>
        </w:rPr>
        <w:lastRenderedPageBreak/>
        <w:t>follicular lymphoma: a retrospective analysis of a prospective clinical trial and validation in a population-based registry. Lancet Oncol</w:t>
      </w:r>
      <w:r w:rsidR="008037DB" w:rsidRPr="00EB0495">
        <w:rPr>
          <w:rFonts w:ascii="Arial" w:eastAsia="Calibri" w:hAnsi="Arial" w:cs="Arial"/>
          <w:sz w:val="24"/>
          <w:szCs w:val="20"/>
          <w:lang w:val="en-US"/>
        </w:rPr>
        <w:t>. 2015;</w:t>
      </w:r>
      <w:r w:rsidRPr="00EB0495">
        <w:rPr>
          <w:rFonts w:ascii="Arial" w:eastAsia="Calibri" w:hAnsi="Arial" w:cs="Arial"/>
          <w:sz w:val="24"/>
          <w:szCs w:val="20"/>
          <w:lang w:val="en-US"/>
        </w:rPr>
        <w:t>16</w:t>
      </w:r>
      <w:r w:rsidR="00FC5D7E" w:rsidRPr="00EB0495">
        <w:rPr>
          <w:rFonts w:ascii="Arial" w:eastAsia="Calibri" w:hAnsi="Arial" w:cs="Arial"/>
          <w:sz w:val="24"/>
          <w:szCs w:val="20"/>
          <w:lang w:val="en-US"/>
        </w:rPr>
        <w:t>(9)</w:t>
      </w:r>
      <w:r w:rsidRPr="00EB0495">
        <w:rPr>
          <w:rFonts w:ascii="Arial" w:eastAsia="Calibri" w:hAnsi="Arial" w:cs="Arial"/>
          <w:sz w:val="24"/>
          <w:szCs w:val="20"/>
          <w:lang w:val="en-US"/>
        </w:rPr>
        <w:t>:1111-1122</w:t>
      </w:r>
      <w:r w:rsidR="008037DB" w:rsidRPr="00EB0495">
        <w:rPr>
          <w:rFonts w:ascii="Arial" w:eastAsia="Calibri" w:hAnsi="Arial" w:cs="Arial"/>
          <w:sz w:val="24"/>
          <w:szCs w:val="20"/>
          <w:lang w:val="en-US"/>
        </w:rPr>
        <w:t>.</w:t>
      </w:r>
    </w:p>
    <w:p w14:paraId="2495D6F5" w14:textId="39F6FBE6" w:rsidR="00990A03" w:rsidRPr="00EB0495" w:rsidRDefault="00990A03" w:rsidP="00990A03">
      <w:pPr>
        <w:pStyle w:val="ListParagraph"/>
        <w:numPr>
          <w:ilvl w:val="0"/>
          <w:numId w:val="23"/>
        </w:numPr>
        <w:spacing w:after="240"/>
        <w:rPr>
          <w:rFonts w:ascii="Arial" w:hAnsi="Arial" w:cs="Arial"/>
          <w:sz w:val="24"/>
        </w:rPr>
      </w:pPr>
      <w:r w:rsidRPr="00EB0495">
        <w:rPr>
          <w:rFonts w:ascii="Arial" w:eastAsia="Calibri" w:hAnsi="Arial" w:cs="Arial"/>
          <w:sz w:val="24"/>
        </w:rPr>
        <w:t>Huet S, Tesson B, Jais JP, et al</w:t>
      </w:r>
      <w:r w:rsidR="008037DB" w:rsidRPr="00EB0495">
        <w:rPr>
          <w:rFonts w:ascii="Arial" w:eastAsia="Calibri" w:hAnsi="Arial" w:cs="Arial"/>
          <w:sz w:val="24"/>
        </w:rPr>
        <w:t>.</w:t>
      </w:r>
      <w:r w:rsidRPr="00EB0495">
        <w:rPr>
          <w:rFonts w:ascii="Arial" w:eastAsia="Calibri" w:hAnsi="Arial" w:cs="Arial"/>
          <w:sz w:val="24"/>
        </w:rPr>
        <w:t xml:space="preserve"> </w:t>
      </w:r>
      <w:r w:rsidRPr="00EB0495">
        <w:rPr>
          <w:rFonts w:ascii="Arial" w:eastAsia="Calibri" w:hAnsi="Arial" w:cs="Arial"/>
          <w:sz w:val="24"/>
          <w:lang w:val="en-US"/>
        </w:rPr>
        <w:t>A gene-expression profiling score for prediction of outcome in patients with follicular lymphoma: a retrospective training and validation analysis in three international cohorts. Lancet Oncol</w:t>
      </w:r>
      <w:r w:rsidR="008037DB" w:rsidRPr="00EB0495">
        <w:rPr>
          <w:rFonts w:ascii="Arial" w:eastAsia="Calibri" w:hAnsi="Arial" w:cs="Arial"/>
          <w:sz w:val="24"/>
          <w:lang w:val="en-US"/>
        </w:rPr>
        <w:t>. 2018;</w:t>
      </w:r>
      <w:r w:rsidRPr="00EB0495">
        <w:rPr>
          <w:rFonts w:ascii="Arial" w:hAnsi="Arial" w:cs="Arial"/>
          <w:sz w:val="24"/>
        </w:rPr>
        <w:t>19</w:t>
      </w:r>
      <w:r w:rsidR="00FC5D7E" w:rsidRPr="00EB0495">
        <w:rPr>
          <w:rFonts w:ascii="Arial" w:hAnsi="Arial" w:cs="Arial"/>
          <w:sz w:val="24"/>
        </w:rPr>
        <w:t>(4)</w:t>
      </w:r>
      <w:r w:rsidRPr="00EB0495">
        <w:rPr>
          <w:rFonts w:ascii="Arial" w:hAnsi="Arial" w:cs="Arial"/>
          <w:sz w:val="24"/>
        </w:rPr>
        <w:t>:549-561</w:t>
      </w:r>
      <w:r w:rsidR="008037DB" w:rsidRPr="00EB0495">
        <w:rPr>
          <w:rFonts w:ascii="Arial" w:hAnsi="Arial" w:cs="Arial"/>
          <w:sz w:val="24"/>
        </w:rPr>
        <w:t>.</w:t>
      </w:r>
    </w:p>
    <w:p w14:paraId="63BD0D15" w14:textId="77F05F81" w:rsidR="00990A03" w:rsidRPr="00EB0495" w:rsidRDefault="00990A03" w:rsidP="00990A03">
      <w:pPr>
        <w:pStyle w:val="ListParagraph"/>
        <w:numPr>
          <w:ilvl w:val="0"/>
          <w:numId w:val="23"/>
        </w:numPr>
        <w:spacing w:after="240"/>
        <w:rPr>
          <w:rFonts w:ascii="Arial" w:eastAsia="Calibri" w:hAnsi="Arial" w:cs="Arial"/>
          <w:sz w:val="24"/>
          <w:szCs w:val="20"/>
          <w:lang w:val="en-US"/>
        </w:rPr>
      </w:pPr>
      <w:r w:rsidRPr="00EB0495">
        <w:rPr>
          <w:rFonts w:ascii="Arial" w:eastAsia="Calibri" w:hAnsi="Arial" w:cs="Arial"/>
          <w:sz w:val="24"/>
          <w:szCs w:val="20"/>
          <w:lang w:val="en-US"/>
        </w:rPr>
        <w:t>O'Shea D, O'Riain C, Taylor C, et al</w:t>
      </w:r>
      <w:r w:rsidR="008037DB" w:rsidRPr="00EB0495">
        <w:rPr>
          <w:rFonts w:ascii="Arial" w:eastAsia="Calibri" w:hAnsi="Arial" w:cs="Arial"/>
          <w:sz w:val="24"/>
          <w:szCs w:val="20"/>
          <w:lang w:val="en-US"/>
        </w:rPr>
        <w:t>.</w:t>
      </w:r>
      <w:r w:rsidRPr="00EB0495">
        <w:rPr>
          <w:rFonts w:ascii="Arial" w:eastAsia="Calibri" w:hAnsi="Arial" w:cs="Arial"/>
          <w:sz w:val="24"/>
          <w:szCs w:val="20"/>
          <w:lang w:val="en-US"/>
        </w:rPr>
        <w:t xml:space="preserve"> The presence of TP53 mutation at diagnosis of follicular lymphoma identifies a high-risk group of patients with shortened time to disease progression and poorer overall survival. Blood</w:t>
      </w:r>
      <w:r w:rsidR="008037DB" w:rsidRPr="00EB0495">
        <w:rPr>
          <w:rFonts w:ascii="Arial" w:eastAsia="Calibri" w:hAnsi="Arial" w:cs="Arial"/>
          <w:sz w:val="24"/>
          <w:szCs w:val="20"/>
          <w:lang w:val="en-US"/>
        </w:rPr>
        <w:t>. 2008;</w:t>
      </w:r>
      <w:r w:rsidRPr="00EB0495">
        <w:rPr>
          <w:rFonts w:ascii="Arial" w:eastAsia="Calibri" w:hAnsi="Arial" w:cs="Arial"/>
          <w:sz w:val="24"/>
          <w:szCs w:val="20"/>
          <w:lang w:val="en-US"/>
        </w:rPr>
        <w:t>112</w:t>
      </w:r>
      <w:r w:rsidR="00FC5D7E" w:rsidRPr="00EB0495">
        <w:rPr>
          <w:rFonts w:ascii="Arial" w:eastAsia="Calibri" w:hAnsi="Arial" w:cs="Arial"/>
          <w:sz w:val="24"/>
          <w:szCs w:val="20"/>
          <w:lang w:val="en-US"/>
        </w:rPr>
        <w:t>(8)</w:t>
      </w:r>
      <w:r w:rsidRPr="00EB0495">
        <w:rPr>
          <w:rFonts w:ascii="Arial" w:eastAsia="Calibri" w:hAnsi="Arial" w:cs="Arial"/>
          <w:sz w:val="24"/>
          <w:szCs w:val="20"/>
          <w:lang w:val="en-US"/>
        </w:rPr>
        <w:t>:3126-3129</w:t>
      </w:r>
      <w:r w:rsidR="008037DB" w:rsidRPr="00EB0495">
        <w:rPr>
          <w:rFonts w:ascii="Arial" w:eastAsia="Calibri" w:hAnsi="Arial" w:cs="Arial"/>
          <w:sz w:val="24"/>
          <w:szCs w:val="20"/>
          <w:lang w:val="en-US"/>
        </w:rPr>
        <w:t>.</w:t>
      </w:r>
    </w:p>
    <w:p w14:paraId="2A79B494" w14:textId="0BF13365" w:rsidR="001517AA" w:rsidRPr="00EB0495" w:rsidRDefault="00990A03" w:rsidP="00990A03">
      <w:pPr>
        <w:pStyle w:val="ListParagraph"/>
        <w:numPr>
          <w:ilvl w:val="0"/>
          <w:numId w:val="23"/>
        </w:numPr>
        <w:spacing w:after="240"/>
        <w:rPr>
          <w:rFonts w:ascii="Arial" w:eastAsia="Calibri" w:hAnsi="Arial" w:cs="Arial"/>
          <w:sz w:val="24"/>
          <w:szCs w:val="20"/>
          <w:lang w:val="en-US"/>
        </w:rPr>
      </w:pPr>
      <w:r w:rsidRPr="00EB0495">
        <w:rPr>
          <w:rFonts w:ascii="Arial" w:hAnsi="Arial" w:cs="Arial"/>
          <w:sz w:val="24"/>
          <w:lang w:val="en-US"/>
        </w:rPr>
        <w:t>Kridel R, Chan FC, Mottok A, et al</w:t>
      </w:r>
      <w:r w:rsidR="008037DB" w:rsidRPr="00EB0495">
        <w:rPr>
          <w:rFonts w:ascii="Arial" w:hAnsi="Arial" w:cs="Arial"/>
          <w:sz w:val="24"/>
          <w:lang w:val="en-US"/>
        </w:rPr>
        <w:t>.</w:t>
      </w:r>
      <w:r w:rsidRPr="00EB0495">
        <w:rPr>
          <w:rFonts w:ascii="Arial" w:hAnsi="Arial" w:cs="Arial"/>
          <w:sz w:val="24"/>
          <w:lang w:val="en-US"/>
        </w:rPr>
        <w:t xml:space="preserve"> Histological transformation and progression in follicular lymphoma: a clonal evolution study. </w:t>
      </w:r>
      <w:r w:rsidRPr="00EB0495">
        <w:rPr>
          <w:rFonts w:ascii="Arial" w:hAnsi="Arial" w:cs="Arial"/>
          <w:sz w:val="24"/>
          <w:lang w:val="pt-BR"/>
        </w:rPr>
        <w:t>PLoS Med</w:t>
      </w:r>
      <w:r w:rsidR="008037DB" w:rsidRPr="00EB0495">
        <w:rPr>
          <w:rFonts w:ascii="Arial" w:hAnsi="Arial" w:cs="Arial"/>
          <w:sz w:val="24"/>
          <w:lang w:val="pt-BR"/>
        </w:rPr>
        <w:t>.</w:t>
      </w:r>
      <w:r w:rsidRPr="00EB0495">
        <w:rPr>
          <w:rFonts w:ascii="Arial" w:hAnsi="Arial" w:cs="Arial"/>
          <w:sz w:val="24"/>
          <w:lang w:val="pt-BR"/>
        </w:rPr>
        <w:t xml:space="preserve"> </w:t>
      </w:r>
      <w:r w:rsidR="008037DB" w:rsidRPr="00EB0495">
        <w:rPr>
          <w:rFonts w:ascii="Arial" w:hAnsi="Arial" w:cs="Arial"/>
          <w:sz w:val="24"/>
          <w:lang w:val="pt-BR"/>
        </w:rPr>
        <w:t>2016;</w:t>
      </w:r>
      <w:r w:rsidRPr="00EB0495">
        <w:rPr>
          <w:rFonts w:ascii="Arial" w:hAnsi="Arial" w:cs="Arial"/>
          <w:sz w:val="24"/>
          <w:lang w:val="pt-BR"/>
        </w:rPr>
        <w:t>13</w:t>
      </w:r>
      <w:r w:rsidR="00FC5D7E" w:rsidRPr="00EB0495">
        <w:rPr>
          <w:rFonts w:ascii="Arial" w:hAnsi="Arial" w:cs="Arial"/>
          <w:sz w:val="24"/>
          <w:lang w:val="pt-BR"/>
        </w:rPr>
        <w:t>(12)</w:t>
      </w:r>
      <w:r w:rsidRPr="00EB0495">
        <w:rPr>
          <w:rFonts w:ascii="Arial" w:hAnsi="Arial" w:cs="Arial"/>
          <w:sz w:val="24"/>
          <w:lang w:val="pt-BR"/>
        </w:rPr>
        <w:t>:e1002197</w:t>
      </w:r>
      <w:r w:rsidR="008037DB" w:rsidRPr="00EB0495">
        <w:rPr>
          <w:rFonts w:ascii="Arial" w:hAnsi="Arial" w:cs="Arial"/>
          <w:sz w:val="24"/>
          <w:lang w:val="pt-BR"/>
        </w:rPr>
        <w:t>.</w:t>
      </w:r>
    </w:p>
    <w:p w14:paraId="32E78DA7" w14:textId="1A11586D" w:rsidR="00CD4853" w:rsidRPr="00EB0495" w:rsidRDefault="0057692A" w:rsidP="001517AA">
      <w:pPr>
        <w:spacing w:after="240"/>
        <w:ind w:left="360"/>
        <w:rPr>
          <w:rFonts w:ascii="Arial" w:eastAsia="Calibri" w:hAnsi="Arial" w:cs="Arial"/>
          <w:sz w:val="24"/>
          <w:szCs w:val="20"/>
          <w:lang w:val="en-US"/>
        </w:rPr>
      </w:pPr>
      <w:r w:rsidRPr="00EB0495">
        <w:rPr>
          <w:rFonts w:eastAsia="Calibri" w:cstheme="minorHAnsi"/>
          <w:b/>
          <w:szCs w:val="20"/>
          <w:lang w:val="en-US"/>
        </w:rPr>
        <w:br w:type="page"/>
      </w:r>
    </w:p>
    <w:p w14:paraId="7265718E" w14:textId="77777777" w:rsidR="00140246" w:rsidRPr="00EB0495" w:rsidRDefault="00140246" w:rsidP="00140246">
      <w:pPr>
        <w:spacing w:before="120" w:after="120"/>
        <w:rPr>
          <w:rFonts w:ascii="Arial" w:eastAsia="Calibri" w:hAnsi="Arial" w:cs="Arial"/>
          <w:b/>
          <w:sz w:val="24"/>
          <w:szCs w:val="20"/>
          <w:lang w:val="en-US"/>
        </w:rPr>
      </w:pPr>
      <w:r w:rsidRPr="00EB0495">
        <w:rPr>
          <w:rFonts w:ascii="Arial" w:eastAsia="Calibri" w:hAnsi="Arial" w:cs="Arial"/>
          <w:b/>
          <w:sz w:val="24"/>
          <w:szCs w:val="20"/>
          <w:lang w:val="en-US"/>
        </w:rPr>
        <w:lastRenderedPageBreak/>
        <w:t>TABLES</w:t>
      </w:r>
    </w:p>
    <w:p w14:paraId="38C25359" w14:textId="6F527715" w:rsidR="00140246" w:rsidRPr="00EB0495" w:rsidRDefault="00140246" w:rsidP="00140246">
      <w:pPr>
        <w:spacing w:before="120" w:after="120"/>
        <w:rPr>
          <w:rFonts w:ascii="Arial" w:eastAsia="Calibri" w:hAnsi="Arial" w:cs="Arial"/>
          <w:sz w:val="24"/>
          <w:szCs w:val="20"/>
          <w:lang w:val="en-US"/>
        </w:rPr>
      </w:pPr>
      <w:r w:rsidRPr="00EB0495">
        <w:rPr>
          <w:rFonts w:ascii="Arial" w:eastAsia="Calibri" w:hAnsi="Arial" w:cs="Arial"/>
          <w:b/>
          <w:sz w:val="24"/>
          <w:szCs w:val="20"/>
          <w:lang w:val="en-US"/>
        </w:rPr>
        <w:t>Table 1</w:t>
      </w:r>
      <w:r w:rsidRPr="00EB0495">
        <w:rPr>
          <w:rFonts w:ascii="Arial" w:eastAsia="Calibri" w:hAnsi="Arial" w:cs="Arial"/>
          <w:sz w:val="24"/>
          <w:szCs w:val="20"/>
          <w:lang w:val="en-US"/>
        </w:rPr>
        <w:t xml:space="preserve">. Baseline disease and patient characteristics in POD24 and noPOD24 subgroups with at least 24 </w:t>
      </w:r>
      <w:r w:rsidR="00911773" w:rsidRPr="00EB0495">
        <w:rPr>
          <w:rFonts w:ascii="Arial" w:eastAsia="Calibri" w:hAnsi="Arial" w:cs="Arial"/>
          <w:sz w:val="24"/>
          <w:szCs w:val="20"/>
          <w:lang w:val="en-US"/>
        </w:rPr>
        <w:t>m</w:t>
      </w:r>
      <w:r w:rsidRPr="00EB0495">
        <w:rPr>
          <w:rFonts w:ascii="Arial" w:eastAsia="Calibri" w:hAnsi="Arial" w:cs="Arial"/>
          <w:sz w:val="24"/>
          <w:szCs w:val="20"/>
          <w:lang w:val="en-US"/>
        </w:rPr>
        <w:t>onths’ response follow-up.</w:t>
      </w:r>
    </w:p>
    <w:tbl>
      <w:tblPr>
        <w:tblStyle w:val="PlainTable41"/>
        <w:tblW w:w="4926" w:type="pct"/>
        <w:tblLook w:val="04A0" w:firstRow="1" w:lastRow="0" w:firstColumn="1" w:lastColumn="0" w:noHBand="0" w:noVBand="1"/>
      </w:tblPr>
      <w:tblGrid>
        <w:gridCol w:w="3253"/>
        <w:gridCol w:w="2821"/>
        <w:gridCol w:w="1408"/>
        <w:gridCol w:w="1410"/>
      </w:tblGrid>
      <w:tr w:rsidR="00140246" w:rsidRPr="00EB0495" w14:paraId="79E00002" w14:textId="77777777" w:rsidTr="00140246">
        <w:trPr>
          <w:cnfStyle w:val="100000000000" w:firstRow="1" w:lastRow="0" w:firstColumn="0" w:lastColumn="0" w:oddVBand="0" w:evenVBand="0" w:oddHBand="0" w:evenHBand="0" w:firstRowFirstColumn="0" w:firstRowLastColumn="0" w:lastRowFirstColumn="0" w:lastRowLastColumn="0"/>
          <w:trHeight w:val="1337"/>
        </w:trPr>
        <w:tc>
          <w:tcPr>
            <w:cnfStyle w:val="001000000000" w:firstRow="0" w:lastRow="0" w:firstColumn="1" w:lastColumn="0" w:oddVBand="0" w:evenVBand="0" w:oddHBand="0" w:evenHBand="0" w:firstRowFirstColumn="0" w:firstRowLastColumn="0" w:lastRowFirstColumn="0" w:lastRowLastColumn="0"/>
            <w:tcW w:w="1829" w:type="pct"/>
            <w:tcBorders>
              <w:top w:val="single" w:sz="4" w:space="0" w:color="auto"/>
              <w:bottom w:val="single" w:sz="4" w:space="0" w:color="auto"/>
            </w:tcBorders>
            <w:vAlign w:val="bottom"/>
          </w:tcPr>
          <w:p w14:paraId="120445A4" w14:textId="4EA7BCEC" w:rsidR="00140246" w:rsidRPr="00EB0495" w:rsidRDefault="00140246" w:rsidP="00140246">
            <w:pPr>
              <w:spacing w:before="120" w:after="120"/>
              <w:rPr>
                <w:rFonts w:ascii="Arial" w:eastAsia="Calibri" w:hAnsi="Arial" w:cs="Arial"/>
                <w:b w:val="0"/>
                <w:szCs w:val="20"/>
                <w:lang w:val="en-US"/>
              </w:rPr>
            </w:pPr>
            <w:r w:rsidRPr="00EB0495">
              <w:rPr>
                <w:rFonts w:ascii="Arial" w:eastAsia="Calibri" w:hAnsi="Arial" w:cs="Arial"/>
                <w:szCs w:val="20"/>
                <w:lang w:val="en-US"/>
              </w:rPr>
              <w:t>Characteristic</w:t>
            </w:r>
            <w:r w:rsidRPr="00EB0495">
              <w:rPr>
                <w:rFonts w:ascii="Arial" w:eastAsia="Calibri" w:hAnsi="Arial" w:cs="Arial"/>
                <w:szCs w:val="20"/>
                <w:vertAlign w:val="superscript"/>
                <w:lang w:val="en-US"/>
              </w:rPr>
              <w:t>a</w:t>
            </w:r>
          </w:p>
        </w:tc>
        <w:tc>
          <w:tcPr>
            <w:tcW w:w="1586" w:type="pct"/>
            <w:tcBorders>
              <w:top w:val="single" w:sz="4" w:space="0" w:color="auto"/>
              <w:bottom w:val="single" w:sz="4" w:space="0" w:color="auto"/>
            </w:tcBorders>
            <w:vAlign w:val="bottom"/>
          </w:tcPr>
          <w:p w14:paraId="48F062EB" w14:textId="24ACC239" w:rsidR="00140246" w:rsidRPr="00EB0495" w:rsidRDefault="00140246" w:rsidP="00140246">
            <w:pPr>
              <w:spacing w:before="120" w:after="120"/>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 w:val="0"/>
                <w:szCs w:val="20"/>
                <w:lang w:val="en-US"/>
              </w:rPr>
            </w:pPr>
            <w:r w:rsidRPr="00EB0495">
              <w:rPr>
                <w:rFonts w:ascii="Arial" w:eastAsia="Calibri" w:hAnsi="Arial" w:cs="Arial"/>
                <w:szCs w:val="20"/>
                <w:lang w:val="en-US"/>
              </w:rPr>
              <w:t xml:space="preserve">POD event within </w:t>
            </w:r>
            <w:r w:rsidRPr="00EB0495">
              <w:rPr>
                <w:rFonts w:ascii="Arial" w:eastAsia="Calibri" w:hAnsi="Arial" w:cs="Arial"/>
                <w:szCs w:val="20"/>
                <w:lang w:val="en-US"/>
              </w:rPr>
              <w:br/>
              <w:t xml:space="preserve">first 24 months </w:t>
            </w:r>
            <w:r w:rsidRPr="00EB0495">
              <w:rPr>
                <w:rFonts w:ascii="Arial" w:eastAsia="Calibri" w:hAnsi="Arial" w:cs="Arial"/>
                <w:szCs w:val="20"/>
                <w:lang w:val="en-US"/>
              </w:rPr>
              <w:br/>
              <w:t>(n=155)</w:t>
            </w:r>
          </w:p>
        </w:tc>
        <w:tc>
          <w:tcPr>
            <w:tcW w:w="1585" w:type="pct"/>
            <w:gridSpan w:val="2"/>
            <w:tcBorders>
              <w:top w:val="single" w:sz="4" w:space="0" w:color="auto"/>
              <w:bottom w:val="single" w:sz="4" w:space="0" w:color="auto"/>
            </w:tcBorders>
            <w:vAlign w:val="bottom"/>
          </w:tcPr>
          <w:p w14:paraId="490FB001" w14:textId="1B5B5FA2" w:rsidR="00140246" w:rsidRPr="00EB0495" w:rsidRDefault="00140246" w:rsidP="00140246">
            <w:pPr>
              <w:spacing w:before="120" w:after="120"/>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 w:val="0"/>
                <w:szCs w:val="20"/>
                <w:lang w:val="en-US"/>
              </w:rPr>
            </w:pPr>
            <w:r w:rsidRPr="00EB0495">
              <w:rPr>
                <w:rFonts w:ascii="Arial" w:eastAsia="Calibri" w:hAnsi="Arial" w:cs="Arial"/>
                <w:szCs w:val="20"/>
                <w:lang w:val="en-US"/>
              </w:rPr>
              <w:t xml:space="preserve">No POD event within first 24 months </w:t>
            </w:r>
            <w:r w:rsidRPr="00EB0495">
              <w:rPr>
                <w:rFonts w:ascii="Arial" w:eastAsia="Calibri" w:hAnsi="Arial" w:cs="Arial"/>
                <w:szCs w:val="20"/>
                <w:lang w:val="en-US"/>
              </w:rPr>
              <w:br/>
              <w:t>(n=916)</w:t>
            </w:r>
          </w:p>
        </w:tc>
      </w:tr>
      <w:tr w:rsidR="00140246" w:rsidRPr="00EB0495" w14:paraId="1F2441E7" w14:textId="77777777" w:rsidTr="00140246">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829" w:type="pct"/>
            <w:tcBorders>
              <w:top w:val="single" w:sz="4" w:space="0" w:color="auto"/>
            </w:tcBorders>
          </w:tcPr>
          <w:p w14:paraId="216D5147" w14:textId="77777777" w:rsidR="00140246" w:rsidRPr="00EB0495" w:rsidRDefault="00140246" w:rsidP="00140246">
            <w:pPr>
              <w:spacing w:before="120" w:after="120"/>
              <w:rPr>
                <w:rFonts w:ascii="Arial" w:eastAsia="Calibri" w:hAnsi="Arial" w:cs="Arial"/>
                <w:b w:val="0"/>
                <w:szCs w:val="20"/>
                <w:lang w:val="en-US"/>
              </w:rPr>
            </w:pPr>
            <w:r w:rsidRPr="00EB0495">
              <w:rPr>
                <w:rFonts w:ascii="Arial" w:eastAsia="Calibri" w:hAnsi="Arial" w:cs="Arial"/>
                <w:szCs w:val="20"/>
                <w:lang w:val="en-US"/>
              </w:rPr>
              <w:t>Age, years</w:t>
            </w:r>
          </w:p>
        </w:tc>
        <w:tc>
          <w:tcPr>
            <w:tcW w:w="1586" w:type="pct"/>
            <w:tcBorders>
              <w:top w:val="single" w:sz="4" w:space="0" w:color="auto"/>
            </w:tcBorders>
          </w:tcPr>
          <w:p w14:paraId="79D3D0B4" w14:textId="69D4D851" w:rsidR="00140246" w:rsidRPr="00EB0495" w:rsidRDefault="00140246" w:rsidP="00140246">
            <w:pPr>
              <w:spacing w:before="120" w:after="120"/>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Cs w:val="20"/>
                <w:lang w:val="en-US"/>
              </w:rPr>
            </w:pPr>
            <w:r w:rsidRPr="00EB0495">
              <w:rPr>
                <w:rFonts w:ascii="Arial" w:eastAsia="Calibri" w:hAnsi="Arial" w:cs="Arial"/>
                <w:szCs w:val="20"/>
                <w:lang w:val="en-US"/>
              </w:rPr>
              <w:t>58 (31</w:t>
            </w:r>
            <w:r w:rsidRPr="00EB0495">
              <w:rPr>
                <w:rFonts w:ascii="Calibri" w:hAnsi="Calibri"/>
                <w:color w:val="1F497D"/>
              </w:rPr>
              <w:t>-</w:t>
            </w:r>
            <w:r w:rsidRPr="00EB0495">
              <w:rPr>
                <w:rFonts w:ascii="Arial" w:eastAsia="Calibri" w:hAnsi="Arial" w:cs="Arial"/>
                <w:szCs w:val="20"/>
                <w:lang w:val="en-US"/>
              </w:rPr>
              <w:t>84)</w:t>
            </w:r>
          </w:p>
        </w:tc>
        <w:tc>
          <w:tcPr>
            <w:tcW w:w="1585" w:type="pct"/>
            <w:gridSpan w:val="2"/>
            <w:tcBorders>
              <w:top w:val="single" w:sz="4" w:space="0" w:color="auto"/>
            </w:tcBorders>
          </w:tcPr>
          <w:p w14:paraId="4DFA8745" w14:textId="50547447" w:rsidR="00140246" w:rsidRPr="00EB0495" w:rsidRDefault="00140246" w:rsidP="00140246">
            <w:pPr>
              <w:spacing w:before="120" w:after="120"/>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Cs w:val="20"/>
                <w:lang w:val="en-US"/>
              </w:rPr>
            </w:pPr>
            <w:r w:rsidRPr="00EB0495">
              <w:rPr>
                <w:rFonts w:ascii="Arial" w:eastAsia="Calibri" w:hAnsi="Arial" w:cs="Arial"/>
                <w:szCs w:val="20"/>
                <w:lang w:val="en-US"/>
              </w:rPr>
              <w:t>59 (23</w:t>
            </w:r>
            <w:r w:rsidRPr="00EB0495">
              <w:rPr>
                <w:rFonts w:ascii="Calibri" w:hAnsi="Calibri"/>
                <w:color w:val="1F497D"/>
              </w:rPr>
              <w:t>-</w:t>
            </w:r>
            <w:r w:rsidRPr="00EB0495">
              <w:rPr>
                <w:rFonts w:ascii="Arial" w:eastAsia="Calibri" w:hAnsi="Arial" w:cs="Arial"/>
                <w:szCs w:val="20"/>
                <w:lang w:val="en-US"/>
              </w:rPr>
              <w:t>85)</w:t>
            </w:r>
          </w:p>
        </w:tc>
      </w:tr>
      <w:tr w:rsidR="00140246" w:rsidRPr="00EB0495" w14:paraId="6446DC9F" w14:textId="77777777" w:rsidTr="00140246">
        <w:trPr>
          <w:trHeight w:val="525"/>
        </w:trPr>
        <w:tc>
          <w:tcPr>
            <w:cnfStyle w:val="001000000000" w:firstRow="0" w:lastRow="0" w:firstColumn="1" w:lastColumn="0" w:oddVBand="0" w:evenVBand="0" w:oddHBand="0" w:evenHBand="0" w:firstRowFirstColumn="0" w:firstRowLastColumn="0" w:lastRowFirstColumn="0" w:lastRowLastColumn="0"/>
            <w:tcW w:w="1829" w:type="pct"/>
          </w:tcPr>
          <w:p w14:paraId="4D00FA9B" w14:textId="23D3C2FB" w:rsidR="00140246" w:rsidRPr="00EB0495" w:rsidRDefault="00140246" w:rsidP="00140246">
            <w:pPr>
              <w:spacing w:before="120" w:after="120"/>
              <w:rPr>
                <w:rFonts w:ascii="Arial" w:eastAsia="Calibri" w:hAnsi="Arial" w:cs="Arial"/>
                <w:b w:val="0"/>
                <w:szCs w:val="20"/>
                <w:lang w:val="en-US"/>
              </w:rPr>
            </w:pPr>
            <w:r w:rsidRPr="00EB0495">
              <w:rPr>
                <w:rFonts w:ascii="Arial" w:eastAsia="Calibri" w:hAnsi="Arial" w:cs="Arial"/>
                <w:szCs w:val="20"/>
                <w:lang w:val="en-US"/>
              </w:rPr>
              <w:t>Aged ≥65 years</w:t>
            </w:r>
          </w:p>
        </w:tc>
        <w:tc>
          <w:tcPr>
            <w:tcW w:w="1586" w:type="pct"/>
          </w:tcPr>
          <w:p w14:paraId="399AF549" w14:textId="77777777" w:rsidR="00140246" w:rsidRPr="00EB0495" w:rsidRDefault="00140246" w:rsidP="00140246">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Cs w:val="20"/>
                <w:lang w:val="en-US"/>
              </w:rPr>
            </w:pPr>
            <w:r w:rsidRPr="00EB0495">
              <w:rPr>
                <w:rFonts w:ascii="Arial" w:eastAsia="Calibri" w:hAnsi="Arial" w:cs="Arial"/>
                <w:szCs w:val="20"/>
                <w:lang w:val="en-US"/>
              </w:rPr>
              <w:t>49 (31.6)</w:t>
            </w:r>
          </w:p>
        </w:tc>
        <w:tc>
          <w:tcPr>
            <w:tcW w:w="1585" w:type="pct"/>
            <w:gridSpan w:val="2"/>
          </w:tcPr>
          <w:p w14:paraId="08C0B75B" w14:textId="77777777" w:rsidR="00140246" w:rsidRPr="00EB0495" w:rsidRDefault="00140246" w:rsidP="00140246">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Cs w:val="20"/>
                <w:lang w:val="en-US"/>
              </w:rPr>
            </w:pPr>
            <w:r w:rsidRPr="00EB0495">
              <w:rPr>
                <w:rFonts w:ascii="Arial" w:eastAsia="Calibri" w:hAnsi="Arial" w:cs="Arial"/>
                <w:szCs w:val="20"/>
                <w:lang w:val="en-US"/>
              </w:rPr>
              <w:t>280 (30.6)</w:t>
            </w:r>
          </w:p>
        </w:tc>
      </w:tr>
      <w:tr w:rsidR="00140246" w:rsidRPr="00EB0495" w14:paraId="1F100129" w14:textId="77777777" w:rsidTr="00140246">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829" w:type="pct"/>
          </w:tcPr>
          <w:p w14:paraId="0D8AB34E" w14:textId="77777777" w:rsidR="00140246" w:rsidRPr="00EB0495" w:rsidRDefault="00140246" w:rsidP="00140246">
            <w:pPr>
              <w:spacing w:before="120" w:after="120"/>
              <w:rPr>
                <w:rFonts w:ascii="Arial" w:eastAsia="Calibri" w:hAnsi="Arial" w:cs="Arial"/>
                <w:b w:val="0"/>
                <w:szCs w:val="20"/>
                <w:lang w:val="en-US"/>
              </w:rPr>
            </w:pPr>
            <w:r w:rsidRPr="00EB0495">
              <w:rPr>
                <w:rFonts w:ascii="Arial" w:eastAsia="Calibri" w:hAnsi="Arial" w:cs="Arial"/>
                <w:szCs w:val="20"/>
                <w:lang w:val="en-US"/>
              </w:rPr>
              <w:t>Male</w:t>
            </w:r>
          </w:p>
        </w:tc>
        <w:tc>
          <w:tcPr>
            <w:tcW w:w="1586" w:type="pct"/>
          </w:tcPr>
          <w:p w14:paraId="1D0D6E43" w14:textId="77777777" w:rsidR="00140246" w:rsidRPr="00EB0495" w:rsidRDefault="00140246" w:rsidP="00140246">
            <w:pPr>
              <w:spacing w:before="120" w:after="120"/>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Cs w:val="20"/>
                <w:lang w:val="en-US"/>
              </w:rPr>
            </w:pPr>
            <w:r w:rsidRPr="00EB0495">
              <w:rPr>
                <w:rFonts w:ascii="Arial" w:eastAsia="Calibri" w:hAnsi="Arial" w:cs="Arial"/>
                <w:szCs w:val="20"/>
                <w:lang w:val="en-US"/>
              </w:rPr>
              <w:t>87 (56.1)</w:t>
            </w:r>
          </w:p>
        </w:tc>
        <w:tc>
          <w:tcPr>
            <w:tcW w:w="1585" w:type="pct"/>
            <w:gridSpan w:val="2"/>
          </w:tcPr>
          <w:p w14:paraId="274BB94A" w14:textId="77777777" w:rsidR="00140246" w:rsidRPr="00EB0495" w:rsidRDefault="00140246" w:rsidP="00140246">
            <w:pPr>
              <w:spacing w:before="120" w:after="120"/>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Cs w:val="20"/>
                <w:lang w:val="en-US"/>
              </w:rPr>
            </w:pPr>
            <w:r w:rsidRPr="00EB0495">
              <w:rPr>
                <w:rFonts w:ascii="Arial" w:eastAsia="Calibri" w:hAnsi="Arial" w:cs="Arial"/>
                <w:szCs w:val="20"/>
                <w:lang w:val="en-US"/>
              </w:rPr>
              <w:t>415 (45.3)</w:t>
            </w:r>
          </w:p>
        </w:tc>
      </w:tr>
      <w:tr w:rsidR="00140246" w:rsidRPr="00EB0495" w14:paraId="08F89D44" w14:textId="77777777" w:rsidTr="00140246">
        <w:trPr>
          <w:gridAfter w:val="1"/>
          <w:wAfter w:w="793" w:type="pct"/>
          <w:trHeight w:val="796"/>
        </w:trPr>
        <w:tc>
          <w:tcPr>
            <w:cnfStyle w:val="001000000000" w:firstRow="0" w:lastRow="0" w:firstColumn="1" w:lastColumn="0" w:oddVBand="0" w:evenVBand="0" w:oddHBand="0" w:evenHBand="0" w:firstRowFirstColumn="0" w:firstRowLastColumn="0" w:lastRowFirstColumn="0" w:lastRowLastColumn="0"/>
            <w:tcW w:w="1829" w:type="pct"/>
          </w:tcPr>
          <w:p w14:paraId="44093AFD" w14:textId="0CBDAFA2" w:rsidR="00140246" w:rsidRPr="00EB0495" w:rsidRDefault="00140246" w:rsidP="00140246">
            <w:pPr>
              <w:spacing w:before="120" w:after="120"/>
              <w:rPr>
                <w:rFonts w:ascii="Arial" w:eastAsia="Calibri" w:hAnsi="Arial" w:cs="Arial"/>
                <w:b w:val="0"/>
                <w:szCs w:val="20"/>
                <w:lang w:val="en-US"/>
              </w:rPr>
            </w:pPr>
            <w:r w:rsidRPr="00EB0495">
              <w:rPr>
                <w:rFonts w:ascii="Arial" w:hAnsi="Arial" w:cs="Arial"/>
                <w:szCs w:val="20"/>
                <w:lang w:val="en-US"/>
              </w:rPr>
              <w:t>Ann Arbor stage at diagnosis (n=1064)</w:t>
            </w:r>
          </w:p>
        </w:tc>
        <w:tc>
          <w:tcPr>
            <w:tcW w:w="2378" w:type="pct"/>
            <w:gridSpan w:val="2"/>
          </w:tcPr>
          <w:p w14:paraId="3128E57C" w14:textId="77777777" w:rsidR="00140246" w:rsidRPr="00EB0495" w:rsidRDefault="00140246" w:rsidP="00140246">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Cs w:val="20"/>
                <w:lang w:val="en-US"/>
              </w:rPr>
            </w:pPr>
          </w:p>
        </w:tc>
      </w:tr>
      <w:tr w:rsidR="00140246" w:rsidRPr="00EB0495" w14:paraId="4985BA1B" w14:textId="77777777" w:rsidTr="00140246">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829" w:type="pct"/>
          </w:tcPr>
          <w:p w14:paraId="44B5FDAA" w14:textId="5F6436A4" w:rsidR="00140246" w:rsidRPr="00EB0495" w:rsidRDefault="00140246" w:rsidP="00140246">
            <w:pPr>
              <w:spacing w:before="120" w:after="120"/>
              <w:ind w:left="284"/>
              <w:rPr>
                <w:rFonts w:ascii="Arial" w:eastAsia="Calibri" w:hAnsi="Arial" w:cs="Arial"/>
                <w:b w:val="0"/>
                <w:szCs w:val="20"/>
                <w:lang w:val="en-US"/>
              </w:rPr>
            </w:pPr>
            <w:r w:rsidRPr="00EB0495">
              <w:rPr>
                <w:rFonts w:ascii="Arial" w:eastAsia="Calibri" w:hAnsi="Arial" w:cs="Arial"/>
                <w:szCs w:val="20"/>
                <w:lang w:val="en-US"/>
              </w:rPr>
              <w:t>I or II</w:t>
            </w:r>
            <w:r w:rsidRPr="00EB0495">
              <w:rPr>
                <w:rFonts w:ascii="Arial" w:eastAsia="Calibri" w:hAnsi="Arial" w:cs="Arial"/>
                <w:szCs w:val="20"/>
                <w:vertAlign w:val="superscript"/>
                <w:lang w:val="en-US"/>
              </w:rPr>
              <w:t>b</w:t>
            </w:r>
          </w:p>
        </w:tc>
        <w:tc>
          <w:tcPr>
            <w:tcW w:w="1586" w:type="pct"/>
          </w:tcPr>
          <w:p w14:paraId="14D132EF" w14:textId="77777777" w:rsidR="00140246" w:rsidRPr="00EB0495" w:rsidRDefault="00140246" w:rsidP="00140246">
            <w:pPr>
              <w:spacing w:before="120" w:after="120"/>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Cs w:val="20"/>
                <w:lang w:val="en-US"/>
              </w:rPr>
            </w:pPr>
            <w:r w:rsidRPr="00EB0495">
              <w:rPr>
                <w:rFonts w:ascii="Arial" w:eastAsia="Calibri" w:hAnsi="Arial" w:cs="Arial"/>
                <w:szCs w:val="20"/>
                <w:lang w:val="en-US"/>
              </w:rPr>
              <w:t>11/154 (7.1)</w:t>
            </w:r>
          </w:p>
        </w:tc>
        <w:tc>
          <w:tcPr>
            <w:tcW w:w="1585" w:type="pct"/>
            <w:gridSpan w:val="2"/>
          </w:tcPr>
          <w:p w14:paraId="389BBBF0" w14:textId="77777777" w:rsidR="00140246" w:rsidRPr="00EB0495" w:rsidRDefault="00140246" w:rsidP="00140246">
            <w:pPr>
              <w:spacing w:before="120" w:after="120"/>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Cs w:val="20"/>
                <w:lang w:val="en-US"/>
              </w:rPr>
            </w:pPr>
            <w:r w:rsidRPr="00EB0495">
              <w:rPr>
                <w:rFonts w:ascii="Arial" w:eastAsia="Calibri" w:hAnsi="Arial" w:cs="Arial"/>
                <w:szCs w:val="20"/>
                <w:lang w:val="en-US"/>
              </w:rPr>
              <w:t>77/910 (8.5)</w:t>
            </w:r>
          </w:p>
        </w:tc>
      </w:tr>
      <w:tr w:rsidR="00140246" w:rsidRPr="00EB0495" w14:paraId="17866F44" w14:textId="77777777" w:rsidTr="00140246">
        <w:trPr>
          <w:trHeight w:val="525"/>
        </w:trPr>
        <w:tc>
          <w:tcPr>
            <w:cnfStyle w:val="001000000000" w:firstRow="0" w:lastRow="0" w:firstColumn="1" w:lastColumn="0" w:oddVBand="0" w:evenVBand="0" w:oddHBand="0" w:evenHBand="0" w:firstRowFirstColumn="0" w:firstRowLastColumn="0" w:lastRowFirstColumn="0" w:lastRowLastColumn="0"/>
            <w:tcW w:w="1829" w:type="pct"/>
          </w:tcPr>
          <w:p w14:paraId="2A41886F" w14:textId="77777777" w:rsidR="00140246" w:rsidRPr="00EB0495" w:rsidRDefault="00140246" w:rsidP="00140246">
            <w:pPr>
              <w:spacing w:before="120" w:after="120"/>
              <w:ind w:left="284"/>
              <w:rPr>
                <w:rFonts w:ascii="Arial" w:eastAsia="Calibri" w:hAnsi="Arial" w:cs="Arial"/>
                <w:b w:val="0"/>
                <w:szCs w:val="20"/>
                <w:lang w:val="en-US"/>
              </w:rPr>
            </w:pPr>
            <w:r w:rsidRPr="00EB0495">
              <w:rPr>
                <w:rFonts w:ascii="Arial" w:eastAsia="Calibri" w:hAnsi="Arial" w:cs="Arial"/>
                <w:szCs w:val="20"/>
                <w:lang w:val="en-US"/>
              </w:rPr>
              <w:t>III</w:t>
            </w:r>
          </w:p>
        </w:tc>
        <w:tc>
          <w:tcPr>
            <w:tcW w:w="1586" w:type="pct"/>
          </w:tcPr>
          <w:p w14:paraId="2F1BD002" w14:textId="77777777" w:rsidR="00140246" w:rsidRPr="00EB0495" w:rsidRDefault="00140246" w:rsidP="00140246">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Cs w:val="20"/>
                <w:lang w:val="en-US"/>
              </w:rPr>
            </w:pPr>
            <w:r w:rsidRPr="00EB0495">
              <w:rPr>
                <w:rFonts w:ascii="Arial" w:eastAsia="Calibri" w:hAnsi="Arial" w:cs="Arial"/>
                <w:szCs w:val="20"/>
                <w:lang w:val="en-US"/>
              </w:rPr>
              <w:t>46/154 (29.9)</w:t>
            </w:r>
          </w:p>
        </w:tc>
        <w:tc>
          <w:tcPr>
            <w:tcW w:w="1585" w:type="pct"/>
            <w:gridSpan w:val="2"/>
          </w:tcPr>
          <w:p w14:paraId="5907B3B8" w14:textId="77777777" w:rsidR="00140246" w:rsidRPr="00EB0495" w:rsidRDefault="00140246" w:rsidP="00140246">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Cs w:val="20"/>
                <w:lang w:val="en-US"/>
              </w:rPr>
            </w:pPr>
            <w:r w:rsidRPr="00EB0495">
              <w:rPr>
                <w:rFonts w:ascii="Arial" w:eastAsia="Calibri" w:hAnsi="Arial" w:cs="Arial"/>
                <w:szCs w:val="20"/>
                <w:lang w:val="en-US"/>
              </w:rPr>
              <w:t>327/910 (35.9)</w:t>
            </w:r>
          </w:p>
        </w:tc>
      </w:tr>
      <w:tr w:rsidR="00140246" w:rsidRPr="00EB0495" w14:paraId="1BF286CD" w14:textId="77777777" w:rsidTr="00140246">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829" w:type="pct"/>
          </w:tcPr>
          <w:p w14:paraId="1B6739E1" w14:textId="77777777" w:rsidR="00140246" w:rsidRPr="00EB0495" w:rsidRDefault="00140246" w:rsidP="00140246">
            <w:pPr>
              <w:spacing w:before="120" w:after="120"/>
              <w:ind w:left="284"/>
              <w:rPr>
                <w:rFonts w:ascii="Arial" w:eastAsia="Calibri" w:hAnsi="Arial" w:cs="Arial"/>
                <w:b w:val="0"/>
                <w:szCs w:val="20"/>
                <w:lang w:val="en-US"/>
              </w:rPr>
            </w:pPr>
            <w:r w:rsidRPr="00EB0495">
              <w:rPr>
                <w:rFonts w:ascii="Arial" w:eastAsia="Calibri" w:hAnsi="Arial" w:cs="Arial"/>
                <w:szCs w:val="20"/>
                <w:lang w:val="en-US"/>
              </w:rPr>
              <w:t>IV</w:t>
            </w:r>
          </w:p>
        </w:tc>
        <w:tc>
          <w:tcPr>
            <w:tcW w:w="1586" w:type="pct"/>
          </w:tcPr>
          <w:p w14:paraId="62242CBA" w14:textId="77777777" w:rsidR="00140246" w:rsidRPr="00EB0495" w:rsidRDefault="00140246" w:rsidP="00140246">
            <w:pPr>
              <w:spacing w:before="120" w:after="120"/>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Cs w:val="20"/>
                <w:lang w:val="en-US"/>
              </w:rPr>
            </w:pPr>
            <w:r w:rsidRPr="00EB0495">
              <w:rPr>
                <w:rFonts w:ascii="Arial" w:eastAsia="Calibri" w:hAnsi="Arial" w:cs="Arial"/>
                <w:szCs w:val="20"/>
                <w:lang w:val="en-US"/>
              </w:rPr>
              <w:t>97/154 (63.0)</w:t>
            </w:r>
          </w:p>
        </w:tc>
        <w:tc>
          <w:tcPr>
            <w:tcW w:w="1585" w:type="pct"/>
            <w:gridSpan w:val="2"/>
          </w:tcPr>
          <w:p w14:paraId="20D4BA0F" w14:textId="77777777" w:rsidR="00140246" w:rsidRPr="00EB0495" w:rsidRDefault="00140246" w:rsidP="00140246">
            <w:pPr>
              <w:spacing w:before="120" w:after="120"/>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Cs w:val="20"/>
                <w:lang w:val="en-US"/>
              </w:rPr>
            </w:pPr>
            <w:r w:rsidRPr="00EB0495">
              <w:rPr>
                <w:rFonts w:ascii="Arial" w:eastAsia="Calibri" w:hAnsi="Arial" w:cs="Arial"/>
                <w:szCs w:val="20"/>
                <w:lang w:val="en-US"/>
              </w:rPr>
              <w:t>506/910 (55.6)</w:t>
            </w:r>
          </w:p>
        </w:tc>
      </w:tr>
      <w:tr w:rsidR="00140246" w:rsidRPr="00EB0495" w14:paraId="76A33768" w14:textId="77777777" w:rsidTr="00140246">
        <w:trPr>
          <w:trHeight w:val="797"/>
        </w:trPr>
        <w:tc>
          <w:tcPr>
            <w:cnfStyle w:val="001000000000" w:firstRow="0" w:lastRow="0" w:firstColumn="1" w:lastColumn="0" w:oddVBand="0" w:evenVBand="0" w:oddHBand="0" w:evenHBand="0" w:firstRowFirstColumn="0" w:firstRowLastColumn="0" w:lastRowFirstColumn="0" w:lastRowLastColumn="0"/>
            <w:tcW w:w="1829" w:type="pct"/>
          </w:tcPr>
          <w:p w14:paraId="422A2689" w14:textId="5442B0E1" w:rsidR="00140246" w:rsidRPr="00EB0495" w:rsidRDefault="00140246" w:rsidP="00140246">
            <w:pPr>
              <w:spacing w:before="120" w:after="120"/>
              <w:rPr>
                <w:rFonts w:ascii="Arial" w:eastAsia="Calibri" w:hAnsi="Arial" w:cs="Arial"/>
                <w:b w:val="0"/>
                <w:szCs w:val="20"/>
                <w:lang w:val="en-US"/>
              </w:rPr>
            </w:pPr>
            <w:r w:rsidRPr="00EB0495">
              <w:rPr>
                <w:rFonts w:ascii="Arial" w:eastAsia="Calibri" w:hAnsi="Arial" w:cs="Arial"/>
                <w:szCs w:val="20"/>
                <w:lang w:val="en-US"/>
              </w:rPr>
              <w:t xml:space="preserve">Bone marrow involvement </w:t>
            </w:r>
            <w:r w:rsidRPr="00EB0495">
              <w:rPr>
                <w:rFonts w:ascii="Arial" w:eastAsia="Calibri" w:hAnsi="Arial" w:cs="Arial"/>
                <w:szCs w:val="20"/>
                <w:lang w:val="en-US"/>
              </w:rPr>
              <w:br/>
              <w:t>(n=1063)</w:t>
            </w:r>
          </w:p>
        </w:tc>
        <w:tc>
          <w:tcPr>
            <w:tcW w:w="1586" w:type="pct"/>
          </w:tcPr>
          <w:p w14:paraId="66153B38" w14:textId="77777777" w:rsidR="00140246" w:rsidRPr="00EB0495" w:rsidRDefault="00140246" w:rsidP="00140246">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Cs w:val="20"/>
                <w:lang w:val="en-US"/>
              </w:rPr>
            </w:pPr>
            <w:r w:rsidRPr="00EB0495">
              <w:rPr>
                <w:rFonts w:ascii="Arial" w:eastAsia="Calibri" w:hAnsi="Arial" w:cs="Arial"/>
                <w:szCs w:val="20"/>
                <w:lang w:val="en-US"/>
              </w:rPr>
              <w:t>80/155 (51.6)</w:t>
            </w:r>
          </w:p>
        </w:tc>
        <w:tc>
          <w:tcPr>
            <w:tcW w:w="1585" w:type="pct"/>
            <w:gridSpan w:val="2"/>
          </w:tcPr>
          <w:p w14:paraId="578DD14C" w14:textId="77777777" w:rsidR="00140246" w:rsidRPr="00EB0495" w:rsidRDefault="00140246" w:rsidP="00140246">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Cs w:val="20"/>
                <w:lang w:val="en-US"/>
              </w:rPr>
            </w:pPr>
            <w:r w:rsidRPr="00EB0495">
              <w:rPr>
                <w:rFonts w:ascii="Arial" w:eastAsia="Calibri" w:hAnsi="Arial" w:cs="Arial"/>
                <w:szCs w:val="20"/>
                <w:lang w:val="en-US"/>
              </w:rPr>
              <w:t>468/908 (51.5)</w:t>
            </w:r>
          </w:p>
        </w:tc>
      </w:tr>
      <w:tr w:rsidR="00140246" w:rsidRPr="00EB0495" w14:paraId="5A79102E" w14:textId="77777777" w:rsidTr="00140246">
        <w:trPr>
          <w:cnfStyle w:val="000000100000" w:firstRow="0" w:lastRow="0" w:firstColumn="0" w:lastColumn="0" w:oddVBand="0" w:evenVBand="0" w:oddHBand="1" w:evenHBand="0" w:firstRowFirstColumn="0" w:firstRowLastColumn="0" w:lastRowFirstColumn="0" w:lastRowLastColumn="0"/>
          <w:trHeight w:val="525"/>
        </w:trPr>
        <w:tc>
          <w:tcPr>
            <w:cnfStyle w:val="001000000000" w:firstRow="0" w:lastRow="0" w:firstColumn="1" w:lastColumn="0" w:oddVBand="0" w:evenVBand="0" w:oddHBand="0" w:evenHBand="0" w:firstRowFirstColumn="0" w:firstRowLastColumn="0" w:lastRowFirstColumn="0" w:lastRowLastColumn="0"/>
            <w:tcW w:w="1829" w:type="pct"/>
          </w:tcPr>
          <w:p w14:paraId="6E919913" w14:textId="77777777" w:rsidR="00140246" w:rsidRPr="00EB0495" w:rsidRDefault="00140246" w:rsidP="00140246">
            <w:pPr>
              <w:spacing w:before="120" w:after="120"/>
              <w:rPr>
                <w:rFonts w:ascii="Arial" w:eastAsia="Calibri" w:hAnsi="Arial" w:cs="Arial"/>
                <w:b w:val="0"/>
                <w:szCs w:val="20"/>
                <w:lang w:val="en-US"/>
              </w:rPr>
            </w:pPr>
            <w:r w:rsidRPr="00EB0495">
              <w:rPr>
                <w:rFonts w:ascii="Arial" w:eastAsia="Calibri" w:hAnsi="Arial" w:cs="Arial"/>
                <w:szCs w:val="20"/>
                <w:lang w:val="en-US"/>
              </w:rPr>
              <w:t xml:space="preserve">Grade of FL </w:t>
            </w:r>
          </w:p>
        </w:tc>
        <w:tc>
          <w:tcPr>
            <w:tcW w:w="1586" w:type="pct"/>
          </w:tcPr>
          <w:p w14:paraId="62AA5753" w14:textId="77777777" w:rsidR="00140246" w:rsidRPr="00EB0495" w:rsidRDefault="00140246" w:rsidP="00140246">
            <w:pPr>
              <w:spacing w:before="120" w:after="120"/>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Cs w:val="20"/>
                <w:lang w:val="en-US"/>
              </w:rPr>
            </w:pPr>
          </w:p>
        </w:tc>
        <w:tc>
          <w:tcPr>
            <w:tcW w:w="1585" w:type="pct"/>
            <w:gridSpan w:val="2"/>
          </w:tcPr>
          <w:p w14:paraId="3BE4FADF" w14:textId="77777777" w:rsidR="00140246" w:rsidRPr="00EB0495" w:rsidRDefault="00140246" w:rsidP="00140246">
            <w:pPr>
              <w:spacing w:before="120" w:after="120"/>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Cs w:val="20"/>
                <w:lang w:val="en-US"/>
              </w:rPr>
            </w:pPr>
          </w:p>
        </w:tc>
      </w:tr>
      <w:tr w:rsidR="00140246" w:rsidRPr="00EB0495" w14:paraId="1FB6CCD6" w14:textId="77777777" w:rsidTr="00140246">
        <w:trPr>
          <w:trHeight w:val="510"/>
        </w:trPr>
        <w:tc>
          <w:tcPr>
            <w:cnfStyle w:val="001000000000" w:firstRow="0" w:lastRow="0" w:firstColumn="1" w:lastColumn="0" w:oddVBand="0" w:evenVBand="0" w:oddHBand="0" w:evenHBand="0" w:firstRowFirstColumn="0" w:firstRowLastColumn="0" w:lastRowFirstColumn="0" w:lastRowLastColumn="0"/>
            <w:tcW w:w="1829" w:type="pct"/>
          </w:tcPr>
          <w:p w14:paraId="716EA660" w14:textId="77777777" w:rsidR="00140246" w:rsidRPr="00EB0495" w:rsidRDefault="00140246" w:rsidP="00140246">
            <w:pPr>
              <w:spacing w:before="120" w:after="120"/>
              <w:ind w:left="284"/>
              <w:rPr>
                <w:rFonts w:ascii="Arial" w:eastAsia="Calibri" w:hAnsi="Arial" w:cs="Arial"/>
                <w:b w:val="0"/>
                <w:szCs w:val="20"/>
                <w:lang w:val="en-US"/>
              </w:rPr>
            </w:pPr>
            <w:r w:rsidRPr="00EB0495">
              <w:rPr>
                <w:rFonts w:ascii="Arial" w:eastAsia="Calibri" w:hAnsi="Arial" w:cs="Arial"/>
                <w:szCs w:val="20"/>
                <w:lang w:val="en-US"/>
              </w:rPr>
              <w:t>1</w:t>
            </w:r>
          </w:p>
        </w:tc>
        <w:tc>
          <w:tcPr>
            <w:tcW w:w="1586" w:type="pct"/>
          </w:tcPr>
          <w:p w14:paraId="3CF19FC5" w14:textId="77777777" w:rsidR="00140246" w:rsidRPr="00EB0495" w:rsidRDefault="00140246" w:rsidP="00140246">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Cs w:val="20"/>
                <w:lang w:val="en-US"/>
              </w:rPr>
            </w:pPr>
            <w:r w:rsidRPr="00EB0495">
              <w:rPr>
                <w:rFonts w:ascii="Arial" w:eastAsia="Calibri" w:hAnsi="Arial" w:cs="Arial"/>
                <w:szCs w:val="20"/>
                <w:lang w:val="en-US"/>
              </w:rPr>
              <w:t>57 (36.8)</w:t>
            </w:r>
          </w:p>
        </w:tc>
        <w:tc>
          <w:tcPr>
            <w:tcW w:w="1585" w:type="pct"/>
            <w:gridSpan w:val="2"/>
          </w:tcPr>
          <w:p w14:paraId="1C8B1BD0" w14:textId="77777777" w:rsidR="00140246" w:rsidRPr="00EB0495" w:rsidRDefault="00140246" w:rsidP="00140246">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Cs w:val="20"/>
                <w:lang w:val="en-US"/>
              </w:rPr>
            </w:pPr>
            <w:r w:rsidRPr="00EB0495">
              <w:rPr>
                <w:rFonts w:ascii="Arial" w:eastAsia="Calibri" w:hAnsi="Arial" w:cs="Arial"/>
                <w:szCs w:val="20"/>
                <w:lang w:val="en-US"/>
              </w:rPr>
              <w:t>353 (38.5)</w:t>
            </w:r>
          </w:p>
        </w:tc>
      </w:tr>
      <w:tr w:rsidR="00140246" w:rsidRPr="00EB0495" w14:paraId="5EF82F84" w14:textId="77777777" w:rsidTr="00140246">
        <w:trPr>
          <w:cnfStyle w:val="000000100000" w:firstRow="0" w:lastRow="0" w:firstColumn="0" w:lastColumn="0" w:oddVBand="0" w:evenVBand="0" w:oddHBand="1" w:evenHBand="0" w:firstRowFirstColumn="0" w:firstRowLastColumn="0" w:lastRowFirstColumn="0" w:lastRowLastColumn="0"/>
          <w:trHeight w:val="525"/>
        </w:trPr>
        <w:tc>
          <w:tcPr>
            <w:cnfStyle w:val="001000000000" w:firstRow="0" w:lastRow="0" w:firstColumn="1" w:lastColumn="0" w:oddVBand="0" w:evenVBand="0" w:oddHBand="0" w:evenHBand="0" w:firstRowFirstColumn="0" w:firstRowLastColumn="0" w:lastRowFirstColumn="0" w:lastRowLastColumn="0"/>
            <w:tcW w:w="1829" w:type="pct"/>
          </w:tcPr>
          <w:p w14:paraId="42DCF227" w14:textId="77777777" w:rsidR="00140246" w:rsidRPr="00EB0495" w:rsidRDefault="00140246" w:rsidP="00140246">
            <w:pPr>
              <w:spacing w:before="120" w:after="120"/>
              <w:ind w:left="284"/>
              <w:rPr>
                <w:rFonts w:ascii="Arial" w:eastAsia="Calibri" w:hAnsi="Arial" w:cs="Arial"/>
                <w:b w:val="0"/>
                <w:szCs w:val="20"/>
                <w:lang w:val="en-US"/>
              </w:rPr>
            </w:pPr>
            <w:r w:rsidRPr="00EB0495">
              <w:rPr>
                <w:rFonts w:ascii="Arial" w:eastAsia="Calibri" w:hAnsi="Arial" w:cs="Arial"/>
                <w:szCs w:val="20"/>
                <w:lang w:val="en-US"/>
              </w:rPr>
              <w:t>2</w:t>
            </w:r>
          </w:p>
        </w:tc>
        <w:tc>
          <w:tcPr>
            <w:tcW w:w="1586" w:type="pct"/>
          </w:tcPr>
          <w:p w14:paraId="314295CA" w14:textId="77777777" w:rsidR="00140246" w:rsidRPr="00EB0495" w:rsidRDefault="00140246" w:rsidP="00140246">
            <w:pPr>
              <w:spacing w:before="120" w:after="120"/>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Cs w:val="20"/>
                <w:lang w:val="en-US"/>
              </w:rPr>
            </w:pPr>
            <w:r w:rsidRPr="00EB0495">
              <w:rPr>
                <w:rFonts w:ascii="Arial" w:eastAsia="Calibri" w:hAnsi="Arial" w:cs="Arial"/>
                <w:szCs w:val="20"/>
                <w:lang w:val="en-US"/>
              </w:rPr>
              <w:t>63 (40.6)</w:t>
            </w:r>
          </w:p>
        </w:tc>
        <w:tc>
          <w:tcPr>
            <w:tcW w:w="1585" w:type="pct"/>
            <w:gridSpan w:val="2"/>
          </w:tcPr>
          <w:p w14:paraId="62793521" w14:textId="77777777" w:rsidR="00140246" w:rsidRPr="00EB0495" w:rsidRDefault="00140246" w:rsidP="00140246">
            <w:pPr>
              <w:spacing w:before="120" w:after="120"/>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Cs w:val="20"/>
                <w:lang w:val="en-US"/>
              </w:rPr>
            </w:pPr>
            <w:r w:rsidRPr="00EB0495">
              <w:rPr>
                <w:rFonts w:ascii="Arial" w:eastAsia="Calibri" w:hAnsi="Arial" w:cs="Arial"/>
                <w:szCs w:val="20"/>
                <w:lang w:val="en-US"/>
              </w:rPr>
              <w:t>437 (47.7)</w:t>
            </w:r>
          </w:p>
        </w:tc>
      </w:tr>
      <w:tr w:rsidR="00140246" w:rsidRPr="00EB0495" w14:paraId="5765979F" w14:textId="77777777" w:rsidTr="00140246">
        <w:trPr>
          <w:trHeight w:val="510"/>
        </w:trPr>
        <w:tc>
          <w:tcPr>
            <w:cnfStyle w:val="001000000000" w:firstRow="0" w:lastRow="0" w:firstColumn="1" w:lastColumn="0" w:oddVBand="0" w:evenVBand="0" w:oddHBand="0" w:evenHBand="0" w:firstRowFirstColumn="0" w:firstRowLastColumn="0" w:lastRowFirstColumn="0" w:lastRowLastColumn="0"/>
            <w:tcW w:w="1829" w:type="pct"/>
          </w:tcPr>
          <w:p w14:paraId="7243D6CF" w14:textId="77777777" w:rsidR="00140246" w:rsidRPr="00EB0495" w:rsidRDefault="00140246" w:rsidP="00140246">
            <w:pPr>
              <w:spacing w:before="120" w:after="120"/>
              <w:ind w:left="284"/>
              <w:rPr>
                <w:rFonts w:ascii="Arial" w:eastAsia="Calibri" w:hAnsi="Arial" w:cs="Arial"/>
                <w:b w:val="0"/>
                <w:szCs w:val="20"/>
                <w:lang w:val="en-US"/>
              </w:rPr>
            </w:pPr>
            <w:r w:rsidRPr="00EB0495">
              <w:rPr>
                <w:rFonts w:ascii="Arial" w:eastAsia="Calibri" w:hAnsi="Arial" w:cs="Arial"/>
                <w:szCs w:val="20"/>
                <w:lang w:val="en-US"/>
              </w:rPr>
              <w:t>3a</w:t>
            </w:r>
          </w:p>
        </w:tc>
        <w:tc>
          <w:tcPr>
            <w:tcW w:w="1586" w:type="pct"/>
          </w:tcPr>
          <w:p w14:paraId="2F94A6B5" w14:textId="77777777" w:rsidR="00140246" w:rsidRPr="00EB0495" w:rsidRDefault="00140246" w:rsidP="00140246">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Cs w:val="20"/>
                <w:lang w:val="en-US"/>
              </w:rPr>
            </w:pPr>
            <w:r w:rsidRPr="00EB0495">
              <w:rPr>
                <w:rFonts w:ascii="Arial" w:eastAsia="Calibri" w:hAnsi="Arial" w:cs="Arial"/>
                <w:szCs w:val="20"/>
                <w:lang w:val="en-US"/>
              </w:rPr>
              <w:t>35 (22.6)</w:t>
            </w:r>
          </w:p>
        </w:tc>
        <w:tc>
          <w:tcPr>
            <w:tcW w:w="1585" w:type="pct"/>
            <w:gridSpan w:val="2"/>
          </w:tcPr>
          <w:p w14:paraId="74CC299E" w14:textId="77777777" w:rsidR="00140246" w:rsidRPr="00EB0495" w:rsidRDefault="00140246" w:rsidP="00140246">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Cs w:val="20"/>
                <w:lang w:val="en-US"/>
              </w:rPr>
            </w:pPr>
            <w:r w:rsidRPr="00EB0495">
              <w:rPr>
                <w:rFonts w:ascii="Arial" w:eastAsia="Calibri" w:hAnsi="Arial" w:cs="Arial"/>
                <w:szCs w:val="20"/>
                <w:lang w:val="en-US"/>
              </w:rPr>
              <w:t>117 (12.8)</w:t>
            </w:r>
          </w:p>
        </w:tc>
      </w:tr>
      <w:tr w:rsidR="00140246" w:rsidRPr="00EB0495" w14:paraId="2B33B24C" w14:textId="77777777" w:rsidTr="00140246">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829" w:type="pct"/>
          </w:tcPr>
          <w:p w14:paraId="6F768719" w14:textId="77777777" w:rsidR="00140246" w:rsidRPr="00EB0495" w:rsidRDefault="00140246" w:rsidP="00140246">
            <w:pPr>
              <w:spacing w:before="120" w:after="120"/>
              <w:ind w:left="284"/>
              <w:rPr>
                <w:rFonts w:ascii="Arial" w:eastAsia="Calibri" w:hAnsi="Arial" w:cs="Arial"/>
                <w:b w:val="0"/>
                <w:szCs w:val="20"/>
                <w:lang w:val="en-US"/>
              </w:rPr>
            </w:pPr>
            <w:r w:rsidRPr="00EB0495">
              <w:rPr>
                <w:rFonts w:ascii="Arial" w:eastAsia="Calibri" w:hAnsi="Arial" w:cs="Arial"/>
                <w:szCs w:val="20"/>
                <w:lang w:val="en-US"/>
              </w:rPr>
              <w:t>Other (incl. missing)</w:t>
            </w:r>
          </w:p>
        </w:tc>
        <w:tc>
          <w:tcPr>
            <w:tcW w:w="1586" w:type="pct"/>
          </w:tcPr>
          <w:p w14:paraId="3129D034" w14:textId="77777777" w:rsidR="00140246" w:rsidRPr="00EB0495" w:rsidRDefault="00140246" w:rsidP="00140246">
            <w:pPr>
              <w:spacing w:before="120" w:after="120"/>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Cs w:val="20"/>
                <w:lang w:val="en-US"/>
              </w:rPr>
            </w:pPr>
            <w:r w:rsidRPr="00EB0495">
              <w:rPr>
                <w:rFonts w:ascii="Arial" w:eastAsia="Calibri" w:hAnsi="Arial" w:cs="Arial"/>
                <w:szCs w:val="20"/>
                <w:lang w:val="en-US"/>
              </w:rPr>
              <w:t>0</w:t>
            </w:r>
          </w:p>
        </w:tc>
        <w:tc>
          <w:tcPr>
            <w:tcW w:w="1585" w:type="pct"/>
            <w:gridSpan w:val="2"/>
          </w:tcPr>
          <w:p w14:paraId="2C253A20" w14:textId="77777777" w:rsidR="00140246" w:rsidRPr="00EB0495" w:rsidRDefault="00140246" w:rsidP="00140246">
            <w:pPr>
              <w:spacing w:before="120" w:after="120"/>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Cs w:val="20"/>
                <w:lang w:val="en-US"/>
              </w:rPr>
            </w:pPr>
            <w:r w:rsidRPr="00EB0495">
              <w:rPr>
                <w:rFonts w:ascii="Arial" w:eastAsia="Calibri" w:hAnsi="Arial" w:cs="Arial"/>
                <w:szCs w:val="20"/>
                <w:lang w:val="en-US"/>
              </w:rPr>
              <w:t>9 (1.0)</w:t>
            </w:r>
          </w:p>
        </w:tc>
      </w:tr>
      <w:tr w:rsidR="00140246" w:rsidRPr="00EB0495" w14:paraId="3D63EB77" w14:textId="77777777" w:rsidTr="00140246">
        <w:trPr>
          <w:trHeight w:val="1132"/>
        </w:trPr>
        <w:tc>
          <w:tcPr>
            <w:cnfStyle w:val="001000000000" w:firstRow="0" w:lastRow="0" w:firstColumn="1" w:lastColumn="0" w:oddVBand="0" w:evenVBand="0" w:oddHBand="0" w:evenHBand="0" w:firstRowFirstColumn="0" w:firstRowLastColumn="0" w:lastRowFirstColumn="0" w:lastRowLastColumn="0"/>
            <w:tcW w:w="1829" w:type="pct"/>
          </w:tcPr>
          <w:p w14:paraId="794BCAD3" w14:textId="4499165C" w:rsidR="00140246" w:rsidRPr="00EB0495" w:rsidRDefault="00140246" w:rsidP="00140246">
            <w:pPr>
              <w:spacing w:before="120" w:after="120"/>
              <w:rPr>
                <w:rFonts w:ascii="Arial" w:eastAsia="Calibri" w:hAnsi="Arial" w:cs="Arial"/>
                <w:b w:val="0"/>
                <w:szCs w:val="20"/>
                <w:lang w:val="en-US"/>
              </w:rPr>
            </w:pPr>
            <w:r w:rsidRPr="00EB0495">
              <w:rPr>
                <w:rFonts w:ascii="Arial" w:eastAsia="Calibri" w:hAnsi="Arial" w:cs="Arial"/>
                <w:szCs w:val="20"/>
                <w:lang w:val="en-US"/>
              </w:rPr>
              <w:t>Time from diagnosis to randomization, months</w:t>
            </w:r>
            <w:r w:rsidRPr="00EB0495">
              <w:rPr>
                <w:rFonts w:ascii="Arial" w:eastAsia="Calibri" w:hAnsi="Arial" w:cs="Arial"/>
                <w:szCs w:val="20"/>
                <w:lang w:val="en-US"/>
              </w:rPr>
              <w:br/>
              <w:t>(n=1068)</w:t>
            </w:r>
          </w:p>
        </w:tc>
        <w:tc>
          <w:tcPr>
            <w:tcW w:w="1586" w:type="pct"/>
          </w:tcPr>
          <w:p w14:paraId="6BB0E9D9" w14:textId="18AD023F" w:rsidR="00140246" w:rsidRPr="00EB0495" w:rsidRDefault="00140246" w:rsidP="00140246">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Cs w:val="20"/>
                <w:lang w:val="en-US"/>
              </w:rPr>
            </w:pPr>
            <w:r w:rsidRPr="00EB0495">
              <w:rPr>
                <w:rFonts w:ascii="Arial" w:eastAsia="Calibri" w:hAnsi="Arial" w:cs="Arial"/>
                <w:szCs w:val="20"/>
                <w:lang w:val="en-US"/>
              </w:rPr>
              <w:t>1.35 (0.0</w:t>
            </w:r>
            <w:r w:rsidRPr="00EB0495">
              <w:rPr>
                <w:rFonts w:ascii="Calibri" w:hAnsi="Calibri"/>
                <w:color w:val="1F497D"/>
              </w:rPr>
              <w:t>-</w:t>
            </w:r>
            <w:r w:rsidRPr="00EB0495">
              <w:rPr>
                <w:rFonts w:ascii="Arial" w:eastAsia="Calibri" w:hAnsi="Arial" w:cs="Arial"/>
                <w:szCs w:val="20"/>
                <w:lang w:val="en-US"/>
              </w:rPr>
              <w:t xml:space="preserve">83.5) </w:t>
            </w:r>
            <w:r w:rsidRPr="00EB0495">
              <w:rPr>
                <w:rFonts w:ascii="Arial" w:eastAsia="Calibri" w:hAnsi="Arial" w:cs="Arial"/>
                <w:szCs w:val="20"/>
                <w:lang w:val="en-US"/>
              </w:rPr>
              <w:br/>
              <w:t>(n=154)</w:t>
            </w:r>
          </w:p>
        </w:tc>
        <w:tc>
          <w:tcPr>
            <w:tcW w:w="1585" w:type="pct"/>
            <w:gridSpan w:val="2"/>
          </w:tcPr>
          <w:p w14:paraId="7D082AEE" w14:textId="3E521C7E" w:rsidR="00140246" w:rsidRPr="00EB0495" w:rsidRDefault="00140246" w:rsidP="00140246">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Cs w:val="20"/>
                <w:lang w:val="en-US"/>
              </w:rPr>
            </w:pPr>
            <w:r w:rsidRPr="00EB0495">
              <w:rPr>
                <w:rFonts w:ascii="Arial" w:eastAsia="Calibri" w:hAnsi="Arial" w:cs="Arial"/>
                <w:szCs w:val="20"/>
                <w:lang w:val="en-US"/>
              </w:rPr>
              <w:t>1.45 (0.1</w:t>
            </w:r>
            <w:r w:rsidRPr="00EB0495">
              <w:rPr>
                <w:rFonts w:ascii="Calibri" w:hAnsi="Calibri"/>
                <w:color w:val="1F497D"/>
              </w:rPr>
              <w:t>-</w:t>
            </w:r>
            <w:r w:rsidRPr="00EB0495">
              <w:rPr>
                <w:rFonts w:ascii="Arial" w:eastAsia="Calibri" w:hAnsi="Arial" w:cs="Arial"/>
                <w:szCs w:val="20"/>
                <w:lang w:val="en-US"/>
              </w:rPr>
              <w:t xml:space="preserve">129.3) </w:t>
            </w:r>
            <w:r w:rsidRPr="00EB0495">
              <w:rPr>
                <w:rFonts w:ascii="Arial" w:eastAsia="Calibri" w:hAnsi="Arial" w:cs="Arial"/>
                <w:szCs w:val="20"/>
                <w:lang w:val="en-US"/>
              </w:rPr>
              <w:br/>
              <w:t>(n=914)</w:t>
            </w:r>
          </w:p>
        </w:tc>
      </w:tr>
      <w:tr w:rsidR="00140246" w:rsidRPr="00EB0495" w14:paraId="5BA51191" w14:textId="77777777" w:rsidTr="00140246">
        <w:trPr>
          <w:gridAfter w:val="1"/>
          <w:cnfStyle w:val="000000100000" w:firstRow="0" w:lastRow="0" w:firstColumn="0" w:lastColumn="0" w:oddVBand="0" w:evenVBand="0" w:oddHBand="1" w:evenHBand="0" w:firstRowFirstColumn="0" w:firstRowLastColumn="0" w:lastRowFirstColumn="0" w:lastRowLastColumn="0"/>
          <w:wAfter w:w="793" w:type="pct"/>
          <w:trHeight w:val="510"/>
        </w:trPr>
        <w:tc>
          <w:tcPr>
            <w:cnfStyle w:val="001000000000" w:firstRow="0" w:lastRow="0" w:firstColumn="1" w:lastColumn="0" w:oddVBand="0" w:evenVBand="0" w:oddHBand="0" w:evenHBand="0" w:firstRowFirstColumn="0" w:firstRowLastColumn="0" w:lastRowFirstColumn="0" w:lastRowLastColumn="0"/>
            <w:tcW w:w="1829" w:type="pct"/>
          </w:tcPr>
          <w:p w14:paraId="3D4D0993" w14:textId="77777777" w:rsidR="00140246" w:rsidRPr="00EB0495" w:rsidRDefault="00140246" w:rsidP="00140246">
            <w:pPr>
              <w:spacing w:before="120" w:after="120"/>
              <w:rPr>
                <w:rFonts w:ascii="Arial" w:eastAsia="Calibri" w:hAnsi="Arial" w:cs="Arial"/>
                <w:b w:val="0"/>
                <w:szCs w:val="20"/>
                <w:lang w:val="en-US"/>
              </w:rPr>
            </w:pPr>
            <w:r w:rsidRPr="00EB0495">
              <w:rPr>
                <w:rFonts w:ascii="Arial" w:eastAsia="Calibri" w:hAnsi="Arial" w:cs="Arial"/>
                <w:szCs w:val="20"/>
                <w:lang w:val="en-US"/>
              </w:rPr>
              <w:t xml:space="preserve">FLIPI </w:t>
            </w:r>
          </w:p>
        </w:tc>
        <w:tc>
          <w:tcPr>
            <w:tcW w:w="2378" w:type="pct"/>
            <w:gridSpan w:val="2"/>
          </w:tcPr>
          <w:p w14:paraId="4F7521F8" w14:textId="77777777" w:rsidR="00140246" w:rsidRPr="00EB0495" w:rsidRDefault="00140246" w:rsidP="00140246">
            <w:pPr>
              <w:spacing w:before="120" w:after="120"/>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Cs w:val="20"/>
                <w:lang w:val="en-US"/>
              </w:rPr>
            </w:pPr>
          </w:p>
        </w:tc>
      </w:tr>
      <w:tr w:rsidR="00140246" w:rsidRPr="00EB0495" w14:paraId="1244FEBD" w14:textId="77777777" w:rsidTr="00140246">
        <w:trPr>
          <w:trHeight w:val="525"/>
        </w:trPr>
        <w:tc>
          <w:tcPr>
            <w:cnfStyle w:val="001000000000" w:firstRow="0" w:lastRow="0" w:firstColumn="1" w:lastColumn="0" w:oddVBand="0" w:evenVBand="0" w:oddHBand="0" w:evenHBand="0" w:firstRowFirstColumn="0" w:firstRowLastColumn="0" w:lastRowFirstColumn="0" w:lastRowLastColumn="0"/>
            <w:tcW w:w="1829" w:type="pct"/>
          </w:tcPr>
          <w:p w14:paraId="669FC5C9" w14:textId="77777777" w:rsidR="00140246" w:rsidRPr="00EB0495" w:rsidRDefault="00140246" w:rsidP="00140246">
            <w:pPr>
              <w:spacing w:before="120" w:after="120"/>
              <w:ind w:left="284"/>
              <w:rPr>
                <w:rFonts w:ascii="Arial" w:eastAsia="Calibri" w:hAnsi="Arial" w:cs="Arial"/>
                <w:b w:val="0"/>
                <w:szCs w:val="20"/>
                <w:lang w:val="en-US"/>
              </w:rPr>
            </w:pPr>
            <w:r w:rsidRPr="00EB0495">
              <w:rPr>
                <w:rFonts w:ascii="Arial" w:eastAsia="Calibri" w:hAnsi="Arial" w:cs="Arial"/>
                <w:szCs w:val="20"/>
                <w:lang w:val="en-US"/>
              </w:rPr>
              <w:t>Low (0-1)</w:t>
            </w:r>
          </w:p>
        </w:tc>
        <w:tc>
          <w:tcPr>
            <w:tcW w:w="1586" w:type="pct"/>
          </w:tcPr>
          <w:p w14:paraId="1A738F42" w14:textId="77777777" w:rsidR="00140246" w:rsidRPr="00EB0495" w:rsidRDefault="00140246" w:rsidP="00140246">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Cs w:val="20"/>
                <w:lang w:val="en-US"/>
              </w:rPr>
            </w:pPr>
            <w:r w:rsidRPr="00EB0495">
              <w:rPr>
                <w:rFonts w:ascii="Arial" w:eastAsia="Calibri" w:hAnsi="Arial" w:cs="Arial"/>
                <w:szCs w:val="20"/>
                <w:lang w:val="en-US"/>
              </w:rPr>
              <w:t>25 (16.1)</w:t>
            </w:r>
          </w:p>
        </w:tc>
        <w:tc>
          <w:tcPr>
            <w:tcW w:w="1585" w:type="pct"/>
            <w:gridSpan w:val="2"/>
          </w:tcPr>
          <w:p w14:paraId="5E4B8548" w14:textId="77777777" w:rsidR="00140246" w:rsidRPr="00EB0495" w:rsidRDefault="00140246" w:rsidP="00140246">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Cs w:val="20"/>
                <w:lang w:val="en-US"/>
              </w:rPr>
            </w:pPr>
            <w:r w:rsidRPr="00EB0495">
              <w:rPr>
                <w:rFonts w:ascii="Arial" w:eastAsia="Calibri" w:hAnsi="Arial" w:cs="Arial"/>
                <w:szCs w:val="20"/>
                <w:lang w:val="en-US"/>
              </w:rPr>
              <w:t>192 (21.0)</w:t>
            </w:r>
          </w:p>
        </w:tc>
      </w:tr>
      <w:tr w:rsidR="00140246" w:rsidRPr="00EB0495" w14:paraId="2E4329B9" w14:textId="77777777" w:rsidTr="00140246">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829" w:type="pct"/>
          </w:tcPr>
          <w:p w14:paraId="7BED5B7E" w14:textId="77777777" w:rsidR="00140246" w:rsidRPr="00EB0495" w:rsidRDefault="00140246" w:rsidP="00140246">
            <w:pPr>
              <w:spacing w:before="120" w:after="120"/>
              <w:ind w:left="284"/>
              <w:rPr>
                <w:rFonts w:ascii="Arial" w:eastAsia="Calibri" w:hAnsi="Arial" w:cs="Arial"/>
                <w:b w:val="0"/>
                <w:szCs w:val="20"/>
                <w:lang w:val="en-US"/>
              </w:rPr>
            </w:pPr>
            <w:r w:rsidRPr="00EB0495">
              <w:rPr>
                <w:rFonts w:ascii="Arial" w:eastAsia="Calibri" w:hAnsi="Arial" w:cs="Arial"/>
                <w:szCs w:val="20"/>
                <w:lang w:val="en-US"/>
              </w:rPr>
              <w:t>Intermediate (2)</w:t>
            </w:r>
          </w:p>
        </w:tc>
        <w:tc>
          <w:tcPr>
            <w:tcW w:w="1586" w:type="pct"/>
          </w:tcPr>
          <w:p w14:paraId="5BDBF1E0" w14:textId="77777777" w:rsidR="00140246" w:rsidRPr="00EB0495" w:rsidRDefault="00140246" w:rsidP="00140246">
            <w:pPr>
              <w:spacing w:before="120" w:after="120"/>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Cs w:val="20"/>
                <w:lang w:val="en-US"/>
              </w:rPr>
            </w:pPr>
            <w:r w:rsidRPr="00EB0495">
              <w:rPr>
                <w:rFonts w:ascii="Arial" w:eastAsia="Calibri" w:hAnsi="Arial" w:cs="Arial"/>
                <w:szCs w:val="20"/>
                <w:lang w:val="en-US"/>
              </w:rPr>
              <w:t>46 (29.7)</w:t>
            </w:r>
          </w:p>
        </w:tc>
        <w:tc>
          <w:tcPr>
            <w:tcW w:w="1585" w:type="pct"/>
            <w:gridSpan w:val="2"/>
          </w:tcPr>
          <w:p w14:paraId="1FDAF704" w14:textId="77777777" w:rsidR="00140246" w:rsidRPr="00EB0495" w:rsidRDefault="00140246" w:rsidP="00140246">
            <w:pPr>
              <w:spacing w:before="120" w:after="120"/>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Cs w:val="20"/>
                <w:lang w:val="en-US"/>
              </w:rPr>
            </w:pPr>
            <w:r w:rsidRPr="00EB0495">
              <w:rPr>
                <w:rFonts w:ascii="Arial" w:eastAsia="Calibri" w:hAnsi="Arial" w:cs="Arial"/>
                <w:szCs w:val="20"/>
                <w:lang w:val="en-US"/>
              </w:rPr>
              <w:t>354 (38.6)</w:t>
            </w:r>
          </w:p>
        </w:tc>
      </w:tr>
      <w:tr w:rsidR="00140246" w:rsidRPr="00EB0495" w14:paraId="4F59F57E" w14:textId="77777777" w:rsidTr="00140246">
        <w:trPr>
          <w:trHeight w:val="510"/>
        </w:trPr>
        <w:tc>
          <w:tcPr>
            <w:cnfStyle w:val="001000000000" w:firstRow="0" w:lastRow="0" w:firstColumn="1" w:lastColumn="0" w:oddVBand="0" w:evenVBand="0" w:oddHBand="0" w:evenHBand="0" w:firstRowFirstColumn="0" w:firstRowLastColumn="0" w:lastRowFirstColumn="0" w:lastRowLastColumn="0"/>
            <w:tcW w:w="1829" w:type="pct"/>
          </w:tcPr>
          <w:p w14:paraId="61A46CCE" w14:textId="59A8798D" w:rsidR="00140246" w:rsidRPr="00EB0495" w:rsidRDefault="00140246" w:rsidP="00140246">
            <w:pPr>
              <w:spacing w:before="120" w:after="120"/>
              <w:ind w:left="284"/>
              <w:rPr>
                <w:rFonts w:ascii="Arial" w:eastAsia="Calibri" w:hAnsi="Arial" w:cs="Arial"/>
                <w:b w:val="0"/>
                <w:szCs w:val="20"/>
                <w:lang w:val="en-US"/>
              </w:rPr>
            </w:pPr>
            <w:r w:rsidRPr="00EB0495">
              <w:rPr>
                <w:rFonts w:ascii="Arial" w:eastAsia="Calibri" w:hAnsi="Arial" w:cs="Arial"/>
                <w:szCs w:val="20"/>
                <w:lang w:val="en-US"/>
              </w:rPr>
              <w:t>High (≥3)</w:t>
            </w:r>
          </w:p>
        </w:tc>
        <w:tc>
          <w:tcPr>
            <w:tcW w:w="1586" w:type="pct"/>
          </w:tcPr>
          <w:p w14:paraId="7BEF096D" w14:textId="77777777" w:rsidR="00140246" w:rsidRPr="00EB0495" w:rsidRDefault="00140246" w:rsidP="00140246">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Cs w:val="20"/>
                <w:lang w:val="en-US"/>
              </w:rPr>
            </w:pPr>
            <w:r w:rsidRPr="00EB0495">
              <w:rPr>
                <w:rFonts w:ascii="Arial" w:eastAsia="Calibri" w:hAnsi="Arial" w:cs="Arial"/>
                <w:szCs w:val="20"/>
                <w:lang w:val="en-US"/>
              </w:rPr>
              <w:t>84 (54.2)</w:t>
            </w:r>
          </w:p>
        </w:tc>
        <w:tc>
          <w:tcPr>
            <w:tcW w:w="1585" w:type="pct"/>
            <w:gridSpan w:val="2"/>
          </w:tcPr>
          <w:p w14:paraId="1C499EB3" w14:textId="77777777" w:rsidR="00140246" w:rsidRPr="00EB0495" w:rsidRDefault="00140246" w:rsidP="00140246">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Cs w:val="20"/>
                <w:lang w:val="en-US"/>
              </w:rPr>
            </w:pPr>
            <w:r w:rsidRPr="00EB0495">
              <w:rPr>
                <w:rFonts w:ascii="Arial" w:eastAsia="Calibri" w:hAnsi="Arial" w:cs="Arial"/>
                <w:szCs w:val="20"/>
                <w:lang w:val="en-US"/>
              </w:rPr>
              <w:t>370 (40.4)</w:t>
            </w:r>
          </w:p>
        </w:tc>
      </w:tr>
      <w:tr w:rsidR="00140246" w:rsidRPr="00EB0495" w14:paraId="29CC3A74" w14:textId="77777777" w:rsidTr="00140246">
        <w:trPr>
          <w:gridAfter w:val="1"/>
          <w:cnfStyle w:val="000000100000" w:firstRow="0" w:lastRow="0" w:firstColumn="0" w:lastColumn="0" w:oddVBand="0" w:evenVBand="0" w:oddHBand="1" w:evenHBand="0" w:firstRowFirstColumn="0" w:firstRowLastColumn="0" w:lastRowFirstColumn="0" w:lastRowLastColumn="0"/>
          <w:wAfter w:w="793" w:type="pct"/>
          <w:trHeight w:val="525"/>
        </w:trPr>
        <w:tc>
          <w:tcPr>
            <w:cnfStyle w:val="001000000000" w:firstRow="0" w:lastRow="0" w:firstColumn="1" w:lastColumn="0" w:oddVBand="0" w:evenVBand="0" w:oddHBand="0" w:evenHBand="0" w:firstRowFirstColumn="0" w:firstRowLastColumn="0" w:lastRowFirstColumn="0" w:lastRowLastColumn="0"/>
            <w:tcW w:w="1829" w:type="pct"/>
          </w:tcPr>
          <w:p w14:paraId="492BD304" w14:textId="3DDE32A6" w:rsidR="00140246" w:rsidRPr="00EB0495" w:rsidRDefault="00140246" w:rsidP="00140246">
            <w:pPr>
              <w:spacing w:before="120" w:after="120"/>
              <w:rPr>
                <w:rFonts w:ascii="Arial" w:eastAsia="Calibri" w:hAnsi="Arial" w:cs="Arial"/>
                <w:b w:val="0"/>
                <w:szCs w:val="20"/>
                <w:lang w:val="en-US"/>
              </w:rPr>
            </w:pPr>
            <w:r w:rsidRPr="00EB0495">
              <w:rPr>
                <w:rFonts w:ascii="Arial" w:eastAsia="Calibri" w:hAnsi="Arial" w:cs="Arial"/>
                <w:szCs w:val="20"/>
                <w:lang w:val="en-US"/>
              </w:rPr>
              <w:lastRenderedPageBreak/>
              <w:t>FLIPI-2</w:t>
            </w:r>
            <w:r w:rsidRPr="00EB0495">
              <w:rPr>
                <w:rFonts w:ascii="Arial" w:hAnsi="Arial" w:cs="Arial"/>
                <w:szCs w:val="20"/>
                <w:lang w:val="en-US"/>
              </w:rPr>
              <w:t xml:space="preserve"> (n=1043)</w:t>
            </w:r>
          </w:p>
        </w:tc>
        <w:tc>
          <w:tcPr>
            <w:tcW w:w="2378" w:type="pct"/>
            <w:gridSpan w:val="2"/>
          </w:tcPr>
          <w:p w14:paraId="314B1E0A" w14:textId="77777777" w:rsidR="00140246" w:rsidRPr="00EB0495" w:rsidRDefault="00140246" w:rsidP="00140246">
            <w:pPr>
              <w:spacing w:before="120" w:after="120"/>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Cs w:val="20"/>
                <w:lang w:val="en-US"/>
              </w:rPr>
            </w:pPr>
          </w:p>
        </w:tc>
      </w:tr>
      <w:tr w:rsidR="00140246" w:rsidRPr="00EB0495" w14:paraId="352571C3" w14:textId="77777777" w:rsidTr="00140246">
        <w:trPr>
          <w:trHeight w:val="510"/>
        </w:trPr>
        <w:tc>
          <w:tcPr>
            <w:cnfStyle w:val="001000000000" w:firstRow="0" w:lastRow="0" w:firstColumn="1" w:lastColumn="0" w:oddVBand="0" w:evenVBand="0" w:oddHBand="0" w:evenHBand="0" w:firstRowFirstColumn="0" w:firstRowLastColumn="0" w:lastRowFirstColumn="0" w:lastRowLastColumn="0"/>
            <w:tcW w:w="1829" w:type="pct"/>
          </w:tcPr>
          <w:p w14:paraId="1AEB3F4C" w14:textId="77777777" w:rsidR="00140246" w:rsidRPr="00EB0495" w:rsidRDefault="00140246" w:rsidP="00140246">
            <w:pPr>
              <w:spacing w:before="120" w:after="120"/>
              <w:ind w:left="284"/>
              <w:rPr>
                <w:rFonts w:ascii="Arial" w:eastAsia="Calibri" w:hAnsi="Arial" w:cs="Arial"/>
                <w:b w:val="0"/>
                <w:szCs w:val="20"/>
                <w:lang w:val="en-US"/>
              </w:rPr>
            </w:pPr>
            <w:r w:rsidRPr="00EB0495">
              <w:rPr>
                <w:rFonts w:ascii="Arial" w:eastAsia="Calibri" w:hAnsi="Arial" w:cs="Arial"/>
                <w:szCs w:val="20"/>
                <w:lang w:val="en-US"/>
              </w:rPr>
              <w:t>Low (0)</w:t>
            </w:r>
          </w:p>
        </w:tc>
        <w:tc>
          <w:tcPr>
            <w:tcW w:w="1586" w:type="pct"/>
          </w:tcPr>
          <w:p w14:paraId="4DE80134" w14:textId="77777777" w:rsidR="00140246" w:rsidRPr="00EB0495" w:rsidRDefault="00140246" w:rsidP="00140246">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Cs w:val="20"/>
                <w:lang w:val="en-US"/>
              </w:rPr>
            </w:pPr>
            <w:r w:rsidRPr="00EB0495">
              <w:rPr>
                <w:rFonts w:ascii="Arial" w:eastAsia="Calibri" w:hAnsi="Arial" w:cs="Arial"/>
                <w:szCs w:val="20"/>
                <w:lang w:val="en-US"/>
              </w:rPr>
              <w:t>6/153 (3.9)</w:t>
            </w:r>
          </w:p>
        </w:tc>
        <w:tc>
          <w:tcPr>
            <w:tcW w:w="1585" w:type="pct"/>
            <w:gridSpan w:val="2"/>
          </w:tcPr>
          <w:p w14:paraId="58830360" w14:textId="77777777" w:rsidR="00140246" w:rsidRPr="00EB0495" w:rsidRDefault="00140246" w:rsidP="00140246">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Cs w:val="20"/>
                <w:lang w:val="en-US"/>
              </w:rPr>
            </w:pPr>
            <w:r w:rsidRPr="00EB0495">
              <w:rPr>
                <w:rFonts w:ascii="Arial" w:eastAsia="Calibri" w:hAnsi="Arial" w:cs="Arial"/>
                <w:szCs w:val="20"/>
                <w:lang w:val="en-US"/>
              </w:rPr>
              <w:t>93/890 (10.4)</w:t>
            </w:r>
          </w:p>
        </w:tc>
      </w:tr>
      <w:tr w:rsidR="00140246" w:rsidRPr="00EB0495" w14:paraId="64D362CF" w14:textId="77777777" w:rsidTr="00140246">
        <w:trPr>
          <w:cnfStyle w:val="000000100000" w:firstRow="0" w:lastRow="0" w:firstColumn="0" w:lastColumn="0" w:oddVBand="0" w:evenVBand="0" w:oddHBand="1" w:evenHBand="0" w:firstRowFirstColumn="0" w:firstRowLastColumn="0" w:lastRowFirstColumn="0" w:lastRowLastColumn="0"/>
          <w:trHeight w:val="525"/>
        </w:trPr>
        <w:tc>
          <w:tcPr>
            <w:cnfStyle w:val="001000000000" w:firstRow="0" w:lastRow="0" w:firstColumn="1" w:lastColumn="0" w:oddVBand="0" w:evenVBand="0" w:oddHBand="0" w:evenHBand="0" w:firstRowFirstColumn="0" w:firstRowLastColumn="0" w:lastRowFirstColumn="0" w:lastRowLastColumn="0"/>
            <w:tcW w:w="1829" w:type="pct"/>
          </w:tcPr>
          <w:p w14:paraId="788A114A" w14:textId="77777777" w:rsidR="00140246" w:rsidRPr="00EB0495" w:rsidRDefault="00140246" w:rsidP="00140246">
            <w:pPr>
              <w:spacing w:before="120" w:after="120"/>
              <w:ind w:left="284"/>
              <w:rPr>
                <w:rFonts w:ascii="Arial" w:eastAsia="Calibri" w:hAnsi="Arial" w:cs="Arial"/>
                <w:b w:val="0"/>
                <w:szCs w:val="20"/>
                <w:lang w:val="en-US"/>
              </w:rPr>
            </w:pPr>
            <w:r w:rsidRPr="00EB0495">
              <w:rPr>
                <w:rFonts w:ascii="Arial" w:eastAsia="Calibri" w:hAnsi="Arial" w:cs="Arial"/>
                <w:szCs w:val="20"/>
                <w:lang w:val="en-US"/>
              </w:rPr>
              <w:t>Intermediate (1-2)</w:t>
            </w:r>
          </w:p>
        </w:tc>
        <w:tc>
          <w:tcPr>
            <w:tcW w:w="1586" w:type="pct"/>
          </w:tcPr>
          <w:p w14:paraId="63C640B6" w14:textId="77777777" w:rsidR="00140246" w:rsidRPr="00EB0495" w:rsidRDefault="00140246" w:rsidP="00140246">
            <w:pPr>
              <w:spacing w:before="120" w:after="120"/>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Cs w:val="20"/>
                <w:lang w:val="en-US"/>
              </w:rPr>
            </w:pPr>
            <w:r w:rsidRPr="00EB0495">
              <w:rPr>
                <w:rFonts w:ascii="Arial" w:eastAsia="Calibri" w:hAnsi="Arial" w:cs="Arial"/>
                <w:szCs w:val="20"/>
                <w:lang w:val="en-US"/>
              </w:rPr>
              <w:t>68/153 (44.4)</w:t>
            </w:r>
          </w:p>
        </w:tc>
        <w:tc>
          <w:tcPr>
            <w:tcW w:w="1585" w:type="pct"/>
            <w:gridSpan w:val="2"/>
          </w:tcPr>
          <w:p w14:paraId="47AD77A2" w14:textId="77777777" w:rsidR="00140246" w:rsidRPr="00EB0495" w:rsidRDefault="00140246" w:rsidP="00140246">
            <w:pPr>
              <w:spacing w:before="120" w:after="120"/>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Cs w:val="20"/>
                <w:lang w:val="en-US"/>
              </w:rPr>
            </w:pPr>
            <w:r w:rsidRPr="00EB0495">
              <w:rPr>
                <w:rFonts w:ascii="Arial" w:eastAsia="Calibri" w:hAnsi="Arial" w:cs="Arial"/>
                <w:szCs w:val="20"/>
                <w:lang w:val="en-US"/>
              </w:rPr>
              <w:t>452/890 (50.8)</w:t>
            </w:r>
          </w:p>
        </w:tc>
      </w:tr>
      <w:tr w:rsidR="00140246" w:rsidRPr="00EB0495" w14:paraId="57164D41" w14:textId="77777777" w:rsidTr="00140246">
        <w:trPr>
          <w:trHeight w:val="510"/>
        </w:trPr>
        <w:tc>
          <w:tcPr>
            <w:cnfStyle w:val="001000000000" w:firstRow="0" w:lastRow="0" w:firstColumn="1" w:lastColumn="0" w:oddVBand="0" w:evenVBand="0" w:oddHBand="0" w:evenHBand="0" w:firstRowFirstColumn="0" w:firstRowLastColumn="0" w:lastRowFirstColumn="0" w:lastRowLastColumn="0"/>
            <w:tcW w:w="1829" w:type="pct"/>
          </w:tcPr>
          <w:p w14:paraId="1C827AB0" w14:textId="3264F567" w:rsidR="00140246" w:rsidRPr="00EB0495" w:rsidRDefault="00140246" w:rsidP="00140246">
            <w:pPr>
              <w:spacing w:before="120" w:after="120"/>
              <w:ind w:left="284"/>
              <w:rPr>
                <w:rFonts w:ascii="Arial" w:eastAsia="Calibri" w:hAnsi="Arial" w:cs="Arial"/>
                <w:b w:val="0"/>
                <w:szCs w:val="20"/>
                <w:lang w:val="en-US"/>
              </w:rPr>
            </w:pPr>
            <w:r w:rsidRPr="00EB0495">
              <w:rPr>
                <w:rFonts w:ascii="Arial" w:eastAsia="Calibri" w:hAnsi="Arial" w:cs="Arial"/>
                <w:szCs w:val="20"/>
                <w:lang w:val="en-US"/>
              </w:rPr>
              <w:t>High (≥3)</w:t>
            </w:r>
          </w:p>
        </w:tc>
        <w:tc>
          <w:tcPr>
            <w:tcW w:w="1586" w:type="pct"/>
          </w:tcPr>
          <w:p w14:paraId="54A98375" w14:textId="77777777" w:rsidR="00140246" w:rsidRPr="00EB0495" w:rsidRDefault="00140246" w:rsidP="00140246">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Cs w:val="20"/>
                <w:lang w:val="en-US"/>
              </w:rPr>
            </w:pPr>
            <w:r w:rsidRPr="00EB0495">
              <w:rPr>
                <w:rFonts w:ascii="Arial" w:eastAsia="Calibri" w:hAnsi="Arial" w:cs="Arial"/>
                <w:szCs w:val="20"/>
                <w:lang w:val="en-US"/>
              </w:rPr>
              <w:t>79/153 (51.6)</w:t>
            </w:r>
          </w:p>
        </w:tc>
        <w:tc>
          <w:tcPr>
            <w:tcW w:w="1585" w:type="pct"/>
            <w:gridSpan w:val="2"/>
          </w:tcPr>
          <w:p w14:paraId="06251153" w14:textId="77777777" w:rsidR="00140246" w:rsidRPr="00EB0495" w:rsidRDefault="00140246" w:rsidP="00140246">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Cs w:val="20"/>
                <w:lang w:val="en-US"/>
              </w:rPr>
            </w:pPr>
            <w:r w:rsidRPr="00EB0495">
              <w:rPr>
                <w:rFonts w:ascii="Arial" w:eastAsia="Calibri" w:hAnsi="Arial" w:cs="Arial"/>
                <w:szCs w:val="20"/>
                <w:lang w:val="en-US"/>
              </w:rPr>
              <w:t>345/890 (38.8)</w:t>
            </w:r>
          </w:p>
        </w:tc>
      </w:tr>
      <w:tr w:rsidR="00140246" w:rsidRPr="00EB0495" w14:paraId="06570D8A" w14:textId="77777777" w:rsidTr="00140246">
        <w:trPr>
          <w:cnfStyle w:val="000000100000" w:firstRow="0" w:lastRow="0" w:firstColumn="0" w:lastColumn="0" w:oddVBand="0" w:evenVBand="0" w:oddHBand="1" w:evenHBand="0" w:firstRowFirstColumn="0" w:firstRowLastColumn="0" w:lastRowFirstColumn="0" w:lastRowLastColumn="0"/>
          <w:trHeight w:val="796"/>
        </w:trPr>
        <w:tc>
          <w:tcPr>
            <w:cnfStyle w:val="001000000000" w:firstRow="0" w:lastRow="0" w:firstColumn="1" w:lastColumn="0" w:oddVBand="0" w:evenVBand="0" w:oddHBand="0" w:evenHBand="0" w:firstRowFirstColumn="0" w:firstRowLastColumn="0" w:lastRowFirstColumn="0" w:lastRowLastColumn="0"/>
            <w:tcW w:w="1829" w:type="pct"/>
          </w:tcPr>
          <w:p w14:paraId="0D9EA7FC" w14:textId="77777777" w:rsidR="00140246" w:rsidRPr="00EB0495" w:rsidRDefault="00140246" w:rsidP="00140246">
            <w:pPr>
              <w:spacing w:before="120" w:after="120"/>
              <w:rPr>
                <w:rFonts w:ascii="Arial" w:eastAsia="Calibri" w:hAnsi="Arial" w:cs="Arial"/>
                <w:b w:val="0"/>
                <w:szCs w:val="20"/>
                <w:lang w:val="en-US"/>
              </w:rPr>
            </w:pPr>
            <w:r w:rsidRPr="00EB0495">
              <w:rPr>
                <w:rFonts w:ascii="Arial" w:eastAsia="Calibri" w:hAnsi="Arial" w:cs="Arial"/>
                <w:szCs w:val="20"/>
                <w:lang w:val="en-US"/>
              </w:rPr>
              <w:t>Elevated serum lactate dehydrogenase</w:t>
            </w:r>
          </w:p>
        </w:tc>
        <w:tc>
          <w:tcPr>
            <w:tcW w:w="1586" w:type="pct"/>
          </w:tcPr>
          <w:p w14:paraId="1A9F1B35" w14:textId="77777777" w:rsidR="00140246" w:rsidRPr="00EB0495" w:rsidRDefault="00140246" w:rsidP="00140246">
            <w:pPr>
              <w:spacing w:before="120" w:after="120"/>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Cs w:val="20"/>
                <w:lang w:val="en-US"/>
              </w:rPr>
            </w:pPr>
          </w:p>
        </w:tc>
        <w:tc>
          <w:tcPr>
            <w:tcW w:w="1585" w:type="pct"/>
            <w:gridSpan w:val="2"/>
          </w:tcPr>
          <w:p w14:paraId="64E37D9E" w14:textId="77777777" w:rsidR="00140246" w:rsidRPr="00EB0495" w:rsidRDefault="00140246" w:rsidP="00140246">
            <w:pPr>
              <w:spacing w:before="120" w:after="120"/>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Cs w:val="20"/>
                <w:lang w:val="en-US"/>
              </w:rPr>
            </w:pPr>
          </w:p>
        </w:tc>
      </w:tr>
      <w:tr w:rsidR="00140246" w:rsidRPr="00EB0495" w14:paraId="45BFECC7" w14:textId="77777777" w:rsidTr="00140246">
        <w:trPr>
          <w:trHeight w:val="510"/>
        </w:trPr>
        <w:tc>
          <w:tcPr>
            <w:cnfStyle w:val="001000000000" w:firstRow="0" w:lastRow="0" w:firstColumn="1" w:lastColumn="0" w:oddVBand="0" w:evenVBand="0" w:oddHBand="0" w:evenHBand="0" w:firstRowFirstColumn="0" w:firstRowLastColumn="0" w:lastRowFirstColumn="0" w:lastRowLastColumn="0"/>
            <w:tcW w:w="1829" w:type="pct"/>
          </w:tcPr>
          <w:p w14:paraId="54AF1344" w14:textId="7611F118" w:rsidR="00140246" w:rsidRPr="00EB0495" w:rsidRDefault="00507491" w:rsidP="00140246">
            <w:pPr>
              <w:spacing w:before="120" w:after="120"/>
              <w:ind w:left="284"/>
              <w:rPr>
                <w:rFonts w:ascii="Arial" w:eastAsia="Calibri" w:hAnsi="Arial" w:cs="Arial"/>
                <w:b w:val="0"/>
                <w:szCs w:val="20"/>
                <w:lang w:val="en-US"/>
              </w:rPr>
            </w:pPr>
            <w:r w:rsidRPr="00EB0495">
              <w:rPr>
                <w:rFonts w:ascii="Arial" w:eastAsia="Calibri" w:hAnsi="Arial" w:cs="Arial"/>
                <w:szCs w:val="20"/>
                <w:lang w:val="en-US"/>
              </w:rPr>
              <w:t>&gt;</w:t>
            </w:r>
            <w:r w:rsidR="00140246" w:rsidRPr="00EB0495">
              <w:rPr>
                <w:rFonts w:ascii="Arial" w:eastAsia="Calibri" w:hAnsi="Arial" w:cs="Arial"/>
                <w:szCs w:val="20"/>
                <w:lang w:val="en-US"/>
              </w:rPr>
              <w:t xml:space="preserve">ULN </w:t>
            </w:r>
          </w:p>
        </w:tc>
        <w:tc>
          <w:tcPr>
            <w:tcW w:w="1586" w:type="pct"/>
          </w:tcPr>
          <w:p w14:paraId="5B82F104" w14:textId="77777777" w:rsidR="00140246" w:rsidRPr="00EB0495" w:rsidRDefault="00140246" w:rsidP="00140246">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Cs w:val="20"/>
                <w:lang w:val="en-US"/>
              </w:rPr>
            </w:pPr>
            <w:r w:rsidRPr="00EB0495">
              <w:rPr>
                <w:rFonts w:ascii="Arial" w:eastAsia="Calibri" w:hAnsi="Arial" w:cs="Arial"/>
                <w:szCs w:val="20"/>
                <w:lang w:val="en-US"/>
              </w:rPr>
              <w:t>79/154 (51.3)</w:t>
            </w:r>
          </w:p>
        </w:tc>
        <w:tc>
          <w:tcPr>
            <w:tcW w:w="1585" w:type="pct"/>
            <w:gridSpan w:val="2"/>
          </w:tcPr>
          <w:p w14:paraId="49651413" w14:textId="77777777" w:rsidR="00140246" w:rsidRPr="00EB0495" w:rsidRDefault="00140246" w:rsidP="00140246">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Cs w:val="20"/>
                <w:lang w:val="en-US"/>
              </w:rPr>
            </w:pPr>
            <w:r w:rsidRPr="00EB0495">
              <w:rPr>
                <w:rFonts w:ascii="Arial" w:eastAsia="Calibri" w:hAnsi="Arial" w:cs="Arial"/>
                <w:szCs w:val="20"/>
                <w:lang w:val="en-US"/>
              </w:rPr>
              <w:t>248/912 (27.2)</w:t>
            </w:r>
          </w:p>
        </w:tc>
      </w:tr>
      <w:tr w:rsidR="00140246" w:rsidRPr="00EB0495" w14:paraId="63834DBD" w14:textId="77777777" w:rsidTr="00140246">
        <w:trPr>
          <w:cnfStyle w:val="000000100000" w:firstRow="0" w:lastRow="0" w:firstColumn="0" w:lastColumn="0" w:oddVBand="0" w:evenVBand="0" w:oddHBand="1" w:evenHBand="0" w:firstRowFirstColumn="0" w:firstRowLastColumn="0" w:lastRowFirstColumn="0" w:lastRowLastColumn="0"/>
          <w:trHeight w:val="525"/>
        </w:trPr>
        <w:tc>
          <w:tcPr>
            <w:cnfStyle w:val="001000000000" w:firstRow="0" w:lastRow="0" w:firstColumn="1" w:lastColumn="0" w:oddVBand="0" w:evenVBand="0" w:oddHBand="0" w:evenHBand="0" w:firstRowFirstColumn="0" w:firstRowLastColumn="0" w:lastRowFirstColumn="0" w:lastRowLastColumn="0"/>
            <w:tcW w:w="1829" w:type="pct"/>
          </w:tcPr>
          <w:p w14:paraId="6EEB59E5" w14:textId="6B7D3F14" w:rsidR="00140246" w:rsidRPr="00EB0495" w:rsidRDefault="00140246" w:rsidP="00140246">
            <w:pPr>
              <w:spacing w:before="120" w:after="120"/>
              <w:ind w:left="284"/>
              <w:rPr>
                <w:rFonts w:ascii="Arial" w:eastAsia="Calibri" w:hAnsi="Arial" w:cs="Arial"/>
                <w:b w:val="0"/>
                <w:szCs w:val="20"/>
                <w:lang w:val="en-US"/>
              </w:rPr>
            </w:pPr>
            <w:r w:rsidRPr="00EB0495">
              <w:rPr>
                <w:rFonts w:ascii="Arial" w:eastAsia="Calibri" w:hAnsi="Arial" w:cs="Arial"/>
                <w:szCs w:val="20"/>
                <w:lang w:val="en-US"/>
              </w:rPr>
              <w:t>&gt;1.5 × ULN</w:t>
            </w:r>
          </w:p>
        </w:tc>
        <w:tc>
          <w:tcPr>
            <w:tcW w:w="1586" w:type="pct"/>
          </w:tcPr>
          <w:p w14:paraId="55E48A98" w14:textId="77777777" w:rsidR="00140246" w:rsidRPr="00EB0495" w:rsidRDefault="00140246" w:rsidP="00140246">
            <w:pPr>
              <w:spacing w:before="120" w:after="120"/>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Cs w:val="20"/>
                <w:lang w:val="en-US"/>
              </w:rPr>
            </w:pPr>
            <w:r w:rsidRPr="00EB0495">
              <w:rPr>
                <w:rFonts w:ascii="Arial" w:eastAsia="Calibri" w:hAnsi="Arial" w:cs="Arial"/>
                <w:szCs w:val="20"/>
                <w:lang w:val="en-US"/>
              </w:rPr>
              <w:t>26/154 (16.9)</w:t>
            </w:r>
          </w:p>
        </w:tc>
        <w:tc>
          <w:tcPr>
            <w:tcW w:w="1585" w:type="pct"/>
            <w:gridSpan w:val="2"/>
          </w:tcPr>
          <w:p w14:paraId="3BA5D258" w14:textId="77777777" w:rsidR="00140246" w:rsidRPr="00EB0495" w:rsidRDefault="00140246" w:rsidP="00140246">
            <w:pPr>
              <w:spacing w:before="120" w:after="120"/>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Cs w:val="20"/>
                <w:lang w:val="en-US"/>
              </w:rPr>
            </w:pPr>
            <w:r w:rsidRPr="00EB0495">
              <w:rPr>
                <w:rFonts w:ascii="Arial" w:eastAsia="Calibri" w:hAnsi="Arial" w:cs="Arial"/>
                <w:szCs w:val="20"/>
                <w:lang w:val="en-US"/>
              </w:rPr>
              <w:t>51/912 (5.6)</w:t>
            </w:r>
          </w:p>
        </w:tc>
      </w:tr>
      <w:tr w:rsidR="00140246" w:rsidRPr="00EB0495" w14:paraId="65BFDECE" w14:textId="77777777" w:rsidTr="00140246">
        <w:trPr>
          <w:trHeight w:val="510"/>
        </w:trPr>
        <w:tc>
          <w:tcPr>
            <w:cnfStyle w:val="001000000000" w:firstRow="0" w:lastRow="0" w:firstColumn="1" w:lastColumn="0" w:oddVBand="0" w:evenVBand="0" w:oddHBand="0" w:evenHBand="0" w:firstRowFirstColumn="0" w:firstRowLastColumn="0" w:lastRowFirstColumn="0" w:lastRowLastColumn="0"/>
            <w:tcW w:w="1829" w:type="pct"/>
          </w:tcPr>
          <w:p w14:paraId="3F4A2859" w14:textId="3355D6DB" w:rsidR="00140246" w:rsidRPr="00EB0495" w:rsidRDefault="00140246" w:rsidP="00140246">
            <w:pPr>
              <w:spacing w:before="120" w:after="120"/>
              <w:ind w:left="284"/>
              <w:rPr>
                <w:rFonts w:ascii="Arial" w:eastAsia="Calibri" w:hAnsi="Arial" w:cs="Arial"/>
                <w:b w:val="0"/>
                <w:szCs w:val="20"/>
                <w:lang w:val="en-US"/>
              </w:rPr>
            </w:pPr>
            <w:r w:rsidRPr="00EB0495">
              <w:rPr>
                <w:rFonts w:ascii="Arial" w:eastAsia="Calibri" w:hAnsi="Arial" w:cs="Arial"/>
                <w:szCs w:val="20"/>
                <w:lang w:val="en-US"/>
              </w:rPr>
              <w:t>&gt;2 × ULN</w:t>
            </w:r>
          </w:p>
        </w:tc>
        <w:tc>
          <w:tcPr>
            <w:tcW w:w="1586" w:type="pct"/>
          </w:tcPr>
          <w:p w14:paraId="1AFAAC43" w14:textId="77777777" w:rsidR="00140246" w:rsidRPr="00EB0495" w:rsidRDefault="00140246" w:rsidP="00140246">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Cs w:val="20"/>
                <w:lang w:val="en-US"/>
              </w:rPr>
            </w:pPr>
            <w:r w:rsidRPr="00EB0495">
              <w:rPr>
                <w:rFonts w:ascii="Arial" w:eastAsia="Calibri" w:hAnsi="Arial" w:cs="Arial"/>
                <w:szCs w:val="20"/>
                <w:lang w:val="en-US"/>
              </w:rPr>
              <w:t>10/154 (6.5)</w:t>
            </w:r>
          </w:p>
        </w:tc>
        <w:tc>
          <w:tcPr>
            <w:tcW w:w="1585" w:type="pct"/>
            <w:gridSpan w:val="2"/>
          </w:tcPr>
          <w:p w14:paraId="1DAF3639" w14:textId="77777777" w:rsidR="00140246" w:rsidRPr="00EB0495" w:rsidRDefault="00140246" w:rsidP="00140246">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Cs w:val="20"/>
                <w:lang w:val="en-US"/>
              </w:rPr>
            </w:pPr>
            <w:r w:rsidRPr="00EB0495">
              <w:rPr>
                <w:rFonts w:ascii="Arial" w:eastAsia="Calibri" w:hAnsi="Arial" w:cs="Arial"/>
                <w:szCs w:val="20"/>
                <w:lang w:val="en-US"/>
              </w:rPr>
              <w:t>18/912 (2.0)</w:t>
            </w:r>
          </w:p>
        </w:tc>
      </w:tr>
      <w:tr w:rsidR="00140246" w:rsidRPr="00EB0495" w14:paraId="2AB6FE3E" w14:textId="77777777" w:rsidTr="00140246">
        <w:trPr>
          <w:cnfStyle w:val="000000100000" w:firstRow="0" w:lastRow="0" w:firstColumn="0" w:lastColumn="0" w:oddVBand="0" w:evenVBand="0" w:oddHBand="1" w:evenHBand="0" w:firstRowFirstColumn="0" w:firstRowLastColumn="0" w:lastRowFirstColumn="0" w:lastRowLastColumn="0"/>
          <w:trHeight w:val="1352"/>
        </w:trPr>
        <w:tc>
          <w:tcPr>
            <w:cnfStyle w:val="001000000000" w:firstRow="0" w:lastRow="0" w:firstColumn="1" w:lastColumn="0" w:oddVBand="0" w:evenVBand="0" w:oddHBand="0" w:evenHBand="0" w:firstRowFirstColumn="0" w:firstRowLastColumn="0" w:lastRowFirstColumn="0" w:lastRowLastColumn="0"/>
            <w:tcW w:w="1829" w:type="pct"/>
          </w:tcPr>
          <w:p w14:paraId="0CD36439" w14:textId="77777777" w:rsidR="00140246" w:rsidRPr="00EB0495" w:rsidRDefault="00140246" w:rsidP="00140246">
            <w:pPr>
              <w:spacing w:before="120" w:after="120"/>
              <w:rPr>
                <w:rFonts w:ascii="Arial" w:eastAsia="Calibri" w:hAnsi="Arial" w:cs="Arial"/>
                <w:b w:val="0"/>
                <w:szCs w:val="20"/>
                <w:lang w:val="en-US"/>
              </w:rPr>
            </w:pPr>
            <w:r w:rsidRPr="00EB0495">
              <w:rPr>
                <w:rFonts w:ascii="Arial" w:eastAsia="Calibri" w:hAnsi="Arial" w:cs="Arial"/>
                <w:szCs w:val="20"/>
                <w:lang w:val="en-US"/>
              </w:rPr>
              <w:t>Investigator-assessed SPD of ≤ 6 target lesions, mm</w:t>
            </w:r>
            <w:r w:rsidRPr="00EB0495">
              <w:rPr>
                <w:rFonts w:ascii="Arial" w:eastAsia="Calibri" w:hAnsi="Arial" w:cs="Arial"/>
                <w:szCs w:val="20"/>
                <w:vertAlign w:val="superscript"/>
                <w:lang w:val="en-US"/>
              </w:rPr>
              <w:t>2</w:t>
            </w:r>
          </w:p>
        </w:tc>
        <w:tc>
          <w:tcPr>
            <w:tcW w:w="1586" w:type="pct"/>
          </w:tcPr>
          <w:p w14:paraId="24B89AF4" w14:textId="77777777" w:rsidR="00140246" w:rsidRPr="00EB0495" w:rsidRDefault="00140246" w:rsidP="00140246">
            <w:pPr>
              <w:spacing w:before="120" w:after="120"/>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Cs w:val="20"/>
                <w:lang w:val="en-US"/>
              </w:rPr>
            </w:pPr>
            <w:r w:rsidRPr="00EB0495">
              <w:rPr>
                <w:rFonts w:ascii="Arial" w:eastAsia="Calibri" w:hAnsi="Arial" w:cs="Arial"/>
                <w:szCs w:val="20"/>
                <w:lang w:val="en-US"/>
              </w:rPr>
              <w:t>6531</w:t>
            </w:r>
          </w:p>
          <w:p w14:paraId="591D379D" w14:textId="3B86EAB4" w:rsidR="00140246" w:rsidRPr="00EB0495" w:rsidRDefault="00140246" w:rsidP="00140246">
            <w:pPr>
              <w:spacing w:before="120" w:after="120"/>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Cs w:val="20"/>
                <w:lang w:val="en-US"/>
              </w:rPr>
            </w:pPr>
            <w:r w:rsidRPr="00EB0495">
              <w:rPr>
                <w:rFonts w:ascii="Arial" w:eastAsia="Calibri" w:hAnsi="Arial" w:cs="Arial"/>
                <w:szCs w:val="20"/>
                <w:lang w:val="en-US"/>
              </w:rPr>
              <w:t>(514.0</w:t>
            </w:r>
            <w:r w:rsidRPr="00EB0495">
              <w:rPr>
                <w:rFonts w:ascii="Calibri" w:hAnsi="Calibri"/>
                <w:color w:val="1F497D"/>
              </w:rPr>
              <w:t>-</w:t>
            </w:r>
            <w:r w:rsidRPr="00EB0495">
              <w:rPr>
                <w:rFonts w:ascii="Arial" w:eastAsia="Calibri" w:hAnsi="Arial" w:cs="Arial"/>
                <w:szCs w:val="20"/>
                <w:lang w:val="en-US"/>
              </w:rPr>
              <w:t>80,720.0)</w:t>
            </w:r>
          </w:p>
        </w:tc>
        <w:tc>
          <w:tcPr>
            <w:tcW w:w="1585" w:type="pct"/>
            <w:gridSpan w:val="2"/>
          </w:tcPr>
          <w:p w14:paraId="50EB6BFC" w14:textId="77777777" w:rsidR="00140246" w:rsidRPr="00EB0495" w:rsidRDefault="00140246" w:rsidP="00140246">
            <w:pPr>
              <w:spacing w:before="120" w:after="120"/>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Cs w:val="20"/>
                <w:lang w:val="en-US"/>
              </w:rPr>
            </w:pPr>
            <w:r w:rsidRPr="00EB0495">
              <w:rPr>
                <w:rFonts w:ascii="Arial" w:eastAsia="Calibri" w:hAnsi="Arial" w:cs="Arial"/>
                <w:szCs w:val="20"/>
                <w:lang w:val="en-US"/>
              </w:rPr>
              <w:t>5128.5</w:t>
            </w:r>
          </w:p>
          <w:p w14:paraId="729A763D" w14:textId="1CE97DA7" w:rsidR="00140246" w:rsidRPr="00EB0495" w:rsidRDefault="00140246" w:rsidP="00140246">
            <w:pPr>
              <w:spacing w:before="120" w:after="120"/>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Cs w:val="20"/>
                <w:lang w:val="en-US"/>
              </w:rPr>
            </w:pPr>
            <w:r w:rsidRPr="00EB0495">
              <w:rPr>
                <w:rFonts w:ascii="Arial" w:eastAsia="Calibri" w:hAnsi="Arial" w:cs="Arial"/>
                <w:szCs w:val="20"/>
                <w:lang w:val="en-US"/>
              </w:rPr>
              <w:t>(235.2</w:t>
            </w:r>
            <w:r w:rsidRPr="00EB0495">
              <w:rPr>
                <w:rFonts w:ascii="Calibri" w:hAnsi="Calibri"/>
                <w:color w:val="1F497D"/>
              </w:rPr>
              <w:t>-</w:t>
            </w:r>
            <w:r w:rsidRPr="00EB0495">
              <w:rPr>
                <w:rFonts w:ascii="Arial" w:eastAsia="Calibri" w:hAnsi="Arial" w:cs="Arial"/>
                <w:szCs w:val="20"/>
                <w:lang w:val="en-US"/>
              </w:rPr>
              <w:t>62,725.0)</w:t>
            </w:r>
          </w:p>
        </w:tc>
      </w:tr>
      <w:tr w:rsidR="00140246" w:rsidRPr="00EB0495" w14:paraId="67426254" w14:textId="77777777" w:rsidTr="00140246">
        <w:trPr>
          <w:trHeight w:val="796"/>
        </w:trPr>
        <w:tc>
          <w:tcPr>
            <w:cnfStyle w:val="001000000000" w:firstRow="0" w:lastRow="0" w:firstColumn="1" w:lastColumn="0" w:oddVBand="0" w:evenVBand="0" w:oddHBand="0" w:evenHBand="0" w:firstRowFirstColumn="0" w:firstRowLastColumn="0" w:lastRowFirstColumn="0" w:lastRowLastColumn="0"/>
            <w:tcW w:w="1829" w:type="pct"/>
          </w:tcPr>
          <w:p w14:paraId="49446292" w14:textId="35ED52B8" w:rsidR="00140246" w:rsidRPr="00EB0495" w:rsidRDefault="00140246" w:rsidP="00140246">
            <w:pPr>
              <w:spacing w:before="120" w:after="120"/>
              <w:rPr>
                <w:rFonts w:ascii="Arial" w:eastAsia="Calibri" w:hAnsi="Arial" w:cs="Arial"/>
                <w:szCs w:val="20"/>
                <w:lang w:val="en-US"/>
              </w:rPr>
            </w:pPr>
            <w:r w:rsidRPr="00EB0495">
              <w:rPr>
                <w:rFonts w:ascii="Arial" w:eastAsia="Calibri" w:hAnsi="Arial" w:cs="Arial"/>
                <w:szCs w:val="20"/>
                <w:lang w:val="en-US"/>
              </w:rPr>
              <w:t xml:space="preserve">Bulky disease </w:t>
            </w:r>
            <w:r w:rsidRPr="00EB0495">
              <w:rPr>
                <w:rFonts w:ascii="Arial" w:hAnsi="Arial" w:cs="Arial"/>
                <w:szCs w:val="24"/>
                <w:lang w:val="en-US"/>
              </w:rPr>
              <w:t>≥7 cm</w:t>
            </w:r>
            <w:r w:rsidRPr="00EB0495">
              <w:rPr>
                <w:rFonts w:ascii="Arial" w:hAnsi="Arial" w:cs="Arial"/>
                <w:szCs w:val="24"/>
                <w:lang w:val="en-US"/>
              </w:rPr>
              <w:br/>
            </w:r>
            <w:r w:rsidRPr="00EB0495">
              <w:rPr>
                <w:rFonts w:ascii="Arial" w:eastAsia="Calibri" w:hAnsi="Arial" w:cs="Arial"/>
                <w:szCs w:val="20"/>
                <w:lang w:val="en-US"/>
              </w:rPr>
              <w:t>(n=1069)</w:t>
            </w:r>
          </w:p>
        </w:tc>
        <w:tc>
          <w:tcPr>
            <w:tcW w:w="1586" w:type="pct"/>
          </w:tcPr>
          <w:p w14:paraId="5F8650E8" w14:textId="77777777" w:rsidR="00140246" w:rsidRPr="00EB0495" w:rsidRDefault="00140246" w:rsidP="00140246">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Cs w:val="20"/>
                <w:lang w:val="en-US"/>
              </w:rPr>
            </w:pPr>
            <w:r w:rsidRPr="00EB0495">
              <w:rPr>
                <w:rFonts w:ascii="Arial" w:eastAsia="Calibri" w:hAnsi="Arial" w:cs="Arial"/>
                <w:szCs w:val="20"/>
                <w:lang w:val="en-US"/>
              </w:rPr>
              <w:t>79/155 (51.0)</w:t>
            </w:r>
          </w:p>
        </w:tc>
        <w:tc>
          <w:tcPr>
            <w:tcW w:w="1585" w:type="pct"/>
            <w:gridSpan w:val="2"/>
          </w:tcPr>
          <w:p w14:paraId="3EDAB444" w14:textId="77777777" w:rsidR="00140246" w:rsidRPr="00EB0495" w:rsidRDefault="00140246" w:rsidP="00140246">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Cs w:val="20"/>
                <w:lang w:val="en-US"/>
              </w:rPr>
            </w:pPr>
            <w:r w:rsidRPr="00EB0495">
              <w:rPr>
                <w:rFonts w:ascii="Arial" w:eastAsia="Calibri" w:hAnsi="Arial" w:cs="Arial"/>
                <w:szCs w:val="20"/>
                <w:lang w:val="en-US"/>
              </w:rPr>
              <w:t>392/914 (42.9)</w:t>
            </w:r>
          </w:p>
        </w:tc>
      </w:tr>
      <w:tr w:rsidR="00140246" w:rsidRPr="00EB0495" w14:paraId="47CFEB6A" w14:textId="77777777" w:rsidTr="00140246">
        <w:trPr>
          <w:gridAfter w:val="1"/>
          <w:cnfStyle w:val="000000100000" w:firstRow="0" w:lastRow="0" w:firstColumn="0" w:lastColumn="0" w:oddVBand="0" w:evenVBand="0" w:oddHBand="1" w:evenHBand="0" w:firstRowFirstColumn="0" w:firstRowLastColumn="0" w:lastRowFirstColumn="0" w:lastRowLastColumn="0"/>
          <w:wAfter w:w="793" w:type="pct"/>
          <w:trHeight w:val="781"/>
        </w:trPr>
        <w:tc>
          <w:tcPr>
            <w:cnfStyle w:val="001000000000" w:firstRow="0" w:lastRow="0" w:firstColumn="1" w:lastColumn="0" w:oddVBand="0" w:evenVBand="0" w:oddHBand="0" w:evenHBand="0" w:firstRowFirstColumn="0" w:firstRowLastColumn="0" w:lastRowFirstColumn="0" w:lastRowLastColumn="0"/>
            <w:tcW w:w="1829" w:type="pct"/>
          </w:tcPr>
          <w:p w14:paraId="78C3113F" w14:textId="77777777" w:rsidR="00140246" w:rsidRPr="00EB0495" w:rsidRDefault="00140246" w:rsidP="00140246">
            <w:pPr>
              <w:spacing w:before="120" w:after="120"/>
              <w:rPr>
                <w:rFonts w:ascii="Arial" w:eastAsia="Calibri" w:hAnsi="Arial" w:cs="Arial"/>
                <w:b w:val="0"/>
                <w:szCs w:val="20"/>
                <w:lang w:val="en-US"/>
              </w:rPr>
            </w:pPr>
            <w:r w:rsidRPr="00EB0495">
              <w:rPr>
                <w:rFonts w:ascii="Arial" w:eastAsia="Calibri" w:hAnsi="Arial" w:cs="Arial"/>
                <w:szCs w:val="20"/>
                <w:lang w:val="en-US"/>
              </w:rPr>
              <w:t>Randomized antibody treatment</w:t>
            </w:r>
          </w:p>
        </w:tc>
        <w:tc>
          <w:tcPr>
            <w:tcW w:w="2378" w:type="pct"/>
            <w:gridSpan w:val="2"/>
          </w:tcPr>
          <w:p w14:paraId="6E798AD4" w14:textId="77777777" w:rsidR="00140246" w:rsidRPr="00EB0495" w:rsidRDefault="00140246" w:rsidP="00140246">
            <w:pPr>
              <w:spacing w:before="120" w:after="120"/>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Cs w:val="20"/>
                <w:lang w:val="en-US"/>
              </w:rPr>
            </w:pPr>
          </w:p>
        </w:tc>
      </w:tr>
      <w:tr w:rsidR="00140246" w:rsidRPr="00EB0495" w14:paraId="2093085C" w14:textId="77777777" w:rsidTr="00140246">
        <w:trPr>
          <w:trHeight w:val="525"/>
        </w:trPr>
        <w:tc>
          <w:tcPr>
            <w:cnfStyle w:val="001000000000" w:firstRow="0" w:lastRow="0" w:firstColumn="1" w:lastColumn="0" w:oddVBand="0" w:evenVBand="0" w:oddHBand="0" w:evenHBand="0" w:firstRowFirstColumn="0" w:firstRowLastColumn="0" w:lastRowFirstColumn="0" w:lastRowLastColumn="0"/>
            <w:tcW w:w="1829" w:type="pct"/>
          </w:tcPr>
          <w:p w14:paraId="0E8719DA" w14:textId="77777777" w:rsidR="00140246" w:rsidRPr="00EB0495" w:rsidRDefault="00140246" w:rsidP="00140246">
            <w:pPr>
              <w:spacing w:before="120" w:after="120"/>
              <w:ind w:left="284"/>
              <w:rPr>
                <w:rFonts w:ascii="Arial" w:eastAsia="Calibri" w:hAnsi="Arial" w:cs="Arial"/>
                <w:b w:val="0"/>
                <w:szCs w:val="20"/>
                <w:lang w:val="en-US"/>
              </w:rPr>
            </w:pPr>
            <w:r w:rsidRPr="00EB0495">
              <w:rPr>
                <w:rFonts w:ascii="Arial" w:eastAsia="Calibri" w:hAnsi="Arial" w:cs="Arial"/>
                <w:szCs w:val="20"/>
                <w:lang w:val="en-US"/>
              </w:rPr>
              <w:t>Obinutuzumab</w:t>
            </w:r>
          </w:p>
        </w:tc>
        <w:tc>
          <w:tcPr>
            <w:tcW w:w="1586" w:type="pct"/>
          </w:tcPr>
          <w:p w14:paraId="6FF77996" w14:textId="77777777" w:rsidR="00140246" w:rsidRPr="00EB0495" w:rsidRDefault="00140246" w:rsidP="00140246">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Cs w:val="20"/>
                <w:lang w:val="en-US"/>
              </w:rPr>
            </w:pPr>
            <w:r w:rsidRPr="00EB0495">
              <w:rPr>
                <w:rFonts w:ascii="Arial" w:eastAsia="Calibri" w:hAnsi="Arial" w:cs="Arial"/>
                <w:szCs w:val="20"/>
                <w:lang w:val="en-US"/>
              </w:rPr>
              <w:t>57 (36.8)</w:t>
            </w:r>
          </w:p>
        </w:tc>
        <w:tc>
          <w:tcPr>
            <w:tcW w:w="1585" w:type="pct"/>
            <w:gridSpan w:val="2"/>
          </w:tcPr>
          <w:p w14:paraId="040074F2" w14:textId="77777777" w:rsidR="00140246" w:rsidRPr="00EB0495" w:rsidRDefault="00140246" w:rsidP="00140246">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Cs w:val="20"/>
                <w:lang w:val="en-US"/>
              </w:rPr>
            </w:pPr>
            <w:r w:rsidRPr="00EB0495">
              <w:rPr>
                <w:rFonts w:ascii="Arial" w:eastAsia="Calibri" w:hAnsi="Arial" w:cs="Arial"/>
                <w:szCs w:val="20"/>
                <w:lang w:val="en-US"/>
              </w:rPr>
              <w:t>478 (52.2)</w:t>
            </w:r>
          </w:p>
        </w:tc>
      </w:tr>
      <w:tr w:rsidR="00140246" w:rsidRPr="00EB0495" w14:paraId="535D37C3" w14:textId="77777777" w:rsidTr="00140246">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829" w:type="pct"/>
          </w:tcPr>
          <w:p w14:paraId="43B47DD9" w14:textId="77777777" w:rsidR="00140246" w:rsidRPr="00EB0495" w:rsidRDefault="00140246" w:rsidP="00140246">
            <w:pPr>
              <w:spacing w:before="120" w:after="120"/>
              <w:ind w:left="284"/>
              <w:rPr>
                <w:rFonts w:ascii="Arial" w:eastAsia="Calibri" w:hAnsi="Arial" w:cs="Arial"/>
                <w:b w:val="0"/>
                <w:szCs w:val="20"/>
                <w:lang w:val="en-US"/>
              </w:rPr>
            </w:pPr>
            <w:r w:rsidRPr="00EB0495">
              <w:rPr>
                <w:rFonts w:ascii="Arial" w:eastAsia="Calibri" w:hAnsi="Arial" w:cs="Arial"/>
                <w:szCs w:val="20"/>
                <w:lang w:val="en-US"/>
              </w:rPr>
              <w:t xml:space="preserve">Rituximab </w:t>
            </w:r>
          </w:p>
        </w:tc>
        <w:tc>
          <w:tcPr>
            <w:tcW w:w="1586" w:type="pct"/>
          </w:tcPr>
          <w:p w14:paraId="7E4CD228" w14:textId="77777777" w:rsidR="00140246" w:rsidRPr="00EB0495" w:rsidRDefault="00140246" w:rsidP="00140246">
            <w:pPr>
              <w:spacing w:before="120" w:after="120"/>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Cs w:val="20"/>
                <w:lang w:val="en-US"/>
              </w:rPr>
            </w:pPr>
            <w:r w:rsidRPr="00EB0495">
              <w:rPr>
                <w:rFonts w:ascii="Arial" w:eastAsia="Calibri" w:hAnsi="Arial" w:cs="Arial"/>
                <w:szCs w:val="20"/>
                <w:lang w:val="en-US"/>
              </w:rPr>
              <w:t>98 (63.2)</w:t>
            </w:r>
          </w:p>
        </w:tc>
        <w:tc>
          <w:tcPr>
            <w:tcW w:w="1585" w:type="pct"/>
            <w:gridSpan w:val="2"/>
          </w:tcPr>
          <w:p w14:paraId="6427510C" w14:textId="77777777" w:rsidR="00140246" w:rsidRPr="00EB0495" w:rsidRDefault="00140246" w:rsidP="00140246">
            <w:pPr>
              <w:spacing w:before="120" w:after="120"/>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Cs w:val="20"/>
                <w:lang w:val="en-US"/>
              </w:rPr>
            </w:pPr>
            <w:r w:rsidRPr="00EB0495">
              <w:rPr>
                <w:rFonts w:ascii="Arial" w:eastAsia="Calibri" w:hAnsi="Arial" w:cs="Arial"/>
                <w:szCs w:val="20"/>
                <w:lang w:val="en-US"/>
              </w:rPr>
              <w:t>438 (47.8)</w:t>
            </w:r>
          </w:p>
        </w:tc>
      </w:tr>
      <w:tr w:rsidR="00140246" w:rsidRPr="00EB0495" w14:paraId="2E80568C" w14:textId="77777777" w:rsidTr="00140246">
        <w:trPr>
          <w:gridAfter w:val="1"/>
          <w:wAfter w:w="793" w:type="pct"/>
          <w:trHeight w:val="750"/>
        </w:trPr>
        <w:tc>
          <w:tcPr>
            <w:cnfStyle w:val="001000000000" w:firstRow="0" w:lastRow="0" w:firstColumn="1" w:lastColumn="0" w:oddVBand="0" w:evenVBand="0" w:oddHBand="0" w:evenHBand="0" w:firstRowFirstColumn="0" w:firstRowLastColumn="0" w:lastRowFirstColumn="0" w:lastRowLastColumn="0"/>
            <w:tcW w:w="1829" w:type="pct"/>
          </w:tcPr>
          <w:p w14:paraId="3A311E17" w14:textId="77777777" w:rsidR="00140246" w:rsidRPr="00EB0495" w:rsidRDefault="00140246" w:rsidP="00140246">
            <w:pPr>
              <w:spacing w:before="120" w:after="120"/>
              <w:rPr>
                <w:rFonts w:ascii="Arial" w:eastAsia="Calibri" w:hAnsi="Arial" w:cs="Arial"/>
                <w:b w:val="0"/>
                <w:szCs w:val="20"/>
                <w:lang w:val="en-US"/>
              </w:rPr>
            </w:pPr>
            <w:r w:rsidRPr="00EB0495">
              <w:rPr>
                <w:rFonts w:ascii="Arial" w:eastAsia="Calibri" w:hAnsi="Arial" w:cs="Arial"/>
                <w:szCs w:val="20"/>
                <w:lang w:val="en-US"/>
              </w:rPr>
              <w:t>Allocated chemotherapy treatment</w:t>
            </w:r>
          </w:p>
        </w:tc>
        <w:tc>
          <w:tcPr>
            <w:tcW w:w="2378" w:type="pct"/>
            <w:gridSpan w:val="2"/>
          </w:tcPr>
          <w:p w14:paraId="095C2190" w14:textId="77777777" w:rsidR="00140246" w:rsidRPr="00EB0495" w:rsidRDefault="00140246" w:rsidP="00140246">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Cs w:val="20"/>
                <w:lang w:val="en-US"/>
              </w:rPr>
            </w:pPr>
          </w:p>
        </w:tc>
      </w:tr>
      <w:tr w:rsidR="00140246" w:rsidRPr="00EB0495" w14:paraId="43E12010" w14:textId="77777777" w:rsidTr="00140246">
        <w:trPr>
          <w:cnfStyle w:val="000000100000" w:firstRow="0" w:lastRow="0" w:firstColumn="0" w:lastColumn="0" w:oddVBand="0" w:evenVBand="0" w:oddHBand="1" w:evenHBand="0" w:firstRowFirstColumn="0" w:firstRowLastColumn="0" w:lastRowFirstColumn="0" w:lastRowLastColumn="0"/>
          <w:trHeight w:val="525"/>
        </w:trPr>
        <w:tc>
          <w:tcPr>
            <w:cnfStyle w:val="001000000000" w:firstRow="0" w:lastRow="0" w:firstColumn="1" w:lastColumn="0" w:oddVBand="0" w:evenVBand="0" w:oddHBand="0" w:evenHBand="0" w:firstRowFirstColumn="0" w:firstRowLastColumn="0" w:lastRowFirstColumn="0" w:lastRowLastColumn="0"/>
            <w:tcW w:w="1829" w:type="pct"/>
          </w:tcPr>
          <w:p w14:paraId="0C850C68" w14:textId="77777777" w:rsidR="00140246" w:rsidRPr="00EB0495" w:rsidRDefault="00140246" w:rsidP="00140246">
            <w:pPr>
              <w:spacing w:before="120" w:after="120"/>
              <w:ind w:left="284"/>
              <w:rPr>
                <w:rFonts w:ascii="Arial" w:eastAsia="Calibri" w:hAnsi="Arial" w:cs="Arial"/>
                <w:b w:val="0"/>
                <w:szCs w:val="20"/>
                <w:lang w:val="en-US"/>
              </w:rPr>
            </w:pPr>
            <w:r w:rsidRPr="00EB0495">
              <w:rPr>
                <w:rFonts w:ascii="Arial" w:eastAsia="Calibri" w:hAnsi="Arial" w:cs="Arial"/>
                <w:szCs w:val="20"/>
                <w:lang w:val="en-US"/>
              </w:rPr>
              <w:t xml:space="preserve">Bendamustine </w:t>
            </w:r>
          </w:p>
        </w:tc>
        <w:tc>
          <w:tcPr>
            <w:tcW w:w="1586" w:type="pct"/>
          </w:tcPr>
          <w:p w14:paraId="6739B98F" w14:textId="77777777" w:rsidR="00140246" w:rsidRPr="00EB0495" w:rsidRDefault="00140246" w:rsidP="00140246">
            <w:pPr>
              <w:spacing w:before="120" w:after="120"/>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Cs w:val="20"/>
                <w:lang w:val="en-US"/>
              </w:rPr>
            </w:pPr>
            <w:r w:rsidRPr="00EB0495">
              <w:rPr>
                <w:rFonts w:ascii="Arial" w:eastAsia="Calibri" w:hAnsi="Arial" w:cs="Arial"/>
                <w:szCs w:val="20"/>
                <w:lang w:val="en-US"/>
              </w:rPr>
              <w:t>76 (49.0)</w:t>
            </w:r>
          </w:p>
        </w:tc>
        <w:tc>
          <w:tcPr>
            <w:tcW w:w="1585" w:type="pct"/>
            <w:gridSpan w:val="2"/>
          </w:tcPr>
          <w:p w14:paraId="2C90A39A" w14:textId="77777777" w:rsidR="00140246" w:rsidRPr="00EB0495" w:rsidRDefault="00140246" w:rsidP="00140246">
            <w:pPr>
              <w:spacing w:before="120" w:after="120"/>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Cs w:val="20"/>
                <w:lang w:val="en-US"/>
              </w:rPr>
            </w:pPr>
            <w:r w:rsidRPr="00EB0495">
              <w:rPr>
                <w:rFonts w:ascii="Arial" w:eastAsia="Calibri" w:hAnsi="Arial" w:cs="Arial"/>
                <w:szCs w:val="20"/>
                <w:lang w:val="en-US"/>
              </w:rPr>
              <w:t>526 (57.4)</w:t>
            </w:r>
          </w:p>
        </w:tc>
      </w:tr>
      <w:tr w:rsidR="00140246" w:rsidRPr="00EB0495" w14:paraId="54FB358C" w14:textId="77777777" w:rsidTr="00140246">
        <w:trPr>
          <w:trHeight w:val="510"/>
        </w:trPr>
        <w:tc>
          <w:tcPr>
            <w:cnfStyle w:val="001000000000" w:firstRow="0" w:lastRow="0" w:firstColumn="1" w:lastColumn="0" w:oddVBand="0" w:evenVBand="0" w:oddHBand="0" w:evenHBand="0" w:firstRowFirstColumn="0" w:firstRowLastColumn="0" w:lastRowFirstColumn="0" w:lastRowLastColumn="0"/>
            <w:tcW w:w="1829" w:type="pct"/>
          </w:tcPr>
          <w:p w14:paraId="2E97ECD7" w14:textId="77777777" w:rsidR="00140246" w:rsidRPr="00EB0495" w:rsidRDefault="00140246" w:rsidP="00140246">
            <w:pPr>
              <w:spacing w:before="120" w:after="120"/>
              <w:ind w:left="284"/>
              <w:rPr>
                <w:rFonts w:ascii="Arial" w:eastAsia="Calibri" w:hAnsi="Arial" w:cs="Arial"/>
                <w:b w:val="0"/>
                <w:szCs w:val="20"/>
                <w:lang w:val="en-US"/>
              </w:rPr>
            </w:pPr>
            <w:r w:rsidRPr="00EB0495">
              <w:rPr>
                <w:rFonts w:ascii="Arial" w:eastAsia="Calibri" w:hAnsi="Arial" w:cs="Arial"/>
                <w:szCs w:val="20"/>
                <w:lang w:val="en-US"/>
              </w:rPr>
              <w:t xml:space="preserve">CHOP </w:t>
            </w:r>
          </w:p>
        </w:tc>
        <w:tc>
          <w:tcPr>
            <w:tcW w:w="1586" w:type="pct"/>
          </w:tcPr>
          <w:p w14:paraId="1565C495" w14:textId="77777777" w:rsidR="00140246" w:rsidRPr="00EB0495" w:rsidRDefault="00140246" w:rsidP="00140246">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Cs w:val="20"/>
                <w:lang w:val="en-US"/>
              </w:rPr>
            </w:pPr>
            <w:r w:rsidRPr="00EB0495">
              <w:rPr>
                <w:rFonts w:ascii="Arial" w:eastAsia="Calibri" w:hAnsi="Arial" w:cs="Arial"/>
                <w:szCs w:val="20"/>
                <w:lang w:val="en-US"/>
              </w:rPr>
              <w:t>55 (35.5)</w:t>
            </w:r>
          </w:p>
        </w:tc>
        <w:tc>
          <w:tcPr>
            <w:tcW w:w="1585" w:type="pct"/>
            <w:gridSpan w:val="2"/>
          </w:tcPr>
          <w:p w14:paraId="7C333EC0" w14:textId="77777777" w:rsidR="00140246" w:rsidRPr="00EB0495" w:rsidRDefault="00140246" w:rsidP="00140246">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Cs w:val="20"/>
                <w:lang w:val="en-US"/>
              </w:rPr>
            </w:pPr>
            <w:r w:rsidRPr="00EB0495">
              <w:rPr>
                <w:rFonts w:ascii="Arial" w:eastAsia="Calibri" w:hAnsi="Arial" w:cs="Arial"/>
                <w:szCs w:val="20"/>
                <w:lang w:val="en-US"/>
              </w:rPr>
              <w:t>305 (33.3)</w:t>
            </w:r>
          </w:p>
        </w:tc>
      </w:tr>
      <w:tr w:rsidR="00140246" w:rsidRPr="00EB0495" w14:paraId="37B0F192" w14:textId="77777777" w:rsidTr="00140246">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829" w:type="pct"/>
            <w:tcBorders>
              <w:bottom w:val="single" w:sz="4" w:space="0" w:color="auto"/>
            </w:tcBorders>
          </w:tcPr>
          <w:p w14:paraId="444227FB" w14:textId="77777777" w:rsidR="00140246" w:rsidRPr="00EB0495" w:rsidRDefault="00140246" w:rsidP="00140246">
            <w:pPr>
              <w:spacing w:before="120" w:after="120"/>
              <w:ind w:left="284"/>
              <w:rPr>
                <w:rFonts w:ascii="Arial" w:eastAsia="Calibri" w:hAnsi="Arial" w:cs="Arial"/>
                <w:b w:val="0"/>
                <w:szCs w:val="20"/>
                <w:lang w:val="en-US"/>
              </w:rPr>
            </w:pPr>
            <w:r w:rsidRPr="00EB0495">
              <w:rPr>
                <w:rFonts w:ascii="Arial" w:eastAsia="Calibri" w:hAnsi="Arial" w:cs="Arial"/>
                <w:szCs w:val="20"/>
                <w:lang w:val="en-US"/>
              </w:rPr>
              <w:t xml:space="preserve">CVP </w:t>
            </w:r>
          </w:p>
        </w:tc>
        <w:tc>
          <w:tcPr>
            <w:tcW w:w="1586" w:type="pct"/>
            <w:tcBorders>
              <w:bottom w:val="single" w:sz="4" w:space="0" w:color="auto"/>
            </w:tcBorders>
          </w:tcPr>
          <w:p w14:paraId="3904A625" w14:textId="77777777" w:rsidR="00140246" w:rsidRPr="00EB0495" w:rsidRDefault="00140246" w:rsidP="00140246">
            <w:pPr>
              <w:spacing w:before="120" w:after="120"/>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Cs w:val="20"/>
                <w:lang w:val="en-US"/>
              </w:rPr>
            </w:pPr>
            <w:r w:rsidRPr="00EB0495">
              <w:rPr>
                <w:rFonts w:ascii="Arial" w:eastAsia="Calibri" w:hAnsi="Arial" w:cs="Arial"/>
                <w:szCs w:val="20"/>
                <w:lang w:val="en-US"/>
              </w:rPr>
              <w:t>24 (15.5)</w:t>
            </w:r>
          </w:p>
        </w:tc>
        <w:tc>
          <w:tcPr>
            <w:tcW w:w="1585" w:type="pct"/>
            <w:gridSpan w:val="2"/>
            <w:tcBorders>
              <w:bottom w:val="single" w:sz="4" w:space="0" w:color="auto"/>
            </w:tcBorders>
          </w:tcPr>
          <w:p w14:paraId="0266AABE" w14:textId="77777777" w:rsidR="00140246" w:rsidRPr="00EB0495" w:rsidRDefault="00140246" w:rsidP="00140246">
            <w:pPr>
              <w:spacing w:before="120" w:after="120"/>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Cs w:val="20"/>
                <w:lang w:val="en-US"/>
              </w:rPr>
            </w:pPr>
            <w:r w:rsidRPr="00EB0495">
              <w:rPr>
                <w:rFonts w:ascii="Arial" w:eastAsia="Calibri" w:hAnsi="Arial" w:cs="Arial"/>
                <w:szCs w:val="20"/>
                <w:lang w:val="en-US"/>
              </w:rPr>
              <w:t>85 (9.3)</w:t>
            </w:r>
          </w:p>
        </w:tc>
      </w:tr>
    </w:tbl>
    <w:p w14:paraId="1A3050E0" w14:textId="2B67D663" w:rsidR="00140246" w:rsidRPr="00EB0495" w:rsidRDefault="008037DB" w:rsidP="00140246">
      <w:pPr>
        <w:keepNext/>
        <w:spacing w:before="120" w:line="240" w:lineRule="auto"/>
        <w:rPr>
          <w:rFonts w:ascii="Arial" w:eastAsia="Calibri" w:hAnsi="Arial" w:cs="Arial"/>
          <w:szCs w:val="20"/>
          <w:lang w:val="en-US"/>
        </w:rPr>
      </w:pPr>
      <w:r w:rsidRPr="00EB0495">
        <w:rPr>
          <w:rFonts w:ascii="Arial" w:eastAsia="Calibri" w:hAnsi="Arial" w:cs="Arial"/>
          <w:szCs w:val="20"/>
          <w:lang w:val="en-US"/>
        </w:rPr>
        <w:t>Abbreviations: CHOP: cyclophosphamide,</w:t>
      </w:r>
      <w:r w:rsidR="00140246" w:rsidRPr="00EB0495">
        <w:rPr>
          <w:rFonts w:ascii="Arial" w:eastAsia="Calibri" w:hAnsi="Arial" w:cs="Arial"/>
          <w:szCs w:val="20"/>
          <w:lang w:val="en-US"/>
        </w:rPr>
        <w:t xml:space="preserve"> doxorubicin, vincris</w:t>
      </w:r>
      <w:r w:rsidRPr="00EB0495">
        <w:rPr>
          <w:rFonts w:ascii="Arial" w:eastAsia="Calibri" w:hAnsi="Arial" w:cs="Arial"/>
          <w:szCs w:val="20"/>
          <w:lang w:val="en-US"/>
        </w:rPr>
        <w:t>tine, and prednisone; CVP:</w:t>
      </w:r>
      <w:r w:rsidR="00140246" w:rsidRPr="00EB0495">
        <w:rPr>
          <w:rFonts w:ascii="Arial" w:eastAsia="Calibri" w:hAnsi="Arial" w:cs="Arial"/>
          <w:szCs w:val="20"/>
          <w:lang w:val="en-US"/>
        </w:rPr>
        <w:t xml:space="preserve"> cyclophosphamide, </w:t>
      </w:r>
      <w:r w:rsidRPr="00EB0495">
        <w:rPr>
          <w:rFonts w:ascii="Arial" w:eastAsia="Calibri" w:hAnsi="Arial" w:cs="Arial"/>
          <w:szCs w:val="20"/>
          <w:lang w:val="en-US"/>
        </w:rPr>
        <w:t>vincristine, and prednisone; FL: follicular lymphoma; FLIPI:</w:t>
      </w:r>
      <w:r w:rsidR="00140246" w:rsidRPr="00EB0495">
        <w:rPr>
          <w:rFonts w:ascii="Arial" w:eastAsia="Calibri" w:hAnsi="Arial" w:cs="Arial"/>
          <w:szCs w:val="20"/>
          <w:lang w:val="en-US"/>
        </w:rPr>
        <w:t xml:space="preserve"> Follicular Lymphoma Inte</w:t>
      </w:r>
      <w:r w:rsidRPr="00EB0495">
        <w:rPr>
          <w:rFonts w:ascii="Arial" w:eastAsia="Calibri" w:hAnsi="Arial" w:cs="Arial"/>
          <w:szCs w:val="20"/>
          <w:lang w:val="en-US"/>
        </w:rPr>
        <w:t>rnational Prognostic Index; POD:</w:t>
      </w:r>
      <w:r w:rsidR="00140246" w:rsidRPr="00EB0495">
        <w:rPr>
          <w:rFonts w:ascii="Arial" w:eastAsia="Calibri" w:hAnsi="Arial" w:cs="Arial"/>
          <w:szCs w:val="20"/>
          <w:lang w:val="en-US"/>
        </w:rPr>
        <w:t xml:space="preserve"> progressive disease or death </w:t>
      </w:r>
      <w:r w:rsidRPr="00EB0495">
        <w:rPr>
          <w:rFonts w:ascii="Arial" w:eastAsia="Calibri" w:hAnsi="Arial" w:cs="Arial"/>
          <w:szCs w:val="20"/>
          <w:lang w:val="en-US"/>
        </w:rPr>
        <w:t>due to progressive disease; SPD:</w:t>
      </w:r>
      <w:r w:rsidR="00140246" w:rsidRPr="00EB0495">
        <w:rPr>
          <w:rFonts w:ascii="Arial" w:eastAsia="Calibri" w:hAnsi="Arial" w:cs="Arial"/>
          <w:szCs w:val="20"/>
          <w:lang w:val="en-US"/>
        </w:rPr>
        <w:t xml:space="preserve"> sum of products of 2 longest perpendicular dimens</w:t>
      </w:r>
      <w:r w:rsidRPr="00EB0495">
        <w:rPr>
          <w:rFonts w:ascii="Arial" w:eastAsia="Calibri" w:hAnsi="Arial" w:cs="Arial"/>
          <w:szCs w:val="20"/>
          <w:lang w:val="en-US"/>
        </w:rPr>
        <w:t>ions for ≤6 target lesions; ULN:</w:t>
      </w:r>
      <w:r w:rsidR="00140246" w:rsidRPr="00EB0495">
        <w:rPr>
          <w:rFonts w:ascii="Arial" w:eastAsia="Calibri" w:hAnsi="Arial" w:cs="Arial"/>
          <w:szCs w:val="20"/>
          <w:lang w:val="en-US"/>
        </w:rPr>
        <w:t xml:space="preserve"> upper limit of normal.</w:t>
      </w:r>
    </w:p>
    <w:p w14:paraId="4A9B5BE5" w14:textId="05515EE2" w:rsidR="00140246" w:rsidRPr="00EB0495" w:rsidRDefault="00140246" w:rsidP="00140246">
      <w:pPr>
        <w:keepNext/>
        <w:spacing w:line="240" w:lineRule="auto"/>
        <w:rPr>
          <w:rFonts w:ascii="Arial" w:eastAsia="Calibri" w:hAnsi="Arial" w:cs="Arial"/>
          <w:szCs w:val="20"/>
          <w:lang w:val="en-US"/>
        </w:rPr>
      </w:pPr>
      <w:r w:rsidRPr="00EB0495">
        <w:rPr>
          <w:rFonts w:ascii="Arial" w:eastAsia="Calibri" w:hAnsi="Arial" w:cs="Arial"/>
          <w:szCs w:val="20"/>
          <w:vertAlign w:val="superscript"/>
          <w:lang w:val="en-US"/>
        </w:rPr>
        <w:t>a</w:t>
      </w:r>
      <w:r w:rsidRPr="00EB0495">
        <w:rPr>
          <w:rFonts w:ascii="Arial" w:eastAsia="Calibri" w:hAnsi="Arial" w:cs="Arial"/>
          <w:szCs w:val="20"/>
          <w:lang w:val="en-US"/>
        </w:rPr>
        <w:t xml:space="preserve">Data are n (%), n/N (%), or median (range). </w:t>
      </w:r>
    </w:p>
    <w:p w14:paraId="452134B6" w14:textId="32341CAE" w:rsidR="00140246" w:rsidRPr="00EB0495" w:rsidRDefault="00140246" w:rsidP="00140246">
      <w:pPr>
        <w:keepNext/>
        <w:spacing w:after="120" w:line="240" w:lineRule="auto"/>
        <w:rPr>
          <w:rFonts w:ascii="Arial" w:eastAsia="Calibri" w:hAnsi="Arial" w:cs="Arial"/>
          <w:szCs w:val="20"/>
          <w:lang w:val="en-US"/>
        </w:rPr>
      </w:pPr>
      <w:r w:rsidRPr="00EB0495">
        <w:rPr>
          <w:rFonts w:ascii="Arial" w:eastAsia="Calibri" w:hAnsi="Arial" w:cs="Arial"/>
          <w:szCs w:val="20"/>
          <w:vertAlign w:val="superscript"/>
          <w:lang w:val="en-US"/>
        </w:rPr>
        <w:t>b</w:t>
      </w:r>
      <w:r w:rsidRPr="00EB0495">
        <w:rPr>
          <w:rFonts w:ascii="Arial" w:eastAsia="Calibri" w:hAnsi="Arial" w:cs="Arial"/>
          <w:szCs w:val="20"/>
          <w:lang w:val="en-US"/>
        </w:rPr>
        <w:t xml:space="preserve">18 patients were randomized to study treatment after being assessed as stage II or above by the investigators, meeting study eligibility criteria, but were reassessed as stage I after medical review. Staging data were missing for </w:t>
      </w:r>
      <w:r w:rsidR="00507491" w:rsidRPr="00EB0495">
        <w:rPr>
          <w:rFonts w:ascii="Arial" w:eastAsia="Calibri" w:hAnsi="Arial" w:cs="Arial"/>
          <w:szCs w:val="20"/>
          <w:lang w:val="en-US"/>
        </w:rPr>
        <w:t>7</w:t>
      </w:r>
      <w:r w:rsidRPr="00EB0495">
        <w:rPr>
          <w:rFonts w:ascii="Arial" w:eastAsia="Calibri" w:hAnsi="Arial" w:cs="Arial"/>
          <w:szCs w:val="20"/>
          <w:lang w:val="en-US"/>
        </w:rPr>
        <w:t xml:space="preserve"> patients (POD24, n=1; noPOD24, n=6).</w:t>
      </w:r>
    </w:p>
    <w:p w14:paraId="25EFFFC3" w14:textId="7E2BDE4A" w:rsidR="00140246" w:rsidRPr="00EB0495" w:rsidRDefault="00140246" w:rsidP="00140246">
      <w:pPr>
        <w:rPr>
          <w:rFonts w:ascii="Arial" w:eastAsia="Calibri" w:hAnsi="Arial" w:cs="Arial"/>
          <w:bCs/>
          <w:color w:val="000000"/>
          <w:sz w:val="24"/>
          <w:szCs w:val="20"/>
          <w:lang w:val="en-US"/>
        </w:rPr>
      </w:pPr>
      <w:r w:rsidRPr="00EB0495">
        <w:rPr>
          <w:rFonts w:ascii="Arial" w:eastAsia="Calibri" w:hAnsi="Arial" w:cs="Arial"/>
          <w:b/>
          <w:sz w:val="24"/>
          <w:szCs w:val="20"/>
          <w:lang w:val="en-US"/>
        </w:rPr>
        <w:br w:type="page"/>
      </w:r>
      <w:r w:rsidRPr="00EB0495">
        <w:rPr>
          <w:rFonts w:ascii="Arial" w:eastAsia="Calibri" w:hAnsi="Arial" w:cs="Arial"/>
          <w:b/>
          <w:bCs/>
          <w:color w:val="000000"/>
          <w:sz w:val="24"/>
          <w:szCs w:val="20"/>
          <w:lang w:val="en-US"/>
        </w:rPr>
        <w:lastRenderedPageBreak/>
        <w:t xml:space="preserve">Table 2. </w:t>
      </w:r>
      <w:r w:rsidR="00507491" w:rsidRPr="00EB0495">
        <w:rPr>
          <w:rFonts w:ascii="Arial" w:eastAsia="Calibri" w:hAnsi="Arial" w:cs="Arial"/>
          <w:bCs/>
          <w:color w:val="000000"/>
          <w:sz w:val="24"/>
          <w:szCs w:val="20"/>
          <w:lang w:val="en-US"/>
        </w:rPr>
        <w:t>Post-progression mortality rates, stratified by time of p</w:t>
      </w:r>
      <w:r w:rsidRPr="00EB0495">
        <w:rPr>
          <w:rFonts w:ascii="Arial" w:eastAsia="Calibri" w:hAnsi="Arial" w:cs="Arial"/>
          <w:bCs/>
          <w:color w:val="000000"/>
          <w:sz w:val="24"/>
          <w:szCs w:val="20"/>
          <w:lang w:val="en-US"/>
        </w:rPr>
        <w:t>rogr</w:t>
      </w:r>
      <w:r w:rsidR="00507491" w:rsidRPr="00EB0495">
        <w:rPr>
          <w:rFonts w:ascii="Arial" w:eastAsia="Calibri" w:hAnsi="Arial" w:cs="Arial"/>
          <w:bCs/>
          <w:color w:val="000000"/>
          <w:sz w:val="24"/>
          <w:szCs w:val="20"/>
          <w:lang w:val="en-US"/>
        </w:rPr>
        <w:t>ession, in the POD24 Group (n=</w:t>
      </w:r>
      <w:r w:rsidRPr="00EB0495">
        <w:rPr>
          <w:rFonts w:ascii="Arial" w:eastAsia="Calibri" w:hAnsi="Arial" w:cs="Arial"/>
          <w:bCs/>
          <w:color w:val="000000"/>
          <w:sz w:val="24"/>
          <w:szCs w:val="20"/>
          <w:lang w:val="en-US"/>
        </w:rPr>
        <w:t>155)</w:t>
      </w:r>
      <w:r w:rsidR="00507491" w:rsidRPr="00EB0495">
        <w:rPr>
          <w:rFonts w:ascii="Arial" w:eastAsia="Calibri" w:hAnsi="Arial" w:cs="Arial"/>
          <w:bCs/>
          <w:color w:val="000000"/>
          <w:sz w:val="24"/>
          <w:szCs w:val="20"/>
          <w:lang w:val="en-US"/>
        </w:rPr>
        <w:t>.</w:t>
      </w:r>
    </w:p>
    <w:tbl>
      <w:tblPr>
        <w:tblStyle w:val="PlainTable41"/>
        <w:tblW w:w="5255" w:type="pct"/>
        <w:tblBorders>
          <w:bottom w:val="single" w:sz="4" w:space="0" w:color="auto"/>
        </w:tblBorders>
        <w:tblLook w:val="04A0" w:firstRow="1" w:lastRow="0" w:firstColumn="1" w:lastColumn="0" w:noHBand="0" w:noVBand="1"/>
      </w:tblPr>
      <w:tblGrid>
        <w:gridCol w:w="1715"/>
        <w:gridCol w:w="858"/>
        <w:gridCol w:w="990"/>
        <w:gridCol w:w="905"/>
        <w:gridCol w:w="907"/>
        <w:gridCol w:w="1829"/>
        <w:gridCol w:w="2282"/>
      </w:tblGrid>
      <w:tr w:rsidR="00140246" w:rsidRPr="00EB0495" w14:paraId="4BBBC643" w14:textId="77777777" w:rsidTr="00140246">
        <w:trPr>
          <w:cnfStyle w:val="100000000000" w:firstRow="1" w:lastRow="0" w:firstColumn="0" w:lastColumn="0" w:oddVBand="0" w:evenVBand="0" w:oddHBand="0"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904" w:type="pct"/>
            <w:vMerge w:val="restart"/>
            <w:tcBorders>
              <w:top w:val="single" w:sz="4" w:space="0" w:color="auto"/>
              <w:bottom w:val="single" w:sz="4" w:space="0" w:color="auto"/>
            </w:tcBorders>
            <w:shd w:val="clear" w:color="auto" w:fill="FFFFFF" w:themeFill="background1"/>
            <w:vAlign w:val="bottom"/>
          </w:tcPr>
          <w:p w14:paraId="0333A6EC" w14:textId="77777777" w:rsidR="00140246" w:rsidRPr="00EB0495" w:rsidRDefault="00140246" w:rsidP="00140246">
            <w:pPr>
              <w:pStyle w:val="NormalWeb"/>
              <w:spacing w:before="120" w:beforeAutospacing="0" w:after="120" w:afterAutospacing="0"/>
              <w:rPr>
                <w:rFonts w:ascii="Arial" w:hAnsi="Arial" w:cs="Arial"/>
                <w:b w:val="0"/>
                <w:sz w:val="22"/>
                <w:szCs w:val="20"/>
                <w:lang w:val="en-US"/>
              </w:rPr>
            </w:pPr>
            <w:r w:rsidRPr="00EB0495">
              <w:rPr>
                <w:rFonts w:ascii="Arial" w:hAnsi="Arial" w:cs="Arial"/>
                <w:kern w:val="24"/>
                <w:sz w:val="22"/>
                <w:szCs w:val="20"/>
                <w:lang w:val="en-US"/>
              </w:rPr>
              <w:t>Time of progression, months</w:t>
            </w:r>
          </w:p>
        </w:tc>
        <w:tc>
          <w:tcPr>
            <w:tcW w:w="452" w:type="pct"/>
            <w:vMerge w:val="restart"/>
            <w:tcBorders>
              <w:top w:val="single" w:sz="4" w:space="0" w:color="auto"/>
              <w:bottom w:val="single" w:sz="4" w:space="0" w:color="auto"/>
            </w:tcBorders>
            <w:shd w:val="clear" w:color="auto" w:fill="FFFFFF" w:themeFill="background1"/>
            <w:vAlign w:val="bottom"/>
          </w:tcPr>
          <w:p w14:paraId="6F975F5B" w14:textId="77777777" w:rsidR="00140246" w:rsidRPr="00EB0495" w:rsidRDefault="00140246" w:rsidP="00140246">
            <w:pPr>
              <w:pStyle w:val="NormalWeb"/>
              <w:spacing w:before="120" w:beforeAutospacing="0" w:after="120" w:afterAutospacing="0"/>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2"/>
                <w:szCs w:val="20"/>
                <w:lang w:val="en-US"/>
              </w:rPr>
            </w:pPr>
            <w:r w:rsidRPr="00EB0495">
              <w:rPr>
                <w:rFonts w:ascii="Arial" w:hAnsi="Arial" w:cs="Arial"/>
                <w:sz w:val="22"/>
                <w:szCs w:val="20"/>
                <w:lang w:val="en-US"/>
              </w:rPr>
              <w:t>n</w:t>
            </w:r>
          </w:p>
        </w:tc>
        <w:tc>
          <w:tcPr>
            <w:tcW w:w="522" w:type="pct"/>
            <w:vMerge w:val="restart"/>
            <w:tcBorders>
              <w:top w:val="single" w:sz="4" w:space="0" w:color="auto"/>
              <w:bottom w:val="single" w:sz="4" w:space="0" w:color="auto"/>
            </w:tcBorders>
            <w:shd w:val="clear" w:color="auto" w:fill="FFFFFF" w:themeFill="background1"/>
            <w:vAlign w:val="bottom"/>
          </w:tcPr>
          <w:p w14:paraId="1D322C09" w14:textId="77777777" w:rsidR="00140246" w:rsidRPr="00EB0495" w:rsidRDefault="00140246" w:rsidP="00140246">
            <w:pPr>
              <w:pStyle w:val="NormalWeb"/>
              <w:spacing w:before="120" w:beforeAutospacing="0" w:after="120" w:afterAutospacing="0"/>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2"/>
                <w:szCs w:val="20"/>
                <w:lang w:val="en-US"/>
              </w:rPr>
            </w:pPr>
            <w:r w:rsidRPr="00EB0495">
              <w:rPr>
                <w:rFonts w:ascii="Arial" w:hAnsi="Arial" w:cs="Arial"/>
                <w:kern w:val="24"/>
                <w:sz w:val="22"/>
                <w:szCs w:val="20"/>
                <w:lang w:val="en-US"/>
              </w:rPr>
              <w:t>Deaths</w:t>
            </w:r>
          </w:p>
        </w:tc>
        <w:tc>
          <w:tcPr>
            <w:tcW w:w="955" w:type="pct"/>
            <w:gridSpan w:val="2"/>
            <w:tcBorders>
              <w:top w:val="single" w:sz="4" w:space="0" w:color="auto"/>
              <w:bottom w:val="single" w:sz="4" w:space="0" w:color="auto"/>
            </w:tcBorders>
            <w:shd w:val="clear" w:color="auto" w:fill="FFFFFF" w:themeFill="background1"/>
            <w:vAlign w:val="bottom"/>
          </w:tcPr>
          <w:p w14:paraId="28D01722" w14:textId="03D1151E" w:rsidR="00140246" w:rsidRPr="00EB0495" w:rsidRDefault="00140246" w:rsidP="00507491">
            <w:pPr>
              <w:pStyle w:val="NormalWeb"/>
              <w:spacing w:before="120" w:beforeAutospacing="0" w:after="120" w:afterAutospacing="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kern w:val="24"/>
                <w:sz w:val="22"/>
                <w:szCs w:val="20"/>
                <w:lang w:val="en-US"/>
              </w:rPr>
            </w:pPr>
            <w:r w:rsidRPr="00EB0495">
              <w:rPr>
                <w:rFonts w:ascii="Arial" w:hAnsi="Arial" w:cs="Arial"/>
                <w:kern w:val="24"/>
                <w:sz w:val="22"/>
                <w:szCs w:val="20"/>
                <w:lang w:val="en-US"/>
              </w:rPr>
              <w:t xml:space="preserve">Reason for </w:t>
            </w:r>
            <w:r w:rsidR="00507491" w:rsidRPr="00EB0495">
              <w:rPr>
                <w:rFonts w:ascii="Arial" w:hAnsi="Arial" w:cs="Arial"/>
                <w:kern w:val="24"/>
                <w:sz w:val="22"/>
                <w:szCs w:val="20"/>
                <w:lang w:val="en-US"/>
              </w:rPr>
              <w:t>d</w:t>
            </w:r>
            <w:r w:rsidRPr="00EB0495">
              <w:rPr>
                <w:rFonts w:ascii="Arial" w:hAnsi="Arial" w:cs="Arial"/>
                <w:kern w:val="24"/>
                <w:sz w:val="22"/>
                <w:szCs w:val="20"/>
                <w:lang w:val="en-US"/>
              </w:rPr>
              <w:t>eath</w:t>
            </w:r>
          </w:p>
        </w:tc>
        <w:tc>
          <w:tcPr>
            <w:tcW w:w="964" w:type="pct"/>
            <w:vMerge w:val="restart"/>
            <w:tcBorders>
              <w:top w:val="single" w:sz="4" w:space="0" w:color="auto"/>
              <w:bottom w:val="single" w:sz="4" w:space="0" w:color="auto"/>
            </w:tcBorders>
            <w:vAlign w:val="bottom"/>
          </w:tcPr>
          <w:p w14:paraId="5214403A" w14:textId="556BEC0C" w:rsidR="00140246" w:rsidRPr="00EB0495" w:rsidRDefault="00140246" w:rsidP="00507491">
            <w:pPr>
              <w:pStyle w:val="NormalWeb"/>
              <w:spacing w:before="120" w:beforeAutospacing="0" w:after="120" w:afterAutospacing="0"/>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2"/>
                <w:szCs w:val="20"/>
                <w:lang w:val="en-US"/>
              </w:rPr>
            </w:pPr>
            <w:r w:rsidRPr="00EB0495">
              <w:rPr>
                <w:rFonts w:ascii="Arial" w:hAnsi="Arial" w:cs="Arial"/>
                <w:kern w:val="24"/>
                <w:sz w:val="22"/>
                <w:szCs w:val="20"/>
                <w:lang w:val="en-US"/>
              </w:rPr>
              <w:t xml:space="preserve">Patient–years at </w:t>
            </w:r>
            <w:r w:rsidR="00507491" w:rsidRPr="00EB0495">
              <w:rPr>
                <w:rFonts w:ascii="Arial" w:hAnsi="Arial" w:cs="Arial"/>
                <w:kern w:val="24"/>
                <w:sz w:val="22"/>
                <w:szCs w:val="20"/>
                <w:lang w:val="en-US"/>
              </w:rPr>
              <w:t>r</w:t>
            </w:r>
            <w:r w:rsidRPr="00EB0495">
              <w:rPr>
                <w:rFonts w:ascii="Arial" w:hAnsi="Arial" w:cs="Arial"/>
                <w:kern w:val="24"/>
                <w:sz w:val="22"/>
                <w:szCs w:val="20"/>
                <w:lang w:val="en-US"/>
              </w:rPr>
              <w:t>isk</w:t>
            </w:r>
          </w:p>
        </w:tc>
        <w:tc>
          <w:tcPr>
            <w:tcW w:w="1203" w:type="pct"/>
            <w:vMerge w:val="restart"/>
            <w:tcBorders>
              <w:top w:val="single" w:sz="4" w:space="0" w:color="auto"/>
              <w:bottom w:val="single" w:sz="4" w:space="0" w:color="auto"/>
            </w:tcBorders>
            <w:vAlign w:val="bottom"/>
          </w:tcPr>
          <w:p w14:paraId="6DF0D8D8" w14:textId="58DACA75" w:rsidR="00140246" w:rsidRPr="00EB0495" w:rsidRDefault="00140246" w:rsidP="00507491">
            <w:pPr>
              <w:pStyle w:val="NormalWeb"/>
              <w:spacing w:before="120" w:beforeAutospacing="0" w:after="120" w:afterAutospacing="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kern w:val="24"/>
                <w:sz w:val="22"/>
                <w:szCs w:val="20"/>
                <w:lang w:val="en-US"/>
              </w:rPr>
            </w:pPr>
            <w:r w:rsidRPr="00EB0495">
              <w:rPr>
                <w:rFonts w:ascii="Arial" w:hAnsi="Arial" w:cs="Arial"/>
                <w:kern w:val="24"/>
                <w:sz w:val="22"/>
                <w:szCs w:val="20"/>
                <w:lang w:val="en-US"/>
              </w:rPr>
              <w:t xml:space="preserve">Deaths per 100 </w:t>
            </w:r>
            <w:r w:rsidR="00507491" w:rsidRPr="00EB0495">
              <w:rPr>
                <w:rFonts w:ascii="Arial" w:hAnsi="Arial" w:cs="Arial"/>
                <w:kern w:val="24"/>
                <w:sz w:val="22"/>
                <w:szCs w:val="20"/>
                <w:lang w:val="en-US"/>
              </w:rPr>
              <w:t>p</w:t>
            </w:r>
            <w:r w:rsidRPr="00EB0495">
              <w:rPr>
                <w:rFonts w:ascii="Arial" w:hAnsi="Arial" w:cs="Arial"/>
                <w:kern w:val="24"/>
                <w:sz w:val="22"/>
                <w:szCs w:val="20"/>
                <w:lang w:val="en-US"/>
              </w:rPr>
              <w:t xml:space="preserve">atient–years </w:t>
            </w:r>
            <w:r w:rsidRPr="00EB0495">
              <w:rPr>
                <w:rFonts w:ascii="Arial" w:hAnsi="Arial" w:cs="Arial"/>
                <w:kern w:val="24"/>
                <w:sz w:val="22"/>
                <w:szCs w:val="20"/>
                <w:lang w:val="en-US"/>
              </w:rPr>
              <w:br/>
              <w:t>(95% CI)</w:t>
            </w:r>
          </w:p>
        </w:tc>
      </w:tr>
      <w:tr w:rsidR="00140246" w:rsidRPr="00EB0495" w14:paraId="3B6DD6B0" w14:textId="77777777" w:rsidTr="00140246">
        <w:trPr>
          <w:cnfStyle w:val="000000100000" w:firstRow="0" w:lastRow="0" w:firstColumn="0" w:lastColumn="0" w:oddVBand="0" w:evenVBand="0" w:oddHBand="1" w:evenHBand="0" w:firstRowFirstColumn="0" w:firstRowLastColumn="0" w:lastRowFirstColumn="0" w:lastRowLastColumn="0"/>
          <w:trHeight w:val="487"/>
        </w:trPr>
        <w:tc>
          <w:tcPr>
            <w:cnfStyle w:val="001000000000" w:firstRow="0" w:lastRow="0" w:firstColumn="1" w:lastColumn="0" w:oddVBand="0" w:evenVBand="0" w:oddHBand="0" w:evenHBand="0" w:firstRowFirstColumn="0" w:firstRowLastColumn="0" w:lastRowFirstColumn="0" w:lastRowLastColumn="0"/>
            <w:tcW w:w="904" w:type="pct"/>
            <w:vMerge/>
            <w:tcBorders>
              <w:top w:val="single" w:sz="4" w:space="0" w:color="auto"/>
              <w:bottom w:val="single" w:sz="4" w:space="0" w:color="auto"/>
            </w:tcBorders>
            <w:shd w:val="clear" w:color="auto" w:fill="FFFFFF" w:themeFill="background1"/>
          </w:tcPr>
          <w:p w14:paraId="7DB1D27A" w14:textId="77777777" w:rsidR="00140246" w:rsidRPr="00EB0495" w:rsidRDefault="00140246" w:rsidP="00140246">
            <w:pPr>
              <w:pStyle w:val="NormalWeb"/>
              <w:spacing w:before="120" w:beforeAutospacing="0" w:after="120" w:afterAutospacing="0"/>
              <w:rPr>
                <w:rFonts w:ascii="Arial" w:hAnsi="Arial" w:cs="Arial"/>
                <w:b w:val="0"/>
                <w:bCs w:val="0"/>
                <w:kern w:val="24"/>
                <w:sz w:val="22"/>
                <w:szCs w:val="20"/>
                <w:lang w:val="en-US"/>
              </w:rPr>
            </w:pPr>
          </w:p>
        </w:tc>
        <w:tc>
          <w:tcPr>
            <w:tcW w:w="452" w:type="pct"/>
            <w:vMerge/>
            <w:tcBorders>
              <w:top w:val="single" w:sz="4" w:space="0" w:color="auto"/>
              <w:bottom w:val="single" w:sz="4" w:space="0" w:color="auto"/>
            </w:tcBorders>
            <w:shd w:val="clear" w:color="auto" w:fill="FFFFFF" w:themeFill="background1"/>
          </w:tcPr>
          <w:p w14:paraId="29E47FDE" w14:textId="77777777" w:rsidR="00140246" w:rsidRPr="00EB0495" w:rsidRDefault="00140246" w:rsidP="00140246">
            <w:pPr>
              <w:pStyle w:val="NormalWeb"/>
              <w:spacing w:before="120" w:beforeAutospacing="0" w:after="120" w:afterAutospacing="0"/>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0"/>
                <w:lang w:val="en-US"/>
              </w:rPr>
            </w:pPr>
          </w:p>
        </w:tc>
        <w:tc>
          <w:tcPr>
            <w:tcW w:w="522" w:type="pct"/>
            <w:vMerge/>
            <w:tcBorders>
              <w:top w:val="single" w:sz="4" w:space="0" w:color="auto"/>
              <w:bottom w:val="single" w:sz="4" w:space="0" w:color="auto"/>
            </w:tcBorders>
            <w:shd w:val="clear" w:color="auto" w:fill="FFFFFF" w:themeFill="background1"/>
          </w:tcPr>
          <w:p w14:paraId="3E0A30B4" w14:textId="77777777" w:rsidR="00140246" w:rsidRPr="00EB0495" w:rsidRDefault="00140246" w:rsidP="00140246">
            <w:pPr>
              <w:pStyle w:val="NormalWeb"/>
              <w:spacing w:before="120" w:beforeAutospacing="0" w:after="120" w:afterAutospacing="0"/>
              <w:jc w:val="center"/>
              <w:cnfStyle w:val="000000100000" w:firstRow="0" w:lastRow="0" w:firstColumn="0" w:lastColumn="0" w:oddVBand="0" w:evenVBand="0" w:oddHBand="1" w:evenHBand="0" w:firstRowFirstColumn="0" w:firstRowLastColumn="0" w:lastRowFirstColumn="0" w:lastRowLastColumn="0"/>
              <w:rPr>
                <w:rFonts w:ascii="Arial" w:hAnsi="Arial" w:cs="Arial"/>
                <w:bCs/>
                <w:kern w:val="24"/>
                <w:sz w:val="22"/>
                <w:szCs w:val="20"/>
                <w:lang w:val="en-US"/>
              </w:rPr>
            </w:pPr>
          </w:p>
        </w:tc>
        <w:tc>
          <w:tcPr>
            <w:tcW w:w="477" w:type="pct"/>
            <w:tcBorders>
              <w:top w:val="single" w:sz="4" w:space="0" w:color="auto"/>
              <w:bottom w:val="single" w:sz="4" w:space="0" w:color="auto"/>
            </w:tcBorders>
            <w:shd w:val="clear" w:color="auto" w:fill="FFFFFF" w:themeFill="background1"/>
            <w:vAlign w:val="bottom"/>
          </w:tcPr>
          <w:p w14:paraId="27FB470E" w14:textId="77777777" w:rsidR="00140246" w:rsidRPr="00EB0495" w:rsidRDefault="00140246" w:rsidP="00140246">
            <w:pPr>
              <w:pStyle w:val="NormalWeb"/>
              <w:spacing w:before="120" w:beforeAutospacing="0" w:after="120" w:afterAutospacing="0"/>
              <w:jc w:val="center"/>
              <w:cnfStyle w:val="000000100000" w:firstRow="0" w:lastRow="0" w:firstColumn="0" w:lastColumn="0" w:oddVBand="0" w:evenVBand="0" w:oddHBand="1" w:evenHBand="0" w:firstRowFirstColumn="0" w:firstRowLastColumn="0" w:lastRowFirstColumn="0" w:lastRowLastColumn="0"/>
              <w:rPr>
                <w:rFonts w:ascii="Arial" w:hAnsi="Arial" w:cs="Arial"/>
                <w:b/>
                <w:bCs/>
                <w:kern w:val="24"/>
                <w:sz w:val="22"/>
                <w:szCs w:val="20"/>
                <w:lang w:val="en-US"/>
              </w:rPr>
            </w:pPr>
            <w:r w:rsidRPr="00EB0495">
              <w:rPr>
                <w:rFonts w:ascii="Arial" w:hAnsi="Arial" w:cs="Arial"/>
                <w:b/>
                <w:bCs/>
                <w:kern w:val="24"/>
                <w:sz w:val="22"/>
                <w:szCs w:val="20"/>
                <w:lang w:val="en-US"/>
              </w:rPr>
              <w:t>PD</w:t>
            </w:r>
          </w:p>
        </w:tc>
        <w:tc>
          <w:tcPr>
            <w:tcW w:w="478" w:type="pct"/>
            <w:tcBorders>
              <w:top w:val="single" w:sz="4" w:space="0" w:color="auto"/>
              <w:bottom w:val="single" w:sz="4" w:space="0" w:color="auto"/>
            </w:tcBorders>
            <w:shd w:val="clear" w:color="auto" w:fill="FFFFFF" w:themeFill="background1"/>
            <w:vAlign w:val="bottom"/>
          </w:tcPr>
          <w:p w14:paraId="6DE19982" w14:textId="77777777" w:rsidR="00140246" w:rsidRPr="00EB0495" w:rsidRDefault="00140246" w:rsidP="00140246">
            <w:pPr>
              <w:pStyle w:val="NormalWeb"/>
              <w:spacing w:before="120" w:beforeAutospacing="0" w:after="120" w:afterAutospacing="0"/>
              <w:jc w:val="center"/>
              <w:cnfStyle w:val="000000100000" w:firstRow="0" w:lastRow="0" w:firstColumn="0" w:lastColumn="0" w:oddVBand="0" w:evenVBand="0" w:oddHBand="1" w:evenHBand="0" w:firstRowFirstColumn="0" w:firstRowLastColumn="0" w:lastRowFirstColumn="0" w:lastRowLastColumn="0"/>
              <w:rPr>
                <w:rFonts w:ascii="Arial" w:hAnsi="Arial" w:cs="Arial"/>
                <w:b/>
                <w:bCs/>
                <w:kern w:val="24"/>
                <w:sz w:val="22"/>
                <w:szCs w:val="20"/>
                <w:lang w:val="en-US"/>
              </w:rPr>
            </w:pPr>
            <w:r w:rsidRPr="00EB0495">
              <w:rPr>
                <w:rFonts w:ascii="Arial" w:hAnsi="Arial" w:cs="Arial"/>
                <w:b/>
                <w:bCs/>
                <w:kern w:val="24"/>
                <w:sz w:val="22"/>
                <w:szCs w:val="20"/>
                <w:lang w:val="en-US"/>
              </w:rPr>
              <w:t>Other</w:t>
            </w:r>
          </w:p>
        </w:tc>
        <w:tc>
          <w:tcPr>
            <w:tcW w:w="964" w:type="pct"/>
            <w:vMerge/>
            <w:tcBorders>
              <w:top w:val="single" w:sz="4" w:space="0" w:color="auto"/>
              <w:bottom w:val="single" w:sz="4" w:space="0" w:color="auto"/>
            </w:tcBorders>
          </w:tcPr>
          <w:p w14:paraId="02CAFDA0" w14:textId="77777777" w:rsidR="00140246" w:rsidRPr="00EB0495" w:rsidRDefault="00140246" w:rsidP="00140246">
            <w:pPr>
              <w:pStyle w:val="NormalWeb"/>
              <w:spacing w:before="120" w:beforeAutospacing="0" w:after="120" w:afterAutospacing="0"/>
              <w:jc w:val="center"/>
              <w:cnfStyle w:val="000000100000" w:firstRow="0" w:lastRow="0" w:firstColumn="0" w:lastColumn="0" w:oddVBand="0" w:evenVBand="0" w:oddHBand="1" w:evenHBand="0" w:firstRowFirstColumn="0" w:firstRowLastColumn="0" w:lastRowFirstColumn="0" w:lastRowLastColumn="0"/>
              <w:rPr>
                <w:rFonts w:ascii="Arial" w:hAnsi="Arial" w:cs="Arial"/>
                <w:bCs/>
                <w:kern w:val="24"/>
                <w:sz w:val="22"/>
                <w:szCs w:val="20"/>
                <w:lang w:val="en-US"/>
              </w:rPr>
            </w:pPr>
          </w:p>
        </w:tc>
        <w:tc>
          <w:tcPr>
            <w:tcW w:w="1203" w:type="pct"/>
            <w:vMerge/>
            <w:tcBorders>
              <w:top w:val="single" w:sz="4" w:space="0" w:color="auto"/>
              <w:bottom w:val="single" w:sz="4" w:space="0" w:color="auto"/>
            </w:tcBorders>
          </w:tcPr>
          <w:p w14:paraId="40709E18" w14:textId="77777777" w:rsidR="00140246" w:rsidRPr="00EB0495" w:rsidRDefault="00140246" w:rsidP="00140246">
            <w:pPr>
              <w:pStyle w:val="NormalWeb"/>
              <w:spacing w:before="120" w:beforeAutospacing="0" w:after="120" w:afterAutospacing="0"/>
              <w:jc w:val="center"/>
              <w:cnfStyle w:val="000000100000" w:firstRow="0" w:lastRow="0" w:firstColumn="0" w:lastColumn="0" w:oddVBand="0" w:evenVBand="0" w:oddHBand="1" w:evenHBand="0" w:firstRowFirstColumn="0" w:firstRowLastColumn="0" w:lastRowFirstColumn="0" w:lastRowLastColumn="0"/>
              <w:rPr>
                <w:rFonts w:ascii="Arial" w:hAnsi="Arial" w:cs="Arial"/>
                <w:bCs/>
                <w:kern w:val="24"/>
                <w:sz w:val="22"/>
                <w:szCs w:val="20"/>
                <w:lang w:val="en-US"/>
              </w:rPr>
            </w:pPr>
          </w:p>
        </w:tc>
      </w:tr>
      <w:tr w:rsidR="00140246" w:rsidRPr="00EB0495" w14:paraId="0948701F" w14:textId="77777777" w:rsidTr="00140246">
        <w:tc>
          <w:tcPr>
            <w:cnfStyle w:val="001000000000" w:firstRow="0" w:lastRow="0" w:firstColumn="1" w:lastColumn="0" w:oddVBand="0" w:evenVBand="0" w:oddHBand="0" w:evenHBand="0" w:firstRowFirstColumn="0" w:firstRowLastColumn="0" w:lastRowFirstColumn="0" w:lastRowLastColumn="0"/>
            <w:tcW w:w="904" w:type="pct"/>
            <w:tcBorders>
              <w:top w:val="single" w:sz="4" w:space="0" w:color="auto"/>
              <w:bottom w:val="nil"/>
            </w:tcBorders>
          </w:tcPr>
          <w:p w14:paraId="7FD1F1DB" w14:textId="7A65305A" w:rsidR="00140246" w:rsidRPr="00EB0495" w:rsidRDefault="00507491" w:rsidP="00507491">
            <w:pPr>
              <w:pStyle w:val="NormalWeb"/>
              <w:spacing w:before="120" w:beforeAutospacing="0" w:after="120" w:afterAutospacing="0"/>
              <w:rPr>
                <w:rFonts w:ascii="Arial" w:hAnsi="Arial" w:cs="Arial"/>
                <w:b w:val="0"/>
                <w:sz w:val="22"/>
                <w:szCs w:val="20"/>
                <w:lang w:val="en-US"/>
              </w:rPr>
            </w:pPr>
            <w:r w:rsidRPr="00EB0495">
              <w:rPr>
                <w:rFonts w:ascii="Arial" w:hAnsi="Arial" w:cs="Arial"/>
                <w:kern w:val="24"/>
                <w:sz w:val="22"/>
                <w:szCs w:val="20"/>
                <w:lang w:val="en-US"/>
              </w:rPr>
              <w:t>0-</w:t>
            </w:r>
            <w:r w:rsidR="00140246" w:rsidRPr="00EB0495">
              <w:rPr>
                <w:rFonts w:ascii="Arial" w:hAnsi="Arial" w:cs="Arial"/>
                <w:kern w:val="24"/>
                <w:sz w:val="22"/>
                <w:szCs w:val="20"/>
                <w:lang w:val="en-US"/>
              </w:rPr>
              <w:t>6</w:t>
            </w:r>
          </w:p>
        </w:tc>
        <w:tc>
          <w:tcPr>
            <w:tcW w:w="452" w:type="pct"/>
            <w:tcBorders>
              <w:top w:val="single" w:sz="4" w:space="0" w:color="auto"/>
              <w:bottom w:val="nil"/>
            </w:tcBorders>
          </w:tcPr>
          <w:p w14:paraId="3438492F" w14:textId="77777777" w:rsidR="00140246" w:rsidRPr="00EB0495" w:rsidRDefault="00140246" w:rsidP="00140246">
            <w:pPr>
              <w:pStyle w:val="NormalWeb"/>
              <w:spacing w:before="120" w:beforeAutospacing="0" w:after="120" w:afterAutospacing="0"/>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0"/>
                <w:lang w:val="en-US"/>
              </w:rPr>
            </w:pPr>
            <w:r w:rsidRPr="00EB0495">
              <w:rPr>
                <w:rFonts w:ascii="Arial" w:hAnsi="Arial" w:cs="Arial"/>
                <w:bCs/>
                <w:kern w:val="24"/>
                <w:sz w:val="22"/>
                <w:szCs w:val="20"/>
                <w:lang w:val="en-US"/>
              </w:rPr>
              <w:t>22</w:t>
            </w:r>
          </w:p>
        </w:tc>
        <w:tc>
          <w:tcPr>
            <w:tcW w:w="522" w:type="pct"/>
            <w:tcBorders>
              <w:top w:val="single" w:sz="4" w:space="0" w:color="auto"/>
              <w:bottom w:val="nil"/>
            </w:tcBorders>
          </w:tcPr>
          <w:p w14:paraId="6E5C55D4" w14:textId="77777777" w:rsidR="00140246" w:rsidRPr="00EB0495" w:rsidRDefault="00140246" w:rsidP="00140246">
            <w:pPr>
              <w:pStyle w:val="NormalWeb"/>
              <w:spacing w:before="120" w:beforeAutospacing="0" w:after="120" w:afterAutospacing="0"/>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0"/>
                <w:lang w:val="en-US"/>
              </w:rPr>
            </w:pPr>
            <w:r w:rsidRPr="00EB0495">
              <w:rPr>
                <w:rFonts w:ascii="Arial" w:hAnsi="Arial" w:cs="Arial"/>
                <w:bCs/>
                <w:kern w:val="24"/>
                <w:sz w:val="22"/>
                <w:szCs w:val="20"/>
                <w:lang w:val="en-US"/>
              </w:rPr>
              <w:t>18</w:t>
            </w:r>
          </w:p>
        </w:tc>
        <w:tc>
          <w:tcPr>
            <w:tcW w:w="477" w:type="pct"/>
            <w:tcBorders>
              <w:top w:val="single" w:sz="4" w:space="0" w:color="auto"/>
              <w:bottom w:val="nil"/>
            </w:tcBorders>
          </w:tcPr>
          <w:p w14:paraId="6755AA56" w14:textId="77777777" w:rsidR="00140246" w:rsidRPr="00EB0495" w:rsidRDefault="00140246" w:rsidP="00140246">
            <w:pPr>
              <w:pStyle w:val="NormalWeb"/>
              <w:spacing w:before="120" w:beforeAutospacing="0" w:after="120" w:afterAutospacing="0"/>
              <w:jc w:val="center"/>
              <w:textAlignment w:val="top"/>
              <w:cnfStyle w:val="000000000000" w:firstRow="0" w:lastRow="0" w:firstColumn="0" w:lastColumn="0" w:oddVBand="0" w:evenVBand="0" w:oddHBand="0" w:evenHBand="0" w:firstRowFirstColumn="0" w:firstRowLastColumn="0" w:lastRowFirstColumn="0" w:lastRowLastColumn="0"/>
              <w:rPr>
                <w:rFonts w:ascii="Arial" w:hAnsi="Arial" w:cs="Arial"/>
                <w:color w:val="000000"/>
                <w:kern w:val="24"/>
                <w:sz w:val="22"/>
                <w:szCs w:val="20"/>
                <w:lang w:val="en-US"/>
              </w:rPr>
            </w:pPr>
            <w:r w:rsidRPr="00EB0495">
              <w:rPr>
                <w:rFonts w:ascii="Arial" w:hAnsi="Arial" w:cs="Arial"/>
                <w:color w:val="000000"/>
                <w:kern w:val="24"/>
                <w:sz w:val="22"/>
                <w:szCs w:val="20"/>
                <w:lang w:val="en-US"/>
              </w:rPr>
              <w:t xml:space="preserve">16 </w:t>
            </w:r>
          </w:p>
        </w:tc>
        <w:tc>
          <w:tcPr>
            <w:tcW w:w="478" w:type="pct"/>
            <w:tcBorders>
              <w:top w:val="single" w:sz="4" w:space="0" w:color="auto"/>
              <w:bottom w:val="nil"/>
            </w:tcBorders>
          </w:tcPr>
          <w:p w14:paraId="5C749D0D" w14:textId="77777777" w:rsidR="00140246" w:rsidRPr="00EB0495" w:rsidRDefault="00140246" w:rsidP="00140246">
            <w:pPr>
              <w:pStyle w:val="NormalWeb"/>
              <w:spacing w:before="120" w:beforeAutospacing="0" w:after="120" w:afterAutospacing="0"/>
              <w:jc w:val="center"/>
              <w:textAlignment w:val="top"/>
              <w:cnfStyle w:val="000000000000" w:firstRow="0" w:lastRow="0" w:firstColumn="0" w:lastColumn="0" w:oddVBand="0" w:evenVBand="0" w:oddHBand="0" w:evenHBand="0" w:firstRowFirstColumn="0" w:firstRowLastColumn="0" w:lastRowFirstColumn="0" w:lastRowLastColumn="0"/>
              <w:rPr>
                <w:rFonts w:ascii="Arial" w:hAnsi="Arial" w:cs="Arial"/>
                <w:color w:val="000000"/>
                <w:kern w:val="24"/>
                <w:sz w:val="22"/>
                <w:szCs w:val="20"/>
                <w:lang w:val="en-US"/>
              </w:rPr>
            </w:pPr>
            <w:r w:rsidRPr="00EB0495">
              <w:rPr>
                <w:rFonts w:ascii="Arial" w:hAnsi="Arial" w:cs="Arial"/>
                <w:color w:val="000000"/>
                <w:kern w:val="24"/>
                <w:sz w:val="22"/>
                <w:szCs w:val="20"/>
                <w:lang w:val="en-US"/>
              </w:rPr>
              <w:t>2</w:t>
            </w:r>
          </w:p>
        </w:tc>
        <w:tc>
          <w:tcPr>
            <w:tcW w:w="964" w:type="pct"/>
            <w:tcBorders>
              <w:top w:val="single" w:sz="4" w:space="0" w:color="auto"/>
              <w:bottom w:val="nil"/>
            </w:tcBorders>
          </w:tcPr>
          <w:p w14:paraId="00B9E693" w14:textId="77777777" w:rsidR="00140246" w:rsidRPr="00EB0495" w:rsidRDefault="00140246" w:rsidP="00140246">
            <w:pPr>
              <w:pStyle w:val="NormalWeb"/>
              <w:spacing w:before="120" w:beforeAutospacing="0" w:after="120" w:afterAutospacing="0"/>
              <w:jc w:val="center"/>
              <w:textAlignment w:val="top"/>
              <w:cnfStyle w:val="000000000000" w:firstRow="0" w:lastRow="0" w:firstColumn="0" w:lastColumn="0" w:oddVBand="0" w:evenVBand="0" w:oddHBand="0" w:evenHBand="0" w:firstRowFirstColumn="0" w:firstRowLastColumn="0" w:lastRowFirstColumn="0" w:lastRowLastColumn="0"/>
              <w:rPr>
                <w:rFonts w:ascii="Arial" w:hAnsi="Arial" w:cs="Arial"/>
                <w:sz w:val="22"/>
                <w:szCs w:val="20"/>
                <w:lang w:val="en-US"/>
              </w:rPr>
            </w:pPr>
            <w:r w:rsidRPr="00EB0495">
              <w:rPr>
                <w:rFonts w:ascii="Arial" w:hAnsi="Arial" w:cs="Arial"/>
                <w:color w:val="000000"/>
                <w:kern w:val="24"/>
                <w:sz w:val="22"/>
                <w:szCs w:val="20"/>
                <w:lang w:val="en-US"/>
              </w:rPr>
              <w:t>22.2</w:t>
            </w:r>
          </w:p>
        </w:tc>
        <w:tc>
          <w:tcPr>
            <w:tcW w:w="1203" w:type="pct"/>
            <w:tcBorders>
              <w:top w:val="single" w:sz="4" w:space="0" w:color="auto"/>
              <w:bottom w:val="nil"/>
            </w:tcBorders>
          </w:tcPr>
          <w:p w14:paraId="76CF49A0" w14:textId="28D471B3" w:rsidR="00140246" w:rsidRPr="00EB0495" w:rsidRDefault="00140246" w:rsidP="00140246">
            <w:pPr>
              <w:pStyle w:val="NormalWeb"/>
              <w:spacing w:before="120" w:beforeAutospacing="0" w:after="120" w:afterAutospacing="0"/>
              <w:jc w:val="center"/>
              <w:textAlignment w:val="top"/>
              <w:cnfStyle w:val="000000000000" w:firstRow="0" w:lastRow="0" w:firstColumn="0" w:lastColumn="0" w:oddVBand="0" w:evenVBand="0" w:oddHBand="0" w:evenHBand="0" w:firstRowFirstColumn="0" w:firstRowLastColumn="0" w:lastRowFirstColumn="0" w:lastRowLastColumn="0"/>
              <w:rPr>
                <w:rFonts w:ascii="Arial" w:hAnsi="Arial" w:cs="Arial"/>
                <w:color w:val="000000"/>
                <w:kern w:val="24"/>
                <w:sz w:val="22"/>
                <w:szCs w:val="20"/>
                <w:lang w:val="en-US"/>
              </w:rPr>
            </w:pPr>
            <w:r w:rsidRPr="00EB0495">
              <w:rPr>
                <w:rFonts w:ascii="Arial" w:hAnsi="Arial" w:cs="Arial"/>
                <w:color w:val="000000"/>
                <w:kern w:val="24"/>
                <w:sz w:val="22"/>
                <w:szCs w:val="20"/>
                <w:lang w:val="en-US"/>
              </w:rPr>
              <w:t>81.0 (51.2</w:t>
            </w:r>
            <w:r w:rsidR="00507491" w:rsidRPr="00EB0495">
              <w:rPr>
                <w:rFonts w:ascii="Calibri" w:hAnsi="Calibri"/>
                <w:color w:val="1F497D"/>
                <w:sz w:val="22"/>
                <w:szCs w:val="22"/>
                <w:lang w:eastAsia="en-US"/>
              </w:rPr>
              <w:t>-</w:t>
            </w:r>
            <w:r w:rsidRPr="00EB0495">
              <w:rPr>
                <w:rFonts w:ascii="Arial" w:hAnsi="Arial" w:cs="Arial"/>
                <w:color w:val="000000"/>
                <w:kern w:val="24"/>
                <w:sz w:val="22"/>
                <w:szCs w:val="20"/>
                <w:lang w:val="en-US"/>
              </w:rPr>
              <w:t>100)</w:t>
            </w:r>
          </w:p>
        </w:tc>
      </w:tr>
      <w:tr w:rsidR="00140246" w:rsidRPr="00EB0495" w14:paraId="36098574" w14:textId="77777777" w:rsidTr="001402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4" w:type="pct"/>
            <w:tcBorders>
              <w:bottom w:val="nil"/>
            </w:tcBorders>
          </w:tcPr>
          <w:p w14:paraId="3B0210FB" w14:textId="43CE5654" w:rsidR="00140246" w:rsidRPr="00EB0495" w:rsidRDefault="00507491" w:rsidP="00507491">
            <w:pPr>
              <w:pStyle w:val="NormalWeb"/>
              <w:spacing w:before="120" w:beforeAutospacing="0" w:after="120" w:afterAutospacing="0"/>
              <w:rPr>
                <w:rFonts w:ascii="Arial" w:hAnsi="Arial" w:cs="Arial"/>
                <w:b w:val="0"/>
                <w:sz w:val="22"/>
                <w:szCs w:val="20"/>
                <w:lang w:val="en-US"/>
              </w:rPr>
            </w:pPr>
            <w:r w:rsidRPr="00EB0495">
              <w:rPr>
                <w:rFonts w:ascii="Arial" w:hAnsi="Arial" w:cs="Arial"/>
                <w:color w:val="000000"/>
                <w:kern w:val="24"/>
                <w:sz w:val="22"/>
                <w:szCs w:val="20"/>
                <w:lang w:val="en-US"/>
              </w:rPr>
              <w:t>&gt;</w:t>
            </w:r>
            <w:r w:rsidR="00140246" w:rsidRPr="00EB0495">
              <w:rPr>
                <w:rFonts w:ascii="Arial" w:hAnsi="Arial" w:cs="Arial"/>
                <w:color w:val="000000"/>
                <w:kern w:val="24"/>
                <w:sz w:val="22"/>
                <w:szCs w:val="20"/>
                <w:lang w:val="en-US"/>
              </w:rPr>
              <w:t>6</w:t>
            </w:r>
            <w:r w:rsidRPr="00EB0495">
              <w:rPr>
                <w:rFonts w:ascii="Arial" w:hAnsi="Arial" w:cs="Arial"/>
                <w:color w:val="000000"/>
                <w:kern w:val="24"/>
                <w:sz w:val="22"/>
                <w:szCs w:val="20"/>
                <w:lang w:val="en-US"/>
              </w:rPr>
              <w:t>-</w:t>
            </w:r>
            <w:r w:rsidR="00140246" w:rsidRPr="00EB0495">
              <w:rPr>
                <w:rFonts w:ascii="Arial" w:hAnsi="Arial" w:cs="Arial"/>
                <w:color w:val="000000"/>
                <w:kern w:val="24"/>
                <w:sz w:val="22"/>
                <w:szCs w:val="20"/>
                <w:lang w:val="en-US"/>
              </w:rPr>
              <w:t>12</w:t>
            </w:r>
          </w:p>
        </w:tc>
        <w:tc>
          <w:tcPr>
            <w:tcW w:w="452" w:type="pct"/>
            <w:tcBorders>
              <w:bottom w:val="nil"/>
            </w:tcBorders>
          </w:tcPr>
          <w:p w14:paraId="59523E1B" w14:textId="77777777" w:rsidR="00140246" w:rsidRPr="00EB0495" w:rsidRDefault="00140246" w:rsidP="00140246">
            <w:pPr>
              <w:pStyle w:val="NormalWeb"/>
              <w:spacing w:before="120" w:beforeAutospacing="0" w:after="120" w:afterAutospacing="0"/>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0"/>
                <w:lang w:val="en-US"/>
              </w:rPr>
            </w:pPr>
            <w:r w:rsidRPr="00EB0495">
              <w:rPr>
                <w:rFonts w:ascii="Arial" w:hAnsi="Arial" w:cs="Arial"/>
                <w:color w:val="000000"/>
                <w:kern w:val="24"/>
                <w:sz w:val="22"/>
                <w:szCs w:val="20"/>
                <w:lang w:val="en-US"/>
              </w:rPr>
              <w:t>58</w:t>
            </w:r>
          </w:p>
        </w:tc>
        <w:tc>
          <w:tcPr>
            <w:tcW w:w="522" w:type="pct"/>
            <w:tcBorders>
              <w:bottom w:val="nil"/>
            </w:tcBorders>
          </w:tcPr>
          <w:p w14:paraId="4325723E" w14:textId="77777777" w:rsidR="00140246" w:rsidRPr="00EB0495" w:rsidRDefault="00140246" w:rsidP="00140246">
            <w:pPr>
              <w:pStyle w:val="NormalWeb"/>
              <w:spacing w:before="120" w:beforeAutospacing="0" w:after="120" w:afterAutospacing="0"/>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0"/>
                <w:lang w:val="en-US"/>
              </w:rPr>
            </w:pPr>
            <w:r w:rsidRPr="00EB0495">
              <w:rPr>
                <w:rFonts w:ascii="Arial" w:hAnsi="Arial" w:cs="Arial"/>
                <w:color w:val="000000"/>
                <w:kern w:val="24"/>
                <w:sz w:val="22"/>
                <w:szCs w:val="20"/>
                <w:lang w:val="en-US"/>
              </w:rPr>
              <w:t>27</w:t>
            </w:r>
          </w:p>
        </w:tc>
        <w:tc>
          <w:tcPr>
            <w:tcW w:w="477" w:type="pct"/>
            <w:tcBorders>
              <w:bottom w:val="nil"/>
            </w:tcBorders>
          </w:tcPr>
          <w:p w14:paraId="0E9C8599" w14:textId="77777777" w:rsidR="00140246" w:rsidRPr="00EB0495" w:rsidRDefault="00140246" w:rsidP="00140246">
            <w:pPr>
              <w:pStyle w:val="NormalWeb"/>
              <w:spacing w:before="120" w:beforeAutospacing="0" w:after="120" w:afterAutospacing="0"/>
              <w:jc w:val="center"/>
              <w:textAlignment w:val="top"/>
              <w:cnfStyle w:val="000000100000" w:firstRow="0" w:lastRow="0" w:firstColumn="0" w:lastColumn="0" w:oddVBand="0" w:evenVBand="0" w:oddHBand="1" w:evenHBand="0" w:firstRowFirstColumn="0" w:firstRowLastColumn="0" w:lastRowFirstColumn="0" w:lastRowLastColumn="0"/>
              <w:rPr>
                <w:rFonts w:ascii="Arial" w:hAnsi="Arial" w:cs="Arial"/>
                <w:color w:val="000000"/>
                <w:kern w:val="24"/>
                <w:sz w:val="22"/>
                <w:szCs w:val="20"/>
                <w:lang w:val="en-US"/>
              </w:rPr>
            </w:pPr>
            <w:r w:rsidRPr="00EB0495">
              <w:rPr>
                <w:rFonts w:ascii="Arial" w:hAnsi="Arial" w:cs="Arial"/>
                <w:color w:val="000000"/>
                <w:kern w:val="24"/>
                <w:sz w:val="22"/>
                <w:szCs w:val="20"/>
                <w:lang w:val="en-US"/>
              </w:rPr>
              <w:t xml:space="preserve">19 </w:t>
            </w:r>
          </w:p>
        </w:tc>
        <w:tc>
          <w:tcPr>
            <w:tcW w:w="478" w:type="pct"/>
            <w:tcBorders>
              <w:bottom w:val="nil"/>
            </w:tcBorders>
          </w:tcPr>
          <w:p w14:paraId="25BE0697" w14:textId="77777777" w:rsidR="00140246" w:rsidRPr="00EB0495" w:rsidRDefault="00140246" w:rsidP="00140246">
            <w:pPr>
              <w:pStyle w:val="NormalWeb"/>
              <w:spacing w:before="120" w:beforeAutospacing="0" w:after="120" w:afterAutospacing="0"/>
              <w:jc w:val="center"/>
              <w:textAlignment w:val="top"/>
              <w:cnfStyle w:val="000000100000" w:firstRow="0" w:lastRow="0" w:firstColumn="0" w:lastColumn="0" w:oddVBand="0" w:evenVBand="0" w:oddHBand="1" w:evenHBand="0" w:firstRowFirstColumn="0" w:firstRowLastColumn="0" w:lastRowFirstColumn="0" w:lastRowLastColumn="0"/>
              <w:rPr>
                <w:rFonts w:ascii="Arial" w:hAnsi="Arial" w:cs="Arial"/>
                <w:color w:val="000000"/>
                <w:kern w:val="24"/>
                <w:sz w:val="22"/>
                <w:szCs w:val="20"/>
                <w:lang w:val="en-US"/>
              </w:rPr>
            </w:pPr>
            <w:r w:rsidRPr="00EB0495">
              <w:rPr>
                <w:rFonts w:ascii="Arial" w:hAnsi="Arial" w:cs="Arial"/>
                <w:color w:val="000000"/>
                <w:kern w:val="24"/>
                <w:sz w:val="22"/>
                <w:szCs w:val="20"/>
                <w:lang w:val="en-US"/>
              </w:rPr>
              <w:t>8</w:t>
            </w:r>
          </w:p>
        </w:tc>
        <w:tc>
          <w:tcPr>
            <w:tcW w:w="964" w:type="pct"/>
            <w:tcBorders>
              <w:bottom w:val="nil"/>
            </w:tcBorders>
          </w:tcPr>
          <w:p w14:paraId="060F97B1" w14:textId="77777777" w:rsidR="00140246" w:rsidRPr="00EB0495" w:rsidRDefault="00140246" w:rsidP="00140246">
            <w:pPr>
              <w:pStyle w:val="NormalWeb"/>
              <w:spacing w:before="120" w:beforeAutospacing="0" w:after="120" w:afterAutospacing="0"/>
              <w:jc w:val="center"/>
              <w:textAlignment w:val="top"/>
              <w:cnfStyle w:val="000000100000" w:firstRow="0" w:lastRow="0" w:firstColumn="0" w:lastColumn="0" w:oddVBand="0" w:evenVBand="0" w:oddHBand="1" w:evenHBand="0" w:firstRowFirstColumn="0" w:firstRowLastColumn="0" w:lastRowFirstColumn="0" w:lastRowLastColumn="0"/>
              <w:rPr>
                <w:rFonts w:ascii="Arial" w:hAnsi="Arial" w:cs="Arial"/>
                <w:sz w:val="22"/>
                <w:szCs w:val="20"/>
                <w:lang w:val="en-US"/>
              </w:rPr>
            </w:pPr>
            <w:r w:rsidRPr="00EB0495">
              <w:rPr>
                <w:rFonts w:ascii="Arial" w:hAnsi="Arial" w:cs="Arial"/>
                <w:color w:val="000000"/>
                <w:kern w:val="24"/>
                <w:sz w:val="22"/>
                <w:szCs w:val="20"/>
                <w:lang w:val="en-US"/>
              </w:rPr>
              <w:t>111.6</w:t>
            </w:r>
          </w:p>
        </w:tc>
        <w:tc>
          <w:tcPr>
            <w:tcW w:w="1203" w:type="pct"/>
            <w:tcBorders>
              <w:bottom w:val="nil"/>
            </w:tcBorders>
          </w:tcPr>
          <w:p w14:paraId="1F3B03B2" w14:textId="114E5A75" w:rsidR="00140246" w:rsidRPr="00EB0495" w:rsidRDefault="00140246" w:rsidP="00507491">
            <w:pPr>
              <w:pStyle w:val="NormalWeb"/>
              <w:spacing w:before="120" w:beforeAutospacing="0" w:after="120" w:afterAutospacing="0"/>
              <w:jc w:val="center"/>
              <w:textAlignment w:val="top"/>
              <w:cnfStyle w:val="000000100000" w:firstRow="0" w:lastRow="0" w:firstColumn="0" w:lastColumn="0" w:oddVBand="0" w:evenVBand="0" w:oddHBand="1" w:evenHBand="0" w:firstRowFirstColumn="0" w:firstRowLastColumn="0" w:lastRowFirstColumn="0" w:lastRowLastColumn="0"/>
              <w:rPr>
                <w:rFonts w:ascii="Arial" w:hAnsi="Arial" w:cs="Arial"/>
                <w:color w:val="000000"/>
                <w:kern w:val="24"/>
                <w:sz w:val="22"/>
                <w:szCs w:val="20"/>
                <w:lang w:val="en-US"/>
              </w:rPr>
            </w:pPr>
            <w:r w:rsidRPr="00EB0495">
              <w:rPr>
                <w:rFonts w:ascii="Arial" w:hAnsi="Arial" w:cs="Arial"/>
                <w:color w:val="000000"/>
                <w:kern w:val="24"/>
                <w:sz w:val="22"/>
                <w:szCs w:val="20"/>
                <w:lang w:val="en-US"/>
              </w:rPr>
              <w:t>24.2 (16.6</w:t>
            </w:r>
            <w:r w:rsidR="00507491" w:rsidRPr="00EB0495">
              <w:rPr>
                <w:rFonts w:ascii="Calibri" w:hAnsi="Calibri"/>
                <w:color w:val="1F497D"/>
                <w:sz w:val="22"/>
                <w:szCs w:val="22"/>
                <w:lang w:eastAsia="en-US"/>
              </w:rPr>
              <w:t>-</w:t>
            </w:r>
            <w:r w:rsidRPr="00EB0495">
              <w:rPr>
                <w:rFonts w:ascii="Arial" w:hAnsi="Arial" w:cs="Arial"/>
                <w:color w:val="000000"/>
                <w:kern w:val="24"/>
                <w:sz w:val="22"/>
                <w:szCs w:val="20"/>
                <w:lang w:val="en-US"/>
              </w:rPr>
              <w:t>35.3)</w:t>
            </w:r>
          </w:p>
        </w:tc>
      </w:tr>
      <w:tr w:rsidR="00140246" w:rsidRPr="00EB0495" w14:paraId="5B588573" w14:textId="77777777" w:rsidTr="00140246">
        <w:tc>
          <w:tcPr>
            <w:cnfStyle w:val="001000000000" w:firstRow="0" w:lastRow="0" w:firstColumn="1" w:lastColumn="0" w:oddVBand="0" w:evenVBand="0" w:oddHBand="0" w:evenHBand="0" w:firstRowFirstColumn="0" w:firstRowLastColumn="0" w:lastRowFirstColumn="0" w:lastRowLastColumn="0"/>
            <w:tcW w:w="904" w:type="pct"/>
            <w:tcBorders>
              <w:bottom w:val="nil"/>
            </w:tcBorders>
          </w:tcPr>
          <w:p w14:paraId="2651790D" w14:textId="646407DD" w:rsidR="00140246" w:rsidRPr="00EB0495" w:rsidRDefault="00507491" w:rsidP="00507491">
            <w:pPr>
              <w:pStyle w:val="NormalWeb"/>
              <w:spacing w:before="120" w:beforeAutospacing="0" w:after="120" w:afterAutospacing="0"/>
              <w:rPr>
                <w:rFonts w:ascii="Arial" w:hAnsi="Arial" w:cs="Arial"/>
                <w:b w:val="0"/>
                <w:sz w:val="22"/>
                <w:szCs w:val="20"/>
                <w:lang w:val="en-US"/>
              </w:rPr>
            </w:pPr>
            <w:r w:rsidRPr="00EB0495">
              <w:rPr>
                <w:rFonts w:ascii="Arial" w:hAnsi="Arial" w:cs="Arial"/>
                <w:color w:val="000000"/>
                <w:kern w:val="24"/>
                <w:sz w:val="22"/>
                <w:szCs w:val="20"/>
                <w:lang w:val="en-US"/>
              </w:rPr>
              <w:t>&gt;</w:t>
            </w:r>
            <w:r w:rsidR="00140246" w:rsidRPr="00EB0495">
              <w:rPr>
                <w:rFonts w:ascii="Arial" w:hAnsi="Arial" w:cs="Arial"/>
                <w:color w:val="000000"/>
                <w:kern w:val="24"/>
                <w:sz w:val="22"/>
                <w:szCs w:val="20"/>
                <w:lang w:val="en-US"/>
              </w:rPr>
              <w:t>12</w:t>
            </w:r>
            <w:r w:rsidRPr="00EB0495">
              <w:rPr>
                <w:rFonts w:ascii="Arial" w:hAnsi="Arial" w:cs="Arial"/>
                <w:color w:val="000000"/>
                <w:kern w:val="24"/>
                <w:sz w:val="22"/>
                <w:szCs w:val="20"/>
                <w:lang w:val="en-US"/>
              </w:rPr>
              <w:t>-</w:t>
            </w:r>
            <w:r w:rsidR="00140246" w:rsidRPr="00EB0495">
              <w:rPr>
                <w:rFonts w:ascii="Arial" w:hAnsi="Arial" w:cs="Arial"/>
                <w:color w:val="000000"/>
                <w:kern w:val="24"/>
                <w:sz w:val="22"/>
                <w:szCs w:val="20"/>
                <w:lang w:val="en-US"/>
              </w:rPr>
              <w:t>18</w:t>
            </w:r>
          </w:p>
        </w:tc>
        <w:tc>
          <w:tcPr>
            <w:tcW w:w="452" w:type="pct"/>
            <w:tcBorders>
              <w:bottom w:val="nil"/>
            </w:tcBorders>
          </w:tcPr>
          <w:p w14:paraId="1E9DAD42" w14:textId="77777777" w:rsidR="00140246" w:rsidRPr="00EB0495" w:rsidRDefault="00140246" w:rsidP="00140246">
            <w:pPr>
              <w:pStyle w:val="NormalWeb"/>
              <w:spacing w:before="120" w:beforeAutospacing="0" w:after="120" w:afterAutospacing="0"/>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0"/>
                <w:lang w:val="en-US"/>
              </w:rPr>
            </w:pPr>
            <w:r w:rsidRPr="00EB0495">
              <w:rPr>
                <w:rFonts w:ascii="Arial" w:hAnsi="Arial" w:cs="Arial"/>
                <w:color w:val="000000"/>
                <w:kern w:val="24"/>
                <w:sz w:val="22"/>
                <w:szCs w:val="20"/>
                <w:lang w:val="en-US"/>
              </w:rPr>
              <w:t>46</w:t>
            </w:r>
          </w:p>
        </w:tc>
        <w:tc>
          <w:tcPr>
            <w:tcW w:w="522" w:type="pct"/>
            <w:tcBorders>
              <w:bottom w:val="nil"/>
            </w:tcBorders>
          </w:tcPr>
          <w:p w14:paraId="220C8609" w14:textId="77777777" w:rsidR="00140246" w:rsidRPr="00EB0495" w:rsidRDefault="00140246" w:rsidP="00140246">
            <w:pPr>
              <w:pStyle w:val="NormalWeb"/>
              <w:spacing w:before="120" w:beforeAutospacing="0" w:after="120" w:afterAutospacing="0"/>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0"/>
                <w:lang w:val="en-US"/>
              </w:rPr>
            </w:pPr>
            <w:r w:rsidRPr="00EB0495">
              <w:rPr>
                <w:rFonts w:ascii="Arial" w:hAnsi="Arial" w:cs="Arial"/>
                <w:color w:val="000000"/>
                <w:kern w:val="24"/>
                <w:sz w:val="22"/>
                <w:szCs w:val="20"/>
                <w:lang w:val="en-US"/>
              </w:rPr>
              <w:t>9</w:t>
            </w:r>
          </w:p>
        </w:tc>
        <w:tc>
          <w:tcPr>
            <w:tcW w:w="477" w:type="pct"/>
            <w:tcBorders>
              <w:bottom w:val="nil"/>
            </w:tcBorders>
          </w:tcPr>
          <w:p w14:paraId="557EBE91" w14:textId="77777777" w:rsidR="00140246" w:rsidRPr="00EB0495" w:rsidRDefault="00140246" w:rsidP="00140246">
            <w:pPr>
              <w:pStyle w:val="NormalWeb"/>
              <w:spacing w:before="120" w:beforeAutospacing="0" w:after="120" w:afterAutospacing="0"/>
              <w:jc w:val="center"/>
              <w:textAlignment w:val="top"/>
              <w:cnfStyle w:val="000000000000" w:firstRow="0" w:lastRow="0" w:firstColumn="0" w:lastColumn="0" w:oddVBand="0" w:evenVBand="0" w:oddHBand="0" w:evenHBand="0" w:firstRowFirstColumn="0" w:firstRowLastColumn="0" w:lastRowFirstColumn="0" w:lastRowLastColumn="0"/>
              <w:rPr>
                <w:rFonts w:ascii="Arial" w:hAnsi="Arial" w:cs="Arial"/>
                <w:color w:val="000000"/>
                <w:kern w:val="24"/>
                <w:sz w:val="22"/>
                <w:szCs w:val="20"/>
                <w:lang w:val="en-US"/>
              </w:rPr>
            </w:pPr>
            <w:r w:rsidRPr="00EB0495">
              <w:rPr>
                <w:rFonts w:ascii="Arial" w:hAnsi="Arial" w:cs="Arial"/>
                <w:color w:val="000000"/>
                <w:kern w:val="24"/>
                <w:sz w:val="22"/>
                <w:szCs w:val="20"/>
                <w:lang w:val="en-US"/>
              </w:rPr>
              <w:t xml:space="preserve">5 </w:t>
            </w:r>
          </w:p>
        </w:tc>
        <w:tc>
          <w:tcPr>
            <w:tcW w:w="478" w:type="pct"/>
            <w:tcBorders>
              <w:bottom w:val="nil"/>
            </w:tcBorders>
          </w:tcPr>
          <w:p w14:paraId="7A619C76" w14:textId="77777777" w:rsidR="00140246" w:rsidRPr="00EB0495" w:rsidRDefault="00140246" w:rsidP="00140246">
            <w:pPr>
              <w:pStyle w:val="NormalWeb"/>
              <w:spacing w:before="120" w:beforeAutospacing="0" w:after="120" w:afterAutospacing="0"/>
              <w:jc w:val="center"/>
              <w:textAlignment w:val="top"/>
              <w:cnfStyle w:val="000000000000" w:firstRow="0" w:lastRow="0" w:firstColumn="0" w:lastColumn="0" w:oddVBand="0" w:evenVBand="0" w:oddHBand="0" w:evenHBand="0" w:firstRowFirstColumn="0" w:firstRowLastColumn="0" w:lastRowFirstColumn="0" w:lastRowLastColumn="0"/>
              <w:rPr>
                <w:rFonts w:ascii="Arial" w:hAnsi="Arial" w:cs="Arial"/>
                <w:color w:val="000000"/>
                <w:kern w:val="24"/>
                <w:sz w:val="22"/>
                <w:szCs w:val="20"/>
                <w:lang w:val="en-US"/>
              </w:rPr>
            </w:pPr>
            <w:r w:rsidRPr="00EB0495">
              <w:rPr>
                <w:rFonts w:ascii="Arial" w:hAnsi="Arial" w:cs="Arial"/>
                <w:color w:val="000000"/>
                <w:kern w:val="24"/>
                <w:sz w:val="22"/>
                <w:szCs w:val="20"/>
                <w:lang w:val="en-US"/>
              </w:rPr>
              <w:t>4</w:t>
            </w:r>
          </w:p>
        </w:tc>
        <w:tc>
          <w:tcPr>
            <w:tcW w:w="964" w:type="pct"/>
            <w:tcBorders>
              <w:bottom w:val="nil"/>
            </w:tcBorders>
          </w:tcPr>
          <w:p w14:paraId="0DBC4844" w14:textId="77777777" w:rsidR="00140246" w:rsidRPr="00EB0495" w:rsidRDefault="00140246" w:rsidP="00140246">
            <w:pPr>
              <w:pStyle w:val="NormalWeb"/>
              <w:spacing w:before="120" w:beforeAutospacing="0" w:after="120" w:afterAutospacing="0"/>
              <w:jc w:val="center"/>
              <w:textAlignment w:val="top"/>
              <w:cnfStyle w:val="000000000000" w:firstRow="0" w:lastRow="0" w:firstColumn="0" w:lastColumn="0" w:oddVBand="0" w:evenVBand="0" w:oddHBand="0" w:evenHBand="0" w:firstRowFirstColumn="0" w:firstRowLastColumn="0" w:lastRowFirstColumn="0" w:lastRowLastColumn="0"/>
              <w:rPr>
                <w:rFonts w:ascii="Arial" w:hAnsi="Arial" w:cs="Arial"/>
                <w:sz w:val="22"/>
                <w:szCs w:val="20"/>
                <w:lang w:val="en-US"/>
              </w:rPr>
            </w:pPr>
            <w:r w:rsidRPr="00EB0495">
              <w:rPr>
                <w:rFonts w:ascii="Arial" w:hAnsi="Arial" w:cs="Arial"/>
                <w:color w:val="000000"/>
                <w:kern w:val="24"/>
                <w:sz w:val="22"/>
                <w:szCs w:val="20"/>
                <w:lang w:val="en-US"/>
              </w:rPr>
              <w:t>102.2</w:t>
            </w:r>
          </w:p>
        </w:tc>
        <w:tc>
          <w:tcPr>
            <w:tcW w:w="1203" w:type="pct"/>
            <w:tcBorders>
              <w:bottom w:val="nil"/>
            </w:tcBorders>
          </w:tcPr>
          <w:p w14:paraId="0B2D13AD" w14:textId="7B86C09D" w:rsidR="00140246" w:rsidRPr="00EB0495" w:rsidRDefault="00140246" w:rsidP="00507491">
            <w:pPr>
              <w:pStyle w:val="NormalWeb"/>
              <w:spacing w:before="120" w:beforeAutospacing="0" w:after="120" w:afterAutospacing="0"/>
              <w:jc w:val="center"/>
              <w:textAlignment w:val="top"/>
              <w:cnfStyle w:val="000000000000" w:firstRow="0" w:lastRow="0" w:firstColumn="0" w:lastColumn="0" w:oddVBand="0" w:evenVBand="0" w:oddHBand="0" w:evenHBand="0" w:firstRowFirstColumn="0" w:firstRowLastColumn="0" w:lastRowFirstColumn="0" w:lastRowLastColumn="0"/>
              <w:rPr>
                <w:rFonts w:ascii="Arial" w:hAnsi="Arial" w:cs="Arial"/>
                <w:color w:val="000000"/>
                <w:kern w:val="24"/>
                <w:sz w:val="22"/>
                <w:szCs w:val="20"/>
                <w:lang w:val="en-US"/>
              </w:rPr>
            </w:pPr>
            <w:r w:rsidRPr="00EB0495">
              <w:rPr>
                <w:rFonts w:ascii="Arial" w:hAnsi="Arial" w:cs="Arial"/>
                <w:color w:val="000000"/>
                <w:kern w:val="24"/>
                <w:sz w:val="22"/>
                <w:szCs w:val="20"/>
                <w:lang w:val="en-US"/>
              </w:rPr>
              <w:t>8.8 (4.6</w:t>
            </w:r>
            <w:r w:rsidR="00507491" w:rsidRPr="00EB0495">
              <w:rPr>
                <w:rFonts w:ascii="Calibri" w:hAnsi="Calibri"/>
                <w:color w:val="1F497D"/>
                <w:sz w:val="22"/>
                <w:szCs w:val="22"/>
                <w:lang w:eastAsia="en-US"/>
              </w:rPr>
              <w:t>-</w:t>
            </w:r>
            <w:r w:rsidRPr="00EB0495">
              <w:rPr>
                <w:rFonts w:ascii="Arial" w:hAnsi="Arial" w:cs="Arial"/>
                <w:color w:val="000000"/>
                <w:kern w:val="24"/>
                <w:sz w:val="22"/>
                <w:szCs w:val="20"/>
                <w:lang w:val="en-US"/>
              </w:rPr>
              <w:t>16.9)</w:t>
            </w:r>
          </w:p>
        </w:tc>
      </w:tr>
      <w:tr w:rsidR="00140246" w:rsidRPr="00EB0495" w14:paraId="4AAE76C1" w14:textId="77777777" w:rsidTr="001402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4" w:type="pct"/>
            <w:tcBorders>
              <w:bottom w:val="single" w:sz="4" w:space="0" w:color="auto"/>
            </w:tcBorders>
          </w:tcPr>
          <w:p w14:paraId="6E04700E" w14:textId="2BEFCA12" w:rsidR="00140246" w:rsidRPr="00EB0495" w:rsidRDefault="00507491" w:rsidP="00507491">
            <w:pPr>
              <w:pStyle w:val="NormalWeb"/>
              <w:spacing w:before="120" w:beforeAutospacing="0" w:after="120" w:afterAutospacing="0"/>
              <w:rPr>
                <w:rFonts w:ascii="Arial" w:hAnsi="Arial" w:cs="Arial"/>
                <w:b w:val="0"/>
                <w:sz w:val="22"/>
                <w:szCs w:val="20"/>
                <w:lang w:val="en-US"/>
              </w:rPr>
            </w:pPr>
            <w:r w:rsidRPr="00EB0495">
              <w:rPr>
                <w:rFonts w:ascii="Arial" w:hAnsi="Arial" w:cs="Arial"/>
                <w:color w:val="000000"/>
                <w:kern w:val="24"/>
                <w:sz w:val="22"/>
                <w:szCs w:val="20"/>
                <w:lang w:val="en-US"/>
              </w:rPr>
              <w:t>&gt;</w:t>
            </w:r>
            <w:r w:rsidR="00140246" w:rsidRPr="00EB0495">
              <w:rPr>
                <w:rFonts w:ascii="Arial" w:hAnsi="Arial" w:cs="Arial"/>
                <w:color w:val="000000"/>
                <w:kern w:val="24"/>
                <w:sz w:val="22"/>
                <w:szCs w:val="20"/>
                <w:lang w:val="en-US"/>
              </w:rPr>
              <w:t>18</w:t>
            </w:r>
            <w:r w:rsidRPr="00EB0495">
              <w:rPr>
                <w:rFonts w:ascii="Arial" w:hAnsi="Arial" w:cs="Arial"/>
                <w:color w:val="000000"/>
                <w:kern w:val="24"/>
                <w:sz w:val="22"/>
                <w:szCs w:val="20"/>
                <w:lang w:val="en-US"/>
              </w:rPr>
              <w:t>-</w:t>
            </w:r>
            <w:r w:rsidR="00140246" w:rsidRPr="00EB0495">
              <w:rPr>
                <w:rFonts w:ascii="Arial" w:hAnsi="Arial" w:cs="Arial"/>
                <w:color w:val="000000"/>
                <w:kern w:val="24"/>
                <w:sz w:val="22"/>
                <w:szCs w:val="20"/>
                <w:lang w:val="en-US"/>
              </w:rPr>
              <w:t>24</w:t>
            </w:r>
          </w:p>
        </w:tc>
        <w:tc>
          <w:tcPr>
            <w:tcW w:w="452" w:type="pct"/>
            <w:tcBorders>
              <w:bottom w:val="single" w:sz="4" w:space="0" w:color="auto"/>
            </w:tcBorders>
          </w:tcPr>
          <w:p w14:paraId="3B4BBCC7" w14:textId="77777777" w:rsidR="00140246" w:rsidRPr="00EB0495" w:rsidRDefault="00140246" w:rsidP="00140246">
            <w:pPr>
              <w:pStyle w:val="NormalWeb"/>
              <w:spacing w:before="120" w:beforeAutospacing="0" w:after="120" w:afterAutospacing="0"/>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0"/>
                <w:lang w:val="en-US"/>
              </w:rPr>
            </w:pPr>
            <w:r w:rsidRPr="00EB0495">
              <w:rPr>
                <w:rFonts w:ascii="Arial" w:hAnsi="Arial" w:cs="Arial"/>
                <w:color w:val="000000"/>
                <w:kern w:val="24"/>
                <w:sz w:val="22"/>
                <w:szCs w:val="20"/>
                <w:lang w:val="en-US"/>
              </w:rPr>
              <w:t>29</w:t>
            </w:r>
          </w:p>
        </w:tc>
        <w:tc>
          <w:tcPr>
            <w:tcW w:w="522" w:type="pct"/>
            <w:tcBorders>
              <w:bottom w:val="single" w:sz="4" w:space="0" w:color="auto"/>
            </w:tcBorders>
          </w:tcPr>
          <w:p w14:paraId="6395E326" w14:textId="77777777" w:rsidR="00140246" w:rsidRPr="00EB0495" w:rsidRDefault="00140246" w:rsidP="00140246">
            <w:pPr>
              <w:pStyle w:val="NormalWeb"/>
              <w:spacing w:before="120" w:beforeAutospacing="0" w:after="120" w:afterAutospacing="0"/>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0"/>
                <w:lang w:val="en-US"/>
              </w:rPr>
            </w:pPr>
            <w:r w:rsidRPr="00EB0495">
              <w:rPr>
                <w:rFonts w:ascii="Arial" w:hAnsi="Arial" w:cs="Arial"/>
                <w:color w:val="000000"/>
                <w:kern w:val="24"/>
                <w:sz w:val="22"/>
                <w:szCs w:val="20"/>
                <w:lang w:val="en-US"/>
              </w:rPr>
              <w:t>2</w:t>
            </w:r>
          </w:p>
        </w:tc>
        <w:tc>
          <w:tcPr>
            <w:tcW w:w="477" w:type="pct"/>
            <w:tcBorders>
              <w:bottom w:val="single" w:sz="4" w:space="0" w:color="auto"/>
            </w:tcBorders>
          </w:tcPr>
          <w:p w14:paraId="0838263D" w14:textId="77777777" w:rsidR="00140246" w:rsidRPr="00EB0495" w:rsidRDefault="00140246" w:rsidP="00140246">
            <w:pPr>
              <w:pStyle w:val="NormalWeb"/>
              <w:spacing w:before="120" w:beforeAutospacing="0" w:after="120" w:afterAutospacing="0"/>
              <w:jc w:val="center"/>
              <w:textAlignment w:val="top"/>
              <w:cnfStyle w:val="000000100000" w:firstRow="0" w:lastRow="0" w:firstColumn="0" w:lastColumn="0" w:oddVBand="0" w:evenVBand="0" w:oddHBand="1" w:evenHBand="0" w:firstRowFirstColumn="0" w:firstRowLastColumn="0" w:lastRowFirstColumn="0" w:lastRowLastColumn="0"/>
              <w:rPr>
                <w:rFonts w:ascii="Arial" w:hAnsi="Arial" w:cs="Arial"/>
                <w:color w:val="000000"/>
                <w:kern w:val="24"/>
                <w:sz w:val="22"/>
                <w:szCs w:val="20"/>
                <w:lang w:val="en-US"/>
              </w:rPr>
            </w:pPr>
            <w:r w:rsidRPr="00EB0495">
              <w:rPr>
                <w:rFonts w:ascii="Arial" w:hAnsi="Arial" w:cs="Arial"/>
                <w:color w:val="000000"/>
                <w:kern w:val="24"/>
                <w:sz w:val="22"/>
                <w:szCs w:val="20"/>
                <w:lang w:val="en-US"/>
              </w:rPr>
              <w:t>0</w:t>
            </w:r>
          </w:p>
        </w:tc>
        <w:tc>
          <w:tcPr>
            <w:tcW w:w="478" w:type="pct"/>
            <w:tcBorders>
              <w:bottom w:val="single" w:sz="4" w:space="0" w:color="auto"/>
            </w:tcBorders>
          </w:tcPr>
          <w:p w14:paraId="6D1FA82E" w14:textId="77777777" w:rsidR="00140246" w:rsidRPr="00EB0495" w:rsidRDefault="00140246" w:rsidP="00140246">
            <w:pPr>
              <w:pStyle w:val="NormalWeb"/>
              <w:spacing w:before="120" w:beforeAutospacing="0" w:after="120" w:afterAutospacing="0"/>
              <w:jc w:val="center"/>
              <w:textAlignment w:val="top"/>
              <w:cnfStyle w:val="000000100000" w:firstRow="0" w:lastRow="0" w:firstColumn="0" w:lastColumn="0" w:oddVBand="0" w:evenVBand="0" w:oddHBand="1" w:evenHBand="0" w:firstRowFirstColumn="0" w:firstRowLastColumn="0" w:lastRowFirstColumn="0" w:lastRowLastColumn="0"/>
              <w:rPr>
                <w:rFonts w:ascii="Arial" w:hAnsi="Arial" w:cs="Arial"/>
                <w:color w:val="000000"/>
                <w:kern w:val="24"/>
                <w:sz w:val="22"/>
                <w:szCs w:val="20"/>
                <w:lang w:val="en-US"/>
              </w:rPr>
            </w:pPr>
            <w:r w:rsidRPr="00EB0495">
              <w:rPr>
                <w:rFonts w:ascii="Arial" w:hAnsi="Arial" w:cs="Arial"/>
                <w:color w:val="000000"/>
                <w:kern w:val="24"/>
                <w:sz w:val="22"/>
                <w:szCs w:val="20"/>
                <w:lang w:val="en-US"/>
              </w:rPr>
              <w:t>2</w:t>
            </w:r>
          </w:p>
        </w:tc>
        <w:tc>
          <w:tcPr>
            <w:tcW w:w="964" w:type="pct"/>
            <w:tcBorders>
              <w:bottom w:val="single" w:sz="4" w:space="0" w:color="auto"/>
            </w:tcBorders>
          </w:tcPr>
          <w:p w14:paraId="7283EB7D" w14:textId="77777777" w:rsidR="00140246" w:rsidRPr="00EB0495" w:rsidRDefault="00140246" w:rsidP="00140246">
            <w:pPr>
              <w:pStyle w:val="NormalWeb"/>
              <w:spacing w:before="120" w:beforeAutospacing="0" w:after="120" w:afterAutospacing="0"/>
              <w:jc w:val="center"/>
              <w:textAlignment w:val="top"/>
              <w:cnfStyle w:val="000000100000" w:firstRow="0" w:lastRow="0" w:firstColumn="0" w:lastColumn="0" w:oddVBand="0" w:evenVBand="0" w:oddHBand="1" w:evenHBand="0" w:firstRowFirstColumn="0" w:firstRowLastColumn="0" w:lastRowFirstColumn="0" w:lastRowLastColumn="0"/>
              <w:rPr>
                <w:rFonts w:ascii="Arial" w:hAnsi="Arial" w:cs="Arial"/>
                <w:sz w:val="22"/>
                <w:szCs w:val="20"/>
                <w:lang w:val="en-US"/>
              </w:rPr>
            </w:pPr>
            <w:r w:rsidRPr="00EB0495">
              <w:rPr>
                <w:rFonts w:ascii="Arial" w:hAnsi="Arial" w:cs="Arial"/>
                <w:color w:val="000000"/>
                <w:kern w:val="24"/>
                <w:sz w:val="22"/>
                <w:szCs w:val="20"/>
                <w:lang w:val="en-US"/>
              </w:rPr>
              <w:t>52.5</w:t>
            </w:r>
          </w:p>
        </w:tc>
        <w:tc>
          <w:tcPr>
            <w:tcW w:w="1203" w:type="pct"/>
            <w:tcBorders>
              <w:bottom w:val="single" w:sz="4" w:space="0" w:color="auto"/>
            </w:tcBorders>
          </w:tcPr>
          <w:p w14:paraId="49EE0123" w14:textId="4E657E20" w:rsidR="00140246" w:rsidRPr="00EB0495" w:rsidRDefault="00140246" w:rsidP="00507491">
            <w:pPr>
              <w:pStyle w:val="NormalWeb"/>
              <w:spacing w:before="120" w:beforeAutospacing="0" w:after="120" w:afterAutospacing="0"/>
              <w:jc w:val="center"/>
              <w:textAlignment w:val="top"/>
              <w:cnfStyle w:val="000000100000" w:firstRow="0" w:lastRow="0" w:firstColumn="0" w:lastColumn="0" w:oddVBand="0" w:evenVBand="0" w:oddHBand="1" w:evenHBand="0" w:firstRowFirstColumn="0" w:firstRowLastColumn="0" w:lastRowFirstColumn="0" w:lastRowLastColumn="0"/>
              <w:rPr>
                <w:rFonts w:ascii="Arial" w:hAnsi="Arial" w:cs="Arial"/>
                <w:color w:val="000000"/>
                <w:kern w:val="24"/>
                <w:sz w:val="22"/>
                <w:szCs w:val="20"/>
                <w:lang w:val="en-US"/>
              </w:rPr>
            </w:pPr>
            <w:r w:rsidRPr="00EB0495">
              <w:rPr>
                <w:rFonts w:ascii="Arial" w:hAnsi="Arial" w:cs="Arial"/>
                <w:color w:val="000000"/>
                <w:kern w:val="24"/>
                <w:sz w:val="22"/>
                <w:szCs w:val="20"/>
                <w:lang w:val="en-US"/>
              </w:rPr>
              <w:t>3.8 (1.0</w:t>
            </w:r>
            <w:r w:rsidR="00507491" w:rsidRPr="00EB0495">
              <w:rPr>
                <w:rFonts w:ascii="Calibri" w:hAnsi="Calibri"/>
                <w:color w:val="1F497D"/>
                <w:sz w:val="22"/>
                <w:szCs w:val="22"/>
                <w:lang w:eastAsia="en-US"/>
              </w:rPr>
              <w:t>-</w:t>
            </w:r>
            <w:r w:rsidRPr="00EB0495">
              <w:rPr>
                <w:rFonts w:ascii="Arial" w:hAnsi="Arial" w:cs="Arial"/>
                <w:color w:val="000000"/>
                <w:kern w:val="24"/>
                <w:sz w:val="22"/>
                <w:szCs w:val="20"/>
                <w:lang w:val="en-US"/>
              </w:rPr>
              <w:t>15.2)</w:t>
            </w:r>
          </w:p>
        </w:tc>
      </w:tr>
    </w:tbl>
    <w:p w14:paraId="220E9831" w14:textId="1869FF2F" w:rsidR="00140246" w:rsidRPr="00EB0495" w:rsidRDefault="008037DB" w:rsidP="00140246">
      <w:pPr>
        <w:spacing w:before="120" w:after="120" w:line="240" w:lineRule="auto"/>
        <w:rPr>
          <w:rFonts w:ascii="Arial" w:eastAsia="Calibri" w:hAnsi="Arial" w:cs="Arial"/>
          <w:bCs/>
          <w:color w:val="000000"/>
          <w:szCs w:val="20"/>
          <w:lang w:val="en-US"/>
        </w:rPr>
      </w:pPr>
      <w:r w:rsidRPr="00EB0495">
        <w:rPr>
          <w:rFonts w:ascii="Arial" w:eastAsia="Calibri" w:hAnsi="Arial" w:cs="Arial"/>
          <w:bCs/>
          <w:color w:val="000000"/>
          <w:szCs w:val="20"/>
          <w:lang w:val="en-US"/>
        </w:rPr>
        <w:t>Abbreviations: CI: confidence interval; PD: progressive disease; POD:</w:t>
      </w:r>
      <w:r w:rsidR="00140246" w:rsidRPr="00EB0495">
        <w:rPr>
          <w:rFonts w:ascii="Arial" w:eastAsia="Calibri" w:hAnsi="Arial" w:cs="Arial"/>
          <w:bCs/>
          <w:color w:val="000000"/>
          <w:szCs w:val="20"/>
          <w:lang w:val="en-US"/>
        </w:rPr>
        <w:t xml:space="preserve"> progressive disease or death due to progressive disease.</w:t>
      </w:r>
    </w:p>
    <w:p w14:paraId="063ED4A9" w14:textId="77777777" w:rsidR="00140246" w:rsidRPr="00EB0495" w:rsidRDefault="00140246" w:rsidP="00172347">
      <w:pPr>
        <w:spacing w:after="240"/>
        <w:rPr>
          <w:rFonts w:ascii="Arial" w:eastAsia="Calibri" w:hAnsi="Arial" w:cs="Arial"/>
          <w:b/>
          <w:sz w:val="24"/>
          <w:szCs w:val="20"/>
          <w:lang w:val="en-US"/>
        </w:rPr>
      </w:pPr>
    </w:p>
    <w:p w14:paraId="67079B49" w14:textId="77777777" w:rsidR="00911773" w:rsidRPr="00EB0495" w:rsidRDefault="00911773">
      <w:pPr>
        <w:rPr>
          <w:rFonts w:ascii="Arial" w:eastAsia="Calibri" w:hAnsi="Arial" w:cs="Arial"/>
          <w:b/>
          <w:sz w:val="24"/>
          <w:szCs w:val="20"/>
          <w:lang w:val="en-US"/>
        </w:rPr>
      </w:pPr>
      <w:r w:rsidRPr="00EB0495">
        <w:rPr>
          <w:rFonts w:ascii="Arial" w:eastAsia="Calibri" w:hAnsi="Arial" w:cs="Arial"/>
          <w:b/>
          <w:sz w:val="24"/>
          <w:szCs w:val="20"/>
          <w:lang w:val="en-US"/>
        </w:rPr>
        <w:br w:type="page"/>
      </w:r>
    </w:p>
    <w:p w14:paraId="267A0C17" w14:textId="7B14C647" w:rsidR="001517AA" w:rsidRPr="00EB0495" w:rsidRDefault="001517AA" w:rsidP="00172347">
      <w:pPr>
        <w:spacing w:after="240"/>
        <w:rPr>
          <w:rFonts w:ascii="Arial" w:eastAsia="Calibri" w:hAnsi="Arial" w:cs="Arial"/>
          <w:b/>
          <w:sz w:val="24"/>
          <w:szCs w:val="20"/>
          <w:lang w:val="en-US"/>
        </w:rPr>
      </w:pPr>
      <w:r w:rsidRPr="00EB0495">
        <w:rPr>
          <w:rFonts w:ascii="Arial" w:eastAsia="Calibri" w:hAnsi="Arial" w:cs="Arial"/>
          <w:b/>
          <w:sz w:val="24"/>
          <w:szCs w:val="20"/>
          <w:lang w:val="en-US"/>
        </w:rPr>
        <w:lastRenderedPageBreak/>
        <w:t>FIGURE LEGENDS</w:t>
      </w:r>
    </w:p>
    <w:p w14:paraId="160A4231" w14:textId="00670C99" w:rsidR="001517AA" w:rsidRPr="00EB0495" w:rsidRDefault="00031730" w:rsidP="00172347">
      <w:pPr>
        <w:spacing w:after="240"/>
        <w:rPr>
          <w:rFonts w:ascii="Arial" w:eastAsia="Calibri" w:hAnsi="Arial" w:cs="Arial"/>
          <w:bCs/>
          <w:color w:val="000000"/>
          <w:szCs w:val="20"/>
          <w:lang w:val="en-US"/>
        </w:rPr>
      </w:pPr>
      <w:r w:rsidRPr="00EB0495">
        <w:rPr>
          <w:rFonts w:ascii="Arial" w:eastAsia="Calibri" w:hAnsi="Arial" w:cs="Arial"/>
          <w:b/>
          <w:bCs/>
          <w:color w:val="000000"/>
          <w:sz w:val="24"/>
          <w:szCs w:val="20"/>
          <w:lang w:val="en-US"/>
        </w:rPr>
        <w:t>Fig</w:t>
      </w:r>
      <w:r w:rsidR="00A9570E" w:rsidRPr="00EB0495">
        <w:rPr>
          <w:rFonts w:ascii="Arial" w:eastAsia="Calibri" w:hAnsi="Arial" w:cs="Arial"/>
          <w:b/>
          <w:bCs/>
          <w:color w:val="000000"/>
          <w:sz w:val="24"/>
          <w:szCs w:val="20"/>
          <w:lang w:val="en-US"/>
        </w:rPr>
        <w:t>ure</w:t>
      </w:r>
      <w:r w:rsidRPr="00EB0495">
        <w:rPr>
          <w:rFonts w:ascii="Arial" w:eastAsia="Calibri" w:hAnsi="Arial" w:cs="Arial"/>
          <w:b/>
          <w:bCs/>
          <w:color w:val="000000"/>
          <w:sz w:val="24"/>
          <w:szCs w:val="20"/>
          <w:lang w:val="en-US"/>
        </w:rPr>
        <w:t xml:space="preserve"> </w:t>
      </w:r>
      <w:r w:rsidR="004E2056" w:rsidRPr="00EB0495">
        <w:rPr>
          <w:rFonts w:ascii="Arial" w:eastAsia="Calibri" w:hAnsi="Arial" w:cs="Arial"/>
          <w:b/>
          <w:bCs/>
          <w:color w:val="000000"/>
          <w:sz w:val="24"/>
          <w:szCs w:val="20"/>
          <w:lang w:val="en-US"/>
        </w:rPr>
        <w:t>1</w:t>
      </w:r>
      <w:r w:rsidRPr="00EB0495">
        <w:rPr>
          <w:rFonts w:ascii="Arial" w:eastAsia="Calibri" w:hAnsi="Arial" w:cs="Arial"/>
          <w:b/>
          <w:bCs/>
          <w:color w:val="000000"/>
          <w:sz w:val="24"/>
          <w:szCs w:val="20"/>
          <w:lang w:val="en-US"/>
        </w:rPr>
        <w:t xml:space="preserve">. </w:t>
      </w:r>
      <w:r w:rsidRPr="00EB0495">
        <w:rPr>
          <w:rFonts w:ascii="Arial" w:eastAsia="Calibri" w:hAnsi="Arial" w:cs="Arial"/>
          <w:bCs/>
          <w:color w:val="000000"/>
          <w:sz w:val="24"/>
          <w:szCs w:val="20"/>
          <w:lang w:val="en-US"/>
        </w:rPr>
        <w:t xml:space="preserve">PFS and POD </w:t>
      </w:r>
      <w:r w:rsidR="00A9570E" w:rsidRPr="00EB0495">
        <w:rPr>
          <w:rFonts w:ascii="Arial" w:eastAsia="Calibri" w:hAnsi="Arial" w:cs="Arial"/>
          <w:bCs/>
          <w:color w:val="000000"/>
          <w:sz w:val="24"/>
          <w:szCs w:val="20"/>
          <w:lang w:val="en-US"/>
        </w:rPr>
        <w:t>e</w:t>
      </w:r>
      <w:r w:rsidRPr="00EB0495">
        <w:rPr>
          <w:rFonts w:ascii="Arial" w:eastAsia="Calibri" w:hAnsi="Arial" w:cs="Arial"/>
          <w:bCs/>
          <w:color w:val="000000"/>
          <w:sz w:val="24"/>
          <w:szCs w:val="20"/>
          <w:lang w:val="en-US"/>
        </w:rPr>
        <w:t xml:space="preserve">vents in the 24 </w:t>
      </w:r>
      <w:r w:rsidR="00A9570E" w:rsidRPr="00EB0495">
        <w:rPr>
          <w:rFonts w:ascii="Arial" w:eastAsia="Calibri" w:hAnsi="Arial" w:cs="Arial"/>
          <w:bCs/>
          <w:color w:val="000000"/>
          <w:sz w:val="24"/>
          <w:szCs w:val="20"/>
          <w:lang w:val="en-US"/>
        </w:rPr>
        <w:t>m</w:t>
      </w:r>
      <w:r w:rsidRPr="00EB0495">
        <w:rPr>
          <w:rFonts w:ascii="Arial" w:eastAsia="Calibri" w:hAnsi="Arial" w:cs="Arial"/>
          <w:bCs/>
          <w:color w:val="000000"/>
          <w:sz w:val="24"/>
          <w:szCs w:val="20"/>
          <w:lang w:val="en-US"/>
        </w:rPr>
        <w:t xml:space="preserve">onths after </w:t>
      </w:r>
      <w:r w:rsidR="00A9570E" w:rsidRPr="00EB0495">
        <w:rPr>
          <w:rFonts w:ascii="Arial" w:eastAsia="Calibri" w:hAnsi="Arial" w:cs="Arial"/>
          <w:bCs/>
          <w:color w:val="000000"/>
          <w:sz w:val="24"/>
          <w:szCs w:val="20"/>
          <w:lang w:val="en-US"/>
        </w:rPr>
        <w:t>r</w:t>
      </w:r>
      <w:r w:rsidRPr="00EB0495">
        <w:rPr>
          <w:rFonts w:ascii="Arial" w:eastAsia="Calibri" w:hAnsi="Arial" w:cs="Arial"/>
          <w:bCs/>
          <w:color w:val="000000"/>
          <w:sz w:val="24"/>
          <w:szCs w:val="20"/>
          <w:lang w:val="en-US"/>
        </w:rPr>
        <w:t xml:space="preserve">andomization by </w:t>
      </w:r>
      <w:r w:rsidR="00A9570E" w:rsidRPr="00EB0495">
        <w:rPr>
          <w:rFonts w:ascii="Arial" w:eastAsia="Calibri" w:hAnsi="Arial" w:cs="Arial"/>
          <w:bCs/>
          <w:color w:val="000000"/>
          <w:sz w:val="24"/>
          <w:szCs w:val="20"/>
          <w:lang w:val="en-US"/>
        </w:rPr>
        <w:t>t</w:t>
      </w:r>
      <w:r w:rsidRPr="00EB0495">
        <w:rPr>
          <w:rFonts w:ascii="Arial" w:eastAsia="Calibri" w:hAnsi="Arial" w:cs="Arial"/>
          <w:bCs/>
          <w:color w:val="000000"/>
          <w:sz w:val="24"/>
          <w:szCs w:val="20"/>
          <w:lang w:val="en-US"/>
        </w:rPr>
        <w:t xml:space="preserve">reatment </w:t>
      </w:r>
      <w:r w:rsidR="00A9570E" w:rsidRPr="00EB0495">
        <w:rPr>
          <w:rFonts w:ascii="Arial" w:eastAsia="Calibri" w:hAnsi="Arial" w:cs="Arial"/>
          <w:bCs/>
          <w:color w:val="000000"/>
          <w:sz w:val="24"/>
          <w:szCs w:val="20"/>
          <w:lang w:val="en-US"/>
        </w:rPr>
        <w:t>a</w:t>
      </w:r>
      <w:r w:rsidRPr="00EB0495">
        <w:rPr>
          <w:rFonts w:ascii="Arial" w:eastAsia="Calibri" w:hAnsi="Arial" w:cs="Arial"/>
          <w:bCs/>
          <w:color w:val="000000"/>
          <w:sz w:val="24"/>
          <w:szCs w:val="20"/>
          <w:lang w:val="en-US"/>
        </w:rPr>
        <w:t>rm. T</w:t>
      </w:r>
      <w:r w:rsidR="00301251" w:rsidRPr="00EB0495">
        <w:rPr>
          <w:rFonts w:ascii="Arial" w:eastAsia="Calibri" w:hAnsi="Arial" w:cs="Arial"/>
          <w:bCs/>
          <w:color w:val="000000"/>
          <w:sz w:val="24"/>
          <w:szCs w:val="20"/>
          <w:lang w:val="en-US"/>
        </w:rPr>
        <w:t>he t</w:t>
      </w:r>
      <w:r w:rsidRPr="00EB0495">
        <w:rPr>
          <w:rFonts w:ascii="Arial" w:eastAsia="Calibri" w:hAnsi="Arial" w:cs="Arial"/>
          <w:bCs/>
          <w:color w:val="000000"/>
          <w:sz w:val="24"/>
          <w:szCs w:val="20"/>
          <w:lang w:val="en-US"/>
        </w:rPr>
        <w:t>able below the graph shows the number of PFS and POD events occurring in the 24 months post-randomization, along with the risk of these events.</w:t>
      </w:r>
      <w:r w:rsidR="001517AA" w:rsidRPr="00EB0495">
        <w:rPr>
          <w:rFonts w:ascii="Arial" w:eastAsia="Calibri" w:hAnsi="Arial" w:cs="Arial"/>
          <w:bCs/>
          <w:color w:val="000000"/>
          <w:sz w:val="24"/>
          <w:szCs w:val="20"/>
          <w:lang w:val="en-US"/>
        </w:rPr>
        <w:br/>
      </w:r>
      <w:r w:rsidRPr="00EB0495">
        <w:rPr>
          <w:rFonts w:ascii="Arial" w:hAnsi="Arial" w:cs="Arial"/>
          <w:szCs w:val="20"/>
        </w:rPr>
        <w:t xml:space="preserve">Abbreviations: </w:t>
      </w:r>
      <w:r w:rsidRPr="00EB0495">
        <w:rPr>
          <w:rFonts w:ascii="Arial" w:hAnsi="Arial" w:cs="Arial"/>
          <w:szCs w:val="20"/>
          <w:lang w:val="en-US"/>
        </w:rPr>
        <w:t>CI</w:t>
      </w:r>
      <w:r w:rsidR="008037DB" w:rsidRPr="00EB0495">
        <w:rPr>
          <w:rFonts w:ascii="Arial" w:hAnsi="Arial" w:cs="Arial"/>
          <w:szCs w:val="20"/>
          <w:lang w:val="en-US"/>
        </w:rPr>
        <w:t>:</w:t>
      </w:r>
      <w:r w:rsidRPr="00EB0495">
        <w:rPr>
          <w:rFonts w:ascii="Arial" w:hAnsi="Arial" w:cs="Arial"/>
          <w:szCs w:val="20"/>
          <w:lang w:val="en-US"/>
        </w:rPr>
        <w:t xml:space="preserve"> confidence interval; G-chemo</w:t>
      </w:r>
      <w:r w:rsidR="008037DB" w:rsidRPr="00EB0495">
        <w:rPr>
          <w:rFonts w:ascii="Arial" w:hAnsi="Arial" w:cs="Arial"/>
          <w:szCs w:val="20"/>
          <w:lang w:val="en-US"/>
        </w:rPr>
        <w:t>:</w:t>
      </w:r>
      <w:r w:rsidRPr="00EB0495">
        <w:rPr>
          <w:rFonts w:ascii="Arial" w:hAnsi="Arial" w:cs="Arial"/>
          <w:szCs w:val="20"/>
          <w:lang w:val="en-US"/>
        </w:rPr>
        <w:t xml:space="preserve"> obinutuzumab</w:t>
      </w:r>
      <w:r w:rsidRPr="00EB0495">
        <w:rPr>
          <w:rFonts w:ascii="Arial" w:hAnsi="Arial" w:cs="Arial"/>
          <w:bCs/>
          <w:kern w:val="24"/>
          <w:szCs w:val="20"/>
          <w:lang w:val="en-US"/>
        </w:rPr>
        <w:t xml:space="preserve"> plus chemotherapy; HR</w:t>
      </w:r>
      <w:r w:rsidR="008037DB" w:rsidRPr="00EB0495">
        <w:rPr>
          <w:rFonts w:ascii="Arial" w:hAnsi="Arial" w:cs="Arial"/>
          <w:bCs/>
          <w:kern w:val="24"/>
          <w:szCs w:val="20"/>
          <w:lang w:val="en-US"/>
        </w:rPr>
        <w:t>:</w:t>
      </w:r>
      <w:r w:rsidRPr="00EB0495">
        <w:rPr>
          <w:rFonts w:ascii="Arial" w:hAnsi="Arial" w:cs="Arial"/>
          <w:bCs/>
          <w:kern w:val="24"/>
          <w:szCs w:val="20"/>
          <w:lang w:val="en-US"/>
        </w:rPr>
        <w:t xml:space="preserve"> hazard ratio; PD</w:t>
      </w:r>
      <w:r w:rsidR="008037DB" w:rsidRPr="00EB0495">
        <w:rPr>
          <w:rFonts w:ascii="Arial" w:hAnsi="Arial" w:cs="Arial"/>
          <w:bCs/>
          <w:kern w:val="24"/>
          <w:szCs w:val="20"/>
          <w:lang w:val="en-US"/>
        </w:rPr>
        <w:t>:</w:t>
      </w:r>
      <w:r w:rsidRPr="00EB0495">
        <w:rPr>
          <w:rFonts w:ascii="Arial" w:hAnsi="Arial" w:cs="Arial"/>
          <w:bCs/>
          <w:kern w:val="24"/>
          <w:szCs w:val="20"/>
          <w:lang w:val="en-US"/>
        </w:rPr>
        <w:t xml:space="preserve"> progressive disease; PFS</w:t>
      </w:r>
      <w:r w:rsidR="008037DB" w:rsidRPr="00EB0495">
        <w:rPr>
          <w:rFonts w:ascii="Arial" w:hAnsi="Arial" w:cs="Arial"/>
          <w:bCs/>
          <w:kern w:val="24"/>
          <w:szCs w:val="20"/>
          <w:lang w:val="en-US"/>
        </w:rPr>
        <w:t>:</w:t>
      </w:r>
      <w:r w:rsidRPr="00EB0495">
        <w:rPr>
          <w:rFonts w:ascii="Arial" w:hAnsi="Arial" w:cs="Arial"/>
          <w:bCs/>
          <w:kern w:val="24"/>
          <w:szCs w:val="20"/>
          <w:lang w:val="en-US"/>
        </w:rPr>
        <w:t xml:space="preserve"> progression-free survival; POD</w:t>
      </w:r>
      <w:r w:rsidR="008037DB" w:rsidRPr="00EB0495">
        <w:rPr>
          <w:rFonts w:ascii="Arial" w:hAnsi="Arial" w:cs="Arial"/>
          <w:bCs/>
          <w:kern w:val="24"/>
          <w:szCs w:val="20"/>
          <w:lang w:val="en-US"/>
        </w:rPr>
        <w:t>:</w:t>
      </w:r>
      <w:r w:rsidRPr="00EB0495">
        <w:rPr>
          <w:rFonts w:ascii="Arial" w:hAnsi="Arial" w:cs="Arial"/>
          <w:bCs/>
          <w:kern w:val="24"/>
          <w:szCs w:val="20"/>
          <w:lang w:val="en-US"/>
        </w:rPr>
        <w:t xml:space="preserve"> progressive disease or death due to progressive disease; R-chemo</w:t>
      </w:r>
      <w:r w:rsidR="008037DB" w:rsidRPr="00EB0495">
        <w:rPr>
          <w:rFonts w:ascii="Arial" w:hAnsi="Arial" w:cs="Arial"/>
          <w:bCs/>
          <w:kern w:val="24"/>
          <w:szCs w:val="20"/>
          <w:lang w:val="en-US"/>
        </w:rPr>
        <w:t>:</w:t>
      </w:r>
      <w:r w:rsidRPr="00EB0495">
        <w:rPr>
          <w:rFonts w:ascii="Arial" w:hAnsi="Arial" w:cs="Arial"/>
          <w:bCs/>
          <w:kern w:val="24"/>
          <w:szCs w:val="20"/>
          <w:lang w:val="en-US"/>
        </w:rPr>
        <w:t xml:space="preserve"> rituximab plus chemotherapy.</w:t>
      </w:r>
      <w:r w:rsidR="001517AA" w:rsidRPr="00EB0495">
        <w:rPr>
          <w:rFonts w:ascii="Arial" w:eastAsia="Calibri" w:hAnsi="Arial" w:cs="Arial"/>
          <w:bCs/>
          <w:color w:val="000000"/>
          <w:sz w:val="24"/>
          <w:szCs w:val="20"/>
          <w:lang w:val="en-US"/>
        </w:rPr>
        <w:br/>
      </w:r>
      <w:r w:rsidR="00A9570E" w:rsidRPr="00EB0495">
        <w:rPr>
          <w:rFonts w:ascii="Arial" w:eastAsia="Calibri" w:hAnsi="Arial" w:cs="Arial"/>
          <w:bCs/>
          <w:color w:val="000000"/>
          <w:szCs w:val="20"/>
          <w:vertAlign w:val="superscript"/>
          <w:lang w:val="en-US"/>
        </w:rPr>
        <w:t>a</w:t>
      </w:r>
      <w:r w:rsidRPr="00EB0495">
        <w:rPr>
          <w:rFonts w:ascii="Arial" w:eastAsia="Calibri" w:hAnsi="Arial" w:cs="Arial"/>
          <w:bCs/>
          <w:color w:val="000000"/>
          <w:szCs w:val="20"/>
          <w:lang w:val="en-US"/>
        </w:rPr>
        <w:t xml:space="preserve">All 155 patients had </w:t>
      </w:r>
      <w:r w:rsidRPr="00EB0495">
        <w:rPr>
          <w:rFonts w:ascii="Arial" w:hAnsi="Arial" w:cs="Arial"/>
          <w:bCs/>
          <w:kern w:val="24"/>
          <w:szCs w:val="20"/>
          <w:lang w:val="en-US"/>
        </w:rPr>
        <w:t>PD.</w:t>
      </w:r>
      <w:r w:rsidR="001517AA" w:rsidRPr="00EB0495">
        <w:rPr>
          <w:rFonts w:ascii="Arial" w:eastAsia="Calibri" w:hAnsi="Arial" w:cs="Arial"/>
          <w:bCs/>
          <w:color w:val="000000"/>
          <w:szCs w:val="20"/>
          <w:lang w:val="en-US"/>
        </w:rPr>
        <w:br/>
      </w:r>
      <w:r w:rsidR="00A9570E" w:rsidRPr="00EB0495">
        <w:rPr>
          <w:rFonts w:ascii="Arial" w:eastAsia="Calibri" w:hAnsi="Arial" w:cs="Arial"/>
          <w:bCs/>
          <w:color w:val="000000"/>
          <w:szCs w:val="20"/>
          <w:vertAlign w:val="superscript"/>
          <w:lang w:val="en-US"/>
        </w:rPr>
        <w:t>b</w:t>
      </w:r>
      <w:r w:rsidRPr="00EB0495">
        <w:rPr>
          <w:rFonts w:ascii="Arial" w:eastAsia="Calibri" w:hAnsi="Arial" w:cs="Arial"/>
          <w:bCs/>
          <w:color w:val="000000"/>
          <w:szCs w:val="20"/>
          <w:lang w:val="en-US"/>
        </w:rPr>
        <w:t>At 24 months after randomization, deaths from any cause had occurred in 26 (G-chemo) and 38 (R-chemo)</w:t>
      </w:r>
      <w:r w:rsidR="00E37D28" w:rsidRPr="00EB0495">
        <w:rPr>
          <w:rFonts w:ascii="Arial" w:eastAsia="Calibri" w:hAnsi="Arial" w:cs="Arial"/>
          <w:bCs/>
          <w:color w:val="000000"/>
          <w:szCs w:val="20"/>
          <w:lang w:val="en-US"/>
        </w:rPr>
        <w:t xml:space="preserve"> patients</w:t>
      </w:r>
      <w:r w:rsidRPr="00EB0495">
        <w:rPr>
          <w:rFonts w:ascii="Arial" w:eastAsia="Calibri" w:hAnsi="Arial" w:cs="Arial"/>
          <w:bCs/>
          <w:color w:val="000000"/>
          <w:szCs w:val="20"/>
          <w:lang w:val="en-US"/>
        </w:rPr>
        <w:t>.</w:t>
      </w:r>
    </w:p>
    <w:p w14:paraId="53EAEC16" w14:textId="77777777" w:rsidR="009F4272" w:rsidRPr="00EB0495" w:rsidRDefault="009F4272" w:rsidP="00172347">
      <w:pPr>
        <w:spacing w:after="240"/>
        <w:rPr>
          <w:rFonts w:ascii="Arial" w:eastAsia="Calibri" w:hAnsi="Arial" w:cs="Arial"/>
          <w:bCs/>
          <w:color w:val="000000"/>
          <w:sz w:val="24"/>
          <w:szCs w:val="20"/>
          <w:lang w:val="en-US"/>
        </w:rPr>
      </w:pPr>
    </w:p>
    <w:p w14:paraId="3E885147" w14:textId="1A94F9DC" w:rsidR="009F4272" w:rsidRPr="00EB0495" w:rsidRDefault="009F4272" w:rsidP="009F4272">
      <w:pPr>
        <w:rPr>
          <w:rFonts w:ascii="Arial" w:eastAsia="Calibri" w:hAnsi="Arial" w:cs="Arial"/>
          <w:noProof/>
          <w:sz w:val="24"/>
          <w:szCs w:val="20"/>
          <w:lang w:eastAsia="en-GB"/>
        </w:rPr>
      </w:pPr>
      <w:r w:rsidRPr="00EB0495">
        <w:rPr>
          <w:rFonts w:ascii="Arial" w:eastAsia="Calibri" w:hAnsi="Arial" w:cs="Arial"/>
          <w:b/>
          <w:sz w:val="24"/>
          <w:szCs w:val="20"/>
          <w:lang w:val="en-US"/>
        </w:rPr>
        <w:t>Fig</w:t>
      </w:r>
      <w:r w:rsidR="00A9570E" w:rsidRPr="00EB0495">
        <w:rPr>
          <w:rFonts w:ascii="Arial" w:eastAsia="Calibri" w:hAnsi="Arial" w:cs="Arial"/>
          <w:b/>
          <w:sz w:val="24"/>
          <w:szCs w:val="20"/>
          <w:lang w:val="en-US"/>
        </w:rPr>
        <w:t>ure</w:t>
      </w:r>
      <w:r w:rsidRPr="00EB0495">
        <w:rPr>
          <w:rFonts w:ascii="Arial" w:eastAsia="Calibri" w:hAnsi="Arial" w:cs="Arial"/>
          <w:b/>
          <w:sz w:val="24"/>
          <w:szCs w:val="20"/>
          <w:lang w:val="en-US"/>
        </w:rPr>
        <w:t xml:space="preserve"> 2.</w:t>
      </w:r>
      <w:r w:rsidRPr="00EB0495">
        <w:rPr>
          <w:rFonts w:ascii="Arial" w:eastAsia="Calibri" w:hAnsi="Arial" w:cs="Arial"/>
          <w:sz w:val="24"/>
          <w:szCs w:val="20"/>
          <w:lang w:val="en-US"/>
        </w:rPr>
        <w:t xml:space="preserve"> OS in POD24 </w:t>
      </w:r>
      <w:r w:rsidR="00A9570E" w:rsidRPr="00EB0495">
        <w:rPr>
          <w:rFonts w:ascii="Arial" w:eastAsia="Calibri" w:hAnsi="Arial" w:cs="Arial"/>
          <w:sz w:val="24"/>
          <w:szCs w:val="20"/>
          <w:lang w:val="en-US"/>
        </w:rPr>
        <w:t>p</w:t>
      </w:r>
      <w:r w:rsidRPr="00EB0495">
        <w:rPr>
          <w:rFonts w:ascii="Arial" w:eastAsia="Calibri" w:hAnsi="Arial" w:cs="Arial"/>
          <w:sz w:val="24"/>
          <w:szCs w:val="20"/>
          <w:lang w:val="en-US"/>
        </w:rPr>
        <w:t xml:space="preserve">atients </w:t>
      </w:r>
      <w:r w:rsidR="00A9570E" w:rsidRPr="00EB0495">
        <w:rPr>
          <w:rFonts w:ascii="Arial" w:eastAsia="Calibri" w:hAnsi="Arial" w:cs="Arial"/>
          <w:sz w:val="24"/>
          <w:szCs w:val="20"/>
          <w:lang w:val="en-US"/>
        </w:rPr>
        <w:t>p</w:t>
      </w:r>
      <w:r w:rsidRPr="00EB0495">
        <w:rPr>
          <w:rFonts w:ascii="Arial" w:eastAsia="Calibri" w:hAnsi="Arial" w:cs="Arial"/>
          <w:sz w:val="24"/>
          <w:szCs w:val="20"/>
          <w:lang w:val="en-US"/>
        </w:rPr>
        <w:t xml:space="preserve">ost-progression by </w:t>
      </w:r>
      <w:r w:rsidR="00A9570E" w:rsidRPr="00EB0495">
        <w:rPr>
          <w:rFonts w:ascii="Arial" w:eastAsia="Calibri" w:hAnsi="Arial" w:cs="Arial"/>
          <w:sz w:val="24"/>
          <w:szCs w:val="20"/>
          <w:lang w:val="en-US"/>
        </w:rPr>
        <w:t>t</w:t>
      </w:r>
      <w:r w:rsidRPr="00EB0495">
        <w:rPr>
          <w:rFonts w:ascii="Arial" w:eastAsia="Calibri" w:hAnsi="Arial" w:cs="Arial"/>
          <w:sz w:val="24"/>
          <w:szCs w:val="20"/>
          <w:lang w:val="en-US"/>
        </w:rPr>
        <w:t xml:space="preserve">reatment </w:t>
      </w:r>
      <w:r w:rsidR="00A9570E" w:rsidRPr="00EB0495">
        <w:rPr>
          <w:rFonts w:ascii="Arial" w:eastAsia="Calibri" w:hAnsi="Arial" w:cs="Arial"/>
          <w:sz w:val="24"/>
          <w:szCs w:val="20"/>
          <w:lang w:val="en-US"/>
        </w:rPr>
        <w:t>a</w:t>
      </w:r>
      <w:r w:rsidRPr="00EB0495">
        <w:rPr>
          <w:rFonts w:ascii="Arial" w:eastAsia="Calibri" w:hAnsi="Arial" w:cs="Arial"/>
          <w:sz w:val="24"/>
          <w:szCs w:val="20"/>
          <w:lang w:val="en-US"/>
        </w:rPr>
        <w:t xml:space="preserve">rm. Shaded sections of lines show 95% Hall–Wellner confidence bands for the period during which patients died. </w:t>
      </w:r>
    </w:p>
    <w:p w14:paraId="331D5771" w14:textId="4B16A753" w:rsidR="009F4272" w:rsidRPr="00EB0495" w:rsidRDefault="009F4272" w:rsidP="00FE641D">
      <w:pPr>
        <w:rPr>
          <w:rFonts w:ascii="Arial" w:eastAsia="Calibri" w:hAnsi="Arial" w:cs="Arial"/>
          <w:szCs w:val="20"/>
          <w:lang w:val="en-US"/>
        </w:rPr>
      </w:pPr>
      <w:r w:rsidRPr="00EB0495">
        <w:rPr>
          <w:rFonts w:ascii="Arial" w:eastAsia="Calibri" w:hAnsi="Arial" w:cs="Arial"/>
          <w:szCs w:val="20"/>
          <w:lang w:val="en-US"/>
        </w:rPr>
        <w:t>Abbreviations: G-chemo</w:t>
      </w:r>
      <w:r w:rsidR="008037DB" w:rsidRPr="00EB0495">
        <w:rPr>
          <w:rFonts w:ascii="Arial" w:eastAsia="Calibri" w:hAnsi="Arial" w:cs="Arial"/>
          <w:szCs w:val="20"/>
          <w:lang w:val="en-US"/>
        </w:rPr>
        <w:t>:</w:t>
      </w:r>
      <w:r w:rsidRPr="00EB0495">
        <w:rPr>
          <w:rFonts w:ascii="Arial" w:eastAsia="Calibri" w:hAnsi="Arial" w:cs="Arial"/>
          <w:szCs w:val="20"/>
          <w:lang w:val="en-US"/>
        </w:rPr>
        <w:t xml:space="preserve"> obinutuzumab plus chemotherapy; R-chemo</w:t>
      </w:r>
      <w:r w:rsidR="008037DB" w:rsidRPr="00EB0495">
        <w:rPr>
          <w:rFonts w:ascii="Arial" w:eastAsia="Calibri" w:hAnsi="Arial" w:cs="Arial"/>
          <w:szCs w:val="20"/>
          <w:lang w:val="en-US"/>
        </w:rPr>
        <w:t>:</w:t>
      </w:r>
      <w:r w:rsidRPr="00EB0495">
        <w:rPr>
          <w:rFonts w:ascii="Arial" w:eastAsia="Calibri" w:hAnsi="Arial" w:cs="Arial"/>
          <w:szCs w:val="20"/>
          <w:lang w:val="en-US"/>
        </w:rPr>
        <w:t xml:space="preserve"> rituximab plus chemotherapy.</w:t>
      </w:r>
    </w:p>
    <w:p w14:paraId="723BE4EA" w14:textId="77777777" w:rsidR="00172347" w:rsidRPr="00EB0495" w:rsidRDefault="00172347" w:rsidP="00172347">
      <w:pPr>
        <w:spacing w:after="240"/>
        <w:rPr>
          <w:rFonts w:ascii="Arial" w:eastAsia="Calibri" w:hAnsi="Arial" w:cs="Arial"/>
          <w:bCs/>
          <w:color w:val="000000"/>
          <w:sz w:val="24"/>
          <w:szCs w:val="20"/>
          <w:lang w:val="en-US"/>
        </w:rPr>
      </w:pPr>
    </w:p>
    <w:p w14:paraId="7B8EAF97" w14:textId="257428D1" w:rsidR="00031730" w:rsidRPr="00EB0495" w:rsidRDefault="00031730" w:rsidP="00172347">
      <w:pPr>
        <w:spacing w:after="240"/>
        <w:rPr>
          <w:rFonts w:ascii="Arial" w:eastAsia="Calibri" w:hAnsi="Arial" w:cs="Arial"/>
          <w:sz w:val="24"/>
          <w:szCs w:val="20"/>
          <w:lang w:val="en-US"/>
        </w:rPr>
      </w:pPr>
      <w:r w:rsidRPr="00EB0495">
        <w:rPr>
          <w:rFonts w:ascii="Arial" w:eastAsia="Calibri" w:hAnsi="Arial" w:cs="Arial"/>
          <w:b/>
          <w:sz w:val="24"/>
          <w:szCs w:val="20"/>
          <w:lang w:val="en-US"/>
        </w:rPr>
        <w:t>Fig</w:t>
      </w:r>
      <w:r w:rsidR="00A9570E" w:rsidRPr="00EB0495">
        <w:rPr>
          <w:rFonts w:ascii="Arial" w:eastAsia="Calibri" w:hAnsi="Arial" w:cs="Arial"/>
          <w:b/>
          <w:sz w:val="24"/>
          <w:szCs w:val="20"/>
          <w:lang w:val="en-US"/>
        </w:rPr>
        <w:t>ure</w:t>
      </w:r>
      <w:r w:rsidRPr="00EB0495">
        <w:rPr>
          <w:rFonts w:ascii="Arial" w:eastAsia="Calibri" w:hAnsi="Arial" w:cs="Arial"/>
          <w:b/>
          <w:sz w:val="24"/>
          <w:szCs w:val="20"/>
          <w:lang w:val="en-US"/>
        </w:rPr>
        <w:t xml:space="preserve"> 3.</w:t>
      </w:r>
      <w:r w:rsidRPr="00EB0495">
        <w:rPr>
          <w:rFonts w:ascii="Arial" w:eastAsia="Calibri" w:hAnsi="Arial" w:cs="Arial"/>
          <w:sz w:val="24"/>
          <w:szCs w:val="20"/>
          <w:lang w:val="en-US"/>
        </w:rPr>
        <w:t xml:space="preserve"> OS </w:t>
      </w:r>
      <w:r w:rsidR="00A9570E" w:rsidRPr="00EB0495">
        <w:rPr>
          <w:rFonts w:ascii="Arial" w:eastAsia="Calibri" w:hAnsi="Arial" w:cs="Arial"/>
          <w:sz w:val="24"/>
          <w:szCs w:val="20"/>
          <w:lang w:val="en-US"/>
        </w:rPr>
        <w:t>a</w:t>
      </w:r>
      <w:r w:rsidRPr="00EB0495">
        <w:rPr>
          <w:rFonts w:ascii="Arial" w:eastAsia="Calibri" w:hAnsi="Arial" w:cs="Arial"/>
          <w:sz w:val="24"/>
          <w:szCs w:val="20"/>
          <w:lang w:val="en-US"/>
        </w:rPr>
        <w:t>fter the 6-</w:t>
      </w:r>
      <w:r w:rsidR="006E1FE3" w:rsidRPr="00EB0495">
        <w:rPr>
          <w:rFonts w:ascii="Arial" w:eastAsia="Calibri" w:hAnsi="Arial" w:cs="Arial"/>
          <w:sz w:val="24"/>
          <w:szCs w:val="20"/>
          <w:lang w:val="en-US"/>
        </w:rPr>
        <w:t xml:space="preserve"> (A)</w:t>
      </w:r>
      <w:r w:rsidRPr="00EB0495">
        <w:rPr>
          <w:rFonts w:ascii="Arial" w:eastAsia="Calibri" w:hAnsi="Arial" w:cs="Arial"/>
          <w:sz w:val="24"/>
          <w:szCs w:val="20"/>
          <w:lang w:val="en-US"/>
        </w:rPr>
        <w:t>, 12-</w:t>
      </w:r>
      <w:r w:rsidR="006E1FE3" w:rsidRPr="00EB0495">
        <w:rPr>
          <w:rFonts w:ascii="Arial" w:eastAsia="Calibri" w:hAnsi="Arial" w:cs="Arial"/>
          <w:sz w:val="24"/>
          <w:szCs w:val="20"/>
          <w:lang w:val="en-US"/>
        </w:rPr>
        <w:t xml:space="preserve"> (B)</w:t>
      </w:r>
      <w:r w:rsidRPr="00EB0495">
        <w:rPr>
          <w:rFonts w:ascii="Arial" w:eastAsia="Calibri" w:hAnsi="Arial" w:cs="Arial"/>
          <w:sz w:val="24"/>
          <w:szCs w:val="20"/>
          <w:lang w:val="en-US"/>
        </w:rPr>
        <w:t>, 18-</w:t>
      </w:r>
      <w:r w:rsidR="006E1FE3" w:rsidRPr="00EB0495">
        <w:rPr>
          <w:rFonts w:ascii="Arial" w:eastAsia="Calibri" w:hAnsi="Arial" w:cs="Arial"/>
          <w:sz w:val="24"/>
          <w:szCs w:val="20"/>
          <w:lang w:val="en-US"/>
        </w:rPr>
        <w:t xml:space="preserve"> (C)</w:t>
      </w:r>
      <w:r w:rsidRPr="00EB0495">
        <w:rPr>
          <w:rFonts w:ascii="Arial" w:eastAsia="Calibri" w:hAnsi="Arial" w:cs="Arial"/>
          <w:sz w:val="24"/>
          <w:szCs w:val="20"/>
          <w:lang w:val="en-US"/>
        </w:rPr>
        <w:t xml:space="preserve"> and 24-month </w:t>
      </w:r>
      <w:r w:rsidR="006E1FE3" w:rsidRPr="00EB0495">
        <w:rPr>
          <w:rFonts w:ascii="Arial" w:eastAsia="Calibri" w:hAnsi="Arial" w:cs="Arial"/>
          <w:sz w:val="24"/>
          <w:szCs w:val="20"/>
          <w:lang w:val="en-US"/>
        </w:rPr>
        <w:t xml:space="preserve">(D) </w:t>
      </w:r>
      <w:r w:rsidR="00A9570E" w:rsidRPr="00EB0495">
        <w:rPr>
          <w:rFonts w:ascii="Arial" w:eastAsia="Calibri" w:hAnsi="Arial" w:cs="Arial"/>
          <w:sz w:val="24"/>
          <w:szCs w:val="20"/>
          <w:lang w:val="en-US"/>
        </w:rPr>
        <w:t>l</w:t>
      </w:r>
      <w:r w:rsidRPr="00EB0495">
        <w:rPr>
          <w:rFonts w:ascii="Arial" w:eastAsia="Calibri" w:hAnsi="Arial" w:cs="Arial"/>
          <w:sz w:val="24"/>
          <w:szCs w:val="20"/>
          <w:lang w:val="en-US"/>
        </w:rPr>
        <w:t xml:space="preserve">andmarks, </w:t>
      </w:r>
      <w:r w:rsidR="00A9570E" w:rsidRPr="00EB0495">
        <w:rPr>
          <w:rFonts w:ascii="Arial" w:eastAsia="Calibri" w:hAnsi="Arial" w:cs="Arial"/>
          <w:sz w:val="24"/>
          <w:szCs w:val="20"/>
          <w:lang w:val="en-US"/>
        </w:rPr>
        <w:t>c</w:t>
      </w:r>
      <w:r w:rsidRPr="00EB0495">
        <w:rPr>
          <w:rFonts w:ascii="Arial" w:eastAsia="Calibri" w:hAnsi="Arial" w:cs="Arial"/>
          <w:sz w:val="24"/>
          <w:szCs w:val="20"/>
          <w:lang w:val="en-US"/>
        </w:rPr>
        <w:t xml:space="preserve">omparing </w:t>
      </w:r>
      <w:r w:rsidR="00A9570E" w:rsidRPr="00EB0495">
        <w:rPr>
          <w:rFonts w:ascii="Arial" w:eastAsia="Calibri" w:hAnsi="Arial" w:cs="Arial"/>
          <w:sz w:val="24"/>
          <w:szCs w:val="20"/>
          <w:lang w:val="en-US"/>
        </w:rPr>
        <w:t>p</w:t>
      </w:r>
      <w:r w:rsidRPr="00EB0495">
        <w:rPr>
          <w:rFonts w:ascii="Arial" w:eastAsia="Calibri" w:hAnsi="Arial" w:cs="Arial"/>
          <w:sz w:val="24"/>
          <w:szCs w:val="20"/>
          <w:lang w:val="en-US"/>
        </w:rPr>
        <w:t xml:space="preserve">atients </w:t>
      </w:r>
      <w:r w:rsidR="00172347" w:rsidRPr="00EB0495">
        <w:rPr>
          <w:rFonts w:ascii="Arial" w:eastAsia="Calibri" w:hAnsi="Arial" w:cs="Arial"/>
          <w:sz w:val="24"/>
          <w:szCs w:val="20"/>
          <w:lang w:val="en-US"/>
        </w:rPr>
        <w:t>w</w:t>
      </w:r>
      <w:r w:rsidRPr="00EB0495">
        <w:rPr>
          <w:rFonts w:ascii="Arial" w:eastAsia="Calibri" w:hAnsi="Arial" w:cs="Arial"/>
          <w:sz w:val="24"/>
          <w:szCs w:val="20"/>
          <w:lang w:val="en-US"/>
        </w:rPr>
        <w:t xml:space="preserve">ith POD </w:t>
      </w:r>
      <w:r w:rsidR="00A9570E" w:rsidRPr="00EB0495">
        <w:rPr>
          <w:rFonts w:ascii="Arial" w:eastAsia="Calibri" w:hAnsi="Arial" w:cs="Arial"/>
          <w:sz w:val="24"/>
          <w:szCs w:val="20"/>
          <w:lang w:val="en-US"/>
        </w:rPr>
        <w:t>b</w:t>
      </w:r>
      <w:r w:rsidRPr="00EB0495">
        <w:rPr>
          <w:rFonts w:ascii="Arial" w:eastAsia="Calibri" w:hAnsi="Arial" w:cs="Arial"/>
          <w:sz w:val="24"/>
          <w:szCs w:val="20"/>
          <w:lang w:val="en-US"/>
        </w:rPr>
        <w:t xml:space="preserve">efore the </w:t>
      </w:r>
      <w:r w:rsidR="00A9570E" w:rsidRPr="00EB0495">
        <w:rPr>
          <w:rFonts w:ascii="Arial" w:eastAsia="Calibri" w:hAnsi="Arial" w:cs="Arial"/>
          <w:sz w:val="24"/>
          <w:szCs w:val="20"/>
          <w:lang w:val="en-US"/>
        </w:rPr>
        <w:t>l</w:t>
      </w:r>
      <w:r w:rsidRPr="00EB0495">
        <w:rPr>
          <w:rFonts w:ascii="Arial" w:eastAsia="Calibri" w:hAnsi="Arial" w:cs="Arial"/>
          <w:sz w:val="24"/>
          <w:szCs w:val="20"/>
          <w:lang w:val="en-US"/>
        </w:rPr>
        <w:t xml:space="preserve">andmark and </w:t>
      </w:r>
      <w:r w:rsidR="00A9570E" w:rsidRPr="00EB0495">
        <w:rPr>
          <w:rFonts w:ascii="Arial" w:eastAsia="Calibri" w:hAnsi="Arial" w:cs="Arial"/>
          <w:sz w:val="24"/>
          <w:szCs w:val="20"/>
          <w:lang w:val="en-US"/>
        </w:rPr>
        <w:t>p</w:t>
      </w:r>
      <w:r w:rsidRPr="00EB0495">
        <w:rPr>
          <w:rFonts w:ascii="Arial" w:eastAsia="Calibri" w:hAnsi="Arial" w:cs="Arial"/>
          <w:sz w:val="24"/>
          <w:szCs w:val="20"/>
          <w:lang w:val="en-US"/>
        </w:rPr>
        <w:t xml:space="preserve">atients </w:t>
      </w:r>
      <w:r w:rsidR="00A9570E" w:rsidRPr="00EB0495">
        <w:rPr>
          <w:rFonts w:ascii="Arial" w:eastAsia="Calibri" w:hAnsi="Arial" w:cs="Arial"/>
          <w:sz w:val="24"/>
          <w:szCs w:val="20"/>
          <w:lang w:val="en-US"/>
        </w:rPr>
        <w:t>w</w:t>
      </w:r>
      <w:r w:rsidRPr="00EB0495">
        <w:rPr>
          <w:rFonts w:ascii="Arial" w:eastAsia="Calibri" w:hAnsi="Arial" w:cs="Arial"/>
          <w:sz w:val="24"/>
          <w:szCs w:val="20"/>
          <w:lang w:val="en-US"/>
        </w:rPr>
        <w:t xml:space="preserve">ith noPOD. </w:t>
      </w:r>
      <w:r w:rsidR="00301251" w:rsidRPr="00EB0495">
        <w:rPr>
          <w:rFonts w:ascii="Arial" w:eastAsia="Calibri" w:hAnsi="Arial" w:cs="Arial"/>
          <w:sz w:val="24"/>
          <w:szCs w:val="20"/>
          <w:lang w:val="en-US"/>
        </w:rPr>
        <w:t>The s</w:t>
      </w:r>
      <w:r w:rsidRPr="00EB0495">
        <w:rPr>
          <w:rFonts w:ascii="Arial" w:eastAsia="Calibri" w:hAnsi="Arial" w:cs="Arial"/>
          <w:sz w:val="24"/>
          <w:szCs w:val="20"/>
          <w:lang w:val="en-US"/>
        </w:rPr>
        <w:t>haded sections of lines show 95% Hall–Wellner confidence bands for the period during which patients died. The table below the graph shows 2-year OS estimates (with 95% CIs) at each landmark.</w:t>
      </w:r>
      <w:r w:rsidR="001517AA" w:rsidRPr="00EB0495">
        <w:rPr>
          <w:rFonts w:ascii="Arial" w:eastAsia="Calibri" w:hAnsi="Arial" w:cs="Arial"/>
          <w:sz w:val="24"/>
          <w:szCs w:val="20"/>
          <w:lang w:val="en-US"/>
        </w:rPr>
        <w:br/>
      </w:r>
      <w:r w:rsidRPr="00EB0495">
        <w:rPr>
          <w:rFonts w:ascii="Arial" w:eastAsia="Calibri" w:hAnsi="Arial" w:cs="Arial"/>
          <w:szCs w:val="20"/>
          <w:lang w:val="en-US"/>
        </w:rPr>
        <w:t>Abbreviations: CI</w:t>
      </w:r>
      <w:r w:rsidR="008037DB" w:rsidRPr="00EB0495">
        <w:rPr>
          <w:rFonts w:ascii="Arial" w:eastAsia="Calibri" w:hAnsi="Arial" w:cs="Arial"/>
          <w:szCs w:val="20"/>
          <w:lang w:val="en-US"/>
        </w:rPr>
        <w:t>:</w:t>
      </w:r>
      <w:r w:rsidRPr="00EB0495">
        <w:rPr>
          <w:rFonts w:ascii="Arial" w:eastAsia="Calibri" w:hAnsi="Arial" w:cs="Arial"/>
          <w:szCs w:val="20"/>
          <w:lang w:val="en-US"/>
        </w:rPr>
        <w:t xml:space="preserve"> confidence interval; </w:t>
      </w:r>
      <w:r w:rsidR="00C05B42" w:rsidRPr="00EB0495">
        <w:rPr>
          <w:rFonts w:ascii="Arial" w:eastAsia="Calibri" w:hAnsi="Arial" w:cs="Arial"/>
          <w:szCs w:val="20"/>
          <w:lang w:val="en-US"/>
        </w:rPr>
        <w:t>HR</w:t>
      </w:r>
      <w:r w:rsidR="008037DB" w:rsidRPr="00EB0495">
        <w:rPr>
          <w:rFonts w:ascii="Arial" w:eastAsia="Calibri" w:hAnsi="Arial" w:cs="Arial"/>
          <w:szCs w:val="20"/>
          <w:lang w:val="en-US"/>
        </w:rPr>
        <w:t>:</w:t>
      </w:r>
      <w:r w:rsidR="00C05B42" w:rsidRPr="00EB0495">
        <w:rPr>
          <w:rFonts w:ascii="Arial" w:eastAsia="Calibri" w:hAnsi="Arial" w:cs="Arial"/>
          <w:szCs w:val="20"/>
          <w:lang w:val="en-US"/>
        </w:rPr>
        <w:t xml:space="preserve"> hazard ratio; </w:t>
      </w:r>
      <w:r w:rsidRPr="00EB0495">
        <w:rPr>
          <w:rFonts w:ascii="Arial" w:eastAsia="Calibri" w:hAnsi="Arial" w:cs="Arial"/>
          <w:szCs w:val="20"/>
          <w:lang w:val="en-US"/>
        </w:rPr>
        <w:t>OS</w:t>
      </w:r>
      <w:r w:rsidR="008037DB" w:rsidRPr="00EB0495">
        <w:rPr>
          <w:rFonts w:ascii="Arial" w:eastAsia="Calibri" w:hAnsi="Arial" w:cs="Arial"/>
          <w:szCs w:val="20"/>
          <w:lang w:val="en-US"/>
        </w:rPr>
        <w:t>:</w:t>
      </w:r>
      <w:r w:rsidRPr="00EB0495">
        <w:rPr>
          <w:rFonts w:ascii="Arial" w:eastAsia="Calibri" w:hAnsi="Arial" w:cs="Arial"/>
          <w:szCs w:val="20"/>
          <w:lang w:val="en-US"/>
        </w:rPr>
        <w:t xml:space="preserve"> overall survival; POD</w:t>
      </w:r>
      <w:r w:rsidR="008037DB" w:rsidRPr="00EB0495">
        <w:rPr>
          <w:rFonts w:ascii="Arial" w:eastAsia="Calibri" w:hAnsi="Arial" w:cs="Arial"/>
          <w:szCs w:val="20"/>
          <w:lang w:val="en-US"/>
        </w:rPr>
        <w:t>:</w:t>
      </w:r>
      <w:r w:rsidRPr="00EB0495">
        <w:rPr>
          <w:rFonts w:ascii="Arial" w:eastAsia="Calibri" w:hAnsi="Arial" w:cs="Arial"/>
          <w:szCs w:val="20"/>
          <w:lang w:val="en-US"/>
        </w:rPr>
        <w:t xml:space="preserve"> progressive disease or death due to progressive disease.</w:t>
      </w:r>
      <w:r w:rsidRPr="00EB0495">
        <w:rPr>
          <w:rFonts w:ascii="Arial" w:eastAsia="Calibri" w:hAnsi="Arial" w:cs="Arial"/>
          <w:b/>
          <w:sz w:val="24"/>
          <w:szCs w:val="20"/>
          <w:lang w:val="en-US"/>
        </w:rPr>
        <w:br w:type="page"/>
      </w:r>
    </w:p>
    <w:p w14:paraId="3672FC6B" w14:textId="2E95F993" w:rsidR="00172347" w:rsidRPr="00EB0495" w:rsidRDefault="00172347" w:rsidP="00172347">
      <w:pPr>
        <w:spacing w:before="120" w:after="120"/>
        <w:rPr>
          <w:rFonts w:ascii="Arial" w:eastAsia="Calibri" w:hAnsi="Arial" w:cs="Arial"/>
          <w:b/>
          <w:bCs/>
          <w:color w:val="000000"/>
          <w:sz w:val="24"/>
          <w:szCs w:val="20"/>
          <w:lang w:val="en-US"/>
        </w:rPr>
      </w:pPr>
      <w:r w:rsidRPr="00EB0495">
        <w:rPr>
          <w:rFonts w:ascii="Arial" w:eastAsia="Calibri" w:hAnsi="Arial" w:cs="Arial"/>
          <w:b/>
          <w:bCs/>
          <w:color w:val="000000"/>
          <w:sz w:val="24"/>
          <w:szCs w:val="20"/>
          <w:lang w:val="en-US"/>
        </w:rPr>
        <w:lastRenderedPageBreak/>
        <w:t>FIGURES</w:t>
      </w:r>
    </w:p>
    <w:p w14:paraId="26ACD394" w14:textId="0466A617" w:rsidR="002A15D7" w:rsidRPr="00EB0495" w:rsidRDefault="00172347" w:rsidP="00172347">
      <w:pPr>
        <w:spacing w:before="120" w:after="120" w:line="240" w:lineRule="auto"/>
        <w:rPr>
          <w:rFonts w:ascii="Arial" w:eastAsia="Calibri" w:hAnsi="Arial" w:cs="Arial"/>
          <w:bCs/>
          <w:color w:val="000000"/>
          <w:sz w:val="24"/>
          <w:szCs w:val="20"/>
          <w:lang w:val="en-US"/>
        </w:rPr>
      </w:pPr>
      <w:r w:rsidRPr="00EB0495">
        <w:rPr>
          <w:rFonts w:ascii="Arial" w:eastAsia="Calibri" w:hAnsi="Arial" w:cs="Arial"/>
          <w:b/>
          <w:bCs/>
          <w:color w:val="000000"/>
          <w:sz w:val="24"/>
          <w:szCs w:val="20"/>
          <w:lang w:val="en-US"/>
        </w:rPr>
        <w:t>Fig</w:t>
      </w:r>
      <w:r w:rsidR="00A9570E" w:rsidRPr="00EB0495">
        <w:rPr>
          <w:rFonts w:ascii="Arial" w:eastAsia="Calibri" w:hAnsi="Arial" w:cs="Arial"/>
          <w:b/>
          <w:bCs/>
          <w:color w:val="000000"/>
          <w:sz w:val="24"/>
          <w:szCs w:val="20"/>
          <w:lang w:val="en-US"/>
        </w:rPr>
        <w:t>ure</w:t>
      </w:r>
      <w:r w:rsidRPr="00EB0495">
        <w:rPr>
          <w:rFonts w:ascii="Arial" w:eastAsia="Calibri" w:hAnsi="Arial" w:cs="Arial"/>
          <w:b/>
          <w:bCs/>
          <w:color w:val="000000"/>
          <w:sz w:val="24"/>
          <w:szCs w:val="20"/>
          <w:lang w:val="en-US"/>
        </w:rPr>
        <w:t xml:space="preserve"> </w:t>
      </w:r>
      <w:r w:rsidR="004E2056" w:rsidRPr="00EB0495">
        <w:rPr>
          <w:rFonts w:ascii="Arial" w:eastAsia="Calibri" w:hAnsi="Arial" w:cs="Arial"/>
          <w:b/>
          <w:bCs/>
          <w:color w:val="000000"/>
          <w:sz w:val="24"/>
          <w:szCs w:val="20"/>
          <w:lang w:val="en-US"/>
        </w:rPr>
        <w:t>1</w:t>
      </w:r>
      <w:r w:rsidRPr="00EB0495">
        <w:rPr>
          <w:rFonts w:ascii="Arial" w:eastAsia="Calibri" w:hAnsi="Arial" w:cs="Arial"/>
          <w:b/>
          <w:bCs/>
          <w:color w:val="000000"/>
          <w:sz w:val="24"/>
          <w:szCs w:val="20"/>
          <w:lang w:val="en-US"/>
        </w:rPr>
        <w:t>.</w:t>
      </w:r>
    </w:p>
    <w:p w14:paraId="7B501DA5" w14:textId="2E17E7C1" w:rsidR="002A15D7" w:rsidRPr="00EB0495" w:rsidRDefault="00E83EC9" w:rsidP="002A15D7">
      <w:pPr>
        <w:tabs>
          <w:tab w:val="left" w:pos="1453"/>
        </w:tabs>
        <w:rPr>
          <w:rFonts w:ascii="Arial" w:eastAsia="Calibri" w:hAnsi="Arial" w:cs="Arial"/>
          <w:sz w:val="24"/>
          <w:szCs w:val="20"/>
          <w:lang w:val="en-US"/>
        </w:rPr>
      </w:pPr>
      <w:r w:rsidRPr="00EB0495">
        <w:rPr>
          <w:noProof/>
          <w:lang w:eastAsia="en-GB"/>
        </w:rPr>
        <w:drawing>
          <wp:inline distT="0" distB="0" distL="0" distR="0" wp14:anchorId="19CF5EA9" wp14:editId="215F5903">
            <wp:extent cx="4695675" cy="603948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31908" t="17294" r="30368" b="5070"/>
                    <a:stretch/>
                  </pic:blipFill>
                  <pic:spPr bwMode="auto">
                    <a:xfrm>
                      <a:off x="0" y="0"/>
                      <a:ext cx="4699277" cy="6044118"/>
                    </a:xfrm>
                    <a:prstGeom prst="rect">
                      <a:avLst/>
                    </a:prstGeom>
                    <a:ln>
                      <a:noFill/>
                    </a:ln>
                    <a:extLst>
                      <a:ext uri="{53640926-AAD7-44D8-BBD7-CCE9431645EC}">
                        <a14:shadowObscured xmlns:a14="http://schemas.microsoft.com/office/drawing/2010/main"/>
                      </a:ext>
                    </a:extLst>
                  </pic:spPr>
                </pic:pic>
              </a:graphicData>
            </a:graphic>
          </wp:inline>
        </w:drawing>
      </w:r>
    </w:p>
    <w:p w14:paraId="4A758419" w14:textId="19598368" w:rsidR="001C004D" w:rsidRPr="00EB0495" w:rsidRDefault="002A15D7" w:rsidP="002A15D7">
      <w:pPr>
        <w:tabs>
          <w:tab w:val="left" w:pos="1453"/>
        </w:tabs>
        <w:rPr>
          <w:rFonts w:ascii="Arial" w:eastAsia="Calibri" w:hAnsi="Arial" w:cs="Arial"/>
          <w:sz w:val="24"/>
          <w:szCs w:val="20"/>
          <w:lang w:val="en-US"/>
        </w:rPr>
        <w:sectPr w:rsidR="001C004D" w:rsidRPr="00EB0495" w:rsidSect="00043F8A">
          <w:footerReference w:type="default" r:id="rId11"/>
          <w:pgSz w:w="11906" w:h="16838" w:code="9"/>
          <w:pgMar w:top="1440" w:right="1440" w:bottom="1440" w:left="1440" w:header="708" w:footer="708" w:gutter="0"/>
          <w:cols w:space="708"/>
          <w:docGrid w:linePitch="360"/>
        </w:sectPr>
      </w:pPr>
      <w:r w:rsidRPr="00EB0495">
        <w:rPr>
          <w:rFonts w:ascii="Arial" w:eastAsia="Calibri" w:hAnsi="Arial" w:cs="Arial"/>
          <w:sz w:val="24"/>
          <w:szCs w:val="20"/>
          <w:lang w:val="en-US"/>
        </w:rPr>
        <w:tab/>
      </w:r>
    </w:p>
    <w:p w14:paraId="669CED01" w14:textId="3E4432E3" w:rsidR="009F4272" w:rsidRPr="00EB0495" w:rsidRDefault="009F4272" w:rsidP="009F4272">
      <w:pPr>
        <w:rPr>
          <w:rFonts w:ascii="Arial" w:eastAsia="Calibri" w:hAnsi="Arial" w:cs="Arial"/>
          <w:noProof/>
          <w:sz w:val="24"/>
          <w:szCs w:val="20"/>
          <w:lang w:eastAsia="en-GB"/>
        </w:rPr>
      </w:pPr>
      <w:r w:rsidRPr="00EB0495">
        <w:rPr>
          <w:rFonts w:ascii="Arial" w:eastAsia="Calibri" w:hAnsi="Arial" w:cs="Arial"/>
          <w:b/>
          <w:sz w:val="24"/>
          <w:szCs w:val="20"/>
          <w:lang w:val="en-US"/>
        </w:rPr>
        <w:lastRenderedPageBreak/>
        <w:t>Fig</w:t>
      </w:r>
      <w:r w:rsidR="000E12E5" w:rsidRPr="00EB0495">
        <w:rPr>
          <w:rFonts w:ascii="Arial" w:eastAsia="Calibri" w:hAnsi="Arial" w:cs="Arial"/>
          <w:b/>
          <w:sz w:val="24"/>
          <w:szCs w:val="20"/>
          <w:lang w:val="en-US"/>
        </w:rPr>
        <w:t>ure</w:t>
      </w:r>
      <w:r w:rsidRPr="00EB0495">
        <w:rPr>
          <w:rFonts w:ascii="Arial" w:eastAsia="Calibri" w:hAnsi="Arial" w:cs="Arial"/>
          <w:b/>
          <w:sz w:val="24"/>
          <w:szCs w:val="20"/>
          <w:lang w:val="en-US"/>
        </w:rPr>
        <w:t xml:space="preserve"> 2.</w:t>
      </w:r>
      <w:r w:rsidRPr="00EB0495">
        <w:rPr>
          <w:rFonts w:ascii="Arial" w:eastAsia="Calibri" w:hAnsi="Arial" w:cs="Arial"/>
          <w:sz w:val="24"/>
          <w:szCs w:val="20"/>
          <w:lang w:val="en-US"/>
        </w:rPr>
        <w:t xml:space="preserve"> </w:t>
      </w:r>
    </w:p>
    <w:p w14:paraId="62445A6B" w14:textId="77777777" w:rsidR="00E83EC9" w:rsidRPr="00EB0495" w:rsidRDefault="00E83EC9" w:rsidP="009F4272">
      <w:pPr>
        <w:rPr>
          <w:noProof/>
          <w:lang w:eastAsia="ja-JP"/>
        </w:rPr>
      </w:pPr>
    </w:p>
    <w:p w14:paraId="2D3D2CAF" w14:textId="3C6E2FC1" w:rsidR="009F4272" w:rsidRPr="00EB0495" w:rsidRDefault="00E83EC9" w:rsidP="009F4272">
      <w:pPr>
        <w:rPr>
          <w:rFonts w:ascii="Arial" w:eastAsia="Calibri" w:hAnsi="Arial" w:cs="Arial"/>
          <w:sz w:val="24"/>
          <w:szCs w:val="20"/>
          <w:lang w:val="en-US"/>
        </w:rPr>
      </w:pPr>
      <w:r w:rsidRPr="00EB0495">
        <w:rPr>
          <w:noProof/>
          <w:lang w:eastAsia="en-GB"/>
        </w:rPr>
        <w:drawing>
          <wp:inline distT="0" distB="0" distL="0" distR="0" wp14:anchorId="360843E2" wp14:editId="24986B64">
            <wp:extent cx="4524375" cy="4215256"/>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l="23765" t="13030" r="22723" b="7197"/>
                    <a:stretch/>
                  </pic:blipFill>
                  <pic:spPr bwMode="auto">
                    <a:xfrm>
                      <a:off x="0" y="0"/>
                      <a:ext cx="4527951" cy="4218588"/>
                    </a:xfrm>
                    <a:prstGeom prst="rect">
                      <a:avLst/>
                    </a:prstGeom>
                    <a:ln>
                      <a:noFill/>
                    </a:ln>
                    <a:extLst>
                      <a:ext uri="{53640926-AAD7-44D8-BBD7-CCE9431645EC}">
                        <a14:shadowObscured xmlns:a14="http://schemas.microsoft.com/office/drawing/2010/main"/>
                      </a:ext>
                    </a:extLst>
                  </pic:spPr>
                </pic:pic>
              </a:graphicData>
            </a:graphic>
          </wp:inline>
        </w:drawing>
      </w:r>
    </w:p>
    <w:p w14:paraId="7CDA0D1D" w14:textId="77777777" w:rsidR="009F4272" w:rsidRPr="00EB0495" w:rsidRDefault="009F4272">
      <w:pPr>
        <w:rPr>
          <w:rFonts w:ascii="Arial" w:eastAsia="Calibri" w:hAnsi="Arial" w:cs="Arial"/>
          <w:b/>
          <w:sz w:val="24"/>
          <w:szCs w:val="20"/>
          <w:lang w:val="en-US"/>
        </w:rPr>
      </w:pPr>
      <w:r w:rsidRPr="00EB0495">
        <w:rPr>
          <w:rFonts w:ascii="Arial" w:eastAsia="Calibri" w:hAnsi="Arial" w:cs="Arial"/>
          <w:b/>
          <w:sz w:val="24"/>
          <w:szCs w:val="20"/>
          <w:lang w:val="en-US"/>
        </w:rPr>
        <w:br w:type="page"/>
      </w:r>
    </w:p>
    <w:p w14:paraId="4F3DAE74" w14:textId="02B22A9D" w:rsidR="00172347" w:rsidRPr="00EB0495" w:rsidRDefault="00172347" w:rsidP="00172347">
      <w:pPr>
        <w:spacing w:before="120" w:after="120" w:line="240" w:lineRule="auto"/>
        <w:rPr>
          <w:rFonts w:ascii="Arial" w:eastAsia="Calibri" w:hAnsi="Arial" w:cs="Arial"/>
          <w:sz w:val="24"/>
          <w:szCs w:val="20"/>
          <w:lang w:val="en-US"/>
        </w:rPr>
      </w:pPr>
      <w:r w:rsidRPr="00EB0495">
        <w:rPr>
          <w:rFonts w:ascii="Arial" w:eastAsia="Calibri" w:hAnsi="Arial" w:cs="Arial"/>
          <w:b/>
          <w:sz w:val="24"/>
          <w:szCs w:val="20"/>
          <w:lang w:val="en-US"/>
        </w:rPr>
        <w:lastRenderedPageBreak/>
        <w:t>Fig</w:t>
      </w:r>
      <w:r w:rsidR="00140246" w:rsidRPr="00EB0495">
        <w:rPr>
          <w:rFonts w:ascii="Arial" w:eastAsia="Calibri" w:hAnsi="Arial" w:cs="Arial"/>
          <w:b/>
          <w:sz w:val="24"/>
          <w:szCs w:val="20"/>
          <w:lang w:val="en-US"/>
        </w:rPr>
        <w:t>ure</w:t>
      </w:r>
      <w:r w:rsidRPr="00EB0495">
        <w:rPr>
          <w:rFonts w:ascii="Arial" w:eastAsia="Calibri" w:hAnsi="Arial" w:cs="Arial"/>
          <w:b/>
          <w:sz w:val="24"/>
          <w:szCs w:val="20"/>
          <w:lang w:val="en-US"/>
        </w:rPr>
        <w:t xml:space="preserve"> </w:t>
      </w:r>
      <w:r w:rsidR="009F4272" w:rsidRPr="00EB0495">
        <w:rPr>
          <w:rFonts w:ascii="Arial" w:eastAsia="Calibri" w:hAnsi="Arial" w:cs="Arial"/>
          <w:b/>
          <w:sz w:val="24"/>
          <w:szCs w:val="20"/>
          <w:lang w:val="en-US"/>
        </w:rPr>
        <w:t>3</w:t>
      </w:r>
      <w:r w:rsidRPr="00EB0495">
        <w:rPr>
          <w:rFonts w:ascii="Arial" w:eastAsia="Calibri" w:hAnsi="Arial" w:cs="Arial"/>
          <w:b/>
          <w:sz w:val="24"/>
          <w:szCs w:val="20"/>
          <w:lang w:val="en-US"/>
        </w:rPr>
        <w:t>.</w:t>
      </w:r>
    </w:p>
    <w:p w14:paraId="610DA3B2" w14:textId="77777777" w:rsidR="004B1DFB" w:rsidRPr="00EB0495" w:rsidRDefault="004B1DFB" w:rsidP="00172347">
      <w:pPr>
        <w:spacing w:before="120" w:after="120" w:line="240" w:lineRule="auto"/>
        <w:rPr>
          <w:rFonts w:ascii="Arial" w:eastAsia="Calibri" w:hAnsi="Arial" w:cs="Arial"/>
          <w:sz w:val="24"/>
          <w:szCs w:val="20"/>
          <w:lang w:val="en-US"/>
        </w:rPr>
      </w:pPr>
    </w:p>
    <w:p w14:paraId="2826DC5E" w14:textId="50E44A92" w:rsidR="002A15D7" w:rsidRPr="00B83F37" w:rsidRDefault="00407546" w:rsidP="00172347">
      <w:pPr>
        <w:spacing w:before="120" w:after="120" w:line="240" w:lineRule="auto"/>
        <w:rPr>
          <w:rFonts w:ascii="Arial" w:eastAsia="Calibri" w:hAnsi="Arial" w:cs="Arial"/>
          <w:sz w:val="24"/>
          <w:szCs w:val="20"/>
          <w:lang w:val="en-US"/>
        </w:rPr>
      </w:pPr>
      <w:r w:rsidRPr="00EB0495">
        <w:rPr>
          <w:noProof/>
          <w:lang w:eastAsia="en-GB"/>
        </w:rPr>
        <w:drawing>
          <wp:inline distT="0" distB="0" distL="0" distR="0" wp14:anchorId="4C1DB2C4" wp14:editId="6FD28402">
            <wp:extent cx="5638800" cy="7078072"/>
            <wp:effectExtent l="0" t="0" r="0" b="889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l="35675" t="23046" r="32639" b="6244"/>
                    <a:stretch/>
                  </pic:blipFill>
                  <pic:spPr bwMode="auto">
                    <a:xfrm>
                      <a:off x="0" y="0"/>
                      <a:ext cx="5655458" cy="7098982"/>
                    </a:xfrm>
                    <a:prstGeom prst="rect">
                      <a:avLst/>
                    </a:prstGeom>
                    <a:ln>
                      <a:noFill/>
                    </a:ln>
                    <a:extLst>
                      <a:ext uri="{53640926-AAD7-44D8-BBD7-CCE9431645EC}">
                        <a14:shadowObscured xmlns:a14="http://schemas.microsoft.com/office/drawing/2010/main"/>
                      </a:ext>
                    </a:extLst>
                  </pic:spPr>
                </pic:pic>
              </a:graphicData>
            </a:graphic>
          </wp:inline>
        </w:drawing>
      </w:r>
    </w:p>
    <w:p w14:paraId="53493BC0" w14:textId="5AB4EB0D" w:rsidR="00891C92" w:rsidRPr="00C6592D" w:rsidRDefault="00891C92" w:rsidP="00A07CAB">
      <w:pPr>
        <w:spacing w:after="240"/>
        <w:rPr>
          <w:rFonts w:ascii="Arial" w:eastAsia="Calibri" w:hAnsi="Arial" w:cs="Arial"/>
          <w:szCs w:val="20"/>
          <w:lang w:val="en-US"/>
        </w:rPr>
      </w:pPr>
    </w:p>
    <w:sectPr w:rsidR="00891C92" w:rsidRPr="00C6592D" w:rsidSect="008C032D">
      <w:footerReference w:type="default" r:id="rId14"/>
      <w:pgSz w:w="11906" w:h="16838" w:code="9"/>
      <w:pgMar w:top="1440" w:right="1440" w:bottom="1440" w:left="1440"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5364E0C" w16cid:durableId="1ED61551"/>
  <w16cid:commentId w16cid:paraId="491EC83D" w16cid:durableId="1ED60DEF"/>
  <w16cid:commentId w16cid:paraId="3AB8E27E" w16cid:durableId="1ED60E30"/>
  <w16cid:commentId w16cid:paraId="4AA6A20B" w16cid:durableId="1ED60F10"/>
  <w16cid:commentId w16cid:paraId="0DE2CA91" w16cid:durableId="1ED64A75"/>
  <w16cid:commentId w16cid:paraId="36299D74" w16cid:durableId="1ED61AA2"/>
  <w16cid:commentId w16cid:paraId="21F0B894" w16cid:durableId="1ED61B49"/>
  <w16cid:commentId w16cid:paraId="1EA6833F" w16cid:durableId="1ED62658"/>
  <w16cid:commentId w16cid:paraId="5879755E" w16cid:durableId="1ED63C0C"/>
  <w16cid:commentId w16cid:paraId="6633A3D3" w16cid:durableId="1ED63080"/>
  <w16cid:commentId w16cid:paraId="4F20A848" w16cid:durableId="1ED64BDF"/>
  <w16cid:commentId w16cid:paraId="77F6379D" w16cid:durableId="1ED64C45"/>
  <w16cid:commentId w16cid:paraId="7030A286" w16cid:durableId="1ED64CA4"/>
  <w16cid:commentId w16cid:paraId="65D08A7D" w16cid:durableId="1ED6519D"/>
  <w16cid:commentId w16cid:paraId="6159AF82" w16cid:durableId="1ED651FD"/>
  <w16cid:commentId w16cid:paraId="0D75AEB3" w16cid:durableId="1ED634DD"/>
  <w16cid:commentId w16cid:paraId="521AC81F" w16cid:durableId="1ED61BE7"/>
  <w16cid:commentId w16cid:paraId="0FD66D83" w16cid:durableId="1ED61C32"/>
  <w16cid:commentId w16cid:paraId="4FFC687D" w16cid:durableId="1ED61CF3"/>
  <w16cid:commentId w16cid:paraId="67582E13" w16cid:durableId="1ED6221D"/>
  <w16cid:commentId w16cid:paraId="5A73A121" w16cid:durableId="1ED63C86"/>
  <w16cid:commentId w16cid:paraId="6F63CD33" w16cid:durableId="1ED652CF"/>
  <w16cid:commentId w16cid:paraId="387134BF" w16cid:durableId="1ED622A1"/>
  <w16cid:commentId w16cid:paraId="490059C4" w16cid:durableId="1ED63A1F"/>
  <w16cid:commentId w16cid:paraId="2CEEEE9A" w16cid:durableId="1ED628A9"/>
  <w16cid:commentId w16cid:paraId="29A49605" w16cid:durableId="1ED653AD"/>
  <w16cid:commentId w16cid:paraId="58C8107E" w16cid:durableId="1ED65350"/>
  <w16cid:commentId w16cid:paraId="03D3491E" w16cid:durableId="1ED62575"/>
  <w16cid:commentId w16cid:paraId="58A46795" w16cid:durableId="1ED625C2"/>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FD21E5" w14:textId="77777777" w:rsidR="00E62770" w:rsidRDefault="00E62770" w:rsidP="00E576EB">
      <w:pPr>
        <w:spacing w:line="240" w:lineRule="auto"/>
      </w:pPr>
      <w:r>
        <w:separator/>
      </w:r>
    </w:p>
  </w:endnote>
  <w:endnote w:type="continuationSeparator" w:id="0">
    <w:p w14:paraId="2A9B4709" w14:textId="77777777" w:rsidR="00E62770" w:rsidRDefault="00E62770" w:rsidP="00E576EB">
      <w:pPr>
        <w:spacing w:line="240" w:lineRule="auto"/>
      </w:pPr>
      <w:r>
        <w:continuationSeparator/>
      </w:r>
    </w:p>
  </w:endnote>
  <w:endnote w:type="continuationNotice" w:id="1">
    <w:p w14:paraId="1880A81C" w14:textId="77777777" w:rsidR="00E62770" w:rsidRDefault="00E6277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Imago">
    <w:altName w:val="Times New Roman"/>
    <w:charset w:val="00"/>
    <w:family w:val="auto"/>
    <w:pitch w:val="variable"/>
    <w:sig w:usb0="A00002AF" w:usb1="5000205B"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0758312"/>
      <w:docPartObj>
        <w:docPartGallery w:val="Page Numbers (Bottom of Page)"/>
        <w:docPartUnique/>
      </w:docPartObj>
    </w:sdtPr>
    <w:sdtEndPr>
      <w:rPr>
        <w:rFonts w:asciiTheme="minorHAnsi" w:hAnsiTheme="minorHAnsi"/>
        <w:noProof/>
      </w:rPr>
    </w:sdtEndPr>
    <w:sdtContent>
      <w:p w14:paraId="2B82EE56" w14:textId="1C1AD2AC" w:rsidR="00DC52EB" w:rsidRPr="001262A2" w:rsidRDefault="00DC52EB">
        <w:pPr>
          <w:pStyle w:val="Footer"/>
          <w:jc w:val="center"/>
          <w:rPr>
            <w:rFonts w:asciiTheme="minorHAnsi" w:hAnsiTheme="minorHAnsi"/>
          </w:rPr>
        </w:pPr>
        <w:r w:rsidRPr="001262A2">
          <w:rPr>
            <w:rFonts w:asciiTheme="minorHAnsi" w:hAnsiTheme="minorHAnsi"/>
          </w:rPr>
          <w:fldChar w:fldCharType="begin"/>
        </w:r>
        <w:r w:rsidRPr="001262A2">
          <w:rPr>
            <w:rFonts w:asciiTheme="minorHAnsi" w:hAnsiTheme="minorHAnsi"/>
          </w:rPr>
          <w:instrText xml:space="preserve"> PAGE   \* MERGEFORMAT </w:instrText>
        </w:r>
        <w:r w:rsidRPr="001262A2">
          <w:rPr>
            <w:rFonts w:asciiTheme="minorHAnsi" w:hAnsiTheme="minorHAnsi"/>
          </w:rPr>
          <w:fldChar w:fldCharType="separate"/>
        </w:r>
        <w:r w:rsidR="00EB0495">
          <w:rPr>
            <w:rFonts w:asciiTheme="minorHAnsi" w:hAnsiTheme="minorHAnsi"/>
            <w:noProof/>
          </w:rPr>
          <w:t>2</w:t>
        </w:r>
        <w:r w:rsidRPr="001262A2">
          <w:rPr>
            <w:rFonts w:asciiTheme="minorHAnsi" w:hAnsiTheme="minorHAnsi"/>
            <w:noProof/>
          </w:rPr>
          <w:fldChar w:fldCharType="end"/>
        </w:r>
      </w:p>
    </w:sdtContent>
  </w:sdt>
  <w:p w14:paraId="498AE13F" w14:textId="77777777" w:rsidR="00DC52EB" w:rsidRDefault="00DC52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98519538"/>
      <w:docPartObj>
        <w:docPartGallery w:val="Page Numbers (Bottom of Page)"/>
        <w:docPartUnique/>
      </w:docPartObj>
    </w:sdtPr>
    <w:sdtEndPr>
      <w:rPr>
        <w:sz w:val="16"/>
        <w:szCs w:val="16"/>
      </w:rPr>
    </w:sdtEndPr>
    <w:sdtContent>
      <w:p w14:paraId="42EE3456" w14:textId="4B312A18" w:rsidR="00DC52EB" w:rsidRPr="00876F29" w:rsidRDefault="00DC52EB" w:rsidP="00876F29">
        <w:pPr>
          <w:pStyle w:val="Footer"/>
          <w:jc w:val="center"/>
          <w:rPr>
            <w:sz w:val="16"/>
            <w:szCs w:val="16"/>
          </w:rPr>
        </w:pPr>
        <w:r w:rsidRPr="00876F29">
          <w:rPr>
            <w:sz w:val="16"/>
            <w:szCs w:val="16"/>
          </w:rPr>
          <w:fldChar w:fldCharType="begin"/>
        </w:r>
        <w:r w:rsidRPr="00876F29">
          <w:rPr>
            <w:sz w:val="16"/>
            <w:szCs w:val="16"/>
          </w:rPr>
          <w:instrText xml:space="preserve"> PAGE   \* MERGEFORMAT </w:instrText>
        </w:r>
        <w:r w:rsidRPr="00876F29">
          <w:rPr>
            <w:sz w:val="16"/>
            <w:szCs w:val="16"/>
          </w:rPr>
          <w:fldChar w:fldCharType="separate"/>
        </w:r>
        <w:r w:rsidR="007F3EE6">
          <w:rPr>
            <w:noProof/>
            <w:sz w:val="16"/>
            <w:szCs w:val="16"/>
          </w:rPr>
          <w:t>26</w:t>
        </w:r>
        <w:r w:rsidRPr="00876F29">
          <w:rPr>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19765D" w14:textId="77777777" w:rsidR="00E62770" w:rsidRDefault="00E62770" w:rsidP="00E576EB">
      <w:pPr>
        <w:spacing w:line="240" w:lineRule="auto"/>
      </w:pPr>
      <w:r>
        <w:separator/>
      </w:r>
    </w:p>
  </w:footnote>
  <w:footnote w:type="continuationSeparator" w:id="0">
    <w:p w14:paraId="61B203BA" w14:textId="77777777" w:rsidR="00E62770" w:rsidRDefault="00E62770" w:rsidP="00E576EB">
      <w:pPr>
        <w:spacing w:line="240" w:lineRule="auto"/>
      </w:pPr>
      <w:r>
        <w:continuationSeparator/>
      </w:r>
    </w:p>
  </w:footnote>
  <w:footnote w:type="continuationNotice" w:id="1">
    <w:p w14:paraId="6691ED30" w14:textId="77777777" w:rsidR="00E62770" w:rsidRDefault="00E62770">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6413BC"/>
    <w:multiLevelType w:val="multilevel"/>
    <w:tmpl w:val="88EE8AE4"/>
    <w:styleLink w:val="QAListbullets"/>
    <w:lvl w:ilvl="0">
      <w:start w:val="1"/>
      <w:numFmt w:val="bullet"/>
      <w:pStyle w:val="ListBullet"/>
      <w:lvlText w:val=""/>
      <w:lvlJc w:val="left"/>
      <w:pPr>
        <w:ind w:left="360" w:hanging="360"/>
      </w:pPr>
      <w:rPr>
        <w:rFonts w:ascii="Symbol" w:hAnsi="Symbol" w:hint="default"/>
        <w:b w:val="0"/>
        <w:i w:val="0"/>
        <w:color w:val="17375E"/>
        <w:sz w:val="22"/>
      </w:rPr>
    </w:lvl>
    <w:lvl w:ilvl="1">
      <w:start w:val="1"/>
      <w:numFmt w:val="bullet"/>
      <w:pStyle w:val="ListBullet2"/>
      <w:lvlText w:val="–"/>
      <w:lvlJc w:val="left"/>
      <w:pPr>
        <w:ind w:left="720" w:hanging="360"/>
      </w:pPr>
      <w:rPr>
        <w:rFonts w:ascii="Arial" w:hAnsi="Arial" w:hint="default"/>
        <w:b w:val="0"/>
        <w:i w:val="0"/>
        <w:color w:val="17375E"/>
        <w:sz w:val="24"/>
      </w:rPr>
    </w:lvl>
    <w:lvl w:ilvl="2">
      <w:start w:val="1"/>
      <w:numFmt w:val="bullet"/>
      <w:pStyle w:val="ListBullet3"/>
      <w:lvlText w:val="•"/>
      <w:lvlJc w:val="left"/>
      <w:pPr>
        <w:ind w:left="1080" w:hanging="360"/>
      </w:pPr>
      <w:rPr>
        <w:rFonts w:ascii="Calibri" w:hAnsi="Calibri" w:hint="default"/>
        <w:b w:val="0"/>
        <w:i w:val="0"/>
        <w:color w:val="17375E"/>
        <w:sz w:val="24"/>
      </w:rPr>
    </w:lvl>
    <w:lvl w:ilvl="3">
      <w:start w:val="1"/>
      <w:numFmt w:val="bullet"/>
      <w:pStyle w:val="ListBullet4"/>
      <w:lvlText w:val="–"/>
      <w:lvlJc w:val="left"/>
      <w:pPr>
        <w:ind w:left="1440" w:hanging="360"/>
      </w:pPr>
      <w:rPr>
        <w:rFonts w:ascii="Arial" w:hAnsi="Arial" w:hint="default"/>
        <w:b w:val="0"/>
        <w:i w:val="0"/>
        <w:color w:val="17375E"/>
        <w:sz w:val="24"/>
      </w:rPr>
    </w:lvl>
    <w:lvl w:ilvl="4">
      <w:start w:val="1"/>
      <w:numFmt w:val="lowerLetter"/>
      <w:pStyle w:val="ListBullet5"/>
      <w:lvlText w:val="(%5)"/>
      <w:lvlJc w:val="left"/>
      <w:pPr>
        <w:ind w:left="1800" w:hanging="360"/>
      </w:pPr>
      <w:rPr>
        <w:rFonts w:hint="default"/>
        <w:color w:val="17375E"/>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 w15:restartNumberingAfterBreak="0">
    <w:nsid w:val="0B3C223D"/>
    <w:multiLevelType w:val="hybridMultilevel"/>
    <w:tmpl w:val="5F082C3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EB3170B"/>
    <w:multiLevelType w:val="hybridMultilevel"/>
    <w:tmpl w:val="6B8403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742C59"/>
    <w:multiLevelType w:val="hybridMultilevel"/>
    <w:tmpl w:val="114A8D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87A2789"/>
    <w:multiLevelType w:val="hybridMultilevel"/>
    <w:tmpl w:val="C9AC5D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592F40"/>
    <w:multiLevelType w:val="hybridMultilevel"/>
    <w:tmpl w:val="F550A8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645432"/>
    <w:multiLevelType w:val="hybridMultilevel"/>
    <w:tmpl w:val="723CED7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CBD3666"/>
    <w:multiLevelType w:val="hybridMultilevel"/>
    <w:tmpl w:val="F36C2E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30417C1"/>
    <w:multiLevelType w:val="hybridMultilevel"/>
    <w:tmpl w:val="09C8A1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7AB737B"/>
    <w:multiLevelType w:val="hybridMultilevel"/>
    <w:tmpl w:val="8CB0D088"/>
    <w:lvl w:ilvl="0" w:tplc="0C09000F">
      <w:start w:val="1"/>
      <w:numFmt w:val="decimal"/>
      <w:lvlText w:val="%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8114886"/>
    <w:multiLevelType w:val="hybridMultilevel"/>
    <w:tmpl w:val="8C66A572"/>
    <w:lvl w:ilvl="0" w:tplc="08090001">
      <w:start w:val="1"/>
      <w:numFmt w:val="bullet"/>
      <w:lvlText w:val=""/>
      <w:lvlJc w:val="left"/>
      <w:pPr>
        <w:ind w:left="360" w:hanging="360"/>
      </w:pPr>
      <w:rPr>
        <w:rFonts w:ascii="Symbol" w:hAnsi="Symbol" w:hint="default"/>
      </w:rPr>
    </w:lvl>
    <w:lvl w:ilvl="1" w:tplc="2564BF74">
      <w:start w:val="1"/>
      <w:numFmt w:val="bullet"/>
      <w:lvlText w:val="-"/>
      <w:lvlJc w:val="left"/>
      <w:pPr>
        <w:ind w:left="108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9677E06"/>
    <w:multiLevelType w:val="hybridMultilevel"/>
    <w:tmpl w:val="FD4007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9AB321E"/>
    <w:multiLevelType w:val="hybridMultilevel"/>
    <w:tmpl w:val="D91C8E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03219EF"/>
    <w:multiLevelType w:val="hybridMultilevel"/>
    <w:tmpl w:val="B0D2DEB0"/>
    <w:lvl w:ilvl="0" w:tplc="46685984">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5924FA5"/>
    <w:multiLevelType w:val="hybridMultilevel"/>
    <w:tmpl w:val="F9AE49FE"/>
    <w:lvl w:ilvl="0" w:tplc="0C09000F">
      <w:start w:val="1"/>
      <w:numFmt w:val="decimal"/>
      <w:lvlText w:val="%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A935467"/>
    <w:multiLevelType w:val="hybridMultilevel"/>
    <w:tmpl w:val="97C261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DDC5A5A"/>
    <w:multiLevelType w:val="multilevel"/>
    <w:tmpl w:val="88EE8AE4"/>
    <w:numStyleLink w:val="QAListbullets"/>
  </w:abstractNum>
  <w:abstractNum w:abstractNumId="17" w15:restartNumberingAfterBreak="0">
    <w:nsid w:val="3E9E0514"/>
    <w:multiLevelType w:val="hybridMultilevel"/>
    <w:tmpl w:val="DAF6A0EC"/>
    <w:lvl w:ilvl="0" w:tplc="9704F8FE">
      <w:numFmt w:val="bullet"/>
      <w:lvlText w:val=""/>
      <w:lvlJc w:val="left"/>
      <w:pPr>
        <w:ind w:left="720" w:hanging="360"/>
      </w:pPr>
      <w:rPr>
        <w:rFonts w:ascii="Symbol" w:eastAsiaTheme="minorHAnsi" w:hAnsi="Symbol"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8" w15:restartNumberingAfterBreak="0">
    <w:nsid w:val="46684F06"/>
    <w:multiLevelType w:val="hybridMultilevel"/>
    <w:tmpl w:val="E02C9C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3">
      <w:start w:val="1"/>
      <w:numFmt w:val="bullet"/>
      <w:lvlText w:val="o"/>
      <w:lvlJc w:val="left"/>
      <w:pPr>
        <w:ind w:left="2160" w:hanging="360"/>
      </w:pPr>
      <w:rPr>
        <w:rFonts w:ascii="Courier New" w:hAnsi="Courier New" w:cs="Courier New"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9975BD8"/>
    <w:multiLevelType w:val="hybridMultilevel"/>
    <w:tmpl w:val="8690CF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55C11372"/>
    <w:multiLevelType w:val="hybridMultilevel"/>
    <w:tmpl w:val="E8BE78F4"/>
    <w:lvl w:ilvl="0" w:tplc="AD4E024E">
      <w:numFmt w:val="bullet"/>
      <w:lvlText w:val=""/>
      <w:lvlJc w:val="left"/>
      <w:pPr>
        <w:ind w:left="720" w:hanging="360"/>
      </w:pPr>
      <w:rPr>
        <w:rFonts w:ascii="Symbol" w:eastAsia="Calibri" w:hAnsi="Symbol" w:cstheme="minorHAns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1" w15:restartNumberingAfterBreak="0">
    <w:nsid w:val="5F0103E3"/>
    <w:multiLevelType w:val="hybridMultilevel"/>
    <w:tmpl w:val="4E24547A"/>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08090003">
      <w:start w:val="1"/>
      <w:numFmt w:val="bullet"/>
      <w:lvlText w:val="o"/>
      <w:lvlJc w:val="left"/>
      <w:pPr>
        <w:ind w:left="1800" w:hanging="360"/>
      </w:pPr>
      <w:rPr>
        <w:rFonts w:ascii="Courier New" w:hAnsi="Courier New" w:cs="Courier New"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71034908"/>
    <w:multiLevelType w:val="hybridMultilevel"/>
    <w:tmpl w:val="DFA20218"/>
    <w:lvl w:ilvl="0" w:tplc="FD484DD4">
      <w:start w:val="1"/>
      <w:numFmt w:val="decimal"/>
      <w:lvlText w:val="%1."/>
      <w:lvlJc w:val="lef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2EE5322"/>
    <w:multiLevelType w:val="hybridMultilevel"/>
    <w:tmpl w:val="FD10EF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51440EE"/>
    <w:multiLevelType w:val="multilevel"/>
    <w:tmpl w:val="7B0273C8"/>
    <w:lvl w:ilvl="0">
      <w:numFmt w:val="decimal"/>
      <w:lvlText w:val="%1"/>
      <w:lvlJc w:val="left"/>
      <w:pPr>
        <w:ind w:left="360" w:hanging="360"/>
      </w:pPr>
      <w:rPr>
        <w:rFonts w:eastAsiaTheme="minorHAnsi" w:hint="default"/>
        <w:color w:val="auto"/>
      </w:rPr>
    </w:lvl>
    <w:lvl w:ilvl="1">
      <w:start w:val="8"/>
      <w:numFmt w:val="decimal"/>
      <w:lvlText w:val="%1.%2"/>
      <w:lvlJc w:val="left"/>
      <w:pPr>
        <w:ind w:left="360" w:hanging="360"/>
      </w:pPr>
      <w:rPr>
        <w:rFonts w:eastAsiaTheme="minorHAnsi" w:hint="default"/>
        <w:color w:val="auto"/>
      </w:rPr>
    </w:lvl>
    <w:lvl w:ilvl="2">
      <w:start w:val="1"/>
      <w:numFmt w:val="decimal"/>
      <w:lvlText w:val="%1.%2.%3"/>
      <w:lvlJc w:val="left"/>
      <w:pPr>
        <w:ind w:left="720" w:hanging="720"/>
      </w:pPr>
      <w:rPr>
        <w:rFonts w:eastAsiaTheme="minorHAnsi" w:hint="default"/>
        <w:color w:val="auto"/>
      </w:rPr>
    </w:lvl>
    <w:lvl w:ilvl="3">
      <w:start w:val="1"/>
      <w:numFmt w:val="decimal"/>
      <w:lvlText w:val="%1.%2.%3.%4"/>
      <w:lvlJc w:val="left"/>
      <w:pPr>
        <w:ind w:left="1080" w:hanging="1080"/>
      </w:pPr>
      <w:rPr>
        <w:rFonts w:eastAsiaTheme="minorHAnsi" w:hint="default"/>
        <w:color w:val="auto"/>
      </w:rPr>
    </w:lvl>
    <w:lvl w:ilvl="4">
      <w:start w:val="1"/>
      <w:numFmt w:val="decimal"/>
      <w:lvlText w:val="%1.%2.%3.%4.%5"/>
      <w:lvlJc w:val="left"/>
      <w:pPr>
        <w:ind w:left="1080" w:hanging="1080"/>
      </w:pPr>
      <w:rPr>
        <w:rFonts w:eastAsiaTheme="minorHAnsi" w:hint="default"/>
        <w:color w:val="auto"/>
      </w:rPr>
    </w:lvl>
    <w:lvl w:ilvl="5">
      <w:start w:val="1"/>
      <w:numFmt w:val="decimal"/>
      <w:lvlText w:val="%1.%2.%3.%4.%5.%6"/>
      <w:lvlJc w:val="left"/>
      <w:pPr>
        <w:ind w:left="1440" w:hanging="1440"/>
      </w:pPr>
      <w:rPr>
        <w:rFonts w:eastAsiaTheme="minorHAnsi" w:hint="default"/>
        <w:color w:val="auto"/>
      </w:rPr>
    </w:lvl>
    <w:lvl w:ilvl="6">
      <w:start w:val="1"/>
      <w:numFmt w:val="decimal"/>
      <w:lvlText w:val="%1.%2.%3.%4.%5.%6.%7"/>
      <w:lvlJc w:val="left"/>
      <w:pPr>
        <w:ind w:left="1440" w:hanging="1440"/>
      </w:pPr>
      <w:rPr>
        <w:rFonts w:eastAsiaTheme="minorHAnsi" w:hint="default"/>
        <w:color w:val="auto"/>
      </w:rPr>
    </w:lvl>
    <w:lvl w:ilvl="7">
      <w:start w:val="1"/>
      <w:numFmt w:val="decimal"/>
      <w:lvlText w:val="%1.%2.%3.%4.%5.%6.%7.%8"/>
      <w:lvlJc w:val="left"/>
      <w:pPr>
        <w:ind w:left="1800" w:hanging="1800"/>
      </w:pPr>
      <w:rPr>
        <w:rFonts w:eastAsiaTheme="minorHAnsi" w:hint="default"/>
        <w:color w:val="auto"/>
      </w:rPr>
    </w:lvl>
    <w:lvl w:ilvl="8">
      <w:start w:val="1"/>
      <w:numFmt w:val="decimal"/>
      <w:lvlText w:val="%1.%2.%3.%4.%5.%6.%7.%8.%9"/>
      <w:lvlJc w:val="left"/>
      <w:pPr>
        <w:ind w:left="1800" w:hanging="1800"/>
      </w:pPr>
      <w:rPr>
        <w:rFonts w:eastAsiaTheme="minorHAnsi" w:hint="default"/>
        <w:color w:val="auto"/>
      </w:rPr>
    </w:lvl>
  </w:abstractNum>
  <w:num w:numId="1">
    <w:abstractNumId w:val="21"/>
  </w:num>
  <w:num w:numId="2">
    <w:abstractNumId w:val="18"/>
  </w:num>
  <w:num w:numId="3">
    <w:abstractNumId w:val="1"/>
  </w:num>
  <w:num w:numId="4">
    <w:abstractNumId w:val="7"/>
  </w:num>
  <w:num w:numId="5">
    <w:abstractNumId w:val="23"/>
  </w:num>
  <w:num w:numId="6">
    <w:abstractNumId w:val="6"/>
  </w:num>
  <w:num w:numId="7">
    <w:abstractNumId w:val="4"/>
  </w:num>
  <w:num w:numId="8">
    <w:abstractNumId w:val="10"/>
  </w:num>
  <w:num w:numId="9">
    <w:abstractNumId w:val="11"/>
  </w:num>
  <w:num w:numId="10">
    <w:abstractNumId w:val="8"/>
  </w:num>
  <w:num w:numId="11">
    <w:abstractNumId w:val="15"/>
  </w:num>
  <w:num w:numId="12">
    <w:abstractNumId w:val="19"/>
  </w:num>
  <w:num w:numId="13">
    <w:abstractNumId w:val="3"/>
  </w:num>
  <w:num w:numId="14">
    <w:abstractNumId w:val="12"/>
  </w:num>
  <w:num w:numId="15">
    <w:abstractNumId w:val="17"/>
  </w:num>
  <w:num w:numId="16">
    <w:abstractNumId w:val="20"/>
  </w:num>
  <w:num w:numId="17">
    <w:abstractNumId w:val="24"/>
  </w:num>
  <w:num w:numId="18">
    <w:abstractNumId w:val="0"/>
  </w:num>
  <w:num w:numId="19">
    <w:abstractNumId w:val="16"/>
  </w:num>
  <w:num w:numId="20">
    <w:abstractNumId w:val="22"/>
  </w:num>
  <w:num w:numId="21">
    <w:abstractNumId w:val="9"/>
  </w:num>
  <w:num w:numId="22">
    <w:abstractNumId w:val="14"/>
  </w:num>
  <w:num w:numId="23">
    <w:abstractNumId w:val="13"/>
  </w:num>
  <w:num w:numId="24">
    <w:abstractNumId w:val="5"/>
  </w:num>
  <w:num w:numId="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131078" w:nlCheck="1" w:checkStyle="0"/>
  <w:activeWritingStyle w:appName="MSWord" w:lang="en-US" w:vendorID="64" w:dllVersion="131078" w:nlCheck="1" w:checkStyle="0"/>
  <w:activeWritingStyle w:appName="MSWord" w:lang="en-GB" w:vendorID="64" w:dllVersion="131078" w:nlCheck="1" w:checkStyle="0"/>
  <w:activeWritingStyle w:appName="MSWord" w:lang="de-DE" w:vendorID="64" w:dllVersion="131078" w:nlCheck="1" w:checkStyle="0"/>
  <w:activeWritingStyle w:appName="MSWord" w:lang="de-CH" w:vendorID="64" w:dllVersion="131078" w:nlCheck="1" w:checkStyle="0"/>
  <w:defaultTabStop w:val="720"/>
  <w:hyphenationZone w:val="425"/>
  <w:drawingGridHorizontalSpacing w:val="10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71DD"/>
    <w:rsid w:val="00001143"/>
    <w:rsid w:val="00001B40"/>
    <w:rsid w:val="00001CF0"/>
    <w:rsid w:val="00004262"/>
    <w:rsid w:val="00005FCD"/>
    <w:rsid w:val="000068C3"/>
    <w:rsid w:val="000106A6"/>
    <w:rsid w:val="000122E3"/>
    <w:rsid w:val="0001408B"/>
    <w:rsid w:val="000144A5"/>
    <w:rsid w:val="00014E82"/>
    <w:rsid w:val="0001741A"/>
    <w:rsid w:val="00022628"/>
    <w:rsid w:val="0002309A"/>
    <w:rsid w:val="0002358D"/>
    <w:rsid w:val="0002426F"/>
    <w:rsid w:val="0002604B"/>
    <w:rsid w:val="0002676D"/>
    <w:rsid w:val="000273EC"/>
    <w:rsid w:val="00027F5B"/>
    <w:rsid w:val="00031730"/>
    <w:rsid w:val="000319D0"/>
    <w:rsid w:val="000333E7"/>
    <w:rsid w:val="000338ED"/>
    <w:rsid w:val="0003711F"/>
    <w:rsid w:val="0003785A"/>
    <w:rsid w:val="000403E1"/>
    <w:rsid w:val="00040817"/>
    <w:rsid w:val="00040BA6"/>
    <w:rsid w:val="0004127F"/>
    <w:rsid w:val="00043911"/>
    <w:rsid w:val="00043F8A"/>
    <w:rsid w:val="00044193"/>
    <w:rsid w:val="0004587B"/>
    <w:rsid w:val="00047322"/>
    <w:rsid w:val="00051145"/>
    <w:rsid w:val="00053CD0"/>
    <w:rsid w:val="00055C5A"/>
    <w:rsid w:val="00056BAE"/>
    <w:rsid w:val="00061B74"/>
    <w:rsid w:val="00061D38"/>
    <w:rsid w:val="0006286D"/>
    <w:rsid w:val="00063953"/>
    <w:rsid w:val="000650BE"/>
    <w:rsid w:val="00065729"/>
    <w:rsid w:val="00065B59"/>
    <w:rsid w:val="00065CE0"/>
    <w:rsid w:val="00065E02"/>
    <w:rsid w:val="00070F09"/>
    <w:rsid w:val="0007288E"/>
    <w:rsid w:val="0007447A"/>
    <w:rsid w:val="0007509C"/>
    <w:rsid w:val="000751FA"/>
    <w:rsid w:val="0007681E"/>
    <w:rsid w:val="000769F9"/>
    <w:rsid w:val="00077B38"/>
    <w:rsid w:val="00081C6E"/>
    <w:rsid w:val="0008200C"/>
    <w:rsid w:val="00083C02"/>
    <w:rsid w:val="00085B2F"/>
    <w:rsid w:val="0008754B"/>
    <w:rsid w:val="00090A35"/>
    <w:rsid w:val="00092A2E"/>
    <w:rsid w:val="00095560"/>
    <w:rsid w:val="00097A8B"/>
    <w:rsid w:val="000A1CA3"/>
    <w:rsid w:val="000A2149"/>
    <w:rsid w:val="000A5A19"/>
    <w:rsid w:val="000A5C58"/>
    <w:rsid w:val="000A7F41"/>
    <w:rsid w:val="000B03FA"/>
    <w:rsid w:val="000B0B3A"/>
    <w:rsid w:val="000B19B6"/>
    <w:rsid w:val="000B26A7"/>
    <w:rsid w:val="000B290D"/>
    <w:rsid w:val="000B341E"/>
    <w:rsid w:val="000B4444"/>
    <w:rsid w:val="000B5C06"/>
    <w:rsid w:val="000C06EA"/>
    <w:rsid w:val="000C18CA"/>
    <w:rsid w:val="000C46CC"/>
    <w:rsid w:val="000C6481"/>
    <w:rsid w:val="000C656D"/>
    <w:rsid w:val="000C732F"/>
    <w:rsid w:val="000C7B52"/>
    <w:rsid w:val="000C7C9C"/>
    <w:rsid w:val="000C7EB1"/>
    <w:rsid w:val="000D280C"/>
    <w:rsid w:val="000D36C9"/>
    <w:rsid w:val="000D3D11"/>
    <w:rsid w:val="000D7A98"/>
    <w:rsid w:val="000E12E5"/>
    <w:rsid w:val="000E27F3"/>
    <w:rsid w:val="000E2D88"/>
    <w:rsid w:val="000E342D"/>
    <w:rsid w:val="000E5F21"/>
    <w:rsid w:val="000F068A"/>
    <w:rsid w:val="000F0F5A"/>
    <w:rsid w:val="000F1ECC"/>
    <w:rsid w:val="000F31B3"/>
    <w:rsid w:val="000F36AC"/>
    <w:rsid w:val="000F7321"/>
    <w:rsid w:val="000F79B4"/>
    <w:rsid w:val="000F7E18"/>
    <w:rsid w:val="000F7E3E"/>
    <w:rsid w:val="0010068C"/>
    <w:rsid w:val="00103833"/>
    <w:rsid w:val="00104A4E"/>
    <w:rsid w:val="00105141"/>
    <w:rsid w:val="00106486"/>
    <w:rsid w:val="001071B8"/>
    <w:rsid w:val="00107958"/>
    <w:rsid w:val="0011015C"/>
    <w:rsid w:val="0011103D"/>
    <w:rsid w:val="00113221"/>
    <w:rsid w:val="00113D90"/>
    <w:rsid w:val="00115700"/>
    <w:rsid w:val="00115B1A"/>
    <w:rsid w:val="0011735C"/>
    <w:rsid w:val="00121422"/>
    <w:rsid w:val="001257AF"/>
    <w:rsid w:val="00126273"/>
    <w:rsid w:val="001262A2"/>
    <w:rsid w:val="0012659B"/>
    <w:rsid w:val="001267CA"/>
    <w:rsid w:val="00126EE0"/>
    <w:rsid w:val="001271EA"/>
    <w:rsid w:val="001275FC"/>
    <w:rsid w:val="001310F8"/>
    <w:rsid w:val="00131720"/>
    <w:rsid w:val="00134DB1"/>
    <w:rsid w:val="0013735D"/>
    <w:rsid w:val="00140246"/>
    <w:rsid w:val="001413E7"/>
    <w:rsid w:val="00141956"/>
    <w:rsid w:val="00142BB0"/>
    <w:rsid w:val="00143DF6"/>
    <w:rsid w:val="001446C8"/>
    <w:rsid w:val="001458BE"/>
    <w:rsid w:val="00145D2B"/>
    <w:rsid w:val="00146087"/>
    <w:rsid w:val="00146F54"/>
    <w:rsid w:val="001517AA"/>
    <w:rsid w:val="00152B17"/>
    <w:rsid w:val="00153CD2"/>
    <w:rsid w:val="001577E5"/>
    <w:rsid w:val="0016126B"/>
    <w:rsid w:val="00161841"/>
    <w:rsid w:val="00162EF5"/>
    <w:rsid w:val="00163670"/>
    <w:rsid w:val="00163BE8"/>
    <w:rsid w:val="0016450A"/>
    <w:rsid w:val="0016477C"/>
    <w:rsid w:val="00165979"/>
    <w:rsid w:val="00167223"/>
    <w:rsid w:val="001678B2"/>
    <w:rsid w:val="00170233"/>
    <w:rsid w:val="00170320"/>
    <w:rsid w:val="001703AB"/>
    <w:rsid w:val="00170804"/>
    <w:rsid w:val="001709CB"/>
    <w:rsid w:val="00172347"/>
    <w:rsid w:val="00174991"/>
    <w:rsid w:val="0017541B"/>
    <w:rsid w:val="00176535"/>
    <w:rsid w:val="0017709E"/>
    <w:rsid w:val="00177207"/>
    <w:rsid w:val="00177D2B"/>
    <w:rsid w:val="001825CB"/>
    <w:rsid w:val="00182C58"/>
    <w:rsid w:val="0018646A"/>
    <w:rsid w:val="001902F2"/>
    <w:rsid w:val="0019083E"/>
    <w:rsid w:val="00190E5E"/>
    <w:rsid w:val="00191BB1"/>
    <w:rsid w:val="00192752"/>
    <w:rsid w:val="00193BC9"/>
    <w:rsid w:val="00194467"/>
    <w:rsid w:val="00195E0C"/>
    <w:rsid w:val="00196190"/>
    <w:rsid w:val="00196E21"/>
    <w:rsid w:val="001979B5"/>
    <w:rsid w:val="001A0D04"/>
    <w:rsid w:val="001A1251"/>
    <w:rsid w:val="001A2810"/>
    <w:rsid w:val="001A3489"/>
    <w:rsid w:val="001A43B9"/>
    <w:rsid w:val="001A5A0B"/>
    <w:rsid w:val="001A60E5"/>
    <w:rsid w:val="001A701E"/>
    <w:rsid w:val="001A70AB"/>
    <w:rsid w:val="001A7B39"/>
    <w:rsid w:val="001B07FB"/>
    <w:rsid w:val="001B2C8D"/>
    <w:rsid w:val="001C004D"/>
    <w:rsid w:val="001C1D01"/>
    <w:rsid w:val="001C2C1F"/>
    <w:rsid w:val="001C3FF9"/>
    <w:rsid w:val="001C5AE6"/>
    <w:rsid w:val="001C5E88"/>
    <w:rsid w:val="001C7E85"/>
    <w:rsid w:val="001D26B8"/>
    <w:rsid w:val="001D3831"/>
    <w:rsid w:val="001D7561"/>
    <w:rsid w:val="001E00C0"/>
    <w:rsid w:val="001E161B"/>
    <w:rsid w:val="001E2899"/>
    <w:rsid w:val="001E68C3"/>
    <w:rsid w:val="001E6DB1"/>
    <w:rsid w:val="001E7A40"/>
    <w:rsid w:val="001F045E"/>
    <w:rsid w:val="001F1153"/>
    <w:rsid w:val="001F15D2"/>
    <w:rsid w:val="001F253A"/>
    <w:rsid w:val="001F26CF"/>
    <w:rsid w:val="001F28C5"/>
    <w:rsid w:val="001F45FF"/>
    <w:rsid w:val="001F5EAF"/>
    <w:rsid w:val="001F688D"/>
    <w:rsid w:val="001F6F98"/>
    <w:rsid w:val="001F7651"/>
    <w:rsid w:val="00201235"/>
    <w:rsid w:val="00202135"/>
    <w:rsid w:val="0020261A"/>
    <w:rsid w:val="00204C34"/>
    <w:rsid w:val="002052ED"/>
    <w:rsid w:val="00205E40"/>
    <w:rsid w:val="00205F70"/>
    <w:rsid w:val="00205FB9"/>
    <w:rsid w:val="00206A88"/>
    <w:rsid w:val="00206FDA"/>
    <w:rsid w:val="002129E1"/>
    <w:rsid w:val="0021448A"/>
    <w:rsid w:val="00214881"/>
    <w:rsid w:val="002155D1"/>
    <w:rsid w:val="002155E3"/>
    <w:rsid w:val="00217861"/>
    <w:rsid w:val="00220565"/>
    <w:rsid w:val="00222C82"/>
    <w:rsid w:val="002236EA"/>
    <w:rsid w:val="002238D3"/>
    <w:rsid w:val="00225052"/>
    <w:rsid w:val="0022541F"/>
    <w:rsid w:val="00227E6D"/>
    <w:rsid w:val="00231807"/>
    <w:rsid w:val="0023204D"/>
    <w:rsid w:val="00232666"/>
    <w:rsid w:val="00234282"/>
    <w:rsid w:val="00235D5F"/>
    <w:rsid w:val="0023616C"/>
    <w:rsid w:val="00236BB2"/>
    <w:rsid w:val="00240B45"/>
    <w:rsid w:val="0024136B"/>
    <w:rsid w:val="00244ECA"/>
    <w:rsid w:val="00245AFF"/>
    <w:rsid w:val="00245CB3"/>
    <w:rsid w:val="002507BA"/>
    <w:rsid w:val="00251D1C"/>
    <w:rsid w:val="00251FDF"/>
    <w:rsid w:val="00254503"/>
    <w:rsid w:val="00254FE7"/>
    <w:rsid w:val="00255AAA"/>
    <w:rsid w:val="002617A6"/>
    <w:rsid w:val="002619EB"/>
    <w:rsid w:val="0026281C"/>
    <w:rsid w:val="00262C6A"/>
    <w:rsid w:val="00262DED"/>
    <w:rsid w:val="0026332F"/>
    <w:rsid w:val="00263AD1"/>
    <w:rsid w:val="00264DBE"/>
    <w:rsid w:val="00266C6C"/>
    <w:rsid w:val="00267BEB"/>
    <w:rsid w:val="0027310C"/>
    <w:rsid w:val="002731D9"/>
    <w:rsid w:val="00274F7D"/>
    <w:rsid w:val="0027637A"/>
    <w:rsid w:val="0028059C"/>
    <w:rsid w:val="00281102"/>
    <w:rsid w:val="002813B6"/>
    <w:rsid w:val="00282724"/>
    <w:rsid w:val="0028320B"/>
    <w:rsid w:val="00284C1A"/>
    <w:rsid w:val="002853A9"/>
    <w:rsid w:val="00285ACA"/>
    <w:rsid w:val="00285EE8"/>
    <w:rsid w:val="0028638C"/>
    <w:rsid w:val="002865FD"/>
    <w:rsid w:val="00290FD0"/>
    <w:rsid w:val="002912A3"/>
    <w:rsid w:val="002918C8"/>
    <w:rsid w:val="00295F41"/>
    <w:rsid w:val="00295F74"/>
    <w:rsid w:val="00296FD1"/>
    <w:rsid w:val="002A0B76"/>
    <w:rsid w:val="002A15D7"/>
    <w:rsid w:val="002A3979"/>
    <w:rsid w:val="002A4033"/>
    <w:rsid w:val="002A456F"/>
    <w:rsid w:val="002A4C43"/>
    <w:rsid w:val="002A52A2"/>
    <w:rsid w:val="002A6B8E"/>
    <w:rsid w:val="002B048E"/>
    <w:rsid w:val="002B0714"/>
    <w:rsid w:val="002B0EFF"/>
    <w:rsid w:val="002B3563"/>
    <w:rsid w:val="002B4E74"/>
    <w:rsid w:val="002C2153"/>
    <w:rsid w:val="002C24D7"/>
    <w:rsid w:val="002C4E82"/>
    <w:rsid w:val="002C4FC9"/>
    <w:rsid w:val="002C62F4"/>
    <w:rsid w:val="002C7379"/>
    <w:rsid w:val="002D1680"/>
    <w:rsid w:val="002D1BB2"/>
    <w:rsid w:val="002D266E"/>
    <w:rsid w:val="002D2A27"/>
    <w:rsid w:val="002D2D60"/>
    <w:rsid w:val="002D3000"/>
    <w:rsid w:val="002D314C"/>
    <w:rsid w:val="002D425F"/>
    <w:rsid w:val="002D5C86"/>
    <w:rsid w:val="002D5E69"/>
    <w:rsid w:val="002D6DF4"/>
    <w:rsid w:val="002E08C6"/>
    <w:rsid w:val="002E26D1"/>
    <w:rsid w:val="002E3BF3"/>
    <w:rsid w:val="002E4A9E"/>
    <w:rsid w:val="002E7020"/>
    <w:rsid w:val="002F08BA"/>
    <w:rsid w:val="002F4BC1"/>
    <w:rsid w:val="00301251"/>
    <w:rsid w:val="00301BAD"/>
    <w:rsid w:val="00301EE1"/>
    <w:rsid w:val="00301F3F"/>
    <w:rsid w:val="00302A6A"/>
    <w:rsid w:val="00304383"/>
    <w:rsid w:val="00304953"/>
    <w:rsid w:val="00306928"/>
    <w:rsid w:val="00306941"/>
    <w:rsid w:val="00310E27"/>
    <w:rsid w:val="0031125D"/>
    <w:rsid w:val="003123E2"/>
    <w:rsid w:val="00313B2A"/>
    <w:rsid w:val="0031502B"/>
    <w:rsid w:val="00316111"/>
    <w:rsid w:val="0031745A"/>
    <w:rsid w:val="0032118C"/>
    <w:rsid w:val="00325316"/>
    <w:rsid w:val="00327473"/>
    <w:rsid w:val="00331C43"/>
    <w:rsid w:val="00331D4C"/>
    <w:rsid w:val="00334F34"/>
    <w:rsid w:val="00335989"/>
    <w:rsid w:val="00336A09"/>
    <w:rsid w:val="00340AC3"/>
    <w:rsid w:val="00343B93"/>
    <w:rsid w:val="00345576"/>
    <w:rsid w:val="003467FC"/>
    <w:rsid w:val="00346E13"/>
    <w:rsid w:val="003472A2"/>
    <w:rsid w:val="003477FD"/>
    <w:rsid w:val="0035016B"/>
    <w:rsid w:val="00350F14"/>
    <w:rsid w:val="00352ECE"/>
    <w:rsid w:val="00353CF8"/>
    <w:rsid w:val="003545D0"/>
    <w:rsid w:val="0035496F"/>
    <w:rsid w:val="00357149"/>
    <w:rsid w:val="00360412"/>
    <w:rsid w:val="00360919"/>
    <w:rsid w:val="00360CDF"/>
    <w:rsid w:val="0036285A"/>
    <w:rsid w:val="00362FE0"/>
    <w:rsid w:val="00363556"/>
    <w:rsid w:val="003648E1"/>
    <w:rsid w:val="00366827"/>
    <w:rsid w:val="00367D0F"/>
    <w:rsid w:val="0037294B"/>
    <w:rsid w:val="00372AA7"/>
    <w:rsid w:val="00373FED"/>
    <w:rsid w:val="003743FE"/>
    <w:rsid w:val="00380E16"/>
    <w:rsid w:val="00384615"/>
    <w:rsid w:val="00384A12"/>
    <w:rsid w:val="003859DC"/>
    <w:rsid w:val="00385D69"/>
    <w:rsid w:val="00387124"/>
    <w:rsid w:val="00390F13"/>
    <w:rsid w:val="003914A7"/>
    <w:rsid w:val="003917F2"/>
    <w:rsid w:val="003917FE"/>
    <w:rsid w:val="003971F7"/>
    <w:rsid w:val="00397374"/>
    <w:rsid w:val="00397771"/>
    <w:rsid w:val="003A0D1E"/>
    <w:rsid w:val="003A2395"/>
    <w:rsid w:val="003A316A"/>
    <w:rsid w:val="003A4141"/>
    <w:rsid w:val="003A5185"/>
    <w:rsid w:val="003A591E"/>
    <w:rsid w:val="003A6497"/>
    <w:rsid w:val="003A76AF"/>
    <w:rsid w:val="003B00A4"/>
    <w:rsid w:val="003B0351"/>
    <w:rsid w:val="003B0A86"/>
    <w:rsid w:val="003B32F4"/>
    <w:rsid w:val="003B4D57"/>
    <w:rsid w:val="003B5AD7"/>
    <w:rsid w:val="003B71D4"/>
    <w:rsid w:val="003B7ADE"/>
    <w:rsid w:val="003C0ECA"/>
    <w:rsid w:val="003C1126"/>
    <w:rsid w:val="003C267C"/>
    <w:rsid w:val="003C2C1E"/>
    <w:rsid w:val="003C3392"/>
    <w:rsid w:val="003C37FE"/>
    <w:rsid w:val="003C5638"/>
    <w:rsid w:val="003C5AEC"/>
    <w:rsid w:val="003C60BB"/>
    <w:rsid w:val="003C61E9"/>
    <w:rsid w:val="003C7551"/>
    <w:rsid w:val="003D2DBF"/>
    <w:rsid w:val="003D47B2"/>
    <w:rsid w:val="003D5DAF"/>
    <w:rsid w:val="003D67E6"/>
    <w:rsid w:val="003D77D3"/>
    <w:rsid w:val="003E023C"/>
    <w:rsid w:val="003E1C88"/>
    <w:rsid w:val="003E2C5B"/>
    <w:rsid w:val="003E6713"/>
    <w:rsid w:val="003E735C"/>
    <w:rsid w:val="003E7A63"/>
    <w:rsid w:val="003E7C94"/>
    <w:rsid w:val="003E7D30"/>
    <w:rsid w:val="003F0C71"/>
    <w:rsid w:val="003F1EA1"/>
    <w:rsid w:val="003F263C"/>
    <w:rsid w:val="003F30EE"/>
    <w:rsid w:val="003F5233"/>
    <w:rsid w:val="003F5876"/>
    <w:rsid w:val="003F7EB9"/>
    <w:rsid w:val="004003EF"/>
    <w:rsid w:val="00400643"/>
    <w:rsid w:val="00400978"/>
    <w:rsid w:val="00400E59"/>
    <w:rsid w:val="004011C7"/>
    <w:rsid w:val="00401471"/>
    <w:rsid w:val="00402661"/>
    <w:rsid w:val="00402699"/>
    <w:rsid w:val="00402EA5"/>
    <w:rsid w:val="00406469"/>
    <w:rsid w:val="004069DF"/>
    <w:rsid w:val="0040725C"/>
    <w:rsid w:val="00407546"/>
    <w:rsid w:val="00407785"/>
    <w:rsid w:val="00413117"/>
    <w:rsid w:val="00414840"/>
    <w:rsid w:val="00416AA5"/>
    <w:rsid w:val="00420328"/>
    <w:rsid w:val="0042100A"/>
    <w:rsid w:val="00422921"/>
    <w:rsid w:val="0042370A"/>
    <w:rsid w:val="0042434D"/>
    <w:rsid w:val="00427E8B"/>
    <w:rsid w:val="00430D80"/>
    <w:rsid w:val="00430F21"/>
    <w:rsid w:val="00431485"/>
    <w:rsid w:val="00433C83"/>
    <w:rsid w:val="004341B6"/>
    <w:rsid w:val="004342F8"/>
    <w:rsid w:val="00435F61"/>
    <w:rsid w:val="00436BEF"/>
    <w:rsid w:val="004454AD"/>
    <w:rsid w:val="00445FD9"/>
    <w:rsid w:val="00446AF6"/>
    <w:rsid w:val="00447ED7"/>
    <w:rsid w:val="00450FFF"/>
    <w:rsid w:val="004512C3"/>
    <w:rsid w:val="00451E70"/>
    <w:rsid w:val="004539F8"/>
    <w:rsid w:val="00454A3D"/>
    <w:rsid w:val="00461697"/>
    <w:rsid w:val="004618AC"/>
    <w:rsid w:val="0046195A"/>
    <w:rsid w:val="00464190"/>
    <w:rsid w:val="00464561"/>
    <w:rsid w:val="0046568A"/>
    <w:rsid w:val="004667F7"/>
    <w:rsid w:val="00466E17"/>
    <w:rsid w:val="00470F32"/>
    <w:rsid w:val="004717E6"/>
    <w:rsid w:val="004724CD"/>
    <w:rsid w:val="00477847"/>
    <w:rsid w:val="004803BB"/>
    <w:rsid w:val="00480CC8"/>
    <w:rsid w:val="00481E26"/>
    <w:rsid w:val="004840D0"/>
    <w:rsid w:val="004846F8"/>
    <w:rsid w:val="00484C29"/>
    <w:rsid w:val="00485A5D"/>
    <w:rsid w:val="00485E51"/>
    <w:rsid w:val="0048737F"/>
    <w:rsid w:val="004906F0"/>
    <w:rsid w:val="00491324"/>
    <w:rsid w:val="00492479"/>
    <w:rsid w:val="00493486"/>
    <w:rsid w:val="00493520"/>
    <w:rsid w:val="0049584D"/>
    <w:rsid w:val="00495F44"/>
    <w:rsid w:val="00497020"/>
    <w:rsid w:val="004A04F9"/>
    <w:rsid w:val="004A2816"/>
    <w:rsid w:val="004A2CAC"/>
    <w:rsid w:val="004A40CF"/>
    <w:rsid w:val="004A678D"/>
    <w:rsid w:val="004A6974"/>
    <w:rsid w:val="004A7266"/>
    <w:rsid w:val="004A761A"/>
    <w:rsid w:val="004B0C99"/>
    <w:rsid w:val="004B1DFB"/>
    <w:rsid w:val="004B201A"/>
    <w:rsid w:val="004B23FD"/>
    <w:rsid w:val="004B4270"/>
    <w:rsid w:val="004B6294"/>
    <w:rsid w:val="004B7BE0"/>
    <w:rsid w:val="004C0565"/>
    <w:rsid w:val="004C0DEF"/>
    <w:rsid w:val="004C25CD"/>
    <w:rsid w:val="004C264B"/>
    <w:rsid w:val="004C2BB2"/>
    <w:rsid w:val="004C4E7E"/>
    <w:rsid w:val="004C682E"/>
    <w:rsid w:val="004C6B69"/>
    <w:rsid w:val="004D0668"/>
    <w:rsid w:val="004D11C8"/>
    <w:rsid w:val="004D28D1"/>
    <w:rsid w:val="004D2ADF"/>
    <w:rsid w:val="004D2DB3"/>
    <w:rsid w:val="004D45DE"/>
    <w:rsid w:val="004D58B9"/>
    <w:rsid w:val="004D79A8"/>
    <w:rsid w:val="004E1695"/>
    <w:rsid w:val="004E2056"/>
    <w:rsid w:val="004E3A88"/>
    <w:rsid w:val="004E3BC1"/>
    <w:rsid w:val="004E4EAF"/>
    <w:rsid w:val="004E55DC"/>
    <w:rsid w:val="004E6BA9"/>
    <w:rsid w:val="004F1693"/>
    <w:rsid w:val="004F2F54"/>
    <w:rsid w:val="004F3DFE"/>
    <w:rsid w:val="004F3E13"/>
    <w:rsid w:val="004F62DA"/>
    <w:rsid w:val="004F7F29"/>
    <w:rsid w:val="00500AF2"/>
    <w:rsid w:val="00502D20"/>
    <w:rsid w:val="00502F92"/>
    <w:rsid w:val="005032D5"/>
    <w:rsid w:val="00503D76"/>
    <w:rsid w:val="00505D1E"/>
    <w:rsid w:val="00505DBA"/>
    <w:rsid w:val="00506E5A"/>
    <w:rsid w:val="00507491"/>
    <w:rsid w:val="005079AB"/>
    <w:rsid w:val="00514D49"/>
    <w:rsid w:val="00516113"/>
    <w:rsid w:val="0051728F"/>
    <w:rsid w:val="00517D9B"/>
    <w:rsid w:val="00517F31"/>
    <w:rsid w:val="00520A18"/>
    <w:rsid w:val="005232D7"/>
    <w:rsid w:val="005242BA"/>
    <w:rsid w:val="0052624A"/>
    <w:rsid w:val="00527F6F"/>
    <w:rsid w:val="00530119"/>
    <w:rsid w:val="005313AD"/>
    <w:rsid w:val="00535A93"/>
    <w:rsid w:val="005361FC"/>
    <w:rsid w:val="005373DA"/>
    <w:rsid w:val="00537861"/>
    <w:rsid w:val="00540425"/>
    <w:rsid w:val="005430EF"/>
    <w:rsid w:val="00543412"/>
    <w:rsid w:val="0054342E"/>
    <w:rsid w:val="00543709"/>
    <w:rsid w:val="00545107"/>
    <w:rsid w:val="00545243"/>
    <w:rsid w:val="005465C4"/>
    <w:rsid w:val="00546FEE"/>
    <w:rsid w:val="0055098D"/>
    <w:rsid w:val="0055224C"/>
    <w:rsid w:val="00555C7E"/>
    <w:rsid w:val="005562B6"/>
    <w:rsid w:val="00557FAA"/>
    <w:rsid w:val="00560710"/>
    <w:rsid w:val="00560847"/>
    <w:rsid w:val="005613B0"/>
    <w:rsid w:val="005637CC"/>
    <w:rsid w:val="00563996"/>
    <w:rsid w:val="00564D1D"/>
    <w:rsid w:val="00564DA7"/>
    <w:rsid w:val="0056607F"/>
    <w:rsid w:val="005660CF"/>
    <w:rsid w:val="00571799"/>
    <w:rsid w:val="0057317D"/>
    <w:rsid w:val="00574285"/>
    <w:rsid w:val="0057469B"/>
    <w:rsid w:val="00575100"/>
    <w:rsid w:val="00576784"/>
    <w:rsid w:val="0057692A"/>
    <w:rsid w:val="00581B28"/>
    <w:rsid w:val="0058370D"/>
    <w:rsid w:val="00587E6B"/>
    <w:rsid w:val="00591AE1"/>
    <w:rsid w:val="00591C96"/>
    <w:rsid w:val="00592FF5"/>
    <w:rsid w:val="00594D25"/>
    <w:rsid w:val="00595A03"/>
    <w:rsid w:val="00595A47"/>
    <w:rsid w:val="005A02A2"/>
    <w:rsid w:val="005A1048"/>
    <w:rsid w:val="005A214D"/>
    <w:rsid w:val="005A5A0B"/>
    <w:rsid w:val="005B0129"/>
    <w:rsid w:val="005B07D6"/>
    <w:rsid w:val="005B2492"/>
    <w:rsid w:val="005B3009"/>
    <w:rsid w:val="005B4A1E"/>
    <w:rsid w:val="005B547A"/>
    <w:rsid w:val="005B5D57"/>
    <w:rsid w:val="005B5DEB"/>
    <w:rsid w:val="005B6289"/>
    <w:rsid w:val="005B74AE"/>
    <w:rsid w:val="005B7DB2"/>
    <w:rsid w:val="005C011F"/>
    <w:rsid w:val="005C1D2D"/>
    <w:rsid w:val="005C2F8F"/>
    <w:rsid w:val="005C3485"/>
    <w:rsid w:val="005C46E2"/>
    <w:rsid w:val="005D1907"/>
    <w:rsid w:val="005D6809"/>
    <w:rsid w:val="005D7EF7"/>
    <w:rsid w:val="005E0138"/>
    <w:rsid w:val="005E0346"/>
    <w:rsid w:val="005E0875"/>
    <w:rsid w:val="005E0F3F"/>
    <w:rsid w:val="005E24E9"/>
    <w:rsid w:val="005E2FC0"/>
    <w:rsid w:val="005E36AC"/>
    <w:rsid w:val="005E5824"/>
    <w:rsid w:val="005E647B"/>
    <w:rsid w:val="005E786C"/>
    <w:rsid w:val="005F071E"/>
    <w:rsid w:val="005F0CEA"/>
    <w:rsid w:val="005F2716"/>
    <w:rsid w:val="005F45F2"/>
    <w:rsid w:val="005F4A82"/>
    <w:rsid w:val="005F4EB2"/>
    <w:rsid w:val="005F554C"/>
    <w:rsid w:val="005F67E2"/>
    <w:rsid w:val="005F77E9"/>
    <w:rsid w:val="005F7E15"/>
    <w:rsid w:val="00600AD6"/>
    <w:rsid w:val="006011A7"/>
    <w:rsid w:val="006019B3"/>
    <w:rsid w:val="006029ED"/>
    <w:rsid w:val="00603D20"/>
    <w:rsid w:val="00604289"/>
    <w:rsid w:val="0060545B"/>
    <w:rsid w:val="00605C2E"/>
    <w:rsid w:val="0060757D"/>
    <w:rsid w:val="00610338"/>
    <w:rsid w:val="00611DB3"/>
    <w:rsid w:val="006125B2"/>
    <w:rsid w:val="00614D8E"/>
    <w:rsid w:val="00615495"/>
    <w:rsid w:val="00615512"/>
    <w:rsid w:val="006206A9"/>
    <w:rsid w:val="006211F7"/>
    <w:rsid w:val="00623D59"/>
    <w:rsid w:val="00624C52"/>
    <w:rsid w:val="00624D9C"/>
    <w:rsid w:val="00626205"/>
    <w:rsid w:val="00626805"/>
    <w:rsid w:val="00626DD7"/>
    <w:rsid w:val="00631831"/>
    <w:rsid w:val="006337A5"/>
    <w:rsid w:val="00635F8A"/>
    <w:rsid w:val="0063639C"/>
    <w:rsid w:val="00641217"/>
    <w:rsid w:val="00642840"/>
    <w:rsid w:val="00642E6E"/>
    <w:rsid w:val="00643658"/>
    <w:rsid w:val="0064537C"/>
    <w:rsid w:val="00645F39"/>
    <w:rsid w:val="0064657D"/>
    <w:rsid w:val="00647816"/>
    <w:rsid w:val="006511A9"/>
    <w:rsid w:val="006515F1"/>
    <w:rsid w:val="00652C98"/>
    <w:rsid w:val="00652E4E"/>
    <w:rsid w:val="00653AFF"/>
    <w:rsid w:val="00653BB3"/>
    <w:rsid w:val="00654A55"/>
    <w:rsid w:val="00657D52"/>
    <w:rsid w:val="0066035D"/>
    <w:rsid w:val="006621F3"/>
    <w:rsid w:val="006636D8"/>
    <w:rsid w:val="006648C7"/>
    <w:rsid w:val="00666BDA"/>
    <w:rsid w:val="00671DF5"/>
    <w:rsid w:val="00671E05"/>
    <w:rsid w:val="00672105"/>
    <w:rsid w:val="00672803"/>
    <w:rsid w:val="00673073"/>
    <w:rsid w:val="00673719"/>
    <w:rsid w:val="006745BF"/>
    <w:rsid w:val="00675640"/>
    <w:rsid w:val="006762FF"/>
    <w:rsid w:val="006803E4"/>
    <w:rsid w:val="00680F6A"/>
    <w:rsid w:val="006820FD"/>
    <w:rsid w:val="00682329"/>
    <w:rsid w:val="00682FCB"/>
    <w:rsid w:val="00684127"/>
    <w:rsid w:val="0068558D"/>
    <w:rsid w:val="00686C74"/>
    <w:rsid w:val="00687ACB"/>
    <w:rsid w:val="006918AA"/>
    <w:rsid w:val="00693DAE"/>
    <w:rsid w:val="00694A9C"/>
    <w:rsid w:val="006A008E"/>
    <w:rsid w:val="006A2509"/>
    <w:rsid w:val="006A2AEE"/>
    <w:rsid w:val="006A44AB"/>
    <w:rsid w:val="006A54F7"/>
    <w:rsid w:val="006A6298"/>
    <w:rsid w:val="006A66A7"/>
    <w:rsid w:val="006A75F7"/>
    <w:rsid w:val="006A780B"/>
    <w:rsid w:val="006A7BCA"/>
    <w:rsid w:val="006A7CD4"/>
    <w:rsid w:val="006B0372"/>
    <w:rsid w:val="006B1901"/>
    <w:rsid w:val="006B2267"/>
    <w:rsid w:val="006B2FF7"/>
    <w:rsid w:val="006B564D"/>
    <w:rsid w:val="006B71DD"/>
    <w:rsid w:val="006C2177"/>
    <w:rsid w:val="006C31AC"/>
    <w:rsid w:val="006C31E3"/>
    <w:rsid w:val="006C3269"/>
    <w:rsid w:val="006C3FBF"/>
    <w:rsid w:val="006C5247"/>
    <w:rsid w:val="006C5B65"/>
    <w:rsid w:val="006C653D"/>
    <w:rsid w:val="006D1F3B"/>
    <w:rsid w:val="006D25E5"/>
    <w:rsid w:val="006D33F0"/>
    <w:rsid w:val="006D362B"/>
    <w:rsid w:val="006D3D1B"/>
    <w:rsid w:val="006D44B9"/>
    <w:rsid w:val="006D4EE0"/>
    <w:rsid w:val="006D50E7"/>
    <w:rsid w:val="006D52FC"/>
    <w:rsid w:val="006D66B0"/>
    <w:rsid w:val="006D6F27"/>
    <w:rsid w:val="006D7123"/>
    <w:rsid w:val="006E14B9"/>
    <w:rsid w:val="006E1FE3"/>
    <w:rsid w:val="006E2D18"/>
    <w:rsid w:val="006E397A"/>
    <w:rsid w:val="006E3BD3"/>
    <w:rsid w:val="006E6073"/>
    <w:rsid w:val="006E675E"/>
    <w:rsid w:val="006E6915"/>
    <w:rsid w:val="006E727C"/>
    <w:rsid w:val="006E74B4"/>
    <w:rsid w:val="006F2093"/>
    <w:rsid w:val="006F2097"/>
    <w:rsid w:val="006F3747"/>
    <w:rsid w:val="006F42A0"/>
    <w:rsid w:val="006F5D6F"/>
    <w:rsid w:val="006F5D97"/>
    <w:rsid w:val="006F79FA"/>
    <w:rsid w:val="00701FE2"/>
    <w:rsid w:val="00702AD5"/>
    <w:rsid w:val="0070383C"/>
    <w:rsid w:val="00705FE3"/>
    <w:rsid w:val="00707E12"/>
    <w:rsid w:val="00711920"/>
    <w:rsid w:val="00712DFA"/>
    <w:rsid w:val="00714905"/>
    <w:rsid w:val="00715636"/>
    <w:rsid w:val="00715C25"/>
    <w:rsid w:val="00717060"/>
    <w:rsid w:val="0072097E"/>
    <w:rsid w:val="007210E3"/>
    <w:rsid w:val="00722E6B"/>
    <w:rsid w:val="0072363E"/>
    <w:rsid w:val="00724122"/>
    <w:rsid w:val="007245AB"/>
    <w:rsid w:val="00724AAA"/>
    <w:rsid w:val="0072577A"/>
    <w:rsid w:val="007262BF"/>
    <w:rsid w:val="00727E61"/>
    <w:rsid w:val="00730553"/>
    <w:rsid w:val="007315DE"/>
    <w:rsid w:val="00735A3C"/>
    <w:rsid w:val="00736BDB"/>
    <w:rsid w:val="00736CC4"/>
    <w:rsid w:val="007370FE"/>
    <w:rsid w:val="00737A86"/>
    <w:rsid w:val="00737B24"/>
    <w:rsid w:val="00740AC4"/>
    <w:rsid w:val="00741286"/>
    <w:rsid w:val="00744A0D"/>
    <w:rsid w:val="007460A7"/>
    <w:rsid w:val="00746136"/>
    <w:rsid w:val="007469D6"/>
    <w:rsid w:val="0075354C"/>
    <w:rsid w:val="0075649A"/>
    <w:rsid w:val="007575CF"/>
    <w:rsid w:val="00761B43"/>
    <w:rsid w:val="00762930"/>
    <w:rsid w:val="00764C2A"/>
    <w:rsid w:val="00767662"/>
    <w:rsid w:val="00767EE7"/>
    <w:rsid w:val="00772A74"/>
    <w:rsid w:val="00772D16"/>
    <w:rsid w:val="007730B8"/>
    <w:rsid w:val="007733FE"/>
    <w:rsid w:val="00773EA2"/>
    <w:rsid w:val="00775ABD"/>
    <w:rsid w:val="00776BE0"/>
    <w:rsid w:val="007813E3"/>
    <w:rsid w:val="00781BE5"/>
    <w:rsid w:val="00782016"/>
    <w:rsid w:val="00783505"/>
    <w:rsid w:val="00783AEC"/>
    <w:rsid w:val="007870E7"/>
    <w:rsid w:val="007873F6"/>
    <w:rsid w:val="0079126F"/>
    <w:rsid w:val="00791F23"/>
    <w:rsid w:val="00794B9C"/>
    <w:rsid w:val="007956C8"/>
    <w:rsid w:val="007A305C"/>
    <w:rsid w:val="007A4790"/>
    <w:rsid w:val="007A49EB"/>
    <w:rsid w:val="007A4E0E"/>
    <w:rsid w:val="007A5638"/>
    <w:rsid w:val="007A592B"/>
    <w:rsid w:val="007A5E18"/>
    <w:rsid w:val="007A62EB"/>
    <w:rsid w:val="007A63C0"/>
    <w:rsid w:val="007A71A3"/>
    <w:rsid w:val="007B03EF"/>
    <w:rsid w:val="007B1C56"/>
    <w:rsid w:val="007B217C"/>
    <w:rsid w:val="007B2ABB"/>
    <w:rsid w:val="007B2C6E"/>
    <w:rsid w:val="007B41E6"/>
    <w:rsid w:val="007B5299"/>
    <w:rsid w:val="007B61B6"/>
    <w:rsid w:val="007B64F6"/>
    <w:rsid w:val="007B6803"/>
    <w:rsid w:val="007B7BA9"/>
    <w:rsid w:val="007C2CD9"/>
    <w:rsid w:val="007C2FCB"/>
    <w:rsid w:val="007C3BDC"/>
    <w:rsid w:val="007C3F24"/>
    <w:rsid w:val="007C3F31"/>
    <w:rsid w:val="007C4175"/>
    <w:rsid w:val="007C4735"/>
    <w:rsid w:val="007C7CC4"/>
    <w:rsid w:val="007C7FF7"/>
    <w:rsid w:val="007D34DD"/>
    <w:rsid w:val="007D53CF"/>
    <w:rsid w:val="007D7203"/>
    <w:rsid w:val="007D7C78"/>
    <w:rsid w:val="007E0098"/>
    <w:rsid w:val="007E06DA"/>
    <w:rsid w:val="007E0764"/>
    <w:rsid w:val="007E0FD4"/>
    <w:rsid w:val="007E16E7"/>
    <w:rsid w:val="007E21B4"/>
    <w:rsid w:val="007E286E"/>
    <w:rsid w:val="007E2C91"/>
    <w:rsid w:val="007E51CB"/>
    <w:rsid w:val="007F0287"/>
    <w:rsid w:val="007F0646"/>
    <w:rsid w:val="007F3277"/>
    <w:rsid w:val="007F3764"/>
    <w:rsid w:val="007F3EE6"/>
    <w:rsid w:val="007F640D"/>
    <w:rsid w:val="007F6503"/>
    <w:rsid w:val="007F73E2"/>
    <w:rsid w:val="00801706"/>
    <w:rsid w:val="00802482"/>
    <w:rsid w:val="00802C04"/>
    <w:rsid w:val="008033C2"/>
    <w:rsid w:val="008037DB"/>
    <w:rsid w:val="008053B8"/>
    <w:rsid w:val="008062D3"/>
    <w:rsid w:val="00806802"/>
    <w:rsid w:val="0080687D"/>
    <w:rsid w:val="00807054"/>
    <w:rsid w:val="0081142B"/>
    <w:rsid w:val="0081156F"/>
    <w:rsid w:val="00811B70"/>
    <w:rsid w:val="00813D31"/>
    <w:rsid w:val="008155D6"/>
    <w:rsid w:val="00816ECA"/>
    <w:rsid w:val="0081701C"/>
    <w:rsid w:val="008243CF"/>
    <w:rsid w:val="008244A3"/>
    <w:rsid w:val="00824E76"/>
    <w:rsid w:val="0082790C"/>
    <w:rsid w:val="008319DA"/>
    <w:rsid w:val="00832D03"/>
    <w:rsid w:val="0083340F"/>
    <w:rsid w:val="00835421"/>
    <w:rsid w:val="00836184"/>
    <w:rsid w:val="00836BDF"/>
    <w:rsid w:val="0083713B"/>
    <w:rsid w:val="00837D48"/>
    <w:rsid w:val="00837DBD"/>
    <w:rsid w:val="00840C54"/>
    <w:rsid w:val="00841904"/>
    <w:rsid w:val="00841A30"/>
    <w:rsid w:val="00842E7A"/>
    <w:rsid w:val="00843308"/>
    <w:rsid w:val="00843F3F"/>
    <w:rsid w:val="00845859"/>
    <w:rsid w:val="00846251"/>
    <w:rsid w:val="00847FA4"/>
    <w:rsid w:val="00851F92"/>
    <w:rsid w:val="00852B0D"/>
    <w:rsid w:val="008535F6"/>
    <w:rsid w:val="00853CA5"/>
    <w:rsid w:val="008554A7"/>
    <w:rsid w:val="00857A3F"/>
    <w:rsid w:val="00860F1E"/>
    <w:rsid w:val="00861735"/>
    <w:rsid w:val="0086188F"/>
    <w:rsid w:val="00863692"/>
    <w:rsid w:val="00863949"/>
    <w:rsid w:val="0086599B"/>
    <w:rsid w:val="00865B34"/>
    <w:rsid w:val="008674D3"/>
    <w:rsid w:val="00867605"/>
    <w:rsid w:val="00867A2F"/>
    <w:rsid w:val="00870AEC"/>
    <w:rsid w:val="00871982"/>
    <w:rsid w:val="008721E1"/>
    <w:rsid w:val="008730C5"/>
    <w:rsid w:val="00873B48"/>
    <w:rsid w:val="00874715"/>
    <w:rsid w:val="00876F29"/>
    <w:rsid w:val="008777C2"/>
    <w:rsid w:val="00880828"/>
    <w:rsid w:val="00882647"/>
    <w:rsid w:val="00883DF0"/>
    <w:rsid w:val="00885239"/>
    <w:rsid w:val="00890E29"/>
    <w:rsid w:val="00891C92"/>
    <w:rsid w:val="008950F6"/>
    <w:rsid w:val="008A023C"/>
    <w:rsid w:val="008A0E04"/>
    <w:rsid w:val="008A3101"/>
    <w:rsid w:val="008A5691"/>
    <w:rsid w:val="008B250B"/>
    <w:rsid w:val="008B31DA"/>
    <w:rsid w:val="008B36C0"/>
    <w:rsid w:val="008B4499"/>
    <w:rsid w:val="008B48F0"/>
    <w:rsid w:val="008B6230"/>
    <w:rsid w:val="008C032D"/>
    <w:rsid w:val="008C1E44"/>
    <w:rsid w:val="008C2259"/>
    <w:rsid w:val="008C32AB"/>
    <w:rsid w:val="008C3E5C"/>
    <w:rsid w:val="008C3F38"/>
    <w:rsid w:val="008C4E24"/>
    <w:rsid w:val="008C5B47"/>
    <w:rsid w:val="008C70F9"/>
    <w:rsid w:val="008D13C0"/>
    <w:rsid w:val="008D15AA"/>
    <w:rsid w:val="008D3FC0"/>
    <w:rsid w:val="008D532B"/>
    <w:rsid w:val="008D5F4B"/>
    <w:rsid w:val="008D60D2"/>
    <w:rsid w:val="008D6977"/>
    <w:rsid w:val="008D6F97"/>
    <w:rsid w:val="008E00BC"/>
    <w:rsid w:val="008E37F1"/>
    <w:rsid w:val="008E47B1"/>
    <w:rsid w:val="008E4859"/>
    <w:rsid w:val="008E4B26"/>
    <w:rsid w:val="008E4F2C"/>
    <w:rsid w:val="008E51AC"/>
    <w:rsid w:val="008E5299"/>
    <w:rsid w:val="008E536C"/>
    <w:rsid w:val="008E5669"/>
    <w:rsid w:val="008E6D97"/>
    <w:rsid w:val="008F0583"/>
    <w:rsid w:val="008F1607"/>
    <w:rsid w:val="008F23A2"/>
    <w:rsid w:val="008F2A1C"/>
    <w:rsid w:val="008F4333"/>
    <w:rsid w:val="008F73BC"/>
    <w:rsid w:val="008F7FB4"/>
    <w:rsid w:val="0090182E"/>
    <w:rsid w:val="009018D9"/>
    <w:rsid w:val="00901C08"/>
    <w:rsid w:val="00901CA7"/>
    <w:rsid w:val="00901DD9"/>
    <w:rsid w:val="00902FF5"/>
    <w:rsid w:val="00904907"/>
    <w:rsid w:val="009052E1"/>
    <w:rsid w:val="00905699"/>
    <w:rsid w:val="00906414"/>
    <w:rsid w:val="0090687C"/>
    <w:rsid w:val="00906C9E"/>
    <w:rsid w:val="00910002"/>
    <w:rsid w:val="00911773"/>
    <w:rsid w:val="00912B0E"/>
    <w:rsid w:val="00913D42"/>
    <w:rsid w:val="00914BEB"/>
    <w:rsid w:val="00914EED"/>
    <w:rsid w:val="00914EFB"/>
    <w:rsid w:val="00917903"/>
    <w:rsid w:val="0092068E"/>
    <w:rsid w:val="0092163F"/>
    <w:rsid w:val="00923CE9"/>
    <w:rsid w:val="009242E0"/>
    <w:rsid w:val="0092464C"/>
    <w:rsid w:val="009268C8"/>
    <w:rsid w:val="009317EA"/>
    <w:rsid w:val="00932705"/>
    <w:rsid w:val="00933580"/>
    <w:rsid w:val="0093460B"/>
    <w:rsid w:val="00934A66"/>
    <w:rsid w:val="00934B3E"/>
    <w:rsid w:val="00935DBA"/>
    <w:rsid w:val="00936AC3"/>
    <w:rsid w:val="00940495"/>
    <w:rsid w:val="00940943"/>
    <w:rsid w:val="00941E2D"/>
    <w:rsid w:val="009420B7"/>
    <w:rsid w:val="00943071"/>
    <w:rsid w:val="00943AAB"/>
    <w:rsid w:val="00943EEA"/>
    <w:rsid w:val="009440D1"/>
    <w:rsid w:val="00944E7D"/>
    <w:rsid w:val="00945E8E"/>
    <w:rsid w:val="00946E40"/>
    <w:rsid w:val="009479D2"/>
    <w:rsid w:val="009512A3"/>
    <w:rsid w:val="0095168A"/>
    <w:rsid w:val="009522DC"/>
    <w:rsid w:val="00954839"/>
    <w:rsid w:val="00954CA8"/>
    <w:rsid w:val="009551AF"/>
    <w:rsid w:val="00955282"/>
    <w:rsid w:val="00956592"/>
    <w:rsid w:val="00956A20"/>
    <w:rsid w:val="00957ACF"/>
    <w:rsid w:val="00960084"/>
    <w:rsid w:val="00961AAA"/>
    <w:rsid w:val="0096240A"/>
    <w:rsid w:val="00962FBC"/>
    <w:rsid w:val="009649F5"/>
    <w:rsid w:val="0096583C"/>
    <w:rsid w:val="009660B9"/>
    <w:rsid w:val="00966C0E"/>
    <w:rsid w:val="00966F81"/>
    <w:rsid w:val="00967708"/>
    <w:rsid w:val="00967EA7"/>
    <w:rsid w:val="0097129E"/>
    <w:rsid w:val="00971A1E"/>
    <w:rsid w:val="00971AE8"/>
    <w:rsid w:val="00971C77"/>
    <w:rsid w:val="00973CBA"/>
    <w:rsid w:val="009754F3"/>
    <w:rsid w:val="0097565A"/>
    <w:rsid w:val="009760CA"/>
    <w:rsid w:val="00976CDC"/>
    <w:rsid w:val="009775EB"/>
    <w:rsid w:val="009846B0"/>
    <w:rsid w:val="009866AF"/>
    <w:rsid w:val="00987015"/>
    <w:rsid w:val="0098718F"/>
    <w:rsid w:val="00990A03"/>
    <w:rsid w:val="00993B69"/>
    <w:rsid w:val="00994EAC"/>
    <w:rsid w:val="00995B7A"/>
    <w:rsid w:val="009A1527"/>
    <w:rsid w:val="009A2FD7"/>
    <w:rsid w:val="009A305A"/>
    <w:rsid w:val="009A4CE4"/>
    <w:rsid w:val="009A580A"/>
    <w:rsid w:val="009A5990"/>
    <w:rsid w:val="009A5AF8"/>
    <w:rsid w:val="009B14C9"/>
    <w:rsid w:val="009B2412"/>
    <w:rsid w:val="009B3C62"/>
    <w:rsid w:val="009B46BE"/>
    <w:rsid w:val="009B7E4B"/>
    <w:rsid w:val="009C04D5"/>
    <w:rsid w:val="009C06B2"/>
    <w:rsid w:val="009C07A5"/>
    <w:rsid w:val="009C20A0"/>
    <w:rsid w:val="009C2DE3"/>
    <w:rsid w:val="009C37F3"/>
    <w:rsid w:val="009C6D1F"/>
    <w:rsid w:val="009C7532"/>
    <w:rsid w:val="009D0769"/>
    <w:rsid w:val="009D07C9"/>
    <w:rsid w:val="009D0865"/>
    <w:rsid w:val="009D163A"/>
    <w:rsid w:val="009D247D"/>
    <w:rsid w:val="009D2665"/>
    <w:rsid w:val="009D4896"/>
    <w:rsid w:val="009D4DC5"/>
    <w:rsid w:val="009D7670"/>
    <w:rsid w:val="009E0267"/>
    <w:rsid w:val="009E059D"/>
    <w:rsid w:val="009E0DDA"/>
    <w:rsid w:val="009E2FED"/>
    <w:rsid w:val="009E3566"/>
    <w:rsid w:val="009E38FC"/>
    <w:rsid w:val="009E7900"/>
    <w:rsid w:val="009F0032"/>
    <w:rsid w:val="009F1876"/>
    <w:rsid w:val="009F199A"/>
    <w:rsid w:val="009F2D10"/>
    <w:rsid w:val="009F4272"/>
    <w:rsid w:val="009F5826"/>
    <w:rsid w:val="009F6502"/>
    <w:rsid w:val="009F7785"/>
    <w:rsid w:val="00A009CC"/>
    <w:rsid w:val="00A00F1B"/>
    <w:rsid w:val="00A0267A"/>
    <w:rsid w:val="00A03AEC"/>
    <w:rsid w:val="00A05E10"/>
    <w:rsid w:val="00A0651B"/>
    <w:rsid w:val="00A07CAB"/>
    <w:rsid w:val="00A07F7A"/>
    <w:rsid w:val="00A10B85"/>
    <w:rsid w:val="00A10F8A"/>
    <w:rsid w:val="00A11852"/>
    <w:rsid w:val="00A1297C"/>
    <w:rsid w:val="00A137B0"/>
    <w:rsid w:val="00A15D98"/>
    <w:rsid w:val="00A1656D"/>
    <w:rsid w:val="00A201DF"/>
    <w:rsid w:val="00A208B2"/>
    <w:rsid w:val="00A2270E"/>
    <w:rsid w:val="00A2513E"/>
    <w:rsid w:val="00A252F0"/>
    <w:rsid w:val="00A30EB5"/>
    <w:rsid w:val="00A34EFC"/>
    <w:rsid w:val="00A36671"/>
    <w:rsid w:val="00A40E65"/>
    <w:rsid w:val="00A44726"/>
    <w:rsid w:val="00A45E80"/>
    <w:rsid w:val="00A462E5"/>
    <w:rsid w:val="00A46BF2"/>
    <w:rsid w:val="00A47ACE"/>
    <w:rsid w:val="00A51FD0"/>
    <w:rsid w:val="00A53DED"/>
    <w:rsid w:val="00A5529F"/>
    <w:rsid w:val="00A56839"/>
    <w:rsid w:val="00A56BFB"/>
    <w:rsid w:val="00A61127"/>
    <w:rsid w:val="00A615AB"/>
    <w:rsid w:val="00A616AF"/>
    <w:rsid w:val="00A62779"/>
    <w:rsid w:val="00A6333B"/>
    <w:rsid w:val="00A63409"/>
    <w:rsid w:val="00A6511E"/>
    <w:rsid w:val="00A66BDE"/>
    <w:rsid w:val="00A677B7"/>
    <w:rsid w:val="00A67CAE"/>
    <w:rsid w:val="00A7143F"/>
    <w:rsid w:val="00A71AC1"/>
    <w:rsid w:val="00A725B5"/>
    <w:rsid w:val="00A7399F"/>
    <w:rsid w:val="00A74682"/>
    <w:rsid w:val="00A7578A"/>
    <w:rsid w:val="00A75F4E"/>
    <w:rsid w:val="00A77515"/>
    <w:rsid w:val="00A7779A"/>
    <w:rsid w:val="00A77BA9"/>
    <w:rsid w:val="00A80AC3"/>
    <w:rsid w:val="00A8177D"/>
    <w:rsid w:val="00A821BF"/>
    <w:rsid w:val="00A83699"/>
    <w:rsid w:val="00A8523B"/>
    <w:rsid w:val="00A856D7"/>
    <w:rsid w:val="00A867C4"/>
    <w:rsid w:val="00A94355"/>
    <w:rsid w:val="00A950BC"/>
    <w:rsid w:val="00A9570E"/>
    <w:rsid w:val="00A95CA1"/>
    <w:rsid w:val="00A97A0E"/>
    <w:rsid w:val="00A97A56"/>
    <w:rsid w:val="00A97F64"/>
    <w:rsid w:val="00AA3148"/>
    <w:rsid w:val="00AA3AC6"/>
    <w:rsid w:val="00AA46C6"/>
    <w:rsid w:val="00AA498B"/>
    <w:rsid w:val="00AA49CB"/>
    <w:rsid w:val="00AA4B5F"/>
    <w:rsid w:val="00AA6297"/>
    <w:rsid w:val="00AA656F"/>
    <w:rsid w:val="00AB1E7D"/>
    <w:rsid w:val="00AB21A5"/>
    <w:rsid w:val="00AB2466"/>
    <w:rsid w:val="00AB2F70"/>
    <w:rsid w:val="00AB5138"/>
    <w:rsid w:val="00AB560B"/>
    <w:rsid w:val="00AB5CFC"/>
    <w:rsid w:val="00AB6395"/>
    <w:rsid w:val="00AC0210"/>
    <w:rsid w:val="00AC0506"/>
    <w:rsid w:val="00AC60EB"/>
    <w:rsid w:val="00AD05AF"/>
    <w:rsid w:val="00AD0E83"/>
    <w:rsid w:val="00AD10C8"/>
    <w:rsid w:val="00AD16B4"/>
    <w:rsid w:val="00AD50CA"/>
    <w:rsid w:val="00AD6095"/>
    <w:rsid w:val="00AD67D9"/>
    <w:rsid w:val="00AD6A41"/>
    <w:rsid w:val="00AE1879"/>
    <w:rsid w:val="00AE2962"/>
    <w:rsid w:val="00AE391D"/>
    <w:rsid w:val="00AE4697"/>
    <w:rsid w:val="00AE6416"/>
    <w:rsid w:val="00AE6672"/>
    <w:rsid w:val="00AE7208"/>
    <w:rsid w:val="00AE7B07"/>
    <w:rsid w:val="00AF0E12"/>
    <w:rsid w:val="00AF102F"/>
    <w:rsid w:val="00AF2840"/>
    <w:rsid w:val="00AF2C61"/>
    <w:rsid w:val="00AF46D0"/>
    <w:rsid w:val="00AF4C83"/>
    <w:rsid w:val="00AF75C3"/>
    <w:rsid w:val="00B00387"/>
    <w:rsid w:val="00B01C8E"/>
    <w:rsid w:val="00B01D06"/>
    <w:rsid w:val="00B02FE9"/>
    <w:rsid w:val="00B032F7"/>
    <w:rsid w:val="00B10EB5"/>
    <w:rsid w:val="00B11A02"/>
    <w:rsid w:val="00B12214"/>
    <w:rsid w:val="00B12584"/>
    <w:rsid w:val="00B12D33"/>
    <w:rsid w:val="00B16501"/>
    <w:rsid w:val="00B16E77"/>
    <w:rsid w:val="00B17B58"/>
    <w:rsid w:val="00B204CC"/>
    <w:rsid w:val="00B209CA"/>
    <w:rsid w:val="00B20A22"/>
    <w:rsid w:val="00B226B9"/>
    <w:rsid w:val="00B22904"/>
    <w:rsid w:val="00B22BF7"/>
    <w:rsid w:val="00B23392"/>
    <w:rsid w:val="00B23B88"/>
    <w:rsid w:val="00B269AC"/>
    <w:rsid w:val="00B2703D"/>
    <w:rsid w:val="00B2744C"/>
    <w:rsid w:val="00B27E6E"/>
    <w:rsid w:val="00B30E8E"/>
    <w:rsid w:val="00B31098"/>
    <w:rsid w:val="00B32FBA"/>
    <w:rsid w:val="00B411FC"/>
    <w:rsid w:val="00B430E2"/>
    <w:rsid w:val="00B43DEC"/>
    <w:rsid w:val="00B503B3"/>
    <w:rsid w:val="00B52AB8"/>
    <w:rsid w:val="00B530A6"/>
    <w:rsid w:val="00B53199"/>
    <w:rsid w:val="00B54D6E"/>
    <w:rsid w:val="00B60A63"/>
    <w:rsid w:val="00B61123"/>
    <w:rsid w:val="00B6133B"/>
    <w:rsid w:val="00B64EC4"/>
    <w:rsid w:val="00B65C32"/>
    <w:rsid w:val="00B67088"/>
    <w:rsid w:val="00B702F8"/>
    <w:rsid w:val="00B70B18"/>
    <w:rsid w:val="00B7567F"/>
    <w:rsid w:val="00B75D3A"/>
    <w:rsid w:val="00B77768"/>
    <w:rsid w:val="00B81366"/>
    <w:rsid w:val="00B827AD"/>
    <w:rsid w:val="00B83F37"/>
    <w:rsid w:val="00B84346"/>
    <w:rsid w:val="00B9057D"/>
    <w:rsid w:val="00B92FBE"/>
    <w:rsid w:val="00B93ED5"/>
    <w:rsid w:val="00B93F79"/>
    <w:rsid w:val="00B94494"/>
    <w:rsid w:val="00B95AB6"/>
    <w:rsid w:val="00B96989"/>
    <w:rsid w:val="00BA0248"/>
    <w:rsid w:val="00BA0E7D"/>
    <w:rsid w:val="00BA15D7"/>
    <w:rsid w:val="00BA2A6D"/>
    <w:rsid w:val="00BA2F65"/>
    <w:rsid w:val="00BA64D4"/>
    <w:rsid w:val="00BA769F"/>
    <w:rsid w:val="00BA7FDB"/>
    <w:rsid w:val="00BB1F7C"/>
    <w:rsid w:val="00BB2679"/>
    <w:rsid w:val="00BB28FF"/>
    <w:rsid w:val="00BB33E6"/>
    <w:rsid w:val="00BB394E"/>
    <w:rsid w:val="00BB3F0B"/>
    <w:rsid w:val="00BB4416"/>
    <w:rsid w:val="00BB49B9"/>
    <w:rsid w:val="00BB5A83"/>
    <w:rsid w:val="00BB69BF"/>
    <w:rsid w:val="00BB6A94"/>
    <w:rsid w:val="00BB7C54"/>
    <w:rsid w:val="00BD1145"/>
    <w:rsid w:val="00BD574B"/>
    <w:rsid w:val="00BD5C59"/>
    <w:rsid w:val="00BE00DA"/>
    <w:rsid w:val="00BE0421"/>
    <w:rsid w:val="00BE0EA4"/>
    <w:rsid w:val="00BE2C5B"/>
    <w:rsid w:val="00BE4152"/>
    <w:rsid w:val="00BE52FF"/>
    <w:rsid w:val="00BE5315"/>
    <w:rsid w:val="00BE611C"/>
    <w:rsid w:val="00BE6123"/>
    <w:rsid w:val="00BE6C5A"/>
    <w:rsid w:val="00BE78B9"/>
    <w:rsid w:val="00BF2A56"/>
    <w:rsid w:val="00BF3092"/>
    <w:rsid w:val="00BF3331"/>
    <w:rsid w:val="00BF3351"/>
    <w:rsid w:val="00BF38FC"/>
    <w:rsid w:val="00BF3F15"/>
    <w:rsid w:val="00BF4520"/>
    <w:rsid w:val="00BF6D81"/>
    <w:rsid w:val="00C00030"/>
    <w:rsid w:val="00C01204"/>
    <w:rsid w:val="00C0197C"/>
    <w:rsid w:val="00C01C93"/>
    <w:rsid w:val="00C02EAE"/>
    <w:rsid w:val="00C0301D"/>
    <w:rsid w:val="00C042FC"/>
    <w:rsid w:val="00C05B42"/>
    <w:rsid w:val="00C07DAD"/>
    <w:rsid w:val="00C10620"/>
    <w:rsid w:val="00C11059"/>
    <w:rsid w:val="00C124DB"/>
    <w:rsid w:val="00C140BA"/>
    <w:rsid w:val="00C14D0F"/>
    <w:rsid w:val="00C200EF"/>
    <w:rsid w:val="00C20E20"/>
    <w:rsid w:val="00C229BE"/>
    <w:rsid w:val="00C24991"/>
    <w:rsid w:val="00C24ACC"/>
    <w:rsid w:val="00C24DFE"/>
    <w:rsid w:val="00C2512C"/>
    <w:rsid w:val="00C2703A"/>
    <w:rsid w:val="00C272C5"/>
    <w:rsid w:val="00C27F60"/>
    <w:rsid w:val="00C30C60"/>
    <w:rsid w:val="00C32BA2"/>
    <w:rsid w:val="00C33058"/>
    <w:rsid w:val="00C34EBA"/>
    <w:rsid w:val="00C36CB5"/>
    <w:rsid w:val="00C40AC3"/>
    <w:rsid w:val="00C410F5"/>
    <w:rsid w:val="00C435F0"/>
    <w:rsid w:val="00C4371C"/>
    <w:rsid w:val="00C44033"/>
    <w:rsid w:val="00C46562"/>
    <w:rsid w:val="00C512B7"/>
    <w:rsid w:val="00C51CF8"/>
    <w:rsid w:val="00C52551"/>
    <w:rsid w:val="00C52909"/>
    <w:rsid w:val="00C537E6"/>
    <w:rsid w:val="00C54E73"/>
    <w:rsid w:val="00C55B28"/>
    <w:rsid w:val="00C55CE2"/>
    <w:rsid w:val="00C55D5E"/>
    <w:rsid w:val="00C5680F"/>
    <w:rsid w:val="00C60CEA"/>
    <w:rsid w:val="00C6359A"/>
    <w:rsid w:val="00C637FC"/>
    <w:rsid w:val="00C640B9"/>
    <w:rsid w:val="00C6592D"/>
    <w:rsid w:val="00C66D88"/>
    <w:rsid w:val="00C675D4"/>
    <w:rsid w:val="00C705F1"/>
    <w:rsid w:val="00C722E9"/>
    <w:rsid w:val="00C76C40"/>
    <w:rsid w:val="00C779C1"/>
    <w:rsid w:val="00C80753"/>
    <w:rsid w:val="00C80B6E"/>
    <w:rsid w:val="00C8548A"/>
    <w:rsid w:val="00C8574E"/>
    <w:rsid w:val="00C872C1"/>
    <w:rsid w:val="00C8744B"/>
    <w:rsid w:val="00C91215"/>
    <w:rsid w:val="00C91C0F"/>
    <w:rsid w:val="00C92EDB"/>
    <w:rsid w:val="00C93B60"/>
    <w:rsid w:val="00C94014"/>
    <w:rsid w:val="00C941C1"/>
    <w:rsid w:val="00C9469E"/>
    <w:rsid w:val="00C94DB9"/>
    <w:rsid w:val="00C96E19"/>
    <w:rsid w:val="00C9706F"/>
    <w:rsid w:val="00C9746C"/>
    <w:rsid w:val="00CA066E"/>
    <w:rsid w:val="00CA54F1"/>
    <w:rsid w:val="00CA6231"/>
    <w:rsid w:val="00CA6EE4"/>
    <w:rsid w:val="00CA7462"/>
    <w:rsid w:val="00CB082C"/>
    <w:rsid w:val="00CB13D0"/>
    <w:rsid w:val="00CB2300"/>
    <w:rsid w:val="00CB2898"/>
    <w:rsid w:val="00CB4BBF"/>
    <w:rsid w:val="00CB5C59"/>
    <w:rsid w:val="00CB5E24"/>
    <w:rsid w:val="00CB618B"/>
    <w:rsid w:val="00CB63EA"/>
    <w:rsid w:val="00CB6FD2"/>
    <w:rsid w:val="00CC2460"/>
    <w:rsid w:val="00CC3512"/>
    <w:rsid w:val="00CC46FC"/>
    <w:rsid w:val="00CC4F40"/>
    <w:rsid w:val="00CC5783"/>
    <w:rsid w:val="00CC64C7"/>
    <w:rsid w:val="00CC6677"/>
    <w:rsid w:val="00CC6EEC"/>
    <w:rsid w:val="00CC7256"/>
    <w:rsid w:val="00CC7D24"/>
    <w:rsid w:val="00CD32E1"/>
    <w:rsid w:val="00CD42B5"/>
    <w:rsid w:val="00CD4853"/>
    <w:rsid w:val="00CD48EC"/>
    <w:rsid w:val="00CD494F"/>
    <w:rsid w:val="00CE040A"/>
    <w:rsid w:val="00CE196C"/>
    <w:rsid w:val="00CE1C69"/>
    <w:rsid w:val="00CE3802"/>
    <w:rsid w:val="00CE4F82"/>
    <w:rsid w:val="00CE5767"/>
    <w:rsid w:val="00CF0FE6"/>
    <w:rsid w:val="00CF12CF"/>
    <w:rsid w:val="00CF168B"/>
    <w:rsid w:val="00CF4C84"/>
    <w:rsid w:val="00CF7E01"/>
    <w:rsid w:val="00D01CCE"/>
    <w:rsid w:val="00D01E35"/>
    <w:rsid w:val="00D025E6"/>
    <w:rsid w:val="00D0267A"/>
    <w:rsid w:val="00D02824"/>
    <w:rsid w:val="00D0505A"/>
    <w:rsid w:val="00D0562D"/>
    <w:rsid w:val="00D065C5"/>
    <w:rsid w:val="00D065E7"/>
    <w:rsid w:val="00D10D21"/>
    <w:rsid w:val="00D11551"/>
    <w:rsid w:val="00D12A11"/>
    <w:rsid w:val="00D138EB"/>
    <w:rsid w:val="00D15173"/>
    <w:rsid w:val="00D1558A"/>
    <w:rsid w:val="00D15BDF"/>
    <w:rsid w:val="00D20952"/>
    <w:rsid w:val="00D20B84"/>
    <w:rsid w:val="00D20E6A"/>
    <w:rsid w:val="00D21A4D"/>
    <w:rsid w:val="00D232BD"/>
    <w:rsid w:val="00D24752"/>
    <w:rsid w:val="00D2566C"/>
    <w:rsid w:val="00D26B8E"/>
    <w:rsid w:val="00D275F6"/>
    <w:rsid w:val="00D311EC"/>
    <w:rsid w:val="00D32845"/>
    <w:rsid w:val="00D33B84"/>
    <w:rsid w:val="00D33FA5"/>
    <w:rsid w:val="00D365D2"/>
    <w:rsid w:val="00D3739B"/>
    <w:rsid w:val="00D412B6"/>
    <w:rsid w:val="00D42A2C"/>
    <w:rsid w:val="00D436EA"/>
    <w:rsid w:val="00D4381E"/>
    <w:rsid w:val="00D4508E"/>
    <w:rsid w:val="00D460C7"/>
    <w:rsid w:val="00D4662C"/>
    <w:rsid w:val="00D468D4"/>
    <w:rsid w:val="00D476F4"/>
    <w:rsid w:val="00D511FC"/>
    <w:rsid w:val="00D53B93"/>
    <w:rsid w:val="00D543F0"/>
    <w:rsid w:val="00D544EC"/>
    <w:rsid w:val="00D55D42"/>
    <w:rsid w:val="00D56873"/>
    <w:rsid w:val="00D5720E"/>
    <w:rsid w:val="00D572A4"/>
    <w:rsid w:val="00D6243A"/>
    <w:rsid w:val="00D63AE7"/>
    <w:rsid w:val="00D63ED3"/>
    <w:rsid w:val="00D6521C"/>
    <w:rsid w:val="00D6604D"/>
    <w:rsid w:val="00D66911"/>
    <w:rsid w:val="00D71318"/>
    <w:rsid w:val="00D71BBF"/>
    <w:rsid w:val="00D71D74"/>
    <w:rsid w:val="00D73A7C"/>
    <w:rsid w:val="00D74A98"/>
    <w:rsid w:val="00D75640"/>
    <w:rsid w:val="00D77491"/>
    <w:rsid w:val="00D80315"/>
    <w:rsid w:val="00D823EF"/>
    <w:rsid w:val="00D82745"/>
    <w:rsid w:val="00D8280E"/>
    <w:rsid w:val="00D83CDA"/>
    <w:rsid w:val="00D84F43"/>
    <w:rsid w:val="00D8555A"/>
    <w:rsid w:val="00D85999"/>
    <w:rsid w:val="00D86A1F"/>
    <w:rsid w:val="00D915E9"/>
    <w:rsid w:val="00D91A31"/>
    <w:rsid w:val="00D91B93"/>
    <w:rsid w:val="00D92853"/>
    <w:rsid w:val="00D9357D"/>
    <w:rsid w:val="00D94407"/>
    <w:rsid w:val="00D957BD"/>
    <w:rsid w:val="00D9733A"/>
    <w:rsid w:val="00DA0168"/>
    <w:rsid w:val="00DA24D3"/>
    <w:rsid w:val="00DA31B9"/>
    <w:rsid w:val="00DA3F7E"/>
    <w:rsid w:val="00DA4B01"/>
    <w:rsid w:val="00DA4B35"/>
    <w:rsid w:val="00DA4C85"/>
    <w:rsid w:val="00DB0715"/>
    <w:rsid w:val="00DB0C7B"/>
    <w:rsid w:val="00DB1D15"/>
    <w:rsid w:val="00DB3365"/>
    <w:rsid w:val="00DB4325"/>
    <w:rsid w:val="00DB6F3A"/>
    <w:rsid w:val="00DC26CC"/>
    <w:rsid w:val="00DC3C61"/>
    <w:rsid w:val="00DC52EB"/>
    <w:rsid w:val="00DC755C"/>
    <w:rsid w:val="00DD02B3"/>
    <w:rsid w:val="00DD16D4"/>
    <w:rsid w:val="00DD1B5F"/>
    <w:rsid w:val="00DD3631"/>
    <w:rsid w:val="00DD49E2"/>
    <w:rsid w:val="00DD5A28"/>
    <w:rsid w:val="00DD5D3E"/>
    <w:rsid w:val="00DF0FE7"/>
    <w:rsid w:val="00DF2759"/>
    <w:rsid w:val="00DF4B52"/>
    <w:rsid w:val="00DF60B0"/>
    <w:rsid w:val="00DF6A2D"/>
    <w:rsid w:val="00DF6FD0"/>
    <w:rsid w:val="00DF7E27"/>
    <w:rsid w:val="00E00034"/>
    <w:rsid w:val="00E0052B"/>
    <w:rsid w:val="00E03BE7"/>
    <w:rsid w:val="00E04526"/>
    <w:rsid w:val="00E06799"/>
    <w:rsid w:val="00E07118"/>
    <w:rsid w:val="00E11B8F"/>
    <w:rsid w:val="00E120C3"/>
    <w:rsid w:val="00E12683"/>
    <w:rsid w:val="00E12A0B"/>
    <w:rsid w:val="00E13548"/>
    <w:rsid w:val="00E13B7A"/>
    <w:rsid w:val="00E1623C"/>
    <w:rsid w:val="00E22A92"/>
    <w:rsid w:val="00E22E9E"/>
    <w:rsid w:val="00E22F99"/>
    <w:rsid w:val="00E23503"/>
    <w:rsid w:val="00E239AB"/>
    <w:rsid w:val="00E23C13"/>
    <w:rsid w:val="00E23CF3"/>
    <w:rsid w:val="00E245E4"/>
    <w:rsid w:val="00E24659"/>
    <w:rsid w:val="00E24E6E"/>
    <w:rsid w:val="00E25B3B"/>
    <w:rsid w:val="00E2694C"/>
    <w:rsid w:val="00E32694"/>
    <w:rsid w:val="00E354CE"/>
    <w:rsid w:val="00E37D28"/>
    <w:rsid w:val="00E4004B"/>
    <w:rsid w:val="00E429B8"/>
    <w:rsid w:val="00E42B11"/>
    <w:rsid w:val="00E4335E"/>
    <w:rsid w:val="00E45DF8"/>
    <w:rsid w:val="00E45E63"/>
    <w:rsid w:val="00E4612C"/>
    <w:rsid w:val="00E467ED"/>
    <w:rsid w:val="00E5095C"/>
    <w:rsid w:val="00E512B5"/>
    <w:rsid w:val="00E5158F"/>
    <w:rsid w:val="00E52919"/>
    <w:rsid w:val="00E546B2"/>
    <w:rsid w:val="00E576EB"/>
    <w:rsid w:val="00E5780A"/>
    <w:rsid w:val="00E60DC0"/>
    <w:rsid w:val="00E612A1"/>
    <w:rsid w:val="00E613D5"/>
    <w:rsid w:val="00E61FB7"/>
    <w:rsid w:val="00E62770"/>
    <w:rsid w:val="00E644AD"/>
    <w:rsid w:val="00E64B47"/>
    <w:rsid w:val="00E651C4"/>
    <w:rsid w:val="00E65F50"/>
    <w:rsid w:val="00E667D1"/>
    <w:rsid w:val="00E67344"/>
    <w:rsid w:val="00E67A36"/>
    <w:rsid w:val="00E67CBC"/>
    <w:rsid w:val="00E703F2"/>
    <w:rsid w:val="00E7153F"/>
    <w:rsid w:val="00E724C3"/>
    <w:rsid w:val="00E755D9"/>
    <w:rsid w:val="00E7562B"/>
    <w:rsid w:val="00E75740"/>
    <w:rsid w:val="00E76826"/>
    <w:rsid w:val="00E803FD"/>
    <w:rsid w:val="00E82570"/>
    <w:rsid w:val="00E83073"/>
    <w:rsid w:val="00E83992"/>
    <w:rsid w:val="00E83EC9"/>
    <w:rsid w:val="00E864EA"/>
    <w:rsid w:val="00E86580"/>
    <w:rsid w:val="00E86EA4"/>
    <w:rsid w:val="00E871FD"/>
    <w:rsid w:val="00E87746"/>
    <w:rsid w:val="00E90011"/>
    <w:rsid w:val="00E90653"/>
    <w:rsid w:val="00E914CB"/>
    <w:rsid w:val="00E915A0"/>
    <w:rsid w:val="00E91DCD"/>
    <w:rsid w:val="00E971A2"/>
    <w:rsid w:val="00E978D8"/>
    <w:rsid w:val="00EA2002"/>
    <w:rsid w:val="00EA4333"/>
    <w:rsid w:val="00EA450D"/>
    <w:rsid w:val="00EA4C95"/>
    <w:rsid w:val="00EA4FA1"/>
    <w:rsid w:val="00EA5DD7"/>
    <w:rsid w:val="00EA5EF5"/>
    <w:rsid w:val="00EA645E"/>
    <w:rsid w:val="00EB0495"/>
    <w:rsid w:val="00EB06E0"/>
    <w:rsid w:val="00EB1B6E"/>
    <w:rsid w:val="00EB4011"/>
    <w:rsid w:val="00EB40AB"/>
    <w:rsid w:val="00EB61A4"/>
    <w:rsid w:val="00EB7478"/>
    <w:rsid w:val="00EB756B"/>
    <w:rsid w:val="00EC07D3"/>
    <w:rsid w:val="00EC0C40"/>
    <w:rsid w:val="00EC12C4"/>
    <w:rsid w:val="00EC1FAE"/>
    <w:rsid w:val="00EC52A5"/>
    <w:rsid w:val="00EC5ACD"/>
    <w:rsid w:val="00EC5E4D"/>
    <w:rsid w:val="00EC65A2"/>
    <w:rsid w:val="00EC7B3D"/>
    <w:rsid w:val="00ED0526"/>
    <w:rsid w:val="00ED3D1C"/>
    <w:rsid w:val="00ED421C"/>
    <w:rsid w:val="00EE2420"/>
    <w:rsid w:val="00EE3276"/>
    <w:rsid w:val="00EE3CB3"/>
    <w:rsid w:val="00EE4691"/>
    <w:rsid w:val="00EE5624"/>
    <w:rsid w:val="00EF11E0"/>
    <w:rsid w:val="00EF2211"/>
    <w:rsid w:val="00EF2D7E"/>
    <w:rsid w:val="00EF33FA"/>
    <w:rsid w:val="00EF40C0"/>
    <w:rsid w:val="00EF4EF7"/>
    <w:rsid w:val="00EF5FC4"/>
    <w:rsid w:val="00EF6ADE"/>
    <w:rsid w:val="00EF6C0A"/>
    <w:rsid w:val="00EF7BC0"/>
    <w:rsid w:val="00F00057"/>
    <w:rsid w:val="00F00E82"/>
    <w:rsid w:val="00F01054"/>
    <w:rsid w:val="00F024E3"/>
    <w:rsid w:val="00F02ECA"/>
    <w:rsid w:val="00F04315"/>
    <w:rsid w:val="00F043C1"/>
    <w:rsid w:val="00F067A7"/>
    <w:rsid w:val="00F07E66"/>
    <w:rsid w:val="00F100BE"/>
    <w:rsid w:val="00F1031D"/>
    <w:rsid w:val="00F14B18"/>
    <w:rsid w:val="00F15770"/>
    <w:rsid w:val="00F15FAD"/>
    <w:rsid w:val="00F17498"/>
    <w:rsid w:val="00F20A58"/>
    <w:rsid w:val="00F20B36"/>
    <w:rsid w:val="00F21106"/>
    <w:rsid w:val="00F21AA1"/>
    <w:rsid w:val="00F22D68"/>
    <w:rsid w:val="00F22E9B"/>
    <w:rsid w:val="00F27028"/>
    <w:rsid w:val="00F27E98"/>
    <w:rsid w:val="00F3097B"/>
    <w:rsid w:val="00F31145"/>
    <w:rsid w:val="00F41FB9"/>
    <w:rsid w:val="00F4245D"/>
    <w:rsid w:val="00F435A5"/>
    <w:rsid w:val="00F43B03"/>
    <w:rsid w:val="00F44364"/>
    <w:rsid w:val="00F45987"/>
    <w:rsid w:val="00F47D4A"/>
    <w:rsid w:val="00F50327"/>
    <w:rsid w:val="00F506E5"/>
    <w:rsid w:val="00F50D64"/>
    <w:rsid w:val="00F5170F"/>
    <w:rsid w:val="00F51BF8"/>
    <w:rsid w:val="00F5270A"/>
    <w:rsid w:val="00F53E98"/>
    <w:rsid w:val="00F53F6F"/>
    <w:rsid w:val="00F5409C"/>
    <w:rsid w:val="00F549EA"/>
    <w:rsid w:val="00F563DC"/>
    <w:rsid w:val="00F60B22"/>
    <w:rsid w:val="00F61AAC"/>
    <w:rsid w:val="00F6223D"/>
    <w:rsid w:val="00F62CF6"/>
    <w:rsid w:val="00F630CC"/>
    <w:rsid w:val="00F636FE"/>
    <w:rsid w:val="00F648A4"/>
    <w:rsid w:val="00F67924"/>
    <w:rsid w:val="00F735B6"/>
    <w:rsid w:val="00F75DC3"/>
    <w:rsid w:val="00F76D0C"/>
    <w:rsid w:val="00F772FF"/>
    <w:rsid w:val="00F7773B"/>
    <w:rsid w:val="00F8182C"/>
    <w:rsid w:val="00F81AA7"/>
    <w:rsid w:val="00F8426E"/>
    <w:rsid w:val="00F84CC2"/>
    <w:rsid w:val="00F85A9A"/>
    <w:rsid w:val="00F86249"/>
    <w:rsid w:val="00F87B75"/>
    <w:rsid w:val="00F94025"/>
    <w:rsid w:val="00F95579"/>
    <w:rsid w:val="00F96F59"/>
    <w:rsid w:val="00F97774"/>
    <w:rsid w:val="00FA237A"/>
    <w:rsid w:val="00FA2750"/>
    <w:rsid w:val="00FA6EEA"/>
    <w:rsid w:val="00FA6F8C"/>
    <w:rsid w:val="00FA747F"/>
    <w:rsid w:val="00FA7885"/>
    <w:rsid w:val="00FA7965"/>
    <w:rsid w:val="00FA7BA0"/>
    <w:rsid w:val="00FA7C8C"/>
    <w:rsid w:val="00FB04F9"/>
    <w:rsid w:val="00FB1E4A"/>
    <w:rsid w:val="00FB2EEE"/>
    <w:rsid w:val="00FB33B6"/>
    <w:rsid w:val="00FB461F"/>
    <w:rsid w:val="00FB6308"/>
    <w:rsid w:val="00FB6748"/>
    <w:rsid w:val="00FB68EB"/>
    <w:rsid w:val="00FC0250"/>
    <w:rsid w:val="00FC04B8"/>
    <w:rsid w:val="00FC0930"/>
    <w:rsid w:val="00FC1208"/>
    <w:rsid w:val="00FC29BE"/>
    <w:rsid w:val="00FC2B9E"/>
    <w:rsid w:val="00FC4673"/>
    <w:rsid w:val="00FC595E"/>
    <w:rsid w:val="00FC5C7F"/>
    <w:rsid w:val="00FC5D7E"/>
    <w:rsid w:val="00FC6207"/>
    <w:rsid w:val="00FD54D9"/>
    <w:rsid w:val="00FD6230"/>
    <w:rsid w:val="00FD6233"/>
    <w:rsid w:val="00FD6B0B"/>
    <w:rsid w:val="00FD6D4D"/>
    <w:rsid w:val="00FE05BA"/>
    <w:rsid w:val="00FE0A6F"/>
    <w:rsid w:val="00FE17B1"/>
    <w:rsid w:val="00FE2332"/>
    <w:rsid w:val="00FE25A4"/>
    <w:rsid w:val="00FE3160"/>
    <w:rsid w:val="00FE33B6"/>
    <w:rsid w:val="00FE4A8F"/>
    <w:rsid w:val="00FE4AA7"/>
    <w:rsid w:val="00FE50EB"/>
    <w:rsid w:val="00FE5401"/>
    <w:rsid w:val="00FE5680"/>
    <w:rsid w:val="00FE5838"/>
    <w:rsid w:val="00FE641D"/>
    <w:rsid w:val="00FF044A"/>
    <w:rsid w:val="00FF16D4"/>
    <w:rsid w:val="00FF24CB"/>
    <w:rsid w:val="00FF305F"/>
    <w:rsid w:val="00FF3C91"/>
    <w:rsid w:val="00FF4907"/>
    <w:rsid w:val="00FF61F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CD78CF"/>
  <w15:docId w15:val="{565B50DF-C8C9-4A23-9960-970AF1922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Gothic" w:eastAsiaTheme="minorHAnsi" w:hAnsi="Century Gothic" w:cstheme="minorBidi"/>
        <w:szCs w:val="22"/>
        <w:lang w:val="en-GB" w:eastAsia="en-US" w:bidi="ar-SA"/>
      </w:rPr>
    </w:rPrDefault>
    <w:pPrDefault>
      <w:pPr>
        <w:spacing w:line="48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 w:unhideWhenUsed="1" w:qFormat="1"/>
    <w:lsdException w:name="List Bullet 3" w:semiHidden="1" w:uiPriority="1" w:unhideWhenUsed="1" w:qFormat="1"/>
    <w:lsdException w:name="List Bullet 4" w:semiHidden="1" w:uiPriority="1" w:unhideWhenUsed="1" w:qFormat="1"/>
    <w:lsdException w:name="List Bullet 5" w:semiHidden="1" w:uiPriority="1"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5EE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460C7"/>
    <w:rPr>
      <w:color w:val="0000FF" w:themeColor="hyperlink"/>
      <w:u w:val="single"/>
    </w:rPr>
  </w:style>
  <w:style w:type="character" w:styleId="FollowedHyperlink">
    <w:name w:val="FollowedHyperlink"/>
    <w:basedOn w:val="DefaultParagraphFont"/>
    <w:uiPriority w:val="99"/>
    <w:semiHidden/>
    <w:unhideWhenUsed/>
    <w:rsid w:val="00325316"/>
    <w:rPr>
      <w:color w:val="800080" w:themeColor="followedHyperlink"/>
      <w:u w:val="single"/>
    </w:rPr>
  </w:style>
  <w:style w:type="paragraph" w:styleId="NormalWeb">
    <w:name w:val="Normal (Web)"/>
    <w:basedOn w:val="Normal"/>
    <w:uiPriority w:val="99"/>
    <w:unhideWhenUsed/>
    <w:rsid w:val="006745B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E576EB"/>
    <w:pPr>
      <w:tabs>
        <w:tab w:val="center" w:pos="4513"/>
        <w:tab w:val="right" w:pos="9026"/>
      </w:tabs>
      <w:spacing w:line="240" w:lineRule="auto"/>
    </w:pPr>
  </w:style>
  <w:style w:type="character" w:customStyle="1" w:styleId="HeaderChar">
    <w:name w:val="Header Char"/>
    <w:basedOn w:val="DefaultParagraphFont"/>
    <w:link w:val="Header"/>
    <w:uiPriority w:val="99"/>
    <w:rsid w:val="00E576EB"/>
  </w:style>
  <w:style w:type="paragraph" w:styleId="Footer">
    <w:name w:val="footer"/>
    <w:basedOn w:val="Normal"/>
    <w:link w:val="FooterChar"/>
    <w:uiPriority w:val="99"/>
    <w:unhideWhenUsed/>
    <w:rsid w:val="00E576EB"/>
    <w:pPr>
      <w:tabs>
        <w:tab w:val="center" w:pos="4513"/>
        <w:tab w:val="right" w:pos="9026"/>
      </w:tabs>
      <w:spacing w:line="240" w:lineRule="auto"/>
    </w:pPr>
  </w:style>
  <w:style w:type="character" w:customStyle="1" w:styleId="FooterChar">
    <w:name w:val="Footer Char"/>
    <w:basedOn w:val="DefaultParagraphFont"/>
    <w:link w:val="Footer"/>
    <w:uiPriority w:val="99"/>
    <w:rsid w:val="00E576EB"/>
  </w:style>
  <w:style w:type="character" w:styleId="CommentReference">
    <w:name w:val="annotation reference"/>
    <w:basedOn w:val="DefaultParagraphFont"/>
    <w:uiPriority w:val="99"/>
    <w:semiHidden/>
    <w:unhideWhenUsed/>
    <w:rsid w:val="00B96989"/>
    <w:rPr>
      <w:sz w:val="16"/>
      <w:szCs w:val="16"/>
    </w:rPr>
  </w:style>
  <w:style w:type="paragraph" w:styleId="CommentText">
    <w:name w:val="annotation text"/>
    <w:basedOn w:val="Normal"/>
    <w:link w:val="CommentTextChar"/>
    <w:uiPriority w:val="99"/>
    <w:unhideWhenUsed/>
    <w:rsid w:val="00B96989"/>
    <w:pPr>
      <w:spacing w:line="240" w:lineRule="auto"/>
    </w:pPr>
    <w:rPr>
      <w:szCs w:val="20"/>
    </w:rPr>
  </w:style>
  <w:style w:type="character" w:customStyle="1" w:styleId="CommentTextChar">
    <w:name w:val="Comment Text Char"/>
    <w:basedOn w:val="DefaultParagraphFont"/>
    <w:link w:val="CommentText"/>
    <w:uiPriority w:val="99"/>
    <w:rsid w:val="00B96989"/>
    <w:rPr>
      <w:szCs w:val="20"/>
    </w:rPr>
  </w:style>
  <w:style w:type="paragraph" w:styleId="CommentSubject">
    <w:name w:val="annotation subject"/>
    <w:basedOn w:val="CommentText"/>
    <w:next w:val="CommentText"/>
    <w:link w:val="CommentSubjectChar"/>
    <w:uiPriority w:val="99"/>
    <w:semiHidden/>
    <w:unhideWhenUsed/>
    <w:rsid w:val="00B96989"/>
    <w:rPr>
      <w:b/>
      <w:bCs/>
    </w:rPr>
  </w:style>
  <w:style w:type="character" w:customStyle="1" w:styleId="CommentSubjectChar">
    <w:name w:val="Comment Subject Char"/>
    <w:basedOn w:val="CommentTextChar"/>
    <w:link w:val="CommentSubject"/>
    <w:uiPriority w:val="99"/>
    <w:semiHidden/>
    <w:rsid w:val="00B96989"/>
    <w:rPr>
      <w:b/>
      <w:bCs/>
      <w:szCs w:val="20"/>
    </w:rPr>
  </w:style>
  <w:style w:type="paragraph" w:styleId="BalloonText">
    <w:name w:val="Balloon Text"/>
    <w:basedOn w:val="Normal"/>
    <w:link w:val="BalloonTextChar"/>
    <w:uiPriority w:val="99"/>
    <w:semiHidden/>
    <w:unhideWhenUsed/>
    <w:rsid w:val="00B9698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6989"/>
    <w:rPr>
      <w:rFonts w:ascii="Tahoma" w:hAnsi="Tahoma" w:cs="Tahoma"/>
      <w:sz w:val="16"/>
      <w:szCs w:val="16"/>
    </w:rPr>
  </w:style>
  <w:style w:type="paragraph" w:styleId="Revision">
    <w:name w:val="Revision"/>
    <w:hidden/>
    <w:uiPriority w:val="99"/>
    <w:semiHidden/>
    <w:rsid w:val="00304383"/>
    <w:pPr>
      <w:spacing w:line="240" w:lineRule="auto"/>
    </w:pPr>
  </w:style>
  <w:style w:type="paragraph" w:styleId="ListParagraph">
    <w:name w:val="List Paragraph"/>
    <w:basedOn w:val="Normal"/>
    <w:uiPriority w:val="34"/>
    <w:qFormat/>
    <w:rsid w:val="00B32FBA"/>
    <w:pPr>
      <w:ind w:left="720"/>
      <w:contextualSpacing/>
    </w:pPr>
  </w:style>
  <w:style w:type="table" w:styleId="TableGrid">
    <w:name w:val="Table Grid"/>
    <w:basedOn w:val="TableNormal"/>
    <w:uiPriority w:val="59"/>
    <w:rsid w:val="0048737F"/>
    <w:pPr>
      <w:spacing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semiHidden/>
    <w:unhideWhenUsed/>
    <w:rsid w:val="005F55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Cs w:val="20"/>
      <w:lang w:eastAsia="en-GB"/>
    </w:rPr>
  </w:style>
  <w:style w:type="character" w:customStyle="1" w:styleId="HTMLPreformattedChar">
    <w:name w:val="HTML Preformatted Char"/>
    <w:basedOn w:val="DefaultParagraphFont"/>
    <w:link w:val="HTMLPreformatted"/>
    <w:uiPriority w:val="99"/>
    <w:semiHidden/>
    <w:rsid w:val="005F554C"/>
    <w:rPr>
      <w:rFonts w:ascii="Courier New" w:eastAsia="Times New Roman" w:hAnsi="Courier New" w:cs="Courier New"/>
      <w:szCs w:val="20"/>
      <w:lang w:eastAsia="en-GB"/>
    </w:rPr>
  </w:style>
  <w:style w:type="numbering" w:customStyle="1" w:styleId="QAListbullets">
    <w:name w:val="Q&amp;AListbullets"/>
    <w:uiPriority w:val="99"/>
    <w:rsid w:val="00503D76"/>
    <w:pPr>
      <w:numPr>
        <w:numId w:val="18"/>
      </w:numPr>
    </w:pPr>
  </w:style>
  <w:style w:type="paragraph" w:styleId="ListBullet">
    <w:name w:val="List Bullet"/>
    <w:aliases w:val="List Bullet Q&amp;A"/>
    <w:basedOn w:val="Normal"/>
    <w:link w:val="ListBulletChar"/>
    <w:uiPriority w:val="1"/>
    <w:qFormat/>
    <w:rsid w:val="00503D76"/>
    <w:pPr>
      <w:numPr>
        <w:numId w:val="19"/>
      </w:numPr>
      <w:spacing w:after="120" w:line="276" w:lineRule="auto"/>
    </w:pPr>
    <w:rPr>
      <w:rFonts w:ascii="Imago" w:eastAsia="Calibri" w:hAnsi="Imago" w:cs="Times New Roman"/>
      <w:color w:val="112966"/>
      <w:sz w:val="22"/>
      <w:lang w:eastAsia="ja-JP"/>
    </w:rPr>
  </w:style>
  <w:style w:type="paragraph" w:styleId="ListBullet2">
    <w:name w:val="List Bullet 2"/>
    <w:aliases w:val="List Bullet 2 Q&amp;A"/>
    <w:basedOn w:val="Normal"/>
    <w:uiPriority w:val="1"/>
    <w:qFormat/>
    <w:rsid w:val="00503D76"/>
    <w:pPr>
      <w:numPr>
        <w:ilvl w:val="1"/>
        <w:numId w:val="19"/>
      </w:numPr>
      <w:spacing w:after="120" w:line="276" w:lineRule="auto"/>
    </w:pPr>
    <w:rPr>
      <w:rFonts w:ascii="Imago" w:eastAsia="Calibri" w:hAnsi="Imago" w:cs="Times New Roman"/>
      <w:color w:val="112966"/>
      <w:sz w:val="22"/>
      <w:lang w:eastAsia="ja-JP"/>
    </w:rPr>
  </w:style>
  <w:style w:type="paragraph" w:styleId="ListBullet3">
    <w:name w:val="List Bullet 3"/>
    <w:aliases w:val="List Bullet 3 Q&amp;A"/>
    <w:basedOn w:val="Normal"/>
    <w:uiPriority w:val="1"/>
    <w:qFormat/>
    <w:rsid w:val="00503D76"/>
    <w:pPr>
      <w:numPr>
        <w:ilvl w:val="2"/>
        <w:numId w:val="19"/>
      </w:numPr>
      <w:spacing w:after="120" w:line="276" w:lineRule="auto"/>
    </w:pPr>
    <w:rPr>
      <w:rFonts w:ascii="Imago" w:eastAsia="Calibri" w:hAnsi="Imago" w:cs="Times New Roman"/>
      <w:color w:val="112966"/>
      <w:sz w:val="22"/>
      <w:lang w:eastAsia="ja-JP"/>
    </w:rPr>
  </w:style>
  <w:style w:type="paragraph" w:styleId="ListBullet4">
    <w:name w:val="List Bullet 4"/>
    <w:aliases w:val="List Bullet 4 Q&amp;A"/>
    <w:basedOn w:val="Normal"/>
    <w:uiPriority w:val="1"/>
    <w:qFormat/>
    <w:rsid w:val="00503D76"/>
    <w:pPr>
      <w:numPr>
        <w:ilvl w:val="3"/>
        <w:numId w:val="19"/>
      </w:numPr>
      <w:spacing w:after="120" w:line="276" w:lineRule="auto"/>
    </w:pPr>
    <w:rPr>
      <w:rFonts w:ascii="Imago" w:eastAsia="Calibri" w:hAnsi="Imago" w:cs="Times New Roman"/>
      <w:color w:val="112966"/>
      <w:sz w:val="22"/>
      <w:lang w:eastAsia="ja-JP"/>
    </w:rPr>
  </w:style>
  <w:style w:type="paragraph" w:styleId="ListBullet5">
    <w:name w:val="List Bullet 5"/>
    <w:aliases w:val="List Bullet 5 Q&amp;A"/>
    <w:basedOn w:val="Normal"/>
    <w:uiPriority w:val="1"/>
    <w:qFormat/>
    <w:rsid w:val="00503D76"/>
    <w:pPr>
      <w:numPr>
        <w:ilvl w:val="4"/>
        <w:numId w:val="19"/>
      </w:numPr>
      <w:spacing w:after="120" w:line="276" w:lineRule="auto"/>
    </w:pPr>
    <w:rPr>
      <w:rFonts w:ascii="Imago" w:eastAsia="Calibri" w:hAnsi="Imago" w:cs="Times New Roman"/>
      <w:color w:val="112966"/>
      <w:sz w:val="22"/>
      <w:lang w:eastAsia="ja-JP"/>
    </w:rPr>
  </w:style>
  <w:style w:type="character" w:customStyle="1" w:styleId="ListBulletChar">
    <w:name w:val="List Bullet Char"/>
    <w:aliases w:val="List Bullet Q&amp;A Char"/>
    <w:basedOn w:val="DefaultParagraphFont"/>
    <w:link w:val="ListBullet"/>
    <w:uiPriority w:val="1"/>
    <w:rsid w:val="00503D76"/>
    <w:rPr>
      <w:rFonts w:ascii="Imago" w:eastAsia="Calibri" w:hAnsi="Imago" w:cs="Times New Roman"/>
      <w:color w:val="112966"/>
      <w:sz w:val="22"/>
      <w:lang w:eastAsia="ja-JP"/>
    </w:rPr>
  </w:style>
  <w:style w:type="table" w:customStyle="1" w:styleId="PlainTable41">
    <w:name w:val="Plain Table 41"/>
    <w:basedOn w:val="TableNormal"/>
    <w:uiPriority w:val="44"/>
    <w:rsid w:val="00043F8A"/>
    <w:pPr>
      <w:spacing w:after="160" w:line="240" w:lineRule="auto"/>
    </w:pPr>
    <w:rPr>
      <w:rFonts w:asciiTheme="minorHAnsi" w:eastAsiaTheme="minorEastAsia" w:hAnsiTheme="minorHAnsi"/>
      <w:sz w:val="22"/>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048198">
      <w:bodyDiv w:val="1"/>
      <w:marLeft w:val="0"/>
      <w:marRight w:val="0"/>
      <w:marTop w:val="0"/>
      <w:marBottom w:val="0"/>
      <w:divBdr>
        <w:top w:val="none" w:sz="0" w:space="0" w:color="auto"/>
        <w:left w:val="none" w:sz="0" w:space="0" w:color="auto"/>
        <w:bottom w:val="none" w:sz="0" w:space="0" w:color="auto"/>
        <w:right w:val="none" w:sz="0" w:space="0" w:color="auto"/>
      </w:divBdr>
    </w:div>
    <w:div w:id="239097074">
      <w:bodyDiv w:val="1"/>
      <w:marLeft w:val="0"/>
      <w:marRight w:val="0"/>
      <w:marTop w:val="0"/>
      <w:marBottom w:val="0"/>
      <w:divBdr>
        <w:top w:val="none" w:sz="0" w:space="0" w:color="auto"/>
        <w:left w:val="none" w:sz="0" w:space="0" w:color="auto"/>
        <w:bottom w:val="none" w:sz="0" w:space="0" w:color="auto"/>
        <w:right w:val="none" w:sz="0" w:space="0" w:color="auto"/>
      </w:divBdr>
    </w:div>
    <w:div w:id="324167813">
      <w:bodyDiv w:val="1"/>
      <w:marLeft w:val="0"/>
      <w:marRight w:val="0"/>
      <w:marTop w:val="0"/>
      <w:marBottom w:val="0"/>
      <w:divBdr>
        <w:top w:val="none" w:sz="0" w:space="0" w:color="auto"/>
        <w:left w:val="none" w:sz="0" w:space="0" w:color="auto"/>
        <w:bottom w:val="none" w:sz="0" w:space="0" w:color="auto"/>
        <w:right w:val="none" w:sz="0" w:space="0" w:color="auto"/>
      </w:divBdr>
    </w:div>
    <w:div w:id="782262236">
      <w:bodyDiv w:val="1"/>
      <w:marLeft w:val="0"/>
      <w:marRight w:val="0"/>
      <w:marTop w:val="0"/>
      <w:marBottom w:val="0"/>
      <w:divBdr>
        <w:top w:val="none" w:sz="0" w:space="0" w:color="auto"/>
        <w:left w:val="none" w:sz="0" w:space="0" w:color="auto"/>
        <w:bottom w:val="none" w:sz="0" w:space="0" w:color="auto"/>
        <w:right w:val="none" w:sz="0" w:space="0" w:color="auto"/>
      </w:divBdr>
    </w:div>
    <w:div w:id="809787127">
      <w:bodyDiv w:val="1"/>
      <w:marLeft w:val="0"/>
      <w:marRight w:val="0"/>
      <w:marTop w:val="0"/>
      <w:marBottom w:val="0"/>
      <w:divBdr>
        <w:top w:val="none" w:sz="0" w:space="0" w:color="auto"/>
        <w:left w:val="none" w:sz="0" w:space="0" w:color="auto"/>
        <w:bottom w:val="none" w:sz="0" w:space="0" w:color="auto"/>
        <w:right w:val="none" w:sz="0" w:space="0" w:color="auto"/>
      </w:divBdr>
    </w:div>
    <w:div w:id="1189949915">
      <w:bodyDiv w:val="1"/>
      <w:marLeft w:val="0"/>
      <w:marRight w:val="0"/>
      <w:marTop w:val="0"/>
      <w:marBottom w:val="0"/>
      <w:divBdr>
        <w:top w:val="none" w:sz="0" w:space="0" w:color="auto"/>
        <w:left w:val="none" w:sz="0" w:space="0" w:color="auto"/>
        <w:bottom w:val="none" w:sz="0" w:space="0" w:color="auto"/>
        <w:right w:val="none" w:sz="0" w:space="0" w:color="auto"/>
      </w:divBdr>
    </w:div>
    <w:div w:id="1237201297">
      <w:bodyDiv w:val="1"/>
      <w:marLeft w:val="0"/>
      <w:marRight w:val="0"/>
      <w:marTop w:val="0"/>
      <w:marBottom w:val="0"/>
      <w:divBdr>
        <w:top w:val="none" w:sz="0" w:space="0" w:color="auto"/>
        <w:left w:val="none" w:sz="0" w:space="0" w:color="auto"/>
        <w:bottom w:val="none" w:sz="0" w:space="0" w:color="auto"/>
        <w:right w:val="none" w:sz="0" w:space="0" w:color="auto"/>
      </w:divBdr>
    </w:div>
    <w:div w:id="1531604514">
      <w:bodyDiv w:val="1"/>
      <w:marLeft w:val="0"/>
      <w:marRight w:val="0"/>
      <w:marTop w:val="0"/>
      <w:marBottom w:val="0"/>
      <w:divBdr>
        <w:top w:val="none" w:sz="0" w:space="0" w:color="auto"/>
        <w:left w:val="none" w:sz="0" w:space="0" w:color="auto"/>
        <w:bottom w:val="none" w:sz="0" w:space="0" w:color="auto"/>
        <w:right w:val="none" w:sz="0" w:space="0" w:color="auto"/>
      </w:divBdr>
    </w:div>
    <w:div w:id="1575703628">
      <w:bodyDiv w:val="1"/>
      <w:marLeft w:val="0"/>
      <w:marRight w:val="0"/>
      <w:marTop w:val="0"/>
      <w:marBottom w:val="0"/>
      <w:divBdr>
        <w:top w:val="none" w:sz="0" w:space="0" w:color="auto"/>
        <w:left w:val="none" w:sz="0" w:space="0" w:color="auto"/>
        <w:bottom w:val="none" w:sz="0" w:space="0" w:color="auto"/>
        <w:right w:val="none" w:sz="0" w:space="0" w:color="auto"/>
      </w:divBdr>
    </w:div>
    <w:div w:id="1746024211">
      <w:bodyDiv w:val="1"/>
      <w:marLeft w:val="0"/>
      <w:marRight w:val="0"/>
      <w:marTop w:val="0"/>
      <w:marBottom w:val="0"/>
      <w:divBdr>
        <w:top w:val="none" w:sz="0" w:space="0" w:color="auto"/>
        <w:left w:val="none" w:sz="0" w:space="0" w:color="auto"/>
        <w:bottom w:val="none" w:sz="0" w:space="0" w:color="auto"/>
        <w:right w:val="none" w:sz="0" w:space="0" w:color="auto"/>
      </w:divBdr>
    </w:div>
    <w:div w:id="2077438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28" Type="http://schemas.microsoft.com/office/2016/09/relationships/commentsIds" Target="commentsIds.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hyperlink" Target="mailto:john.seymour@petermac.org"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5AC82DE-AE56-4217-8890-4D078576F6F0}">
  <ds:schemaRefs>
    <ds:schemaRef ds:uri="http://schemas.openxmlformats.org/officeDocument/2006/bibliography"/>
  </ds:schemaRefs>
</ds:datastoreItem>
</file>

<file path=customXml/itemProps2.xml><?xml version="1.0" encoding="utf-8"?>
<ds:datastoreItem xmlns:ds="http://schemas.openxmlformats.org/officeDocument/2006/customXml" ds:itemID="{C046B87D-A8EA-40B0-88E0-72C62D9478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4661</Words>
  <Characters>26568</Characters>
  <Application>Microsoft Office Word</Application>
  <DocSecurity>0</DocSecurity>
  <Lines>221</Lines>
  <Paragraphs>62</Paragraphs>
  <ScaleCrop>false</ScaleCrop>
  <HeadingPairs>
    <vt:vector size="8" baseType="variant">
      <vt:variant>
        <vt:lpstr>Title</vt:lpstr>
      </vt:variant>
      <vt:variant>
        <vt:i4>1</vt:i4>
      </vt:variant>
      <vt:variant>
        <vt:lpstr>Rubrik</vt:lpstr>
      </vt:variant>
      <vt:variant>
        <vt:i4>1</vt:i4>
      </vt:variant>
      <vt:variant>
        <vt:lpstr>Titel</vt:lpstr>
      </vt:variant>
      <vt:variant>
        <vt:i4>1</vt:i4>
      </vt:variant>
      <vt:variant>
        <vt:lpstr>Titre</vt:lpstr>
      </vt:variant>
      <vt:variant>
        <vt:i4>1</vt:i4>
      </vt:variant>
    </vt:vector>
  </HeadingPairs>
  <TitlesOfParts>
    <vt:vector size="4" baseType="lpstr">
      <vt:lpstr/>
      <vt:lpstr/>
      <vt:lpstr/>
      <vt:lpstr/>
    </vt:vector>
  </TitlesOfParts>
  <Company>Gardiner-Caldwell Communications</Company>
  <LinksUpToDate>false</LinksUpToDate>
  <CharactersWithSpaces>31167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Helen Miller</dc:creator>
  <cp:lastModifiedBy>Author</cp:lastModifiedBy>
  <cp:revision>3</cp:revision>
  <cp:lastPrinted>2018-10-04T12:38:00Z</cp:lastPrinted>
  <dcterms:created xsi:type="dcterms:W3CDTF">2018-12-07T10:27:00Z</dcterms:created>
  <dcterms:modified xsi:type="dcterms:W3CDTF">2018-12-07T10:27:00Z</dcterms:modified>
</cp:coreProperties>
</file>