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54B" w:rsidRPr="00F20C49" w:rsidRDefault="00D025FA" w:rsidP="00876AE7">
      <w:pPr>
        <w:pStyle w:val="NoteLevel11"/>
        <w:rPr>
          <w:b/>
          <w:sz w:val="28"/>
        </w:rPr>
      </w:pPr>
      <w:r>
        <w:rPr>
          <w:rFonts w:cs="Arial"/>
          <w:b/>
          <w:sz w:val="28"/>
          <w:szCs w:val="14"/>
        </w:rPr>
        <w:t xml:space="preserve">Leprosy at the Edge of Europe </w:t>
      </w:r>
      <w:r>
        <w:rPr>
          <w:b/>
          <w:sz w:val="28"/>
        </w:rPr>
        <w:t xml:space="preserve">– </w:t>
      </w:r>
      <w:r w:rsidRPr="00BB7280">
        <w:rPr>
          <w:b/>
          <w:sz w:val="28"/>
        </w:rPr>
        <w:t>Biomolecular</w:t>
      </w:r>
      <w:r>
        <w:rPr>
          <w:b/>
          <w:sz w:val="28"/>
        </w:rPr>
        <w:t xml:space="preserve">, </w:t>
      </w:r>
      <w:r w:rsidRPr="00BB7280">
        <w:rPr>
          <w:b/>
          <w:sz w:val="28"/>
        </w:rPr>
        <w:t xml:space="preserve">Isotopic </w:t>
      </w:r>
      <w:r>
        <w:rPr>
          <w:b/>
          <w:sz w:val="28"/>
        </w:rPr>
        <w:t xml:space="preserve">and Osteoarchaeological </w:t>
      </w:r>
      <w:r w:rsidR="00BB7280" w:rsidRPr="00BB7280">
        <w:rPr>
          <w:b/>
          <w:sz w:val="28"/>
        </w:rPr>
        <w:t>Findings</w:t>
      </w:r>
      <w:r>
        <w:rPr>
          <w:b/>
          <w:sz w:val="28"/>
        </w:rPr>
        <w:t xml:space="preserve"> from Medieval Ireland</w:t>
      </w:r>
    </w:p>
    <w:p w:rsidR="00003343" w:rsidRPr="002E154B" w:rsidRDefault="00003343" w:rsidP="002713D8">
      <w:pPr>
        <w:pStyle w:val="NoteLevel11"/>
        <w:rPr>
          <w:rFonts w:cs="Arial"/>
          <w:sz w:val="28"/>
          <w:szCs w:val="14"/>
        </w:rPr>
      </w:pPr>
    </w:p>
    <w:p w:rsidR="009079F9" w:rsidRPr="008035DD" w:rsidRDefault="009079F9" w:rsidP="002713D8">
      <w:pPr>
        <w:pStyle w:val="NoteLevel11"/>
        <w:rPr>
          <w:rFonts w:cs="Arial"/>
          <w:b/>
          <w:sz w:val="28"/>
          <w:szCs w:val="14"/>
        </w:rPr>
      </w:pPr>
    </w:p>
    <w:p w:rsidR="008035DD" w:rsidRPr="001A3046" w:rsidRDefault="003150B1" w:rsidP="00876AE7">
      <w:pPr>
        <w:pStyle w:val="NoteLevel11"/>
        <w:rPr>
          <w:lang w:val="en-GB"/>
        </w:rPr>
      </w:pPr>
      <w:r w:rsidRPr="001A3046">
        <w:rPr>
          <w:lang w:val="en-GB"/>
        </w:rPr>
        <w:t>G.</w:t>
      </w:r>
      <w:r w:rsidR="00633347" w:rsidRPr="001A3046">
        <w:rPr>
          <w:lang w:val="en-GB"/>
        </w:rPr>
        <w:t xml:space="preserve"> </w:t>
      </w:r>
      <w:r w:rsidRPr="001A3046">
        <w:rPr>
          <w:lang w:val="en-GB"/>
        </w:rPr>
        <w:t>Michael Taylor</w:t>
      </w:r>
      <w:r w:rsidRPr="001A3046">
        <w:rPr>
          <w:vertAlign w:val="superscript"/>
          <w:lang w:val="en-GB"/>
        </w:rPr>
        <w:t>a</w:t>
      </w:r>
      <w:r w:rsidRPr="001A3046">
        <w:rPr>
          <w:lang w:val="en-GB"/>
        </w:rPr>
        <w:t xml:space="preserve">, Eileen </w:t>
      </w:r>
      <w:r w:rsidR="00633347" w:rsidRPr="001A3046">
        <w:rPr>
          <w:lang w:val="en-GB"/>
        </w:rPr>
        <w:t xml:space="preserve">M. </w:t>
      </w:r>
      <w:r w:rsidRPr="001A3046">
        <w:rPr>
          <w:lang w:val="en-GB"/>
        </w:rPr>
        <w:t>Murphy</w:t>
      </w:r>
      <w:r w:rsidRPr="001A3046">
        <w:rPr>
          <w:vertAlign w:val="superscript"/>
          <w:lang w:val="en-GB"/>
        </w:rPr>
        <w:t>b</w:t>
      </w:r>
      <w:r w:rsidRPr="001A3046">
        <w:rPr>
          <w:lang w:val="en-GB"/>
        </w:rPr>
        <w:t xml:space="preserve">, </w:t>
      </w:r>
      <w:r w:rsidR="001231E9" w:rsidRPr="001A3046">
        <w:rPr>
          <w:lang w:val="en-GB"/>
        </w:rPr>
        <w:t>Tom A</w:t>
      </w:r>
      <w:r w:rsidR="00633347" w:rsidRPr="001A3046">
        <w:rPr>
          <w:lang w:val="en-GB"/>
        </w:rPr>
        <w:t>.</w:t>
      </w:r>
      <w:r w:rsidR="001231E9" w:rsidRPr="001A3046">
        <w:rPr>
          <w:lang w:val="en-GB"/>
        </w:rPr>
        <w:t xml:space="preserve"> Mendum</w:t>
      </w:r>
      <w:r w:rsidR="001231E9" w:rsidRPr="001A3046">
        <w:rPr>
          <w:vertAlign w:val="superscript"/>
          <w:lang w:val="en-GB"/>
        </w:rPr>
        <w:t>a</w:t>
      </w:r>
      <w:r w:rsidR="001231E9" w:rsidRPr="001A3046">
        <w:rPr>
          <w:lang w:val="en-GB"/>
        </w:rPr>
        <w:t xml:space="preserve"> </w:t>
      </w:r>
      <w:r w:rsidR="001A27AD" w:rsidRPr="001A3046">
        <w:rPr>
          <w:lang w:val="en-GB"/>
        </w:rPr>
        <w:t xml:space="preserve">, </w:t>
      </w:r>
      <w:r w:rsidR="008035DD" w:rsidRPr="001A3046">
        <w:rPr>
          <w:lang w:val="en-GB"/>
        </w:rPr>
        <w:t>Alistair W.</w:t>
      </w:r>
      <w:r w:rsidR="00633347" w:rsidRPr="001A3046">
        <w:rPr>
          <w:lang w:val="en-GB"/>
        </w:rPr>
        <w:t xml:space="preserve"> </w:t>
      </w:r>
      <w:r w:rsidR="008035DD" w:rsidRPr="001A3046">
        <w:rPr>
          <w:lang w:val="en-GB"/>
        </w:rPr>
        <w:t>G. Pike</w:t>
      </w:r>
      <w:r w:rsidRPr="001A3046">
        <w:rPr>
          <w:vertAlign w:val="superscript"/>
          <w:lang w:val="en-GB"/>
        </w:rPr>
        <w:t>c</w:t>
      </w:r>
      <w:r w:rsidR="008035DD" w:rsidRPr="001A3046">
        <w:rPr>
          <w:lang w:val="en-GB"/>
        </w:rPr>
        <w:t>,</w:t>
      </w:r>
      <w:r w:rsidR="00D22DD4" w:rsidRPr="001A3046">
        <w:rPr>
          <w:lang w:val="en-GB"/>
        </w:rPr>
        <w:t xml:space="preserve"> </w:t>
      </w:r>
      <w:r w:rsidR="00A43EDE" w:rsidRPr="001A3046">
        <w:rPr>
          <w:lang w:val="en-GB"/>
        </w:rPr>
        <w:t xml:space="preserve"> </w:t>
      </w:r>
      <w:r w:rsidR="008035DD" w:rsidRPr="001A3046">
        <w:rPr>
          <w:lang w:val="en-GB"/>
        </w:rPr>
        <w:t>Bethan Linscott</w:t>
      </w:r>
      <w:r w:rsidR="004A1F42" w:rsidRPr="001A3046">
        <w:rPr>
          <w:vertAlign w:val="superscript"/>
          <w:lang w:val="en-GB"/>
        </w:rPr>
        <w:t>c</w:t>
      </w:r>
      <w:r w:rsidR="008035DD" w:rsidRPr="001A3046">
        <w:rPr>
          <w:lang w:val="en-GB"/>
        </w:rPr>
        <w:t xml:space="preserve">, </w:t>
      </w:r>
      <w:r w:rsidR="008F1231" w:rsidRPr="001A3046">
        <w:rPr>
          <w:lang w:val="en-GB"/>
        </w:rPr>
        <w:t>Huihai Wu</w:t>
      </w:r>
      <w:r w:rsidR="008F1231" w:rsidRPr="001A3046">
        <w:rPr>
          <w:vertAlign w:val="superscript"/>
          <w:lang w:val="en-GB"/>
        </w:rPr>
        <w:t>d</w:t>
      </w:r>
      <w:r w:rsidR="00D22DD4" w:rsidRPr="001A3046">
        <w:rPr>
          <w:lang w:val="en-GB"/>
        </w:rPr>
        <w:t xml:space="preserve">, </w:t>
      </w:r>
      <w:r w:rsidR="00AC5949" w:rsidRPr="001A3046">
        <w:rPr>
          <w:lang w:val="en-GB"/>
        </w:rPr>
        <w:t>Justin O’Grady</w:t>
      </w:r>
      <w:r w:rsidR="00A43EDE" w:rsidRPr="001A3046">
        <w:rPr>
          <w:vertAlign w:val="superscript"/>
          <w:lang w:val="en-GB"/>
        </w:rPr>
        <w:t>e</w:t>
      </w:r>
      <w:r w:rsidR="00AC5949" w:rsidRPr="001A3046">
        <w:rPr>
          <w:lang w:val="en-GB"/>
        </w:rPr>
        <w:t>,</w:t>
      </w:r>
      <w:r w:rsidR="00020338" w:rsidRPr="001A3046">
        <w:rPr>
          <w:lang w:val="en-GB"/>
        </w:rPr>
        <w:t xml:space="preserve"> Hollian Richardson</w:t>
      </w:r>
      <w:r w:rsidR="00A43EDE" w:rsidRPr="001A3046">
        <w:rPr>
          <w:vertAlign w:val="superscript"/>
          <w:lang w:val="en-GB"/>
        </w:rPr>
        <w:t>e</w:t>
      </w:r>
      <w:r w:rsidR="00020338" w:rsidRPr="001A3046">
        <w:rPr>
          <w:lang w:val="en-GB"/>
        </w:rPr>
        <w:t xml:space="preserve">, </w:t>
      </w:r>
      <w:r w:rsidR="001A27AD" w:rsidRPr="001A3046">
        <w:rPr>
          <w:lang w:val="en-GB"/>
        </w:rPr>
        <w:t>Edmond O’Donovan</w:t>
      </w:r>
      <w:r w:rsidR="001A27AD" w:rsidRPr="001A3046">
        <w:rPr>
          <w:vertAlign w:val="superscript"/>
          <w:lang w:val="en-GB"/>
        </w:rPr>
        <w:t>f</w:t>
      </w:r>
      <w:r w:rsidR="006952F3" w:rsidRPr="001A3046">
        <w:rPr>
          <w:lang w:val="en-GB"/>
        </w:rPr>
        <w:t xml:space="preserve">, </w:t>
      </w:r>
      <w:r w:rsidR="001A27AD" w:rsidRPr="001A3046">
        <w:rPr>
          <w:lang w:val="en-GB"/>
        </w:rPr>
        <w:t>Carmelita Troy</w:t>
      </w:r>
      <w:r w:rsidR="001A27AD" w:rsidRPr="001A3046">
        <w:rPr>
          <w:vertAlign w:val="superscript"/>
          <w:lang w:val="en-GB"/>
        </w:rPr>
        <w:t>g</w:t>
      </w:r>
      <w:r w:rsidR="001A27AD" w:rsidRPr="001A3046">
        <w:rPr>
          <w:lang w:val="en-GB"/>
        </w:rPr>
        <w:t xml:space="preserve"> , </w:t>
      </w:r>
      <w:r w:rsidRPr="001A3046">
        <w:rPr>
          <w:lang w:val="en-GB"/>
        </w:rPr>
        <w:t>Graham R</w:t>
      </w:r>
      <w:r w:rsidR="00633347" w:rsidRPr="001A3046">
        <w:rPr>
          <w:lang w:val="en-GB"/>
        </w:rPr>
        <w:t>.</w:t>
      </w:r>
      <w:r w:rsidRPr="001A3046">
        <w:rPr>
          <w:lang w:val="en-GB"/>
        </w:rPr>
        <w:t xml:space="preserve"> Stewart</w:t>
      </w:r>
      <w:r w:rsidRPr="001A3046">
        <w:rPr>
          <w:vertAlign w:val="superscript"/>
          <w:lang w:val="en-GB"/>
        </w:rPr>
        <w:t>a</w:t>
      </w:r>
      <w:r w:rsidR="00AC5949" w:rsidRPr="001A3046">
        <w:rPr>
          <w:vertAlign w:val="superscript"/>
          <w:lang w:val="en-GB"/>
        </w:rPr>
        <w:t xml:space="preserve"> </w:t>
      </w:r>
      <w:r w:rsidR="00AC5949" w:rsidRPr="001A3046">
        <w:rPr>
          <w:lang w:val="en-GB"/>
        </w:rPr>
        <w:t>.</w:t>
      </w:r>
    </w:p>
    <w:p w:rsidR="008035DD" w:rsidRPr="001A3046" w:rsidRDefault="008035DD" w:rsidP="008035DD">
      <w:pPr>
        <w:pStyle w:val="NoteLevel11"/>
        <w:rPr>
          <w:lang w:val="en-GB"/>
        </w:rPr>
      </w:pPr>
    </w:p>
    <w:p w:rsidR="003150B1" w:rsidRPr="001A3046" w:rsidRDefault="003150B1" w:rsidP="00876AE7">
      <w:pPr>
        <w:pStyle w:val="NoteLevel11"/>
      </w:pPr>
      <w:r w:rsidRPr="001A3046">
        <w:rPr>
          <w:vertAlign w:val="superscript"/>
          <w:lang w:val="en-GB"/>
        </w:rPr>
        <w:t>a</w:t>
      </w:r>
      <w:r w:rsidRPr="001A3046">
        <w:rPr>
          <w:lang w:val="en-GB"/>
        </w:rPr>
        <w:t xml:space="preserve">Department of Microbial Sciences, </w:t>
      </w:r>
      <w:r w:rsidRPr="001A3046">
        <w:t xml:space="preserve">Faculty of Health and Medical Sciences, University of </w:t>
      </w:r>
      <w:r w:rsidRPr="001A3046">
        <w:rPr>
          <w:rStyle w:val="highlight"/>
        </w:rPr>
        <w:t>Surrey</w:t>
      </w:r>
      <w:r w:rsidRPr="001A3046">
        <w:t>, Guildford, GU2 7XH, UK.</w:t>
      </w:r>
    </w:p>
    <w:p w:rsidR="007F112F" w:rsidRPr="001A3046" w:rsidRDefault="003150B1" w:rsidP="007F112F">
      <w:pPr>
        <w:pStyle w:val="NoteLevel11"/>
        <w:rPr>
          <w:lang w:val="en-GB"/>
        </w:rPr>
      </w:pPr>
      <w:r w:rsidRPr="001A3046">
        <w:rPr>
          <w:vertAlign w:val="superscript"/>
          <w:lang w:val="en-GB"/>
        </w:rPr>
        <w:t>b</w:t>
      </w:r>
      <w:r w:rsidR="008035DD" w:rsidRPr="001A3046">
        <w:rPr>
          <w:vertAlign w:val="superscript"/>
          <w:lang w:val="en-GB"/>
        </w:rPr>
        <w:t xml:space="preserve"> </w:t>
      </w:r>
      <w:r w:rsidR="007F112F" w:rsidRPr="001A3046">
        <w:rPr>
          <w:lang w:val="en-GB"/>
        </w:rPr>
        <w:t>Archaeology and Palaeoecology, School of Natural and Built Environment, Queen’s University Belfast, Belfast, BT7 1NN, Northern Ireland.</w:t>
      </w:r>
    </w:p>
    <w:p w:rsidR="003150B1" w:rsidRPr="001A3046" w:rsidRDefault="003150B1" w:rsidP="00876AE7">
      <w:pPr>
        <w:pStyle w:val="NoteLevel11"/>
      </w:pPr>
      <w:r w:rsidRPr="001A3046">
        <w:rPr>
          <w:vertAlign w:val="superscript"/>
          <w:lang w:val="en-GB"/>
        </w:rPr>
        <w:t>c</w:t>
      </w:r>
      <w:r w:rsidR="008035DD" w:rsidRPr="001A3046">
        <w:rPr>
          <w:vertAlign w:val="superscript"/>
          <w:lang w:val="en-GB"/>
        </w:rPr>
        <w:t xml:space="preserve"> </w:t>
      </w:r>
      <w:r w:rsidR="008035DD" w:rsidRPr="001A3046">
        <w:t xml:space="preserve">Department of Archaeology, University of Southampton, Highfield Road, </w:t>
      </w:r>
    </w:p>
    <w:p w:rsidR="008035DD" w:rsidRPr="001A3046" w:rsidRDefault="008035DD" w:rsidP="00876AE7">
      <w:pPr>
        <w:pStyle w:val="NoteLevel11"/>
      </w:pPr>
      <w:r w:rsidRPr="001A3046">
        <w:t>Southampton, SO17 1BF</w:t>
      </w:r>
      <w:r w:rsidR="00AC5949" w:rsidRPr="001A3046">
        <w:t>, UK.</w:t>
      </w:r>
    </w:p>
    <w:p w:rsidR="002E154B" w:rsidRPr="001A3046" w:rsidRDefault="00BB7280" w:rsidP="00876AE7">
      <w:pPr>
        <w:pStyle w:val="NoteLevel11"/>
        <w:rPr>
          <w:vertAlign w:val="superscript"/>
        </w:rPr>
      </w:pPr>
      <w:r w:rsidRPr="001A3046">
        <w:rPr>
          <w:vertAlign w:val="superscript"/>
        </w:rPr>
        <w:t>d</w:t>
      </w:r>
      <w:r w:rsidR="002E154B" w:rsidRPr="001A3046">
        <w:rPr>
          <w:vertAlign w:val="superscript"/>
        </w:rPr>
        <w:t xml:space="preserve"> </w:t>
      </w:r>
      <w:r w:rsidR="002E154B" w:rsidRPr="001A3046">
        <w:t xml:space="preserve">Faculty of Health and Medical Sciences, University of </w:t>
      </w:r>
      <w:r w:rsidR="002E154B" w:rsidRPr="001A3046">
        <w:rPr>
          <w:rStyle w:val="highlight"/>
        </w:rPr>
        <w:t>Surrey</w:t>
      </w:r>
      <w:r w:rsidR="002E154B" w:rsidRPr="001A3046">
        <w:t>, Guildford, GU2 7XH, UK.</w:t>
      </w:r>
    </w:p>
    <w:p w:rsidR="003150B1" w:rsidRPr="001A3046" w:rsidRDefault="00A43EDE" w:rsidP="00876AE7">
      <w:pPr>
        <w:pStyle w:val="NoteLevel11"/>
        <w:rPr>
          <w:rStyle w:val="publication-editor-affiliation"/>
        </w:rPr>
      </w:pPr>
      <w:r w:rsidRPr="001A3046">
        <w:rPr>
          <w:vertAlign w:val="superscript"/>
        </w:rPr>
        <w:t>e</w:t>
      </w:r>
      <w:r w:rsidR="00020338" w:rsidRPr="001A3046">
        <w:rPr>
          <w:rStyle w:val="publication-editor-affiliation"/>
        </w:rPr>
        <w:t xml:space="preserve"> Norwich Medical School, University of East Anglia, Norwich, England, UK.</w:t>
      </w:r>
    </w:p>
    <w:p w:rsidR="002E438A" w:rsidRPr="001A3046" w:rsidRDefault="002E154B" w:rsidP="00876AE7">
      <w:pPr>
        <w:pStyle w:val="NoteLevel11"/>
        <w:rPr>
          <w:lang w:val="en-GB"/>
        </w:rPr>
      </w:pPr>
      <w:r w:rsidRPr="001A3046">
        <w:rPr>
          <w:vertAlign w:val="superscript"/>
          <w:lang w:val="en-GB"/>
        </w:rPr>
        <w:t>f</w:t>
      </w:r>
      <w:r w:rsidRPr="001A3046">
        <w:rPr>
          <w:lang w:val="en-GB"/>
        </w:rPr>
        <w:t xml:space="preserve"> Edmond O’Donovan &amp; Associates, Archaeological Consultant, 77 Fairyhill, Bray, Co. Wicklow, Republic of Ireland</w:t>
      </w:r>
      <w:r w:rsidR="00553121" w:rsidRPr="001A3046">
        <w:rPr>
          <w:lang w:val="en-GB"/>
        </w:rPr>
        <w:t>.</w:t>
      </w:r>
    </w:p>
    <w:p w:rsidR="00AF738D" w:rsidRPr="001A3046" w:rsidRDefault="002E154B">
      <w:pPr>
        <w:pStyle w:val="NoteLevel11"/>
        <w:rPr>
          <w:lang w:val="en-GB"/>
        </w:rPr>
      </w:pPr>
      <w:r w:rsidRPr="001A3046">
        <w:rPr>
          <w:vertAlign w:val="superscript"/>
          <w:lang w:val="en-GB"/>
        </w:rPr>
        <w:t>g</w:t>
      </w:r>
      <w:r w:rsidRPr="001A3046">
        <w:rPr>
          <w:lang w:val="en-GB"/>
        </w:rPr>
        <w:t xml:space="preserve"> Rubicon Heritage Services Ltd, Unit 2, Europa Enterprise Park, Midleton, Co. Cork, Republic of Ireland</w:t>
      </w:r>
      <w:r w:rsidR="00553121" w:rsidRPr="001A3046">
        <w:rPr>
          <w:lang w:val="en-GB"/>
        </w:rPr>
        <w:t>.</w:t>
      </w:r>
    </w:p>
    <w:p w:rsidR="002E154B" w:rsidRDefault="002E154B" w:rsidP="003150B1">
      <w:pPr>
        <w:pStyle w:val="NoteLevel11"/>
      </w:pPr>
    </w:p>
    <w:p w:rsidR="003150B1" w:rsidRDefault="003150B1" w:rsidP="003150B1">
      <w:pPr>
        <w:pStyle w:val="NoteLevel11"/>
        <w:rPr>
          <w:rFonts w:ascii="Cambria" w:hAnsi="Cambria"/>
          <w:lang w:val="en-GB"/>
        </w:rPr>
      </w:pPr>
    </w:p>
    <w:p w:rsidR="00CF20B3" w:rsidRDefault="00CF20B3" w:rsidP="003150B1">
      <w:pPr>
        <w:pStyle w:val="NoteLevel11"/>
        <w:rPr>
          <w:rFonts w:ascii="Cambria" w:hAnsi="Cambria"/>
          <w:lang w:val="en-GB"/>
        </w:rPr>
      </w:pPr>
    </w:p>
    <w:p w:rsidR="008C0A9D" w:rsidRPr="001A3046" w:rsidRDefault="00BB7280" w:rsidP="00876AE7">
      <w:pPr>
        <w:pStyle w:val="NoteLevel11"/>
        <w:rPr>
          <w:lang w:val="en-GB"/>
        </w:rPr>
      </w:pPr>
      <w:r w:rsidRPr="001A3046">
        <w:rPr>
          <w:lang w:val="en-GB"/>
        </w:rPr>
        <w:t xml:space="preserve">Keywords. </w:t>
      </w:r>
      <w:bookmarkStart w:id="0" w:name="_GoBack"/>
      <w:bookmarkEnd w:id="0"/>
      <w:r w:rsidR="00CF20B3" w:rsidRPr="001A3046">
        <w:rPr>
          <w:lang w:val="en-GB"/>
        </w:rPr>
        <w:t xml:space="preserve"> </w:t>
      </w:r>
      <w:r w:rsidRPr="001A3046">
        <w:rPr>
          <w:lang w:val="en-GB"/>
        </w:rPr>
        <w:t xml:space="preserve">Ancient DNA, </w:t>
      </w:r>
      <w:r w:rsidR="00CF20B3" w:rsidRPr="001A3046">
        <w:rPr>
          <w:lang w:val="en-GB"/>
        </w:rPr>
        <w:t xml:space="preserve">Ireland, </w:t>
      </w:r>
      <w:r w:rsidRPr="001A3046">
        <w:rPr>
          <w:i/>
          <w:lang w:val="en-GB"/>
        </w:rPr>
        <w:t>Mycobacterium leprae</w:t>
      </w:r>
      <w:r w:rsidR="007F112F" w:rsidRPr="001A3046">
        <w:rPr>
          <w:lang w:val="en-GB"/>
        </w:rPr>
        <w:t>,</w:t>
      </w:r>
      <w:r w:rsidR="00CF20B3" w:rsidRPr="001A3046">
        <w:rPr>
          <w:lang w:val="en-GB"/>
        </w:rPr>
        <w:t xml:space="preserve"> </w:t>
      </w:r>
      <w:r w:rsidR="00D025FA" w:rsidRPr="001A3046">
        <w:rPr>
          <w:i/>
          <w:lang w:val="en-GB"/>
        </w:rPr>
        <w:t>Mycobacterium lepromatosis</w:t>
      </w:r>
      <w:r w:rsidR="00D025FA" w:rsidRPr="001A3046">
        <w:rPr>
          <w:lang w:val="en-GB"/>
        </w:rPr>
        <w:t xml:space="preserve">, genotyping, </w:t>
      </w:r>
      <w:r w:rsidR="006952F3" w:rsidRPr="001A3046">
        <w:rPr>
          <w:lang w:val="en-GB"/>
        </w:rPr>
        <w:t>isotopic analysis, Viking</w:t>
      </w:r>
      <w:r w:rsidR="003669BA" w:rsidRPr="001A3046">
        <w:rPr>
          <w:lang w:val="en-GB"/>
        </w:rPr>
        <w:t>, Hiberno-Norse</w:t>
      </w:r>
    </w:p>
    <w:p w:rsidR="008C0A9D" w:rsidRPr="007F112F" w:rsidRDefault="008C0A9D">
      <w:pPr>
        <w:pStyle w:val="NoteLevel11"/>
        <w:rPr>
          <w:b/>
          <w:caps/>
          <w:sz w:val="36"/>
          <w:szCs w:val="36"/>
          <w:lang w:val="en-GB"/>
        </w:rPr>
      </w:pPr>
    </w:p>
    <w:p w:rsidR="007F112F" w:rsidRPr="007F112F" w:rsidRDefault="007F112F" w:rsidP="007F112F">
      <w:pPr>
        <w:pStyle w:val="NoteLevel11"/>
        <w:rPr>
          <w:b/>
          <w:sz w:val="36"/>
          <w:szCs w:val="36"/>
          <w:lang w:val="en-GB"/>
        </w:rPr>
      </w:pPr>
      <w:r w:rsidRPr="007F112F">
        <w:rPr>
          <w:b/>
          <w:sz w:val="36"/>
          <w:szCs w:val="36"/>
          <w:lang w:val="en-GB"/>
        </w:rPr>
        <w:t>Abstract</w:t>
      </w:r>
    </w:p>
    <w:p w:rsidR="007F112F" w:rsidRDefault="007F112F" w:rsidP="007F112F">
      <w:pPr>
        <w:pStyle w:val="NoteLevel11"/>
        <w:rPr>
          <w:lang w:val="en-GB"/>
        </w:rPr>
      </w:pPr>
      <w:r>
        <w:rPr>
          <w:lang w:val="en-GB"/>
        </w:rPr>
        <w:t xml:space="preserve">Relatively little is known </w:t>
      </w:r>
      <w:r w:rsidR="00D025FA">
        <w:rPr>
          <w:lang w:val="en-GB"/>
        </w:rPr>
        <w:t xml:space="preserve">of leprosy in Medieval Ireland; as </w:t>
      </w:r>
      <w:r>
        <w:rPr>
          <w:lang w:val="en-GB"/>
        </w:rPr>
        <w:t>an island locate</w:t>
      </w:r>
      <w:r w:rsidR="00D025FA">
        <w:rPr>
          <w:lang w:val="en-GB"/>
        </w:rPr>
        <w:t>d at the far west of Europe it</w:t>
      </w:r>
      <w:r>
        <w:rPr>
          <w:lang w:val="en-GB"/>
        </w:rPr>
        <w:t xml:space="preserve"> has the potential to provide interesting insights in relation to the </w:t>
      </w:r>
      <w:r w:rsidR="00D025FA">
        <w:rPr>
          <w:lang w:val="en-GB"/>
        </w:rPr>
        <w:t xml:space="preserve">historical </w:t>
      </w:r>
      <w:r>
        <w:rPr>
          <w:lang w:val="en-GB"/>
        </w:rPr>
        <w:t>epidemiology o</w:t>
      </w:r>
      <w:r w:rsidR="00D025FA">
        <w:rPr>
          <w:lang w:val="en-GB"/>
        </w:rPr>
        <w:t>f the disease. To this end</w:t>
      </w:r>
      <w:r>
        <w:rPr>
          <w:lang w:val="en-GB"/>
        </w:rPr>
        <w:t xml:space="preserve"> </w:t>
      </w:r>
      <w:r w:rsidR="00D025FA">
        <w:rPr>
          <w:lang w:val="en-GB"/>
        </w:rPr>
        <w:t xml:space="preserve">the study focuses on </w:t>
      </w:r>
      <w:r>
        <w:rPr>
          <w:lang w:val="en-GB"/>
        </w:rPr>
        <w:t xml:space="preserve">five cases of probable leprosy </w:t>
      </w:r>
      <w:r w:rsidR="00D025FA">
        <w:rPr>
          <w:lang w:val="en-GB"/>
        </w:rPr>
        <w:t xml:space="preserve">identified </w:t>
      </w:r>
      <w:r>
        <w:rPr>
          <w:lang w:val="en-GB"/>
        </w:rPr>
        <w:t xml:space="preserve">in human </w:t>
      </w:r>
      <w:r w:rsidR="00D025FA">
        <w:rPr>
          <w:lang w:val="en-GB"/>
        </w:rPr>
        <w:t xml:space="preserve">skeletal </w:t>
      </w:r>
      <w:r>
        <w:rPr>
          <w:lang w:val="en-GB"/>
        </w:rPr>
        <w:t>remains excavated from</w:t>
      </w:r>
      <w:r w:rsidR="00D025FA">
        <w:rPr>
          <w:lang w:val="en-GB"/>
        </w:rPr>
        <w:t xml:space="preserve"> inhumation burials. Three of the individuals</w:t>
      </w:r>
      <w:r>
        <w:rPr>
          <w:lang w:val="en-GB"/>
        </w:rPr>
        <w:t xml:space="preserve"> </w:t>
      </w:r>
      <w:r w:rsidR="00B408CB">
        <w:rPr>
          <w:lang w:val="en-GB"/>
        </w:rPr>
        <w:t>derived from the cemetery of St</w:t>
      </w:r>
      <w:r>
        <w:rPr>
          <w:lang w:val="en-GB"/>
        </w:rPr>
        <w:t xml:space="preserve"> Michael Le Pole, Golden Lane, Dublin, while single examples were also identified from </w:t>
      </w:r>
      <w:r w:rsidR="00D025FA">
        <w:rPr>
          <w:lang w:val="en-GB"/>
        </w:rPr>
        <w:t xml:space="preserve">Ardreigh, Co. </w:t>
      </w:r>
      <w:r w:rsidR="00D025FA">
        <w:rPr>
          <w:lang w:val="en-GB"/>
        </w:rPr>
        <w:lastRenderedPageBreak/>
        <w:t xml:space="preserve">Kildare, and </w:t>
      </w:r>
      <w:r w:rsidR="00B408CB">
        <w:rPr>
          <w:lang w:val="en-GB"/>
        </w:rPr>
        <w:t>St</w:t>
      </w:r>
      <w:r>
        <w:rPr>
          <w:lang w:val="en-GB"/>
        </w:rPr>
        <w:t xml:space="preserve"> Patrick’s Church, Armoy, Co. Antrim. </w:t>
      </w:r>
      <w:r w:rsidR="00D025FA">
        <w:rPr>
          <w:lang w:val="en-GB"/>
        </w:rPr>
        <w:t xml:space="preserve">The individuals were radiocarbon dated and </w:t>
      </w:r>
      <w:r>
        <w:rPr>
          <w:lang w:val="en-GB"/>
        </w:rPr>
        <w:t xml:space="preserve">examined biomolecularly for evidence of either of the causative pathogens, </w:t>
      </w:r>
      <w:r w:rsidRPr="00B05C52">
        <w:rPr>
          <w:i/>
          <w:lang w:val="en-GB"/>
        </w:rPr>
        <w:t>M. leprae</w:t>
      </w:r>
      <w:r>
        <w:rPr>
          <w:i/>
          <w:lang w:val="en-GB"/>
        </w:rPr>
        <w:t xml:space="preserve"> </w:t>
      </w:r>
      <w:r w:rsidRPr="00BB7280">
        <w:rPr>
          <w:lang w:val="en-GB"/>
        </w:rPr>
        <w:t>or</w:t>
      </w:r>
      <w:r>
        <w:rPr>
          <w:i/>
          <w:lang w:val="en-GB"/>
        </w:rPr>
        <w:t xml:space="preserve"> </w:t>
      </w:r>
      <w:bookmarkStart w:id="1" w:name="_Hlk514753022"/>
      <w:r>
        <w:rPr>
          <w:i/>
          <w:lang w:val="en-GB"/>
        </w:rPr>
        <w:t>M. lepromatosis</w:t>
      </w:r>
      <w:bookmarkEnd w:id="1"/>
      <w:r w:rsidR="00D025FA">
        <w:rPr>
          <w:lang w:val="en-GB"/>
        </w:rPr>
        <w:t xml:space="preserve">. Oxygen and strontium </w:t>
      </w:r>
      <w:r>
        <w:rPr>
          <w:lang w:val="en-GB"/>
        </w:rPr>
        <w:t xml:space="preserve">isotopes were measured in tooth enamel and rib samples to determine where the individuals </w:t>
      </w:r>
      <w:r w:rsidR="00D025FA">
        <w:rPr>
          <w:lang w:val="en-GB"/>
        </w:rPr>
        <w:t xml:space="preserve">had </w:t>
      </w:r>
      <w:r>
        <w:rPr>
          <w:lang w:val="en-GB"/>
        </w:rPr>
        <w:t>spent their formative years and to ascertain if they had und</w:t>
      </w:r>
      <w:bookmarkStart w:id="2" w:name="_Hlk514753071"/>
      <w:r w:rsidR="00D025FA">
        <w:rPr>
          <w:lang w:val="en-GB"/>
        </w:rPr>
        <w:t>ertaken any recent migrations.</w:t>
      </w:r>
    </w:p>
    <w:bookmarkEnd w:id="2"/>
    <w:p w:rsidR="007F112F" w:rsidRDefault="007F112F" w:rsidP="007F112F">
      <w:pPr>
        <w:pStyle w:val="NoteLevel11"/>
        <w:rPr>
          <w:lang w:val="en-GB"/>
        </w:rPr>
      </w:pPr>
    </w:p>
    <w:p w:rsidR="007F112F" w:rsidRDefault="007F112F" w:rsidP="007F112F">
      <w:pPr>
        <w:pStyle w:val="NoteLevel11"/>
        <w:rPr>
          <w:lang w:val="en-GB"/>
        </w:rPr>
      </w:pPr>
      <w:r>
        <w:rPr>
          <w:lang w:val="en-GB"/>
        </w:rPr>
        <w:t xml:space="preserve">We detected </w:t>
      </w:r>
      <w:r w:rsidRPr="00B05C52">
        <w:rPr>
          <w:i/>
          <w:lang w:val="en-GB"/>
        </w:rPr>
        <w:t>M.</w:t>
      </w:r>
      <w:r>
        <w:rPr>
          <w:i/>
          <w:lang w:val="en-GB"/>
        </w:rPr>
        <w:t xml:space="preserve"> </w:t>
      </w:r>
      <w:r w:rsidRPr="00B05C52">
        <w:rPr>
          <w:i/>
          <w:lang w:val="en-GB"/>
        </w:rPr>
        <w:t>leprae</w:t>
      </w:r>
      <w:r>
        <w:rPr>
          <w:lang w:val="en-GB"/>
        </w:rPr>
        <w:t xml:space="preserve"> DNA in the three Golden Lane cases but not in the probable cases from </w:t>
      </w:r>
      <w:r w:rsidR="00D025FA">
        <w:rPr>
          <w:lang w:val="en-GB"/>
        </w:rPr>
        <w:t xml:space="preserve">either </w:t>
      </w:r>
      <w:r>
        <w:rPr>
          <w:lang w:val="en-GB"/>
        </w:rPr>
        <w:t>Ard</w:t>
      </w:r>
      <w:r w:rsidR="007D28AE">
        <w:rPr>
          <w:lang w:val="en-GB"/>
        </w:rPr>
        <w:t>r</w:t>
      </w:r>
      <w:r>
        <w:rPr>
          <w:lang w:val="en-GB"/>
        </w:rPr>
        <w:t>eigh Co. Kildare or Armoy, Co. Antrim.</w:t>
      </w:r>
    </w:p>
    <w:p w:rsidR="007F112F" w:rsidRDefault="007F112F" w:rsidP="007F112F">
      <w:pPr>
        <w:pStyle w:val="NoteLevel11"/>
        <w:rPr>
          <w:lang w:val="en-GB"/>
        </w:rPr>
      </w:pPr>
      <w:bookmarkStart w:id="3" w:name="_Hlk514474450"/>
      <w:r w:rsidRPr="003150B1">
        <w:rPr>
          <w:i/>
          <w:lang w:val="en-GB"/>
        </w:rPr>
        <w:t>M.</w:t>
      </w:r>
      <w:r>
        <w:rPr>
          <w:i/>
          <w:lang w:val="en-GB"/>
        </w:rPr>
        <w:t xml:space="preserve"> </w:t>
      </w:r>
      <w:r w:rsidRPr="003150B1">
        <w:rPr>
          <w:i/>
          <w:lang w:val="en-GB"/>
        </w:rPr>
        <w:t>lepromatosis</w:t>
      </w:r>
      <w:r>
        <w:rPr>
          <w:lang w:val="en-GB"/>
        </w:rPr>
        <w:t xml:space="preserve"> </w:t>
      </w:r>
      <w:bookmarkEnd w:id="3"/>
      <w:r>
        <w:rPr>
          <w:lang w:val="en-GB"/>
        </w:rPr>
        <w:t xml:space="preserve">was not detected in any of the burals. DNA preservation was sufficiently robust to allow genotyping of </w:t>
      </w:r>
      <w:r w:rsidRPr="003150B1">
        <w:rPr>
          <w:i/>
          <w:lang w:val="en-GB"/>
        </w:rPr>
        <w:t>M.</w:t>
      </w:r>
      <w:r>
        <w:rPr>
          <w:i/>
          <w:lang w:val="en-GB"/>
        </w:rPr>
        <w:t xml:space="preserve"> </w:t>
      </w:r>
      <w:r w:rsidRPr="003150B1">
        <w:rPr>
          <w:i/>
          <w:lang w:val="en-GB"/>
        </w:rPr>
        <w:t>leprae</w:t>
      </w:r>
      <w:r>
        <w:rPr>
          <w:lang w:val="en-GB"/>
        </w:rPr>
        <w:t xml:space="preserve"> strains in two of the Golden Lane burials, SkCXCV (12-13</w:t>
      </w:r>
      <w:r w:rsidRPr="00EB353B">
        <w:rPr>
          <w:vertAlign w:val="superscript"/>
          <w:lang w:val="en-GB"/>
        </w:rPr>
        <w:t>th</w:t>
      </w:r>
      <w:r w:rsidR="007A4A51">
        <w:rPr>
          <w:lang w:val="en-GB"/>
        </w:rPr>
        <w:t xml:space="preserve"> century) and SkCCXXX (11</w:t>
      </w:r>
      <w:r w:rsidR="00111797">
        <w:rPr>
          <w:lang w:val="en-GB"/>
        </w:rPr>
        <w:t>-13</w:t>
      </w:r>
      <w:r w:rsidRPr="00EB353B">
        <w:rPr>
          <w:vertAlign w:val="superscript"/>
          <w:lang w:val="en-GB"/>
        </w:rPr>
        <w:t>th</w:t>
      </w:r>
      <w:r w:rsidR="007A4A51">
        <w:rPr>
          <w:lang w:val="en-GB"/>
        </w:rPr>
        <w:t xml:space="preserve"> century</w:t>
      </w:r>
      <w:r>
        <w:rPr>
          <w:lang w:val="en-GB"/>
        </w:rPr>
        <w:t xml:space="preserve">).  These strains were found to belong on different lineages of the </w:t>
      </w:r>
      <w:r w:rsidRPr="00B05C52">
        <w:rPr>
          <w:i/>
          <w:lang w:val="en-GB"/>
        </w:rPr>
        <w:t>M.</w:t>
      </w:r>
      <w:r>
        <w:rPr>
          <w:i/>
          <w:lang w:val="en-GB"/>
        </w:rPr>
        <w:t xml:space="preserve"> </w:t>
      </w:r>
      <w:r w:rsidRPr="00B05C52">
        <w:rPr>
          <w:i/>
          <w:lang w:val="en-GB"/>
        </w:rPr>
        <w:t>leprae</w:t>
      </w:r>
      <w:r>
        <w:rPr>
          <w:lang w:val="en-GB"/>
        </w:rPr>
        <w:t xml:space="preserve"> phylogenetic tree, namely branches 3 and 2 respectively. Whole genome sequencing was also attempted on these two isolates with a view to gainin</w:t>
      </w:r>
      <w:r w:rsidR="00D025FA">
        <w:rPr>
          <w:lang w:val="en-GB"/>
        </w:rPr>
        <w:t xml:space="preserve">g further information but </w:t>
      </w:r>
      <w:r>
        <w:rPr>
          <w:lang w:val="en-GB"/>
        </w:rPr>
        <w:t xml:space="preserve">poor genome coverage precluded phylogenetic analysis. Data from the biomolecular study was combined with osteological, isotopic and radiocarbon dating to provide a </w:t>
      </w:r>
      <w:r w:rsidRPr="008C2289">
        <w:rPr>
          <w:lang w:val="en-GB"/>
        </w:rPr>
        <w:t>comprehensive and multidiscipl</w:t>
      </w:r>
      <w:r w:rsidR="00111797" w:rsidRPr="008C2289">
        <w:rPr>
          <w:lang w:val="en-GB"/>
        </w:rPr>
        <w:t>inary study of the Irish cases. Strontium and oxygen isotopic analysis indicate that two of the individuals from Golden Lane (SkCXLVIII</w:t>
      </w:r>
      <w:r w:rsidR="007A4A51">
        <w:rPr>
          <w:lang w:val="en-GB"/>
        </w:rPr>
        <w:t xml:space="preserve"> (10</w:t>
      </w:r>
      <w:r w:rsidR="005D3F3B" w:rsidRPr="008C2289">
        <w:rPr>
          <w:lang w:val="en-GB"/>
        </w:rPr>
        <w:t>-11</w:t>
      </w:r>
      <w:r w:rsidR="005D3F3B" w:rsidRPr="008C2289">
        <w:rPr>
          <w:vertAlign w:val="superscript"/>
          <w:lang w:val="en-GB"/>
        </w:rPr>
        <w:t>th</w:t>
      </w:r>
      <w:r w:rsidR="007A4A51">
        <w:rPr>
          <w:lang w:val="en-GB"/>
        </w:rPr>
        <w:t xml:space="preserve"> century</w:t>
      </w:r>
      <w:r w:rsidR="005D3F3B" w:rsidRPr="008C2289">
        <w:rPr>
          <w:lang w:val="en-GB"/>
        </w:rPr>
        <w:t xml:space="preserve">) and </w:t>
      </w:r>
      <w:r w:rsidR="005D3F3B" w:rsidRPr="008C2289">
        <w:rPr>
          <w:iCs/>
        </w:rPr>
        <w:t>SkCXCV) were of Scandinavian origin, while SkCCXXX may have spent his childhood in the north of Ireland or central Britain. We propose that the Vikings were responsible for introducing leprosy to Ireland.</w:t>
      </w:r>
      <w:r w:rsidR="005D3F3B" w:rsidRPr="008C2289">
        <w:rPr>
          <w:lang w:val="en-GB"/>
        </w:rPr>
        <w:t xml:space="preserve"> </w:t>
      </w:r>
      <w:r w:rsidRPr="008C2289">
        <w:rPr>
          <w:lang w:val="en-GB"/>
        </w:rPr>
        <w:t>This work adds to our knowledge of the likely origins of leprosy in Medieval</w:t>
      </w:r>
      <w:r>
        <w:rPr>
          <w:lang w:val="en-GB"/>
        </w:rPr>
        <w:t xml:space="preserve"> Ireland and will hopefully stimulate further research into the history and spread of this ancient disease across the world.</w:t>
      </w:r>
    </w:p>
    <w:p w:rsidR="008C0A9D" w:rsidRDefault="008C0A9D" w:rsidP="00A833E7">
      <w:pPr>
        <w:pStyle w:val="NoteLevel11"/>
        <w:rPr>
          <w:b/>
          <w:caps/>
          <w:sz w:val="28"/>
          <w:lang w:val="en-GB"/>
        </w:rPr>
      </w:pPr>
    </w:p>
    <w:p w:rsidR="003413D1" w:rsidRPr="00DB3ABC" w:rsidRDefault="007F112F" w:rsidP="00A833E7">
      <w:pPr>
        <w:pStyle w:val="NoteLevel11"/>
        <w:rPr>
          <w:rFonts w:cs="Helvetica"/>
          <w:b/>
          <w:color w:val="000000"/>
          <w:sz w:val="36"/>
          <w:szCs w:val="36"/>
        </w:rPr>
      </w:pPr>
      <w:r w:rsidRPr="00DB3ABC">
        <w:rPr>
          <w:rFonts w:cs="Helvetica"/>
          <w:b/>
          <w:color w:val="000000"/>
          <w:sz w:val="36"/>
          <w:szCs w:val="36"/>
        </w:rPr>
        <w:t>Introduction</w:t>
      </w:r>
    </w:p>
    <w:p w:rsidR="007F112F" w:rsidRPr="001A3046" w:rsidRDefault="007F112F" w:rsidP="007F112F">
      <w:pPr>
        <w:pStyle w:val="NoteLevel11"/>
        <w:rPr>
          <w:rFonts w:cs="Helvetica"/>
          <w:color w:val="000000"/>
          <w:szCs w:val="20"/>
        </w:rPr>
      </w:pPr>
      <w:r w:rsidRPr="001A3046">
        <w:rPr>
          <w:rFonts w:cs="Helvetica"/>
          <w:szCs w:val="20"/>
        </w:rPr>
        <w:t xml:space="preserve">Leprosy is a chronic granulomatous disease caused by </w:t>
      </w:r>
      <w:r w:rsidRPr="001A3046">
        <w:rPr>
          <w:rFonts w:cs="Helvetica"/>
          <w:i/>
          <w:szCs w:val="20"/>
        </w:rPr>
        <w:t>M. leprae</w:t>
      </w:r>
      <w:r w:rsidR="00A74CA7" w:rsidRPr="001A3046">
        <w:rPr>
          <w:rFonts w:cs="Helvetica"/>
          <w:szCs w:val="20"/>
        </w:rPr>
        <w:t xml:space="preserve"> and</w:t>
      </w:r>
      <w:r w:rsidRPr="001A3046">
        <w:rPr>
          <w:rFonts w:cs="Helvetica"/>
          <w:szCs w:val="20"/>
        </w:rPr>
        <w:t xml:space="preserve"> the recently identified </w:t>
      </w:r>
      <w:r w:rsidRPr="001A3046">
        <w:rPr>
          <w:rFonts w:cs="Helvetica"/>
          <w:i/>
          <w:szCs w:val="20"/>
        </w:rPr>
        <w:t>M. lepromatosis</w:t>
      </w:r>
      <w:r w:rsidRPr="001A3046">
        <w:rPr>
          <w:rFonts w:cs="Helvetica"/>
          <w:szCs w:val="20"/>
        </w:rPr>
        <w:t xml:space="preserve"> [1</w:t>
      </w:r>
      <w:r w:rsidR="00277BB9" w:rsidRPr="001A3046">
        <w:rPr>
          <w:rFonts w:cs="Helvetica"/>
          <w:szCs w:val="20"/>
        </w:rPr>
        <w:t>]</w:t>
      </w:r>
      <w:r w:rsidRPr="001A3046">
        <w:rPr>
          <w:rFonts w:cs="Helvetica"/>
          <w:szCs w:val="20"/>
        </w:rPr>
        <w:t xml:space="preserve">.  Susceptible individuals may be afflicted along a spectrum of severity depending on immune system status, with highest resistance occurring in tuberculoid leprosy and diminishing through the borderline form of disease to lepromatous leprosy (LL) that manifests in those with lowest resistance. </w:t>
      </w:r>
      <w:r w:rsidRPr="001A3046">
        <w:rPr>
          <w:rFonts w:cs="Helvetica"/>
          <w:szCs w:val="17"/>
        </w:rPr>
        <w:t xml:space="preserve">A recent WHO classification </w:t>
      </w:r>
      <w:r w:rsidR="007D28AE" w:rsidRPr="001A3046">
        <w:rPr>
          <w:rFonts w:cs="Helvetica"/>
          <w:szCs w:val="17"/>
        </w:rPr>
        <w:t>recognizes</w:t>
      </w:r>
      <w:r w:rsidRPr="001A3046">
        <w:rPr>
          <w:rFonts w:cs="Helvetica"/>
          <w:szCs w:val="17"/>
        </w:rPr>
        <w:t xml:space="preserve"> two simplified categories of either paucibacillary or mul</w:t>
      </w:r>
      <w:r w:rsidR="00C253D4" w:rsidRPr="001A3046">
        <w:rPr>
          <w:rFonts w:cs="Helvetica"/>
          <w:szCs w:val="17"/>
        </w:rPr>
        <w:t>tibacillary forms of the disease</w:t>
      </w:r>
      <w:r w:rsidRPr="001A3046">
        <w:rPr>
          <w:rFonts w:cs="Helvetica"/>
          <w:szCs w:val="17"/>
        </w:rPr>
        <w:t xml:space="preserve"> [</w:t>
      </w:r>
      <w:r w:rsidR="00277BB9" w:rsidRPr="001A3046">
        <w:rPr>
          <w:rFonts w:cs="Helvetica"/>
          <w:szCs w:val="17"/>
        </w:rPr>
        <w:t>2</w:t>
      </w:r>
      <w:r w:rsidRPr="001A3046">
        <w:rPr>
          <w:rFonts w:cs="Helvetica"/>
          <w:szCs w:val="17"/>
        </w:rPr>
        <w:t xml:space="preserve">] </w:t>
      </w:r>
      <w:r w:rsidRPr="001A3046">
        <w:rPr>
          <w:rFonts w:cs="Helvetica"/>
          <w:szCs w:val="20"/>
        </w:rPr>
        <w:t xml:space="preserve">to essentially assist with </w:t>
      </w:r>
      <w:r w:rsidRPr="001A3046">
        <w:rPr>
          <w:rFonts w:cs="Helvetica"/>
          <w:szCs w:val="20"/>
        </w:rPr>
        <w:lastRenderedPageBreak/>
        <w:t>treatment regimes. Skeletons from the archaeological record with characteristic lesions [3,4</w:t>
      </w:r>
      <w:r w:rsidR="00277BB9" w:rsidRPr="001A3046">
        <w:rPr>
          <w:rFonts w:cs="Helvetica"/>
          <w:szCs w:val="20"/>
        </w:rPr>
        <w:t>]</w:t>
      </w:r>
      <w:r w:rsidRPr="001A3046">
        <w:rPr>
          <w:rFonts w:cs="Helvetica"/>
          <w:szCs w:val="20"/>
        </w:rPr>
        <w:t xml:space="preserve"> represent</w:t>
      </w:r>
      <w:r w:rsidRPr="001A3046">
        <w:rPr>
          <w:rFonts w:cs="Helvetica"/>
          <w:color w:val="000000"/>
          <w:szCs w:val="20"/>
        </w:rPr>
        <w:t xml:space="preserve"> individuals at the multibacillary end of the disease spectrum. Leprosy has probably been in </w:t>
      </w:r>
      <w:r w:rsidR="00C253D4" w:rsidRPr="001A3046">
        <w:rPr>
          <w:rFonts w:cs="Helvetica"/>
          <w:color w:val="000000"/>
          <w:szCs w:val="20"/>
        </w:rPr>
        <w:t xml:space="preserve">the </w:t>
      </w:r>
      <w:r w:rsidR="00C253D4" w:rsidRPr="001A3046">
        <w:rPr>
          <w:rFonts w:cs="Helvetica"/>
          <w:szCs w:val="20"/>
        </w:rPr>
        <w:t xml:space="preserve">neighboring island of </w:t>
      </w:r>
      <w:r w:rsidRPr="001A3046">
        <w:rPr>
          <w:rFonts w:cs="Helvetica"/>
          <w:szCs w:val="20"/>
        </w:rPr>
        <w:t>Britain since Roman times [5</w:t>
      </w:r>
      <w:r w:rsidR="00277BB9" w:rsidRPr="001A3046">
        <w:rPr>
          <w:rFonts w:cs="Helvetica"/>
          <w:szCs w:val="20"/>
        </w:rPr>
        <w:t>]</w:t>
      </w:r>
      <w:r w:rsidRPr="001A3046">
        <w:rPr>
          <w:rFonts w:cs="Helvetica"/>
          <w:szCs w:val="20"/>
        </w:rPr>
        <w:t xml:space="preserve"> and increased steadily</w:t>
      </w:r>
      <w:r w:rsidRPr="001A3046">
        <w:rPr>
          <w:rFonts w:cs="Helvetica"/>
          <w:color w:val="000000"/>
          <w:szCs w:val="20"/>
        </w:rPr>
        <w:t xml:space="preserve"> throughout the Anglo-Saxon period. Early cases are known from Great </w:t>
      </w:r>
      <w:r w:rsidRPr="001A3046">
        <w:rPr>
          <w:rFonts w:cs="Helvetica"/>
          <w:szCs w:val="20"/>
        </w:rPr>
        <w:t>Chesterford in Essex [6</w:t>
      </w:r>
      <w:r w:rsidR="00277BB9" w:rsidRPr="001A3046">
        <w:rPr>
          <w:rFonts w:cs="Helvetica"/>
          <w:szCs w:val="20"/>
        </w:rPr>
        <w:t>]</w:t>
      </w:r>
      <w:r w:rsidRPr="001A3046">
        <w:rPr>
          <w:rFonts w:cs="Helvetica"/>
          <w:szCs w:val="20"/>
        </w:rPr>
        <w:t>, dating to the 5</w:t>
      </w:r>
      <w:r w:rsidRPr="001A3046">
        <w:rPr>
          <w:rFonts w:cs="Helvetica"/>
          <w:szCs w:val="20"/>
          <w:vertAlign w:val="superscript"/>
        </w:rPr>
        <w:t>th</w:t>
      </w:r>
      <w:r w:rsidRPr="001A3046">
        <w:rPr>
          <w:rFonts w:cs="Helvetica"/>
          <w:szCs w:val="20"/>
        </w:rPr>
        <w:t>-6</w:t>
      </w:r>
      <w:r w:rsidRPr="001A3046">
        <w:rPr>
          <w:rFonts w:cs="Helvetica"/>
          <w:szCs w:val="20"/>
          <w:vertAlign w:val="superscript"/>
        </w:rPr>
        <w:t>th</w:t>
      </w:r>
      <w:r w:rsidRPr="001A3046">
        <w:rPr>
          <w:rFonts w:cs="Helvetica"/>
          <w:szCs w:val="20"/>
        </w:rPr>
        <w:t xml:space="preserve"> centuries AD and Hoxne in Suffolk</w:t>
      </w:r>
      <w:r w:rsidRPr="001A3046">
        <w:rPr>
          <w:rFonts w:cs="Helvetica"/>
          <w:color w:val="000000"/>
          <w:szCs w:val="20"/>
        </w:rPr>
        <w:t xml:space="preserve"> </w:t>
      </w:r>
      <w:r w:rsidRPr="001A3046">
        <w:rPr>
          <w:rFonts w:cs="Helvetica"/>
          <w:szCs w:val="20"/>
        </w:rPr>
        <w:t>(9</w:t>
      </w:r>
      <w:r w:rsidRPr="001A3046">
        <w:rPr>
          <w:rFonts w:cs="Helvetica"/>
          <w:szCs w:val="20"/>
          <w:vertAlign w:val="superscript"/>
        </w:rPr>
        <w:t>th</w:t>
      </w:r>
      <w:r w:rsidRPr="001A3046">
        <w:rPr>
          <w:rFonts w:cs="Helvetica"/>
          <w:szCs w:val="20"/>
        </w:rPr>
        <w:t>-11</w:t>
      </w:r>
      <w:r w:rsidRPr="001A3046">
        <w:rPr>
          <w:rFonts w:cs="Helvetica"/>
          <w:szCs w:val="20"/>
          <w:vertAlign w:val="superscript"/>
        </w:rPr>
        <w:t>th</w:t>
      </w:r>
      <w:r w:rsidRPr="001A3046">
        <w:rPr>
          <w:rFonts w:cs="Helvetica"/>
          <w:szCs w:val="20"/>
        </w:rPr>
        <w:t xml:space="preserve"> century AD) [7</w:t>
      </w:r>
      <w:r w:rsidR="00277BB9" w:rsidRPr="001A3046">
        <w:rPr>
          <w:rFonts w:cs="Helvetica"/>
          <w:szCs w:val="20"/>
        </w:rPr>
        <w:t>]</w:t>
      </w:r>
      <w:r w:rsidRPr="001A3046">
        <w:rPr>
          <w:rFonts w:cs="Helvetica"/>
          <w:szCs w:val="20"/>
        </w:rPr>
        <w:t xml:space="preserve">. To date, biomolecular studies have tested only for </w:t>
      </w:r>
      <w:r w:rsidRPr="001A3046">
        <w:rPr>
          <w:rFonts w:cs="Helvetica"/>
          <w:i/>
          <w:szCs w:val="20"/>
        </w:rPr>
        <w:t>M.</w:t>
      </w:r>
      <w:r w:rsidRPr="001A3046">
        <w:rPr>
          <w:rFonts w:cs="Helvetica"/>
          <w:i/>
          <w:color w:val="000000"/>
          <w:szCs w:val="20"/>
        </w:rPr>
        <w:t xml:space="preserve"> leprae</w:t>
      </w:r>
      <w:r w:rsidRPr="001A3046">
        <w:rPr>
          <w:rFonts w:cs="Helvetica"/>
          <w:color w:val="000000"/>
          <w:szCs w:val="20"/>
        </w:rPr>
        <w:t xml:space="preserve">, which does appear to have been the species underlying the rise in European leprosy, but the involvement of </w:t>
      </w:r>
      <w:r w:rsidRPr="001A3046">
        <w:rPr>
          <w:rFonts w:cs="Helvetica"/>
          <w:i/>
          <w:color w:val="000000"/>
          <w:szCs w:val="20"/>
        </w:rPr>
        <w:t>M. lepromatosis</w:t>
      </w:r>
      <w:r w:rsidRPr="001A3046">
        <w:rPr>
          <w:rFonts w:cs="Helvetica"/>
          <w:color w:val="000000"/>
          <w:szCs w:val="20"/>
        </w:rPr>
        <w:t xml:space="preserve"> (if any) remains to be elucidated.</w:t>
      </w:r>
    </w:p>
    <w:p w:rsidR="00C83008" w:rsidRPr="001A3046" w:rsidRDefault="00C83008" w:rsidP="00A833E7">
      <w:pPr>
        <w:pStyle w:val="NoteLevel11"/>
        <w:rPr>
          <w:rFonts w:cs="Helvetica"/>
          <w:color w:val="000000"/>
          <w:szCs w:val="20"/>
        </w:rPr>
      </w:pPr>
    </w:p>
    <w:p w:rsidR="009F437A" w:rsidRPr="001A3046" w:rsidRDefault="002E154B" w:rsidP="00A833E7">
      <w:pPr>
        <w:pStyle w:val="NoteLevel11"/>
        <w:rPr>
          <w:rFonts w:cs="Helvetica"/>
          <w:szCs w:val="20"/>
        </w:rPr>
      </w:pPr>
      <w:r w:rsidRPr="001A3046">
        <w:rPr>
          <w:rFonts w:cs="Helvetica"/>
          <w:color w:val="000000"/>
          <w:szCs w:val="20"/>
        </w:rPr>
        <w:t xml:space="preserve">By the Middle </w:t>
      </w:r>
      <w:r w:rsidR="001A27AD" w:rsidRPr="001A3046">
        <w:rPr>
          <w:rFonts w:cs="Helvetica"/>
          <w:color w:val="000000"/>
          <w:szCs w:val="20"/>
        </w:rPr>
        <w:t>A</w:t>
      </w:r>
      <w:r w:rsidR="001A27AD" w:rsidRPr="001A3046" w:rsidDel="004109EF">
        <w:rPr>
          <w:rFonts w:cs="Helvetica"/>
          <w:color w:val="000000"/>
          <w:szCs w:val="20"/>
        </w:rPr>
        <w:t>g</w:t>
      </w:r>
      <w:r w:rsidR="001A27AD" w:rsidRPr="001A3046">
        <w:rPr>
          <w:rFonts w:cs="Helvetica"/>
          <w:color w:val="000000"/>
          <w:szCs w:val="20"/>
        </w:rPr>
        <w:t>es</w:t>
      </w:r>
      <w:r w:rsidRPr="001A3046">
        <w:rPr>
          <w:rFonts w:cs="Helvetica"/>
          <w:color w:val="000000"/>
          <w:szCs w:val="20"/>
        </w:rPr>
        <w:t>, leprosy was an endemic disease in Europe and one that elicited a complex social and theological response, largely related to a fear of catching the disease. The theological response appears to have been entwined with the concept of purgatory and the harsh perspective that the disease was a physical manifestation of immorality, a concept that was modified in the 11</w:t>
      </w:r>
      <w:r w:rsidRPr="001A3046">
        <w:rPr>
          <w:rFonts w:cs="Helvetica"/>
          <w:color w:val="000000"/>
          <w:szCs w:val="20"/>
          <w:vertAlign w:val="superscript"/>
        </w:rPr>
        <w:t>th</w:t>
      </w:r>
      <w:r w:rsidRPr="001A3046">
        <w:rPr>
          <w:rFonts w:cs="Helvetica"/>
          <w:color w:val="000000"/>
          <w:szCs w:val="20"/>
        </w:rPr>
        <w:t xml:space="preserve"> century when the leprosy sufferer was sometimes viewed as one who endured purgatory on earth and would be permitted to pass straight to heaven after </w:t>
      </w:r>
      <w:r w:rsidRPr="001A3046">
        <w:rPr>
          <w:rFonts w:cs="Helvetica"/>
          <w:szCs w:val="20"/>
        </w:rPr>
        <w:t xml:space="preserve">death </w:t>
      </w:r>
      <w:r w:rsidR="001368C1" w:rsidRPr="001A3046">
        <w:rPr>
          <w:rFonts w:cs="Helvetica"/>
          <w:szCs w:val="20"/>
        </w:rPr>
        <w:t>[8]</w:t>
      </w:r>
      <w:r w:rsidRPr="001A3046">
        <w:rPr>
          <w:rFonts w:cs="Helvetica"/>
          <w:szCs w:val="20"/>
        </w:rPr>
        <w:t xml:space="preserve">. </w:t>
      </w:r>
    </w:p>
    <w:p w:rsidR="007F112F" w:rsidRPr="001A3046" w:rsidRDefault="007F112F" w:rsidP="00A833E7">
      <w:pPr>
        <w:pStyle w:val="NoteLevel11"/>
        <w:rPr>
          <w:rFonts w:cs="Helvetica"/>
          <w:color w:val="000000"/>
          <w:szCs w:val="20"/>
        </w:rPr>
      </w:pPr>
    </w:p>
    <w:p w:rsidR="007F112F" w:rsidRPr="001A3046" w:rsidRDefault="007F112F" w:rsidP="007F112F">
      <w:pPr>
        <w:pStyle w:val="NoteLevel11"/>
        <w:rPr>
          <w:rFonts w:cs="Helvetica"/>
          <w:szCs w:val="20"/>
        </w:rPr>
      </w:pPr>
      <w:r w:rsidRPr="001A3046">
        <w:rPr>
          <w:rFonts w:cs="Helvetica"/>
          <w:color w:val="000000"/>
          <w:szCs w:val="20"/>
        </w:rPr>
        <w:t>A range of secondary evidence for the disease exists in Ireland, including numerous references in historical sources,</w:t>
      </w:r>
      <w:r w:rsidR="00C253D4" w:rsidRPr="001A3046">
        <w:rPr>
          <w:rFonts w:cs="Helvetica"/>
          <w:color w:val="000000"/>
          <w:szCs w:val="20"/>
        </w:rPr>
        <w:t xml:space="preserve"> such as</w:t>
      </w:r>
      <w:r w:rsidRPr="001A3046">
        <w:rPr>
          <w:rFonts w:cs="Helvetica"/>
          <w:color w:val="000000"/>
          <w:szCs w:val="20"/>
        </w:rPr>
        <w:t xml:space="preserve"> various annals and religious texts. A range of place names (e.g. Baile-na-lobhar, “Town of the Lepers”, now Leopardstown; Knocknalower in Mayo and Cluain-na-lobhar in Kerry, both meaning “Pasture of the Lepers” and Poulnalowr in Cork, meaning “Pool of the Lepers”) and the occurrence of leper squ</w:t>
      </w:r>
      <w:r w:rsidR="00C253D4" w:rsidRPr="001A3046">
        <w:rPr>
          <w:rFonts w:cs="Helvetica"/>
          <w:color w:val="000000"/>
          <w:szCs w:val="20"/>
        </w:rPr>
        <w:t>ints or hagioscopes (e.g. in St Nicholas, Carrickfergus and St</w:t>
      </w:r>
      <w:r w:rsidRPr="001A3046">
        <w:rPr>
          <w:rFonts w:cs="Helvetica"/>
          <w:color w:val="000000"/>
          <w:szCs w:val="20"/>
        </w:rPr>
        <w:t xml:space="preserve"> Mary’s Cathedral, Limerick) are also suggestive of a Medieval presence of the disease on the island. Furthermore, at least fifty hospitals with apparent associations with leprosy existed in Medieval Ireland, </w:t>
      </w:r>
      <w:r w:rsidRPr="001A3046">
        <w:rPr>
          <w:rFonts w:cs="Helvetica"/>
          <w:szCs w:val="20"/>
        </w:rPr>
        <w:t>the majority of which were located in Munster and Leinster [9</w:t>
      </w:r>
      <w:r w:rsidR="00277BB9" w:rsidRPr="001A3046">
        <w:rPr>
          <w:rFonts w:cs="Helvetica"/>
          <w:szCs w:val="20"/>
        </w:rPr>
        <w:t>]</w:t>
      </w:r>
      <w:r w:rsidRPr="001A3046">
        <w:rPr>
          <w:rFonts w:cs="Helvetica"/>
          <w:szCs w:val="20"/>
        </w:rPr>
        <w:t>.  Hospitals in</w:t>
      </w:r>
      <w:r w:rsidRPr="001A3046">
        <w:rPr>
          <w:rFonts w:cs="Helvetica"/>
          <w:color w:val="000000"/>
          <w:szCs w:val="20"/>
        </w:rPr>
        <w:t xml:space="preserve"> Dublin associated with the disease include those dedicated to</w:t>
      </w:r>
      <w:r w:rsidR="00082F00" w:rsidRPr="001A3046">
        <w:rPr>
          <w:rFonts w:cs="Helvetica"/>
          <w:color w:val="000000"/>
          <w:szCs w:val="20"/>
        </w:rPr>
        <w:t xml:space="preserve"> St James, </w:t>
      </w:r>
      <w:r w:rsidRPr="001A3046">
        <w:rPr>
          <w:rFonts w:cs="Helvetica"/>
          <w:color w:val="000000"/>
          <w:szCs w:val="20"/>
        </w:rPr>
        <w:t xml:space="preserve">St John </w:t>
      </w:r>
      <w:r w:rsidRPr="001A3046">
        <w:rPr>
          <w:rFonts w:cs="Helvetica"/>
          <w:szCs w:val="20"/>
        </w:rPr>
        <w:t>the Baptist</w:t>
      </w:r>
      <w:r w:rsidR="00082F00" w:rsidRPr="001A3046">
        <w:rPr>
          <w:rFonts w:cs="Helvetica"/>
          <w:szCs w:val="20"/>
        </w:rPr>
        <w:t xml:space="preserve"> and St Stephen</w:t>
      </w:r>
      <w:r w:rsidRPr="001A3046">
        <w:rPr>
          <w:rFonts w:cs="Helvetica"/>
          <w:szCs w:val="20"/>
        </w:rPr>
        <w:t>, all of which were founded in the 13</w:t>
      </w:r>
      <w:r w:rsidRPr="001A3046">
        <w:rPr>
          <w:rFonts w:cs="Helvetica"/>
          <w:szCs w:val="20"/>
          <w:vertAlign w:val="superscript"/>
        </w:rPr>
        <w:t>th</w:t>
      </w:r>
      <w:r w:rsidRPr="001A3046">
        <w:rPr>
          <w:rFonts w:cs="Helvetica"/>
          <w:szCs w:val="20"/>
        </w:rPr>
        <w:t xml:space="preserve"> century [9,10</w:t>
      </w:r>
      <w:r w:rsidR="00277BB9" w:rsidRPr="001A3046">
        <w:rPr>
          <w:rFonts w:cs="Helvetica"/>
          <w:szCs w:val="20"/>
        </w:rPr>
        <w:t>]</w:t>
      </w:r>
      <w:r w:rsidR="00082F00" w:rsidRPr="001A3046">
        <w:rPr>
          <w:rFonts w:cs="Helvetica"/>
          <w:szCs w:val="20"/>
        </w:rPr>
        <w:t xml:space="preserve">. </w:t>
      </w:r>
    </w:p>
    <w:p w:rsidR="00BB686F" w:rsidRPr="001A3046" w:rsidDel="00BB686F" w:rsidRDefault="00BB686F" w:rsidP="00A833E7">
      <w:pPr>
        <w:pStyle w:val="NoteLevel11"/>
        <w:rPr>
          <w:rFonts w:cs="Helvetica"/>
          <w:color w:val="000000"/>
          <w:szCs w:val="20"/>
        </w:rPr>
      </w:pPr>
    </w:p>
    <w:p w:rsidR="00380AD6" w:rsidRPr="001A3046" w:rsidRDefault="004F150A" w:rsidP="00A833E7">
      <w:pPr>
        <w:pStyle w:val="NoteLevel11"/>
        <w:rPr>
          <w:rFonts w:cs="Helvetica"/>
          <w:szCs w:val="20"/>
        </w:rPr>
      </w:pPr>
      <w:r w:rsidRPr="001A3046">
        <w:rPr>
          <w:rFonts w:cs="Helvetica"/>
          <w:color w:val="000000"/>
          <w:szCs w:val="20"/>
        </w:rPr>
        <w:t>D</w:t>
      </w:r>
      <w:r w:rsidR="004D5B99" w:rsidRPr="001A3046">
        <w:rPr>
          <w:rFonts w:cs="Helvetica"/>
          <w:color w:val="000000"/>
          <w:szCs w:val="20"/>
        </w:rPr>
        <w:t xml:space="preserve">espite this widespread </w:t>
      </w:r>
      <w:r w:rsidR="004109EF" w:rsidRPr="001A3046">
        <w:rPr>
          <w:rFonts w:cs="Helvetica"/>
          <w:color w:val="000000"/>
          <w:szCs w:val="20"/>
        </w:rPr>
        <w:t>secondary</w:t>
      </w:r>
      <w:r w:rsidR="004D5B99" w:rsidRPr="001A3046">
        <w:rPr>
          <w:rFonts w:cs="Helvetica"/>
          <w:color w:val="000000"/>
          <w:szCs w:val="20"/>
        </w:rPr>
        <w:t xml:space="preserve"> evidence, </w:t>
      </w:r>
      <w:r w:rsidR="00D81FE8" w:rsidRPr="001A3046">
        <w:rPr>
          <w:rFonts w:cs="Helvetica"/>
          <w:color w:val="000000"/>
          <w:szCs w:val="20"/>
        </w:rPr>
        <w:t xml:space="preserve">only three </w:t>
      </w:r>
      <w:r w:rsidR="004109EF" w:rsidRPr="001A3046">
        <w:rPr>
          <w:rFonts w:cs="Helvetica"/>
          <w:color w:val="000000"/>
          <w:szCs w:val="20"/>
        </w:rPr>
        <w:t xml:space="preserve">archaeological sites </w:t>
      </w:r>
      <w:r w:rsidR="00D81FE8" w:rsidRPr="001A3046">
        <w:rPr>
          <w:rFonts w:cs="Helvetica"/>
          <w:color w:val="000000"/>
          <w:szCs w:val="20"/>
        </w:rPr>
        <w:t xml:space="preserve">have </w:t>
      </w:r>
      <w:r w:rsidR="00C253D4" w:rsidRPr="001A3046">
        <w:rPr>
          <w:rFonts w:cs="Helvetica"/>
          <w:color w:val="000000"/>
          <w:szCs w:val="20"/>
        </w:rPr>
        <w:t>produced osteoarchaeological</w:t>
      </w:r>
      <w:r w:rsidR="00D81FE8" w:rsidRPr="001A3046">
        <w:rPr>
          <w:rFonts w:cs="Helvetica"/>
          <w:color w:val="000000"/>
          <w:szCs w:val="20"/>
        </w:rPr>
        <w:t xml:space="preserve"> cases of leprosy in Medieval human remains; a </w:t>
      </w:r>
      <w:r w:rsidR="00D81FE8" w:rsidRPr="001A3046">
        <w:rPr>
          <w:rFonts w:cs="Helvetica"/>
          <w:szCs w:val="20"/>
        </w:rPr>
        <w:t xml:space="preserve">single case </w:t>
      </w:r>
      <w:r w:rsidR="009F437A" w:rsidRPr="001A3046">
        <w:rPr>
          <w:rFonts w:cs="Helvetica"/>
          <w:szCs w:val="20"/>
        </w:rPr>
        <w:t xml:space="preserve">(Sk171) </w:t>
      </w:r>
      <w:r w:rsidR="00C253D4" w:rsidRPr="001A3046">
        <w:rPr>
          <w:rFonts w:cs="Helvetica"/>
          <w:szCs w:val="20"/>
        </w:rPr>
        <w:t xml:space="preserve">from St </w:t>
      </w:r>
      <w:r w:rsidR="00D81FE8" w:rsidRPr="001A3046">
        <w:rPr>
          <w:rFonts w:cs="Helvetica"/>
          <w:szCs w:val="20"/>
        </w:rPr>
        <w:t xml:space="preserve">Patrick’s Church, Armoy, </w:t>
      </w:r>
      <w:r w:rsidR="00D81FE8" w:rsidRPr="001A3046">
        <w:rPr>
          <w:rFonts w:cs="Helvetica"/>
          <w:szCs w:val="20"/>
        </w:rPr>
        <w:lastRenderedPageBreak/>
        <w:t>Co. Antrim</w:t>
      </w:r>
      <w:r w:rsidR="00624FD4" w:rsidRPr="001A3046">
        <w:rPr>
          <w:rFonts w:cs="Helvetica"/>
          <w:szCs w:val="20"/>
        </w:rPr>
        <w:t xml:space="preserve"> </w:t>
      </w:r>
      <w:r w:rsidR="001368C1" w:rsidRPr="001A3046">
        <w:rPr>
          <w:rFonts w:cs="Helvetica"/>
          <w:szCs w:val="20"/>
        </w:rPr>
        <w:t>[10</w:t>
      </w:r>
      <w:r w:rsidR="00277BB9" w:rsidRPr="001A3046">
        <w:rPr>
          <w:rFonts w:cs="Helvetica"/>
          <w:szCs w:val="20"/>
        </w:rPr>
        <w:t>]</w:t>
      </w:r>
      <w:r w:rsidR="00D81FE8" w:rsidRPr="001A3046">
        <w:rPr>
          <w:rFonts w:cs="Helvetica"/>
          <w:szCs w:val="20"/>
        </w:rPr>
        <w:t>, three cases</w:t>
      </w:r>
      <w:r w:rsidR="00D81FE8" w:rsidRPr="001A3046">
        <w:rPr>
          <w:rFonts w:cs="Helvetica"/>
          <w:color w:val="000000"/>
          <w:szCs w:val="20"/>
        </w:rPr>
        <w:t xml:space="preserve"> </w:t>
      </w:r>
      <w:r w:rsidR="009F437A" w:rsidRPr="001A3046">
        <w:rPr>
          <w:rFonts w:cs="Helvetica"/>
          <w:color w:val="000000"/>
          <w:szCs w:val="20"/>
        </w:rPr>
        <w:t xml:space="preserve">(SkCXLVIII, SkCXCV and SkCCXXX) </w:t>
      </w:r>
      <w:r w:rsidR="00D81FE8" w:rsidRPr="001A3046">
        <w:rPr>
          <w:rFonts w:cs="Helvetica"/>
          <w:color w:val="000000"/>
          <w:szCs w:val="20"/>
        </w:rPr>
        <w:t xml:space="preserve">from the cemetery of St Michael Le Pole, </w:t>
      </w:r>
      <w:r w:rsidR="00D81FE8" w:rsidRPr="001A3046">
        <w:rPr>
          <w:rFonts w:cs="Helvetica"/>
          <w:szCs w:val="20"/>
        </w:rPr>
        <w:t xml:space="preserve">Dublin </w:t>
      </w:r>
      <w:r w:rsidR="001368C1" w:rsidRPr="001A3046">
        <w:rPr>
          <w:rFonts w:cs="Helvetica"/>
          <w:szCs w:val="20"/>
        </w:rPr>
        <w:t>[11,12</w:t>
      </w:r>
      <w:r w:rsidR="00277BB9" w:rsidRPr="001A3046">
        <w:rPr>
          <w:rFonts w:cs="Helvetica"/>
          <w:szCs w:val="20"/>
        </w:rPr>
        <w:t>]</w:t>
      </w:r>
      <w:r w:rsidR="00C4222C" w:rsidRPr="001A3046">
        <w:rPr>
          <w:rFonts w:cs="Helvetica"/>
          <w:szCs w:val="20"/>
        </w:rPr>
        <w:t xml:space="preserve"> and </w:t>
      </w:r>
      <w:r w:rsidR="004D5B99" w:rsidRPr="001A3046">
        <w:rPr>
          <w:rFonts w:cs="Helvetica"/>
          <w:szCs w:val="20"/>
        </w:rPr>
        <w:t>an</w:t>
      </w:r>
      <w:r w:rsidR="00D81FE8" w:rsidRPr="001A3046">
        <w:rPr>
          <w:rFonts w:cs="Helvetica"/>
          <w:szCs w:val="20"/>
        </w:rPr>
        <w:t xml:space="preserve"> unpublished example </w:t>
      </w:r>
      <w:r w:rsidR="009F437A" w:rsidRPr="001A3046">
        <w:rPr>
          <w:rFonts w:cs="Helvetica"/>
          <w:szCs w:val="20"/>
        </w:rPr>
        <w:t xml:space="preserve">(Sk1494) </w:t>
      </w:r>
      <w:r w:rsidR="00D81FE8" w:rsidRPr="001A3046">
        <w:rPr>
          <w:rFonts w:cs="Helvetica"/>
          <w:szCs w:val="20"/>
        </w:rPr>
        <w:t>from Ardreigh burial</w:t>
      </w:r>
      <w:r w:rsidR="00D81FE8" w:rsidRPr="001A3046">
        <w:rPr>
          <w:rFonts w:cs="Helvetica"/>
          <w:color w:val="000000"/>
          <w:szCs w:val="20"/>
        </w:rPr>
        <w:t xml:space="preserve"> </w:t>
      </w:r>
      <w:r w:rsidR="00D81FE8" w:rsidRPr="001A3046">
        <w:rPr>
          <w:rFonts w:cs="Helvetica"/>
          <w:szCs w:val="20"/>
        </w:rPr>
        <w:t xml:space="preserve">ground, Co. Kildare </w:t>
      </w:r>
      <w:bookmarkStart w:id="4" w:name="_Hlk515080531"/>
      <w:r w:rsidR="00277BB9" w:rsidRPr="001A3046">
        <w:rPr>
          <w:rFonts w:cs="Helvetica"/>
          <w:szCs w:val="20"/>
        </w:rPr>
        <w:t>[13]</w:t>
      </w:r>
      <w:r w:rsidR="00BB7280" w:rsidRPr="001A3046">
        <w:rPr>
          <w:rFonts w:cs="Helvetica"/>
          <w:szCs w:val="20"/>
        </w:rPr>
        <w:t>.</w:t>
      </w:r>
      <w:bookmarkEnd w:id="4"/>
      <w:r w:rsidR="00082F00" w:rsidRPr="001A3046">
        <w:rPr>
          <w:rFonts w:cs="Helvetica"/>
          <w:szCs w:val="20"/>
        </w:rPr>
        <w:t xml:space="preserve"> </w:t>
      </w:r>
    </w:p>
    <w:p w:rsidR="00AF738D" w:rsidRPr="001A3046" w:rsidRDefault="00AF738D">
      <w:pPr>
        <w:pStyle w:val="NoteLevel11"/>
        <w:rPr>
          <w:rFonts w:cs="Helvetica"/>
          <w:color w:val="000000"/>
          <w:szCs w:val="20"/>
        </w:rPr>
      </w:pPr>
    </w:p>
    <w:p w:rsidR="00A1505E" w:rsidRPr="001A3046" w:rsidRDefault="003150B1" w:rsidP="00A833E7">
      <w:pPr>
        <w:pStyle w:val="NoteLevel11"/>
        <w:rPr>
          <w:rFonts w:cs="Helvetica"/>
          <w:szCs w:val="20"/>
        </w:rPr>
      </w:pPr>
      <w:r w:rsidRPr="001A3046">
        <w:rPr>
          <w:rFonts w:cs="Helvetica"/>
          <w:color w:val="000000"/>
          <w:szCs w:val="20"/>
        </w:rPr>
        <w:t xml:space="preserve">Ireland is of particular interest </w:t>
      </w:r>
      <w:r w:rsidR="00C4222C" w:rsidRPr="001A3046">
        <w:rPr>
          <w:rFonts w:cs="Helvetica"/>
          <w:color w:val="000000"/>
          <w:szCs w:val="20"/>
        </w:rPr>
        <w:t xml:space="preserve">in the history of leprosy </w:t>
      </w:r>
      <w:r w:rsidRPr="001A3046">
        <w:rPr>
          <w:rFonts w:cs="Helvetica"/>
          <w:color w:val="000000"/>
          <w:szCs w:val="20"/>
        </w:rPr>
        <w:t xml:space="preserve">as it was never part of the Roman world </w:t>
      </w:r>
      <w:r w:rsidR="00C253D4" w:rsidRPr="001A3046">
        <w:rPr>
          <w:rFonts w:cs="Helvetica"/>
          <w:color w:val="000000"/>
          <w:szCs w:val="20"/>
        </w:rPr>
        <w:t>n</w:t>
      </w:r>
      <w:r w:rsidRPr="001A3046">
        <w:rPr>
          <w:rFonts w:cs="Helvetica"/>
          <w:color w:val="000000"/>
          <w:szCs w:val="20"/>
        </w:rPr>
        <w:t xml:space="preserve">or </w:t>
      </w:r>
      <w:r w:rsidR="00C4222C" w:rsidRPr="001A3046">
        <w:rPr>
          <w:rFonts w:cs="Helvetica"/>
          <w:color w:val="000000"/>
          <w:szCs w:val="20"/>
        </w:rPr>
        <w:t>underwent any significant occupation</w:t>
      </w:r>
      <w:r w:rsidRPr="001A3046">
        <w:rPr>
          <w:rFonts w:cs="Helvetica"/>
          <w:color w:val="000000"/>
          <w:szCs w:val="20"/>
        </w:rPr>
        <w:t xml:space="preserve"> by later Anglo-Saxon settlers</w:t>
      </w:r>
      <w:r w:rsidR="00C4222C" w:rsidRPr="001A3046">
        <w:rPr>
          <w:rFonts w:cs="Helvetica"/>
          <w:color w:val="000000"/>
          <w:szCs w:val="20"/>
        </w:rPr>
        <w:t xml:space="preserve">, although a handful of possible Anglo-Saxon burials have been </w:t>
      </w:r>
      <w:r w:rsidR="00C4222C" w:rsidRPr="001A3046">
        <w:rPr>
          <w:rFonts w:cs="Helvetica"/>
          <w:szCs w:val="20"/>
        </w:rPr>
        <w:t xml:space="preserve">discovered </w:t>
      </w:r>
      <w:r w:rsidR="00B77670" w:rsidRPr="001A3046">
        <w:rPr>
          <w:rFonts w:cs="Helvetica"/>
          <w:szCs w:val="20"/>
        </w:rPr>
        <w:t>[14]</w:t>
      </w:r>
      <w:r w:rsidR="00C4222C" w:rsidRPr="001A3046">
        <w:rPr>
          <w:rFonts w:cs="Helvetica"/>
          <w:szCs w:val="20"/>
        </w:rPr>
        <w:t>.</w:t>
      </w:r>
      <w:r w:rsidRPr="001A3046">
        <w:rPr>
          <w:rFonts w:cs="Helvetica"/>
          <w:szCs w:val="20"/>
        </w:rPr>
        <w:t xml:space="preserve"> </w:t>
      </w:r>
      <w:r w:rsidR="004F150A" w:rsidRPr="001A3046">
        <w:rPr>
          <w:rFonts w:cs="Helvetica"/>
          <w:szCs w:val="20"/>
        </w:rPr>
        <w:t>Ireland’s island nature</w:t>
      </w:r>
      <w:r w:rsidR="00A1505E" w:rsidRPr="001A3046">
        <w:rPr>
          <w:rFonts w:cs="Helvetica"/>
          <w:szCs w:val="20"/>
        </w:rPr>
        <w:t xml:space="preserve"> does not seem to have been a barrier to</w:t>
      </w:r>
      <w:r w:rsidR="00A1505E" w:rsidRPr="001A3046">
        <w:rPr>
          <w:rFonts w:cs="Helvetica"/>
          <w:color w:val="000000"/>
          <w:szCs w:val="20"/>
        </w:rPr>
        <w:t xml:space="preserve"> the movement of people during early Medieval times and there is ample historical evidence that Irish religio</w:t>
      </w:r>
      <w:r w:rsidR="00A06B9B" w:rsidRPr="001A3046">
        <w:rPr>
          <w:rFonts w:cs="Helvetica"/>
          <w:color w:val="000000"/>
          <w:szCs w:val="20"/>
        </w:rPr>
        <w:t xml:space="preserve">us scholars, such as Columbanus (543-615 </w:t>
      </w:r>
      <w:r w:rsidR="00A06B9B" w:rsidRPr="001A3046">
        <w:rPr>
          <w:rFonts w:cs="Helvetica"/>
          <w:szCs w:val="20"/>
        </w:rPr>
        <w:t>AD),</w:t>
      </w:r>
      <w:r w:rsidR="00A1505E" w:rsidRPr="001A3046">
        <w:rPr>
          <w:rFonts w:cs="Helvetica"/>
          <w:szCs w:val="20"/>
        </w:rPr>
        <w:t xml:space="preserve"> for example, travelled throughout Europe</w:t>
      </w:r>
      <w:r w:rsidR="00B77670" w:rsidRPr="001A3046">
        <w:rPr>
          <w:rFonts w:cs="Helvetica"/>
          <w:szCs w:val="20"/>
        </w:rPr>
        <w:t xml:space="preserve"> [15]</w:t>
      </w:r>
      <w:r w:rsidR="00A1505E" w:rsidRPr="001A3046">
        <w:rPr>
          <w:rFonts w:cs="Helvetica"/>
          <w:szCs w:val="20"/>
        </w:rPr>
        <w:t>. Furthermore, a recent</w:t>
      </w:r>
      <w:r w:rsidR="00A1505E" w:rsidRPr="001A3046">
        <w:rPr>
          <w:rFonts w:cs="Helvetica"/>
          <w:color w:val="000000"/>
          <w:szCs w:val="20"/>
        </w:rPr>
        <w:t xml:space="preserve"> review of exotic </w:t>
      </w:r>
      <w:r w:rsidR="009F437A" w:rsidRPr="001A3046">
        <w:rPr>
          <w:rFonts w:cs="Helvetica"/>
          <w:color w:val="000000"/>
          <w:szCs w:val="20"/>
        </w:rPr>
        <w:t>objects</w:t>
      </w:r>
      <w:r w:rsidR="00A1505E" w:rsidRPr="001A3046">
        <w:rPr>
          <w:rFonts w:cs="Helvetica"/>
          <w:color w:val="000000"/>
          <w:szCs w:val="20"/>
        </w:rPr>
        <w:t xml:space="preserve"> has indicated three main phases of trade in early Medieval Ireland dominated by particular connections – Mediterranean (c. AD 400-600), Gaulo-Frankish (c. AD 600-800) and Hiberno-Scandinavian (c. AD 800-</w:t>
      </w:r>
      <w:r w:rsidR="00A1505E" w:rsidRPr="001A3046">
        <w:rPr>
          <w:rFonts w:cs="Helvetica"/>
          <w:szCs w:val="20"/>
        </w:rPr>
        <w:t xml:space="preserve">1150) </w:t>
      </w:r>
      <w:r w:rsidR="00B77670" w:rsidRPr="001A3046">
        <w:rPr>
          <w:rFonts w:cs="Helvetica"/>
          <w:szCs w:val="20"/>
        </w:rPr>
        <w:t>[16</w:t>
      </w:r>
      <w:r w:rsidR="00277BB9" w:rsidRPr="001A3046">
        <w:rPr>
          <w:rFonts w:cs="Helvetica"/>
          <w:szCs w:val="20"/>
        </w:rPr>
        <w:t>]</w:t>
      </w:r>
      <w:r w:rsidR="00A1505E" w:rsidRPr="001A3046">
        <w:rPr>
          <w:rFonts w:cs="Helvetica"/>
          <w:szCs w:val="20"/>
        </w:rPr>
        <w:t>. The Viking connections had a particularly prominent impact on the</w:t>
      </w:r>
      <w:r w:rsidR="00A1505E" w:rsidRPr="001A3046">
        <w:rPr>
          <w:rFonts w:cs="Helvetica"/>
          <w:color w:val="000000"/>
          <w:szCs w:val="20"/>
        </w:rPr>
        <w:t xml:space="preserve"> island through the establishment of towns and include the discovery of Viking bur</w:t>
      </w:r>
      <w:r w:rsidR="00C253D4" w:rsidRPr="001A3046">
        <w:rPr>
          <w:rFonts w:cs="Helvetica"/>
          <w:color w:val="000000"/>
          <w:szCs w:val="20"/>
        </w:rPr>
        <w:t>ials, particularly in the center</w:t>
      </w:r>
      <w:r w:rsidR="00A1505E" w:rsidRPr="001A3046">
        <w:rPr>
          <w:rFonts w:cs="Helvetica"/>
          <w:color w:val="000000"/>
          <w:szCs w:val="20"/>
        </w:rPr>
        <w:t xml:space="preserve"> of Medieval Dublin, which is an indication of </w:t>
      </w:r>
      <w:r w:rsidR="00A1505E" w:rsidRPr="001A3046">
        <w:rPr>
          <w:rFonts w:cs="Helvetica"/>
          <w:szCs w:val="20"/>
        </w:rPr>
        <w:t>the significance of this area during the ninth and tenth centuries</w:t>
      </w:r>
      <w:r w:rsidR="00B77670" w:rsidRPr="001A3046">
        <w:rPr>
          <w:rFonts w:cs="Helvetica"/>
          <w:szCs w:val="20"/>
        </w:rPr>
        <w:t xml:space="preserve"> [17]</w:t>
      </w:r>
      <w:r w:rsidR="00A1505E" w:rsidRPr="001A3046">
        <w:rPr>
          <w:rFonts w:cs="Helvetica"/>
          <w:szCs w:val="20"/>
        </w:rPr>
        <w:t>. Indeed,</w:t>
      </w:r>
      <w:r w:rsidR="00A1505E" w:rsidRPr="001A3046">
        <w:rPr>
          <w:rFonts w:cs="Helvetica"/>
          <w:color w:val="000000"/>
          <w:szCs w:val="20"/>
        </w:rPr>
        <w:t xml:space="preserve"> four Viking burials were identified just outside the boundary of the graveyard of St Michael le Pole, one of the sites included in the current study. One of these individuals was dated to AD 678-832, thereby indicating that the individual pre-</w:t>
      </w:r>
      <w:r w:rsidR="00A1505E" w:rsidRPr="001A3046">
        <w:rPr>
          <w:rFonts w:cs="Helvetica"/>
          <w:szCs w:val="20"/>
        </w:rPr>
        <w:t>dated the known establishment of the Viking longphort in AD 841</w:t>
      </w:r>
      <w:r w:rsidR="00B77670" w:rsidRPr="001A3046">
        <w:rPr>
          <w:rFonts w:cs="Helvetica"/>
          <w:szCs w:val="20"/>
        </w:rPr>
        <w:t xml:space="preserve"> [</w:t>
      </w:r>
      <w:r w:rsidR="007D5754" w:rsidRPr="001A3046">
        <w:rPr>
          <w:rFonts w:cs="Helvetica"/>
          <w:szCs w:val="20"/>
        </w:rPr>
        <w:t>11</w:t>
      </w:r>
      <w:r w:rsidR="00B77670" w:rsidRPr="001A3046">
        <w:rPr>
          <w:rFonts w:cs="Helvetica"/>
          <w:szCs w:val="20"/>
        </w:rPr>
        <w:t>]</w:t>
      </w:r>
      <w:r w:rsidR="00A1505E" w:rsidRPr="001A3046">
        <w:rPr>
          <w:rFonts w:cs="Helvetica"/>
          <w:szCs w:val="20"/>
        </w:rPr>
        <w:t xml:space="preserve">. </w:t>
      </w:r>
    </w:p>
    <w:p w:rsidR="007F112F" w:rsidRPr="001A3046" w:rsidRDefault="007F112F" w:rsidP="00A833E7">
      <w:pPr>
        <w:pStyle w:val="NoteLevel11"/>
        <w:rPr>
          <w:rFonts w:cs="Helvetica"/>
          <w:szCs w:val="20"/>
        </w:rPr>
      </w:pPr>
    </w:p>
    <w:p w:rsidR="00A1505E" w:rsidRPr="001A3046" w:rsidRDefault="00A1505E" w:rsidP="00A833E7">
      <w:pPr>
        <w:pStyle w:val="NoteLevel11"/>
        <w:rPr>
          <w:rFonts w:cs="Helvetica"/>
          <w:szCs w:val="20"/>
        </w:rPr>
      </w:pPr>
      <w:r w:rsidRPr="001A3046">
        <w:rPr>
          <w:rFonts w:cs="Helvetica"/>
          <w:szCs w:val="20"/>
        </w:rPr>
        <w:t xml:space="preserve">The next major incursion of newcomers occurred in the late AD 1160s, when the first of the Anglo-Norman incursions commenced, with attacks on the ports of the </w:t>
      </w:r>
      <w:r w:rsidR="001A27AD" w:rsidRPr="001A3046">
        <w:rPr>
          <w:rFonts w:cs="Helvetica"/>
          <w:szCs w:val="20"/>
        </w:rPr>
        <w:t>southeast</w:t>
      </w:r>
      <w:r w:rsidRPr="001A3046">
        <w:rPr>
          <w:rFonts w:cs="Helvetica"/>
          <w:szCs w:val="20"/>
        </w:rPr>
        <w:t xml:space="preserve">, including Dublin, in AD 1170 </w:t>
      </w:r>
      <w:r w:rsidR="00A71212" w:rsidRPr="001A3046">
        <w:rPr>
          <w:rFonts w:cs="Helvetica"/>
          <w:szCs w:val="20"/>
        </w:rPr>
        <w:t>[15</w:t>
      </w:r>
      <w:r w:rsidR="00277BB9" w:rsidRPr="001A3046">
        <w:rPr>
          <w:rFonts w:cs="Helvetica"/>
          <w:szCs w:val="20"/>
        </w:rPr>
        <w:t>]</w:t>
      </w:r>
      <w:r w:rsidRPr="001A3046">
        <w:rPr>
          <w:rFonts w:cs="Helvetica"/>
          <w:szCs w:val="20"/>
        </w:rPr>
        <w:t xml:space="preserve">. This military activity resulted in much of the south and east of Ireland coming under Anglo-Norman control, particularly the colonial hinterland of Dublin (the Pale). This area remained under the control of English kings until the emergence of an Anglo-Irish identity in the wake of the major outbreak of plague in the mid-fourteenth century </w:t>
      </w:r>
      <w:r w:rsidR="00A71212" w:rsidRPr="001A3046">
        <w:rPr>
          <w:rFonts w:cs="Helvetica"/>
          <w:szCs w:val="20"/>
        </w:rPr>
        <w:t>[</w:t>
      </w:r>
      <w:r w:rsidR="007D5754" w:rsidRPr="001A3046">
        <w:rPr>
          <w:rFonts w:cs="Helvetica"/>
          <w:szCs w:val="20"/>
        </w:rPr>
        <w:t>18</w:t>
      </w:r>
      <w:r w:rsidR="00277BB9" w:rsidRPr="001A3046">
        <w:rPr>
          <w:rFonts w:cs="Helvetica"/>
          <w:szCs w:val="20"/>
        </w:rPr>
        <w:t>]</w:t>
      </w:r>
      <w:r w:rsidRPr="001A3046">
        <w:rPr>
          <w:rFonts w:cs="Helvetica"/>
          <w:szCs w:val="20"/>
        </w:rPr>
        <w:t>.</w:t>
      </w:r>
      <w:r w:rsidR="007F112F" w:rsidRPr="001A3046">
        <w:rPr>
          <w:rFonts w:cs="Helvetica"/>
          <w:szCs w:val="20"/>
        </w:rPr>
        <w:t xml:space="preserve"> </w:t>
      </w:r>
      <w:r w:rsidRPr="001A3046">
        <w:rPr>
          <w:rFonts w:cs="Helvetica"/>
          <w:szCs w:val="20"/>
        </w:rPr>
        <w:t>Ireland was evidently well connected throughout the Medieval period and we speculated that the lineage(s) of Irish leprosy may reflect one or more of these earlier connections, particularly those known to have involved larger-scale population movement, such as the Norse or later Anglo-Norman incursions</w:t>
      </w:r>
      <w:r w:rsidR="00FA03CE" w:rsidRPr="001A3046">
        <w:rPr>
          <w:rFonts w:cs="Helvetica"/>
          <w:szCs w:val="20"/>
        </w:rPr>
        <w:t xml:space="preserve">. </w:t>
      </w:r>
    </w:p>
    <w:p w:rsidR="00C9763D" w:rsidRPr="001A3046" w:rsidDel="00C9763D" w:rsidRDefault="00C9763D" w:rsidP="00A833E7">
      <w:pPr>
        <w:pStyle w:val="NoteLevel11"/>
        <w:rPr>
          <w:rFonts w:cs="Helvetica"/>
          <w:color w:val="000000"/>
          <w:szCs w:val="20"/>
        </w:rPr>
      </w:pPr>
    </w:p>
    <w:p w:rsidR="007F112F" w:rsidRPr="001A3046" w:rsidRDefault="00D81FE8" w:rsidP="007F112F">
      <w:pPr>
        <w:pStyle w:val="NoteLevel11"/>
        <w:rPr>
          <w:rFonts w:cs="Helvetica"/>
          <w:szCs w:val="20"/>
        </w:rPr>
      </w:pPr>
      <w:r w:rsidRPr="001A3046">
        <w:rPr>
          <w:rFonts w:cs="Helvetica"/>
          <w:color w:val="000000"/>
          <w:szCs w:val="20"/>
        </w:rPr>
        <w:t xml:space="preserve">Understanding of the evolution and spread of leprosy has advanced in recent years, largely through studies that have examined the </w:t>
      </w:r>
      <w:r w:rsidRPr="001A3046">
        <w:rPr>
          <w:rFonts w:cs="Helvetica"/>
          <w:i/>
          <w:color w:val="000000"/>
          <w:szCs w:val="20"/>
        </w:rPr>
        <w:t>M.</w:t>
      </w:r>
      <w:r w:rsidR="00334306" w:rsidRPr="001A3046">
        <w:rPr>
          <w:rFonts w:cs="Helvetica"/>
          <w:i/>
          <w:color w:val="000000"/>
          <w:szCs w:val="20"/>
        </w:rPr>
        <w:t xml:space="preserve"> </w:t>
      </w:r>
      <w:r w:rsidRPr="001A3046">
        <w:rPr>
          <w:rFonts w:cs="Helvetica"/>
          <w:i/>
          <w:color w:val="000000"/>
          <w:szCs w:val="20"/>
        </w:rPr>
        <w:t>leprae</w:t>
      </w:r>
      <w:r w:rsidRPr="001A3046">
        <w:rPr>
          <w:rFonts w:cs="Helvetica"/>
          <w:color w:val="000000"/>
          <w:szCs w:val="20"/>
        </w:rPr>
        <w:t xml:space="preserve"> genome, both </w:t>
      </w:r>
      <w:r w:rsidR="00FA03CE" w:rsidRPr="001A3046">
        <w:rPr>
          <w:rFonts w:cs="Helvetica"/>
          <w:szCs w:val="20"/>
        </w:rPr>
        <w:t xml:space="preserve">geographically </w:t>
      </w:r>
      <w:r w:rsidRPr="001A3046">
        <w:rPr>
          <w:rFonts w:cs="Helvetica"/>
          <w:szCs w:val="20"/>
        </w:rPr>
        <w:t xml:space="preserve">and temporally </w:t>
      </w:r>
      <w:r w:rsidR="00D7451A" w:rsidRPr="001A3046">
        <w:rPr>
          <w:rFonts w:cs="Helvetica"/>
          <w:szCs w:val="20"/>
        </w:rPr>
        <w:t>[</w:t>
      </w:r>
      <w:r w:rsidR="009576CF" w:rsidRPr="001A3046">
        <w:rPr>
          <w:rFonts w:cs="Helvetica"/>
          <w:szCs w:val="20"/>
        </w:rPr>
        <w:t>19-2</w:t>
      </w:r>
      <w:r w:rsidR="002036BA" w:rsidRPr="001A3046">
        <w:rPr>
          <w:rFonts w:cs="Helvetica"/>
          <w:szCs w:val="20"/>
        </w:rPr>
        <w:t>2</w:t>
      </w:r>
      <w:r w:rsidR="00277BB9" w:rsidRPr="001A3046">
        <w:rPr>
          <w:rFonts w:cs="Helvetica"/>
          <w:szCs w:val="20"/>
        </w:rPr>
        <w:t>]</w:t>
      </w:r>
      <w:r w:rsidRPr="001A3046">
        <w:rPr>
          <w:rFonts w:cs="Helvetica"/>
          <w:szCs w:val="20"/>
        </w:rPr>
        <w:t>. Th</w:t>
      </w:r>
      <w:r w:rsidR="004F150A" w:rsidRPr="001A3046">
        <w:rPr>
          <w:rFonts w:cs="Helvetica"/>
          <w:szCs w:val="20"/>
        </w:rPr>
        <w:t>e present</w:t>
      </w:r>
      <w:r w:rsidRPr="001A3046">
        <w:rPr>
          <w:rFonts w:cs="Helvetica"/>
          <w:szCs w:val="20"/>
        </w:rPr>
        <w:t xml:space="preserve"> study aims to place Ireland</w:t>
      </w:r>
      <w:r w:rsidRPr="001A3046">
        <w:rPr>
          <w:rFonts w:cs="Helvetica"/>
          <w:color w:val="000000"/>
          <w:szCs w:val="20"/>
        </w:rPr>
        <w:t xml:space="preserve"> within this growing </w:t>
      </w:r>
      <w:r w:rsidR="00FA03CE" w:rsidRPr="001A3046">
        <w:rPr>
          <w:rFonts w:cs="Helvetica"/>
          <w:color w:val="000000"/>
          <w:szCs w:val="20"/>
        </w:rPr>
        <w:t>framework</w:t>
      </w:r>
      <w:r w:rsidRPr="001A3046">
        <w:rPr>
          <w:rFonts w:cs="Helvetica"/>
          <w:color w:val="000000"/>
          <w:szCs w:val="20"/>
        </w:rPr>
        <w:t xml:space="preserve"> of research through the analysis of ancient strains of </w:t>
      </w:r>
      <w:r w:rsidRPr="001A3046">
        <w:rPr>
          <w:rFonts w:cs="Helvetica"/>
          <w:i/>
          <w:color w:val="000000"/>
          <w:szCs w:val="20"/>
        </w:rPr>
        <w:t>M.</w:t>
      </w:r>
      <w:r w:rsidR="00334306" w:rsidRPr="001A3046">
        <w:rPr>
          <w:rFonts w:cs="Helvetica"/>
          <w:i/>
          <w:color w:val="000000"/>
          <w:szCs w:val="20"/>
        </w:rPr>
        <w:t xml:space="preserve"> </w:t>
      </w:r>
      <w:r w:rsidRPr="001A3046">
        <w:rPr>
          <w:rFonts w:cs="Helvetica"/>
          <w:i/>
          <w:color w:val="000000"/>
          <w:szCs w:val="20"/>
        </w:rPr>
        <w:t>leprae</w:t>
      </w:r>
      <w:r w:rsidRPr="001A3046">
        <w:rPr>
          <w:rFonts w:cs="Helvetica"/>
          <w:color w:val="000000"/>
          <w:szCs w:val="20"/>
        </w:rPr>
        <w:t xml:space="preserve"> in Irish cases.</w:t>
      </w:r>
      <w:r w:rsidR="00CD082D" w:rsidRPr="001A3046">
        <w:rPr>
          <w:rFonts w:cs="Helvetica"/>
          <w:color w:val="000000"/>
          <w:szCs w:val="20"/>
        </w:rPr>
        <w:t xml:space="preserve"> </w:t>
      </w:r>
      <w:r w:rsidR="004F150A" w:rsidRPr="001A3046">
        <w:rPr>
          <w:rFonts w:cs="Helvetica"/>
          <w:color w:val="000000"/>
          <w:szCs w:val="20"/>
        </w:rPr>
        <w:t xml:space="preserve"> This is combined with palaeopathological and isotopic analysis</w:t>
      </w:r>
      <w:r w:rsidR="00492C4D" w:rsidRPr="001A3046">
        <w:rPr>
          <w:rFonts w:cs="Helvetica"/>
          <w:color w:val="000000"/>
          <w:szCs w:val="20"/>
        </w:rPr>
        <w:t>,</w:t>
      </w:r>
      <w:r w:rsidR="004F150A" w:rsidRPr="001A3046">
        <w:rPr>
          <w:rFonts w:cs="Helvetica"/>
          <w:color w:val="000000"/>
          <w:szCs w:val="20"/>
        </w:rPr>
        <w:t xml:space="preserve"> together with radiocarbon dating to understand the likely origins and development of the disease in Ireland.</w:t>
      </w:r>
      <w:r w:rsidR="00C253D4" w:rsidRPr="001A3046">
        <w:rPr>
          <w:rFonts w:cs="Helvetica"/>
          <w:color w:val="000000"/>
          <w:szCs w:val="20"/>
        </w:rPr>
        <w:t xml:space="preserve"> </w:t>
      </w:r>
      <w:r w:rsidR="007F112F" w:rsidRPr="001A3046">
        <w:rPr>
          <w:rFonts w:cs="Helvetica"/>
          <w:color w:val="000000"/>
          <w:szCs w:val="20"/>
        </w:rPr>
        <w:t xml:space="preserve">We have also looked for evidence of the second pathogen, </w:t>
      </w:r>
      <w:r w:rsidR="007F112F" w:rsidRPr="001A3046">
        <w:rPr>
          <w:rFonts w:cs="Helvetica"/>
          <w:i/>
          <w:color w:val="000000"/>
          <w:szCs w:val="20"/>
        </w:rPr>
        <w:t>M. lepromatosis,</w:t>
      </w:r>
      <w:r w:rsidR="007F112F" w:rsidRPr="001A3046">
        <w:rPr>
          <w:rFonts w:cs="Helvetica"/>
          <w:color w:val="000000"/>
          <w:szCs w:val="20"/>
        </w:rPr>
        <w:t xml:space="preserve"> given its identification in red squirrels in </w:t>
      </w:r>
      <w:r w:rsidR="00C253D4" w:rsidRPr="001A3046">
        <w:rPr>
          <w:rFonts w:cs="Helvetica"/>
          <w:color w:val="000000"/>
          <w:szCs w:val="20"/>
        </w:rPr>
        <w:t>neighbo</w:t>
      </w:r>
      <w:r w:rsidR="007F112F" w:rsidRPr="001A3046">
        <w:rPr>
          <w:rFonts w:cs="Helvetica"/>
          <w:color w:val="000000"/>
          <w:szCs w:val="20"/>
        </w:rPr>
        <w:t xml:space="preserve">ring Scotland and their possible zoonotic role in the spread </w:t>
      </w:r>
      <w:r w:rsidR="007F112F" w:rsidRPr="001A3046">
        <w:rPr>
          <w:rFonts w:cs="Helvetica"/>
          <w:szCs w:val="20"/>
        </w:rPr>
        <w:t>of the disease [</w:t>
      </w:r>
      <w:r w:rsidR="002036BA" w:rsidRPr="001A3046">
        <w:rPr>
          <w:rFonts w:cs="Helvetica"/>
          <w:szCs w:val="20"/>
        </w:rPr>
        <w:t>23</w:t>
      </w:r>
      <w:r w:rsidR="007F112F" w:rsidRPr="001A3046">
        <w:rPr>
          <w:rFonts w:cs="Helvetica"/>
          <w:szCs w:val="20"/>
        </w:rPr>
        <w:t>,2</w:t>
      </w:r>
      <w:r w:rsidR="002036BA" w:rsidRPr="001A3046">
        <w:rPr>
          <w:rFonts w:cs="Helvetica"/>
          <w:szCs w:val="20"/>
        </w:rPr>
        <w:t>4</w:t>
      </w:r>
      <w:r w:rsidR="00277BB9" w:rsidRPr="001A3046">
        <w:rPr>
          <w:rFonts w:cs="Helvetica"/>
          <w:szCs w:val="20"/>
        </w:rPr>
        <w:t>]</w:t>
      </w:r>
      <w:r w:rsidR="007F112F" w:rsidRPr="001A3046">
        <w:rPr>
          <w:rFonts w:cs="Helvetica"/>
          <w:szCs w:val="20"/>
        </w:rPr>
        <w:t>.</w:t>
      </w:r>
    </w:p>
    <w:p w:rsidR="00C83008" w:rsidRPr="001A3046" w:rsidRDefault="00C83008" w:rsidP="005A2E37">
      <w:pPr>
        <w:pStyle w:val="NoteLevel11"/>
      </w:pPr>
    </w:p>
    <w:p w:rsidR="00C83008" w:rsidRPr="001A3046" w:rsidRDefault="003150B1" w:rsidP="00A833E7">
      <w:pPr>
        <w:pStyle w:val="NoteLevel11"/>
        <w:rPr>
          <w:b/>
          <w:sz w:val="36"/>
          <w:szCs w:val="36"/>
          <w:lang w:val="en-GB"/>
        </w:rPr>
      </w:pPr>
      <w:r w:rsidRPr="001A3046">
        <w:rPr>
          <w:b/>
          <w:sz w:val="36"/>
          <w:szCs w:val="36"/>
          <w:lang w:val="en-GB"/>
        </w:rPr>
        <w:t xml:space="preserve">Irish </w:t>
      </w:r>
      <w:r w:rsidR="007F112F" w:rsidRPr="001A3046">
        <w:rPr>
          <w:b/>
          <w:sz w:val="36"/>
          <w:szCs w:val="36"/>
          <w:lang w:val="en-GB"/>
        </w:rPr>
        <w:t>medieval leprosy – the evidence</w:t>
      </w:r>
    </w:p>
    <w:p w:rsidR="00082F00" w:rsidRPr="001A3046" w:rsidRDefault="00CF3B63" w:rsidP="007F112F">
      <w:pPr>
        <w:pStyle w:val="NoteLevel11"/>
        <w:rPr>
          <w:lang w:val="en-GB"/>
        </w:rPr>
      </w:pPr>
      <w:r w:rsidRPr="001A3046">
        <w:rPr>
          <w:lang w:val="en-GB"/>
        </w:rPr>
        <w:t xml:space="preserve">The study focuses on five cases of probable leprosy identified in human skeletal remains excavated from inhumation burials. Three of the individuals </w:t>
      </w:r>
      <w:r w:rsidR="00082F00" w:rsidRPr="001A3046">
        <w:rPr>
          <w:lang w:val="en-GB"/>
        </w:rPr>
        <w:t>derived from the cemetery of St</w:t>
      </w:r>
      <w:r w:rsidRPr="001A3046">
        <w:rPr>
          <w:lang w:val="en-GB"/>
        </w:rPr>
        <w:t xml:space="preserve"> Michael Le Pole, Golden Lane, Dublin, while single examples were also identified fro</w:t>
      </w:r>
      <w:r w:rsidR="00082F00" w:rsidRPr="001A3046">
        <w:rPr>
          <w:lang w:val="en-GB"/>
        </w:rPr>
        <w:t>m Ardreigh, Co. Kildare, and St</w:t>
      </w:r>
      <w:r w:rsidRPr="001A3046">
        <w:rPr>
          <w:lang w:val="en-GB"/>
        </w:rPr>
        <w:t xml:space="preserve"> Patrick’s Church, Armoy, Co. Antrim</w:t>
      </w:r>
      <w:r w:rsidR="001B597B" w:rsidRPr="001A3046">
        <w:rPr>
          <w:lang w:val="en-GB"/>
        </w:rPr>
        <w:t xml:space="preserve"> (</w:t>
      </w:r>
      <w:r w:rsidR="00314633">
        <w:rPr>
          <w:highlight w:val="magenta"/>
          <w:lang w:val="en-GB"/>
        </w:rPr>
        <w:t>Fig</w:t>
      </w:r>
      <w:r w:rsidR="001B597B" w:rsidRPr="001A3046">
        <w:rPr>
          <w:highlight w:val="magenta"/>
          <w:lang w:val="en-GB"/>
        </w:rPr>
        <w:t xml:space="preserve"> 1</w:t>
      </w:r>
      <w:r w:rsidR="001B597B" w:rsidRPr="001A3046">
        <w:rPr>
          <w:lang w:val="en-GB"/>
        </w:rPr>
        <w:t>)</w:t>
      </w:r>
      <w:bookmarkStart w:id="5" w:name="_Hlk516376048"/>
      <w:r w:rsidR="00670BD0" w:rsidRPr="001A3046">
        <w:rPr>
          <w:lang w:val="en-GB"/>
        </w:rPr>
        <w:t>.</w:t>
      </w:r>
    </w:p>
    <w:bookmarkEnd w:id="5"/>
    <w:p w:rsidR="00082F00" w:rsidRPr="001A3046" w:rsidRDefault="00082F00" w:rsidP="007F112F">
      <w:pPr>
        <w:pStyle w:val="NoteLevel11"/>
        <w:rPr>
          <w:lang w:val="en-GB"/>
        </w:rPr>
      </w:pPr>
    </w:p>
    <w:p w:rsidR="003E3A7E" w:rsidRPr="001A3046" w:rsidRDefault="003E3A7E" w:rsidP="007F112F">
      <w:pPr>
        <w:pStyle w:val="NoteLevel11"/>
        <w:rPr>
          <w:szCs w:val="20"/>
          <w:lang w:val="en-GB"/>
        </w:rPr>
      </w:pPr>
    </w:p>
    <w:p w:rsidR="003E3A7E" w:rsidRPr="00670AD1" w:rsidRDefault="003E3A7E" w:rsidP="00051D90">
      <w:pPr>
        <w:pStyle w:val="NoteLevel11"/>
        <w:rPr>
          <w:b/>
          <w:lang w:val="en-GB"/>
        </w:rPr>
      </w:pPr>
      <w:r w:rsidRPr="00314633">
        <w:rPr>
          <w:b/>
          <w:lang w:val="en-GB"/>
        </w:rPr>
        <w:t>Figure 1. Map showing the location of the sites included in the study.</w:t>
      </w:r>
      <w:r w:rsidR="002133B6" w:rsidRPr="00314633">
        <w:rPr>
          <w:b/>
          <w:lang w:val="en-GB"/>
        </w:rPr>
        <w:t xml:space="preserve"> The insert depicts features apparent in the vicinity of the Golden Lane site near the church of St Michael Le Pole</w:t>
      </w:r>
      <w:r w:rsidR="00670BD0" w:rsidRPr="00314633">
        <w:rPr>
          <w:b/>
          <w:lang w:val="en-GB"/>
        </w:rPr>
        <w:t xml:space="preserve">, including </w:t>
      </w:r>
      <w:r w:rsidR="00670BD0" w:rsidRPr="00670AD1">
        <w:rPr>
          <w:b/>
          <w:lang w:val="en-GB"/>
        </w:rPr>
        <w:t>St Stephen’s leprosarium,</w:t>
      </w:r>
      <w:r w:rsidR="002133B6" w:rsidRPr="00670AD1">
        <w:rPr>
          <w:b/>
          <w:lang w:val="en-GB"/>
        </w:rPr>
        <w:t xml:space="preserve"> c. AD 1300</w:t>
      </w:r>
      <w:r w:rsidR="00051D90" w:rsidRPr="00670AD1">
        <w:rPr>
          <w:b/>
          <w:lang w:val="en-GB"/>
        </w:rPr>
        <w:t xml:space="preserve">. </w:t>
      </w:r>
      <w:r w:rsidR="00314633" w:rsidRPr="00670AD1">
        <w:rPr>
          <w:b/>
          <w:lang w:val="en-GB"/>
        </w:rPr>
        <w:t xml:space="preserve">The original maps upon which the insert is based are fully available </w:t>
      </w:r>
      <w:r w:rsidR="00051D90" w:rsidRPr="00670AD1">
        <w:rPr>
          <w:b/>
          <w:szCs w:val="20"/>
          <w:lang w:val="en-GB"/>
        </w:rPr>
        <w:t>under a CC BY license, with per</w:t>
      </w:r>
      <w:r w:rsidR="00314633" w:rsidRPr="00670AD1">
        <w:rPr>
          <w:b/>
          <w:szCs w:val="20"/>
          <w:lang w:val="en-GB"/>
        </w:rPr>
        <w:t>mission from Royal Irish Academy</w:t>
      </w:r>
      <w:r w:rsidR="00051D90" w:rsidRPr="00670AD1">
        <w:rPr>
          <w:b/>
          <w:szCs w:val="20"/>
          <w:lang w:val="en-GB"/>
        </w:rPr>
        <w:t>, original cop</w:t>
      </w:r>
      <w:r w:rsidR="00314633" w:rsidRPr="00670AD1">
        <w:rPr>
          <w:b/>
          <w:szCs w:val="20"/>
          <w:lang w:val="en-GB"/>
        </w:rPr>
        <w:t>yright 2016</w:t>
      </w:r>
      <w:r w:rsidR="00051D90" w:rsidRPr="00670AD1">
        <w:rPr>
          <w:b/>
          <w:szCs w:val="20"/>
          <w:lang w:val="en-GB"/>
        </w:rPr>
        <w:t xml:space="preserve"> </w:t>
      </w:r>
      <w:r w:rsidR="00277BB9" w:rsidRPr="00670AD1">
        <w:rPr>
          <w:b/>
          <w:lang w:val="en-GB"/>
        </w:rPr>
        <w:t>[25].</w:t>
      </w:r>
    </w:p>
    <w:p w:rsidR="00764B25" w:rsidRPr="00670AD1" w:rsidRDefault="00764B25">
      <w:pPr>
        <w:pStyle w:val="NoteLevel11"/>
        <w:rPr>
          <w:rFonts w:ascii="Cambria" w:hAnsi="Cambria"/>
          <w:b/>
          <w:lang w:val="en-GB"/>
        </w:rPr>
      </w:pPr>
    </w:p>
    <w:p w:rsidR="00F76623" w:rsidRPr="001A3046" w:rsidRDefault="00D025FA">
      <w:pPr>
        <w:pStyle w:val="NoteLevel11"/>
        <w:rPr>
          <w:b/>
          <w:sz w:val="36"/>
          <w:szCs w:val="36"/>
          <w:lang w:val="en-GB"/>
        </w:rPr>
      </w:pPr>
      <w:r w:rsidRPr="001A3046">
        <w:rPr>
          <w:b/>
          <w:sz w:val="36"/>
          <w:szCs w:val="36"/>
          <w:lang w:val="en-GB"/>
        </w:rPr>
        <w:t>Methods and materials</w:t>
      </w:r>
    </w:p>
    <w:p w:rsidR="00FF5086" w:rsidRPr="00670AD1" w:rsidRDefault="00FF5086" w:rsidP="00FF5086">
      <w:pPr>
        <w:pStyle w:val="NoteLevel11"/>
        <w:rPr>
          <w:szCs w:val="20"/>
        </w:rPr>
      </w:pPr>
      <w:r w:rsidRPr="00670AD1">
        <w:rPr>
          <w:lang w:val="en-GB"/>
        </w:rPr>
        <w:t xml:space="preserve">The Golden Lane cases (SkCXLVIII, SkCXCV and SkCCXXX) were excavated under licence number </w:t>
      </w:r>
      <w:r w:rsidRPr="00670AD1">
        <w:t xml:space="preserve">04E1030 and Ardreigh Sk1494 under licence number 00E0156. No licence was required for the Armoy case (Sk171) as it was </w:t>
      </w:r>
      <w:r w:rsidRPr="001A3046">
        <w:t xml:space="preserve">excavated in the jurisdication of Northern Ireland in 1997 before a licence numbering system was introduced. </w:t>
      </w:r>
      <w:r w:rsidRPr="001A3046">
        <w:rPr>
          <w:szCs w:val="20"/>
        </w:rPr>
        <w:t xml:space="preserve">National Museum of Ireland export and destructive analysis licences applying in </w:t>
      </w:r>
      <w:r w:rsidRPr="001A3046">
        <w:rPr>
          <w:szCs w:val="20"/>
        </w:rPr>
        <w:lastRenderedPageBreak/>
        <w:t>this study were No. 5651 for</w:t>
      </w:r>
      <w:r w:rsidRPr="001A3046">
        <w:rPr>
          <w:szCs w:val="20"/>
          <w:lang w:val="en-GB"/>
        </w:rPr>
        <w:t xml:space="preserve"> </w:t>
      </w:r>
      <w:r w:rsidRPr="001A3046">
        <w:rPr>
          <w:szCs w:val="20"/>
        </w:rPr>
        <w:t xml:space="preserve">Golden Lane and No. 5923 for the Ardreigh </w:t>
      </w:r>
      <w:r w:rsidRPr="00670AD1">
        <w:rPr>
          <w:szCs w:val="20"/>
        </w:rPr>
        <w:t>case. No licence was required for the Armoy case. The Armoy case is currently stored in Queen’s University Belfast, while the Ardreigh and Golden Lane cases are curated by the National Museum of Ireland in Dublin. The remains can be accessed by contacting the relevant organization. All necessary permits were obtained for the study, which complied with all relevant regulations.</w:t>
      </w:r>
    </w:p>
    <w:p w:rsidR="000D1B78" w:rsidRPr="00670AD1" w:rsidRDefault="000D1B78">
      <w:pPr>
        <w:pStyle w:val="NoteLevel11"/>
        <w:rPr>
          <w:rFonts w:ascii="Cambria" w:hAnsi="Cambria"/>
          <w:lang w:val="en-GB"/>
        </w:rPr>
      </w:pPr>
    </w:p>
    <w:p w:rsidR="0012313B" w:rsidRPr="001A3046" w:rsidRDefault="00BB7280" w:rsidP="00670BD0">
      <w:pPr>
        <w:pStyle w:val="NoteLevel11"/>
        <w:rPr>
          <w:lang w:val="en-GB"/>
        </w:rPr>
      </w:pPr>
      <w:r w:rsidRPr="001A3046">
        <w:t xml:space="preserve">The </w:t>
      </w:r>
      <w:r w:rsidR="009F437A" w:rsidRPr="001A3046">
        <w:t xml:space="preserve">Dublin </w:t>
      </w:r>
      <w:r w:rsidRPr="001A3046">
        <w:t>skeletons originated from the graveyard associated with the church of St Michael le Pole at Golden Lane, where excavations took place in advance of development in 2005</w:t>
      </w:r>
      <w:r w:rsidR="00AD552F" w:rsidRPr="001A3046">
        <w:t xml:space="preserve"> [11,12]</w:t>
      </w:r>
      <w:r w:rsidRPr="001A3046">
        <w:t xml:space="preserve">. The remains of </w:t>
      </w:r>
      <w:r w:rsidR="009F437A" w:rsidRPr="001A3046">
        <w:t xml:space="preserve">272 </w:t>
      </w:r>
      <w:r w:rsidR="00724806" w:rsidRPr="001A3046">
        <w:t>individuals were discovered</w:t>
      </w:r>
      <w:r w:rsidR="009F437A" w:rsidRPr="001A3046">
        <w:t>,</w:t>
      </w:r>
      <w:r w:rsidRPr="001A3046">
        <w:t xml:space="preserve"> three of which displayed osteological lesions suggestive of leprosy</w:t>
      </w:r>
      <w:r w:rsidR="00F03B9C" w:rsidRPr="001A3046">
        <w:t>.</w:t>
      </w:r>
      <w:r w:rsidR="008E69AD" w:rsidRPr="001A3046">
        <w:t xml:space="preserve"> </w:t>
      </w:r>
      <w:r w:rsidR="003A0E2E" w:rsidRPr="001A3046">
        <w:t>The church of St Michael le Pole is located 100m south of the walls of the Viking and Anglo-Norman town of Dublin. The church sits on a ridge overlooking the River Poddle that separates the church site from the city to the north and the Black Pool (</w:t>
      </w:r>
      <w:r w:rsidR="003A0E2E" w:rsidRPr="001A3046">
        <w:rPr>
          <w:i/>
        </w:rPr>
        <w:t>Dubh Linn</w:t>
      </w:r>
      <w:r w:rsidR="003A0E2E" w:rsidRPr="001A3046">
        <w:t xml:space="preserve"> in Irish) to the east from which Dublin derives its name. </w:t>
      </w:r>
      <w:r w:rsidR="00670BD0" w:rsidRPr="001A3046">
        <w:rPr>
          <w:lang w:val="en-GB"/>
        </w:rPr>
        <w:t>It seems significant that the church of St Michael Le Pole is located around 300 m from the known 13</w:t>
      </w:r>
      <w:r w:rsidR="00670BD0" w:rsidRPr="001A3046">
        <w:rPr>
          <w:vertAlign w:val="superscript"/>
          <w:lang w:val="en-GB"/>
        </w:rPr>
        <w:t>th</w:t>
      </w:r>
      <w:r w:rsidR="00670BD0" w:rsidRPr="001A3046">
        <w:rPr>
          <w:lang w:val="en-GB"/>
        </w:rPr>
        <w:t xml:space="preserve">-century St Stephen’s leprosarium (see Fig 1). </w:t>
      </w:r>
      <w:r w:rsidR="00934533" w:rsidRPr="001A3046">
        <w:t xml:space="preserve">The individual from Armoy was discovered in 1997 during excavations in the interior of St Patrick’s Church in Armoy, Co. Antrim, </w:t>
      </w:r>
      <w:r w:rsidR="0012313B" w:rsidRPr="001A3046">
        <w:t xml:space="preserve">during its refurbishment, </w:t>
      </w:r>
      <w:r w:rsidR="00934533" w:rsidRPr="001A3046">
        <w:t>and was the only one of 56 individuals to display the lesions</w:t>
      </w:r>
      <w:r w:rsidR="001966FE" w:rsidRPr="001A3046">
        <w:t xml:space="preserve"> </w:t>
      </w:r>
      <w:r w:rsidR="001966FE" w:rsidRPr="001A3046">
        <w:rPr>
          <w:lang w:val="en-GB"/>
        </w:rPr>
        <w:t>[</w:t>
      </w:r>
      <w:r w:rsidR="00277BB9" w:rsidRPr="001A3046">
        <w:rPr>
          <w:lang w:val="en-GB"/>
        </w:rPr>
        <w:t>10,</w:t>
      </w:r>
      <w:r w:rsidR="001966FE" w:rsidRPr="001A3046">
        <w:rPr>
          <w:lang w:val="en-GB"/>
        </w:rPr>
        <w:t>2</w:t>
      </w:r>
      <w:r w:rsidR="00D2756F" w:rsidRPr="001A3046">
        <w:rPr>
          <w:lang w:val="en-GB"/>
        </w:rPr>
        <w:t>6</w:t>
      </w:r>
      <w:r w:rsidR="00277BB9" w:rsidRPr="001A3046">
        <w:rPr>
          <w:lang w:val="en-GB"/>
        </w:rPr>
        <w:t>]</w:t>
      </w:r>
      <w:r w:rsidR="001966FE" w:rsidRPr="001A3046">
        <w:rPr>
          <w:lang w:val="en-GB"/>
        </w:rPr>
        <w:t xml:space="preserve">. </w:t>
      </w:r>
      <w:r w:rsidR="0012313B" w:rsidRPr="001A3046">
        <w:rPr>
          <w:lang w:val="en-GB"/>
        </w:rPr>
        <w:t xml:space="preserve">The skeleton from Ardreigh was one of </w:t>
      </w:r>
      <w:r w:rsidR="008E2799" w:rsidRPr="001A3046">
        <w:rPr>
          <w:lang w:val="en-GB"/>
        </w:rPr>
        <w:t>1,259</w:t>
      </w:r>
      <w:r w:rsidR="0012313B" w:rsidRPr="001A3046">
        <w:rPr>
          <w:lang w:val="en-GB"/>
        </w:rPr>
        <w:t xml:space="preserve"> recovered from a </w:t>
      </w:r>
      <w:r w:rsidR="008E2799" w:rsidRPr="001A3046">
        <w:rPr>
          <w:lang w:val="en-GB"/>
        </w:rPr>
        <w:t>cemetery near the town of Athy, Co. Kildare,</w:t>
      </w:r>
      <w:r w:rsidR="0012313B" w:rsidRPr="001A3046">
        <w:rPr>
          <w:lang w:val="en-GB"/>
        </w:rPr>
        <w:t xml:space="preserve"> during excavations undertaken </w:t>
      </w:r>
      <w:r w:rsidR="006479DA" w:rsidRPr="001A3046">
        <w:rPr>
          <w:lang w:val="en-GB"/>
        </w:rPr>
        <w:t xml:space="preserve">in advance of a </w:t>
      </w:r>
      <w:r w:rsidR="008E2799" w:rsidRPr="001A3046">
        <w:rPr>
          <w:lang w:val="en-GB"/>
        </w:rPr>
        <w:t xml:space="preserve">road realignment between 2000-2003 and 2007-2008. It was the only one considered to display leprosy </w:t>
      </w:r>
      <w:r w:rsidR="008E2799" w:rsidRPr="001A3046">
        <w:rPr>
          <w:rFonts w:cs="Helvetica"/>
          <w:szCs w:val="20"/>
        </w:rPr>
        <w:t>[13</w:t>
      </w:r>
      <w:r w:rsidR="00277BB9" w:rsidRPr="001A3046">
        <w:rPr>
          <w:rFonts w:cs="Helvetica"/>
          <w:szCs w:val="20"/>
        </w:rPr>
        <w:t>]</w:t>
      </w:r>
      <w:r w:rsidR="008E2799" w:rsidRPr="001A3046">
        <w:rPr>
          <w:rFonts w:cs="Helvetica"/>
          <w:szCs w:val="20"/>
        </w:rPr>
        <w:t>.</w:t>
      </w:r>
      <w:r w:rsidR="00670BD0" w:rsidRPr="001A3046">
        <w:rPr>
          <w:rFonts w:cs="Helvetica"/>
          <w:szCs w:val="20"/>
        </w:rPr>
        <w:t xml:space="preserve"> Neither the sites at Armoy or Ardreigh have any known associations with leprosy.</w:t>
      </w:r>
    </w:p>
    <w:p w:rsidR="006177D1" w:rsidRDefault="006177D1" w:rsidP="00724806">
      <w:pPr>
        <w:pStyle w:val="NoteLevel11"/>
      </w:pPr>
    </w:p>
    <w:p w:rsidR="006177D1" w:rsidRPr="007632A0" w:rsidRDefault="006177D1" w:rsidP="006177D1">
      <w:pPr>
        <w:pStyle w:val="NoteLevel11"/>
        <w:rPr>
          <w:b/>
          <w:sz w:val="32"/>
          <w:szCs w:val="32"/>
          <w:lang w:val="en-GB"/>
        </w:rPr>
      </w:pPr>
      <w:r w:rsidRPr="007632A0">
        <w:rPr>
          <w:b/>
          <w:sz w:val="32"/>
          <w:szCs w:val="32"/>
          <w:lang w:val="en-GB"/>
        </w:rPr>
        <w:t>Osteology</w:t>
      </w:r>
    </w:p>
    <w:p w:rsidR="004109EF" w:rsidRPr="007632A0" w:rsidRDefault="004D40F9" w:rsidP="006177D1">
      <w:pPr>
        <w:pStyle w:val="NoteLevel11"/>
        <w:rPr>
          <w:lang w:val="en-GB"/>
        </w:rPr>
      </w:pPr>
      <w:r w:rsidRPr="00277BB9">
        <w:rPr>
          <w:lang w:val="en-GB"/>
        </w:rPr>
        <w:t xml:space="preserve">The </w:t>
      </w:r>
      <w:r w:rsidR="00F03B9C" w:rsidRPr="00277BB9">
        <w:rPr>
          <w:lang w:val="en-GB"/>
        </w:rPr>
        <w:t>lesions apparent i</w:t>
      </w:r>
      <w:r w:rsidR="00724806" w:rsidRPr="00277BB9">
        <w:rPr>
          <w:lang w:val="en-GB"/>
        </w:rPr>
        <w:t xml:space="preserve">n the </w:t>
      </w:r>
      <w:r w:rsidRPr="00277BB9">
        <w:rPr>
          <w:lang w:val="en-GB"/>
        </w:rPr>
        <w:t xml:space="preserve">cases from Golden Lane </w:t>
      </w:r>
      <w:r w:rsidR="00AD552F" w:rsidRPr="00277BB9">
        <w:rPr>
          <w:lang w:val="en-GB"/>
        </w:rPr>
        <w:t>[12]</w:t>
      </w:r>
      <w:r w:rsidR="00277BB9" w:rsidRPr="00277BB9">
        <w:rPr>
          <w:lang w:val="en-GB"/>
        </w:rPr>
        <w:t xml:space="preserve"> </w:t>
      </w:r>
      <w:r w:rsidRPr="00277BB9">
        <w:rPr>
          <w:lang w:val="en-GB"/>
        </w:rPr>
        <w:t xml:space="preserve">and </w:t>
      </w:r>
      <w:r w:rsidR="00BB7280" w:rsidRPr="00277BB9">
        <w:rPr>
          <w:lang w:val="en-GB"/>
        </w:rPr>
        <w:t xml:space="preserve">Armoy </w:t>
      </w:r>
      <w:r w:rsidRPr="00277BB9">
        <w:rPr>
          <w:lang w:val="en-GB"/>
        </w:rPr>
        <w:t>have already been published</w:t>
      </w:r>
      <w:r w:rsidR="00BB7280" w:rsidRPr="00277BB9">
        <w:rPr>
          <w:lang w:val="en-GB"/>
        </w:rPr>
        <w:t xml:space="preserve"> </w:t>
      </w:r>
      <w:bookmarkStart w:id="6" w:name="_Hlk515079606"/>
      <w:r w:rsidR="00AD552F" w:rsidRPr="00277BB9">
        <w:rPr>
          <w:lang w:val="en-GB"/>
        </w:rPr>
        <w:t>[10, 2</w:t>
      </w:r>
      <w:r w:rsidR="00D2756F" w:rsidRPr="00277BB9">
        <w:rPr>
          <w:lang w:val="en-GB"/>
        </w:rPr>
        <w:t>6</w:t>
      </w:r>
      <w:r w:rsidR="00277BB9" w:rsidRPr="00277BB9">
        <w:rPr>
          <w:lang w:val="en-GB"/>
        </w:rPr>
        <w:t>]</w:t>
      </w:r>
      <w:r w:rsidR="00B06F11" w:rsidRPr="00277BB9">
        <w:rPr>
          <w:lang w:val="en-GB"/>
        </w:rPr>
        <w:t xml:space="preserve"> </w:t>
      </w:r>
      <w:bookmarkEnd w:id="6"/>
      <w:r w:rsidR="006177D1" w:rsidRPr="00277BB9">
        <w:rPr>
          <w:lang w:val="en-GB"/>
        </w:rPr>
        <w:t>and</w:t>
      </w:r>
      <w:r w:rsidR="006177D1" w:rsidRPr="007632A0">
        <w:rPr>
          <w:lang w:val="en-GB"/>
        </w:rPr>
        <w:t xml:space="preserve"> the details are included in the </w:t>
      </w:r>
      <w:r w:rsidR="00685C8F" w:rsidRPr="007632A0">
        <w:rPr>
          <w:highlight w:val="yellow"/>
          <w:lang w:val="en-GB"/>
        </w:rPr>
        <w:t>Supporting Information (S1)</w:t>
      </w:r>
      <w:r w:rsidR="006177D1" w:rsidRPr="007632A0">
        <w:rPr>
          <w:lang w:val="en-GB"/>
        </w:rPr>
        <w:t>. T</w:t>
      </w:r>
      <w:r w:rsidR="00BB7280" w:rsidRPr="007632A0">
        <w:rPr>
          <w:lang w:val="en-GB"/>
        </w:rPr>
        <w:t>he Ardreigh individual has not been previously published.</w:t>
      </w:r>
      <w:r w:rsidR="00724806" w:rsidRPr="007632A0">
        <w:rPr>
          <w:lang w:val="en-GB"/>
        </w:rPr>
        <w:t xml:space="preserve"> </w:t>
      </w:r>
      <w:r w:rsidR="000A3DE7" w:rsidRPr="007632A0">
        <w:rPr>
          <w:lang w:val="en-GB"/>
        </w:rPr>
        <w:t>A control individual with no osteological evidence of leprosy, SkCCL from Golden Lane, was also included in the study.</w:t>
      </w:r>
    </w:p>
    <w:p w:rsidR="001047E1" w:rsidRDefault="001047E1" w:rsidP="001047E1">
      <w:pPr>
        <w:pStyle w:val="NoteLevel11"/>
        <w:rPr>
          <w:b/>
          <w:sz w:val="32"/>
          <w:szCs w:val="32"/>
          <w:lang w:val="en-GB"/>
        </w:rPr>
      </w:pPr>
    </w:p>
    <w:p w:rsidR="006177D1" w:rsidRPr="001047E1" w:rsidRDefault="006177D1" w:rsidP="001047E1">
      <w:pPr>
        <w:pStyle w:val="NoteLevel11"/>
        <w:rPr>
          <w:b/>
          <w:sz w:val="32"/>
          <w:szCs w:val="32"/>
          <w:lang w:val="en-GB"/>
        </w:rPr>
      </w:pPr>
      <w:r w:rsidRPr="001047E1">
        <w:rPr>
          <w:rFonts w:eastAsia="Cambria" w:cs="Times New Roman"/>
        </w:rPr>
        <w:lastRenderedPageBreak/>
        <w:t xml:space="preserve">The state of preservation was assessed following the guidelines of </w:t>
      </w:r>
      <w:r w:rsidR="00277BB9" w:rsidRPr="001047E1">
        <w:rPr>
          <w:rFonts w:eastAsia="Cambria" w:cs="Times New Roman"/>
        </w:rPr>
        <w:t xml:space="preserve">McKinley </w:t>
      </w:r>
      <w:r w:rsidRPr="001047E1">
        <w:rPr>
          <w:rFonts w:eastAsia="Cambria" w:cs="Times New Roman"/>
        </w:rPr>
        <w:t>[2</w:t>
      </w:r>
      <w:r w:rsidR="00D2756F" w:rsidRPr="001047E1">
        <w:rPr>
          <w:rFonts w:eastAsia="Cambria" w:cs="Times New Roman"/>
        </w:rPr>
        <w:t>7</w:t>
      </w:r>
      <w:r w:rsidRPr="001047E1">
        <w:rPr>
          <w:rFonts w:eastAsia="Cambria" w:cs="Times New Roman"/>
        </w:rPr>
        <w:t xml:space="preserve">]. Sex was determined on the basis of pelvic and </w:t>
      </w:r>
      <w:r w:rsidR="00277BB9" w:rsidRPr="001047E1">
        <w:rPr>
          <w:rFonts w:eastAsia="Cambria" w:cs="Times New Roman"/>
        </w:rPr>
        <w:t>cranial morphology following</w:t>
      </w:r>
      <w:r w:rsidRPr="001047E1">
        <w:rPr>
          <w:rFonts w:eastAsia="Cambria" w:cs="Times New Roman"/>
        </w:rPr>
        <w:t xml:space="preserve"> </w:t>
      </w:r>
      <w:r w:rsidR="00277BB9" w:rsidRPr="001047E1">
        <w:rPr>
          <w:rFonts w:eastAsia="Cambria" w:cs="Times New Roman"/>
        </w:rPr>
        <w:t xml:space="preserve">standard recommendations </w:t>
      </w:r>
      <w:r w:rsidRPr="001047E1">
        <w:rPr>
          <w:rFonts w:eastAsia="Cambria" w:cs="Times New Roman"/>
        </w:rPr>
        <w:t>[2</w:t>
      </w:r>
      <w:r w:rsidR="00D2756F" w:rsidRPr="001047E1">
        <w:rPr>
          <w:rFonts w:eastAsia="Cambria" w:cs="Times New Roman"/>
        </w:rPr>
        <w:t>8</w:t>
      </w:r>
      <w:r w:rsidR="00277BB9" w:rsidRPr="001047E1">
        <w:rPr>
          <w:rFonts w:eastAsia="Cambria" w:cs="Times New Roman"/>
        </w:rPr>
        <w:t>-31]</w:t>
      </w:r>
      <w:r w:rsidRPr="001047E1">
        <w:rPr>
          <w:rFonts w:eastAsia="Cambria" w:cs="Times New Roman"/>
        </w:rPr>
        <w:t>. Juvenile age-at-death was estimated using a combination of epiphyseal fusion data, dental eruption and dental calcification [</w:t>
      </w:r>
      <w:r w:rsidR="00D2756F" w:rsidRPr="001047E1">
        <w:rPr>
          <w:rFonts w:eastAsia="Cambria" w:cs="Times New Roman"/>
        </w:rPr>
        <w:t>32</w:t>
      </w:r>
      <w:r w:rsidR="00277BB9" w:rsidRPr="001047E1">
        <w:rPr>
          <w:rFonts w:eastAsia="Cambria" w:cs="Times New Roman"/>
        </w:rPr>
        <w:t>,</w:t>
      </w:r>
      <w:r w:rsidRPr="001047E1">
        <w:rPr>
          <w:rFonts w:eastAsia="Cambria" w:cs="Times New Roman"/>
        </w:rPr>
        <w:t>3</w:t>
      </w:r>
      <w:r w:rsidR="00D2756F" w:rsidRPr="001047E1">
        <w:rPr>
          <w:rFonts w:eastAsia="Cambria" w:cs="Times New Roman"/>
        </w:rPr>
        <w:t>3</w:t>
      </w:r>
      <w:r w:rsidR="00277BB9" w:rsidRPr="001047E1">
        <w:rPr>
          <w:rFonts w:eastAsia="Cambria" w:cs="Times New Roman"/>
        </w:rPr>
        <w:t>]</w:t>
      </w:r>
      <w:r w:rsidR="00314633" w:rsidRPr="001047E1">
        <w:rPr>
          <w:rFonts w:eastAsia="Cambria" w:cs="Times New Roman"/>
        </w:rPr>
        <w:t>.</w:t>
      </w:r>
      <w:r w:rsidRPr="001047E1">
        <w:rPr>
          <w:rFonts w:eastAsia="Cambria" w:cs="Times New Roman"/>
        </w:rPr>
        <w:t xml:space="preserve"> Adult age-at-death determinations were based on the assessment of late fusing epiphyseal sites throughout the cranial and post-cranial skeleton [3</w:t>
      </w:r>
      <w:r w:rsidR="00D2756F" w:rsidRPr="001047E1">
        <w:rPr>
          <w:rFonts w:eastAsia="Cambria" w:cs="Times New Roman"/>
        </w:rPr>
        <w:t>2</w:t>
      </w:r>
      <w:r w:rsidR="00277BB9" w:rsidRPr="001047E1">
        <w:rPr>
          <w:rFonts w:eastAsia="Cambria" w:cs="Times New Roman"/>
        </w:rPr>
        <w:t>]</w:t>
      </w:r>
      <w:r w:rsidRPr="001047E1">
        <w:rPr>
          <w:rFonts w:eastAsia="Cambria" w:cs="Times New Roman"/>
        </w:rPr>
        <w:t>, in addition to the assessment of the state of degeneration of the auricular surface of the ilium [3</w:t>
      </w:r>
      <w:r w:rsidR="00D2756F" w:rsidRPr="001047E1">
        <w:rPr>
          <w:rFonts w:eastAsia="Cambria" w:cs="Times New Roman"/>
        </w:rPr>
        <w:t>4</w:t>
      </w:r>
      <w:r w:rsidR="00277BB9" w:rsidRPr="001047E1">
        <w:rPr>
          <w:rFonts w:eastAsia="Cambria" w:cs="Times New Roman"/>
        </w:rPr>
        <w:t>]</w:t>
      </w:r>
      <w:r w:rsidRPr="001047E1">
        <w:rPr>
          <w:rFonts w:eastAsia="Cambria" w:cs="Times New Roman"/>
        </w:rPr>
        <w:t>, pubic symphysis [3</w:t>
      </w:r>
      <w:r w:rsidR="00D2756F" w:rsidRPr="001047E1">
        <w:rPr>
          <w:rFonts w:eastAsia="Cambria" w:cs="Times New Roman"/>
        </w:rPr>
        <w:t>5</w:t>
      </w:r>
      <w:r w:rsidR="00277BB9" w:rsidRPr="001047E1">
        <w:rPr>
          <w:rFonts w:eastAsia="Cambria" w:cs="Times New Roman"/>
        </w:rPr>
        <w:t>]</w:t>
      </w:r>
      <w:r w:rsidRPr="001047E1">
        <w:rPr>
          <w:rFonts w:eastAsia="Cambria" w:cs="Times New Roman"/>
        </w:rPr>
        <w:t>and dental attrition [3</w:t>
      </w:r>
      <w:r w:rsidR="00D2756F" w:rsidRPr="001047E1">
        <w:rPr>
          <w:rFonts w:eastAsia="Cambria" w:cs="Times New Roman"/>
        </w:rPr>
        <w:t>6</w:t>
      </w:r>
      <w:r w:rsidRPr="001047E1">
        <w:rPr>
          <w:rFonts w:eastAsia="Cambria" w:cs="Times New Roman"/>
        </w:rPr>
        <w:t>]</w:t>
      </w:r>
      <w:r w:rsidR="00277BB9" w:rsidRPr="001047E1">
        <w:rPr>
          <w:rFonts w:eastAsia="Cambria" w:cs="Times New Roman"/>
        </w:rPr>
        <w:t>. B</w:t>
      </w:r>
      <w:r w:rsidRPr="001047E1">
        <w:rPr>
          <w:rFonts w:eastAsia="Cambria" w:cs="Times New Roman"/>
        </w:rPr>
        <w:t>road age categories were used and adults were identified as young adults (18-35 years), middle-aged adults (35-50 years) or older adults (50+ years)</w:t>
      </w:r>
      <w:r w:rsidR="00277BB9" w:rsidRPr="001047E1">
        <w:rPr>
          <w:rFonts w:eastAsia="Cambria" w:cs="Times New Roman"/>
        </w:rPr>
        <w:t xml:space="preserve"> [30]</w:t>
      </w:r>
      <w:r w:rsidRPr="001047E1">
        <w:rPr>
          <w:rFonts w:eastAsia="Cambria" w:cs="Times New Roman"/>
        </w:rPr>
        <w:t>.</w:t>
      </w:r>
    </w:p>
    <w:p w:rsidR="006177D1" w:rsidRPr="007632A0" w:rsidRDefault="006177D1" w:rsidP="006177D1">
      <w:pPr>
        <w:pStyle w:val="NoteLevel11"/>
        <w:rPr>
          <w:rFonts w:eastAsia="Cambria" w:cs="Times New Roman"/>
          <w:color w:val="008000"/>
        </w:rPr>
      </w:pPr>
    </w:p>
    <w:p w:rsidR="006177D1" w:rsidRPr="004D1A25" w:rsidRDefault="006177D1" w:rsidP="006177D1">
      <w:pPr>
        <w:pStyle w:val="NoteLevel11"/>
        <w:rPr>
          <w:rFonts w:eastAsia="Cambria" w:cs="Times New Roman"/>
        </w:rPr>
      </w:pPr>
      <w:r w:rsidRPr="007632A0">
        <w:rPr>
          <w:rFonts w:eastAsia="Cambria" w:cs="Times New Roman"/>
        </w:rPr>
        <w:t xml:space="preserve">The pathological analysis involved a detailed morphological examination of the lesions, which were then documented and photographed. Leprosy is known to produce a distinct pattern of lesions with a focus on the rhino-maxillary area of the skull and the bones of the hands and feet. The facial lesions only occur in the lepromatous form of the disease whereas the post-cranial lesions can also arise </w:t>
      </w:r>
      <w:r w:rsidRPr="00277BB9">
        <w:rPr>
          <w:rFonts w:eastAsia="Cambria" w:cs="Times New Roman"/>
        </w:rPr>
        <w:t>in the other clinical forms of the condition [3</w:t>
      </w:r>
      <w:r w:rsidR="006479DA" w:rsidRPr="00277BB9">
        <w:rPr>
          <w:rFonts w:eastAsia="Cambria" w:cs="Times New Roman"/>
        </w:rPr>
        <w:t>7</w:t>
      </w:r>
      <w:r w:rsidR="00277BB9" w:rsidRPr="00277BB9">
        <w:rPr>
          <w:rFonts w:eastAsia="Cambria" w:cs="Times New Roman"/>
        </w:rPr>
        <w:t>]</w:t>
      </w:r>
      <w:r w:rsidRPr="00277BB9">
        <w:rPr>
          <w:rFonts w:eastAsia="Cambria" w:cs="Times New Roman"/>
        </w:rPr>
        <w:t>. The rhino-maxillary lesions are</w:t>
      </w:r>
      <w:r w:rsidRPr="007632A0">
        <w:rPr>
          <w:rFonts w:eastAsia="Cambria" w:cs="Times New Roman"/>
        </w:rPr>
        <w:t xml:space="preserve"> related to infection and inflammation and manifest as destruction of the anterior nasal spine, atrophy and recession of the maxillary alveolar bone adjacent to the incisors, which results in their subsequent loss, absorption of the nasal septum and conchae, remodelling of the margins of the nasal cavity and pitting or </w:t>
      </w:r>
      <w:r w:rsidRPr="00277BB9">
        <w:rPr>
          <w:rFonts w:eastAsia="Cambria" w:cs="Times New Roman"/>
        </w:rPr>
        <w:t>erosion of the palatine process of the maxilla [</w:t>
      </w:r>
      <w:r w:rsidR="006479DA" w:rsidRPr="00277BB9">
        <w:rPr>
          <w:rFonts w:eastAsia="Cambria" w:cs="Times New Roman"/>
        </w:rPr>
        <w:t>38</w:t>
      </w:r>
      <w:r w:rsidRPr="00277BB9">
        <w:rPr>
          <w:rFonts w:eastAsia="Cambria" w:cs="Times New Roman"/>
        </w:rPr>
        <w:t>,3</w:t>
      </w:r>
      <w:r w:rsidR="006479DA" w:rsidRPr="00277BB9">
        <w:rPr>
          <w:rFonts w:eastAsia="Cambria" w:cs="Times New Roman"/>
        </w:rPr>
        <w:t>9</w:t>
      </w:r>
      <w:r w:rsidR="00277BB9" w:rsidRPr="00277BB9">
        <w:rPr>
          <w:rFonts w:eastAsia="Cambria" w:cs="Times New Roman"/>
        </w:rPr>
        <w:t>]</w:t>
      </w:r>
      <w:r w:rsidRPr="00277BB9">
        <w:rPr>
          <w:rFonts w:eastAsia="Cambria" w:cs="Times New Roman"/>
        </w:rPr>
        <w:t>. The lesions of the hands</w:t>
      </w:r>
      <w:r w:rsidRPr="007632A0">
        <w:rPr>
          <w:rFonts w:eastAsia="Cambria" w:cs="Times New Roman"/>
        </w:rPr>
        <w:t xml:space="preserve"> and feet involve changes to the metacarpals, metatarsals and phalanges that arise from diaphyseal remodelling and acroosteolysis and eventually result in the bone having a ‘sucked candy’ appearance. Other characteristic lesions include ‘cup and peg’ deformity of the metatarsal/metacarpal-phalangeal and interphalangeal joints as well as the occurrence of dorsal tarsal exostoses and </w:t>
      </w:r>
      <w:r w:rsidR="007D28AE" w:rsidRPr="00277BB9">
        <w:rPr>
          <w:rFonts w:eastAsia="Cambria" w:cs="Times New Roman"/>
        </w:rPr>
        <w:t>generalized</w:t>
      </w:r>
      <w:r w:rsidRPr="00277BB9">
        <w:rPr>
          <w:rFonts w:eastAsia="Cambria" w:cs="Times New Roman"/>
        </w:rPr>
        <w:t xml:space="preserve"> signs of infection, including periostitis and bone necrosis [</w:t>
      </w:r>
      <w:r w:rsidR="006479DA" w:rsidRPr="00277BB9">
        <w:rPr>
          <w:rFonts w:eastAsia="Cambria" w:cs="Times New Roman"/>
        </w:rPr>
        <w:t>39,40</w:t>
      </w:r>
      <w:r w:rsidR="00277BB9" w:rsidRPr="00277BB9">
        <w:rPr>
          <w:rFonts w:eastAsia="Cambria" w:cs="Times New Roman"/>
        </w:rPr>
        <w:t>]</w:t>
      </w:r>
      <w:r w:rsidRPr="00277BB9">
        <w:rPr>
          <w:rFonts w:eastAsia="Cambria" w:cs="Times New Roman"/>
        </w:rPr>
        <w:t>.</w:t>
      </w:r>
      <w:r w:rsidR="0074345C">
        <w:rPr>
          <w:rFonts w:eastAsia="Cambria" w:cs="Times New Roman"/>
        </w:rPr>
        <w:t xml:space="preserve"> </w:t>
      </w:r>
      <w:r w:rsidRPr="007632A0">
        <w:rPr>
          <w:rFonts w:eastAsia="Cambria" w:cs="Times New Roman"/>
        </w:rPr>
        <w:t xml:space="preserve">Nerve damage can result in the bones of the hands becoming permanently flexed </w:t>
      </w:r>
      <w:r w:rsidRPr="004D1A25">
        <w:rPr>
          <w:rFonts w:eastAsia="Cambria" w:cs="Times New Roman"/>
        </w:rPr>
        <w:t>and pressure erosions may arise on the volar surfaces of the distal phalanges [4</w:t>
      </w:r>
      <w:r w:rsidR="004D1A25" w:rsidRPr="004D1A25">
        <w:rPr>
          <w:rFonts w:eastAsia="Cambria" w:cs="Times New Roman"/>
        </w:rPr>
        <w:t>]</w:t>
      </w:r>
      <w:r w:rsidRPr="004D1A25">
        <w:rPr>
          <w:rFonts w:eastAsia="Cambria" w:cs="Times New Roman"/>
        </w:rPr>
        <w:t xml:space="preserve">. Nerve damage can also cause anaesthesia of the skin and this is particularly problematic for the feet since the individual becomes oblivious to injuries which are then at risk of secondary infection through the introduction of bacteria from external sources. As such, the occurrence of </w:t>
      </w:r>
      <w:r w:rsidRPr="004D1A25">
        <w:rPr>
          <w:rFonts w:eastAsia="Cambria" w:cs="Times New Roman"/>
        </w:rPr>
        <w:lastRenderedPageBreak/>
        <w:t>both leprous and non-leprous bacteria in the feet can result in the spread of infection to the lower limbs and septic arthritis and diffuse periostitis may be apparent [4</w:t>
      </w:r>
      <w:r w:rsidR="004D1A25" w:rsidRPr="004D1A25">
        <w:rPr>
          <w:rFonts w:eastAsia="Cambria" w:cs="Times New Roman"/>
        </w:rPr>
        <w:t>]</w:t>
      </w:r>
      <w:r w:rsidRPr="004D1A25">
        <w:rPr>
          <w:rFonts w:eastAsia="Cambria" w:cs="Times New Roman"/>
        </w:rPr>
        <w:t>.</w:t>
      </w:r>
    </w:p>
    <w:p w:rsidR="006177D1" w:rsidRPr="007632A0" w:rsidRDefault="006177D1" w:rsidP="006177D1">
      <w:pPr>
        <w:pStyle w:val="NoteLevel11"/>
        <w:rPr>
          <w:b/>
          <w:sz w:val="32"/>
          <w:szCs w:val="32"/>
        </w:rPr>
      </w:pPr>
    </w:p>
    <w:p w:rsidR="00786F77" w:rsidRPr="007632A0" w:rsidRDefault="00507FB9" w:rsidP="00A833E7">
      <w:pPr>
        <w:pStyle w:val="NoteLevel11"/>
        <w:rPr>
          <w:b/>
          <w:sz w:val="32"/>
          <w:szCs w:val="32"/>
        </w:rPr>
      </w:pPr>
      <w:r w:rsidRPr="007632A0">
        <w:rPr>
          <w:b/>
          <w:sz w:val="32"/>
          <w:szCs w:val="32"/>
        </w:rPr>
        <w:t>DNA extraction</w:t>
      </w:r>
    </w:p>
    <w:p w:rsidR="00724806" w:rsidRPr="007632A0" w:rsidRDefault="00724806" w:rsidP="00A833E7">
      <w:pPr>
        <w:pStyle w:val="NoteLevel11"/>
      </w:pPr>
      <w:r w:rsidRPr="007632A0">
        <w:t xml:space="preserve">Details of the </w:t>
      </w:r>
      <w:r w:rsidR="00D866F2" w:rsidRPr="007632A0">
        <w:t xml:space="preserve">bone </w:t>
      </w:r>
      <w:r w:rsidRPr="007632A0">
        <w:t xml:space="preserve">samples taken for the DNA analysis can be found in the </w:t>
      </w:r>
      <w:r w:rsidRPr="007632A0">
        <w:rPr>
          <w:highlight w:val="yellow"/>
        </w:rPr>
        <w:t>Supp</w:t>
      </w:r>
      <w:r w:rsidR="00685C8F" w:rsidRPr="007632A0">
        <w:rPr>
          <w:highlight w:val="yellow"/>
        </w:rPr>
        <w:t xml:space="preserve">orting Information </w:t>
      </w:r>
      <w:r w:rsidR="00E37236" w:rsidRPr="007632A0">
        <w:rPr>
          <w:highlight w:val="yellow"/>
        </w:rPr>
        <w:t>(</w:t>
      </w:r>
      <w:r w:rsidR="00685C8F" w:rsidRPr="007632A0">
        <w:rPr>
          <w:highlight w:val="yellow"/>
        </w:rPr>
        <w:t>S2</w:t>
      </w:r>
      <w:r w:rsidR="00E37236" w:rsidRPr="007632A0">
        <w:rPr>
          <w:highlight w:val="yellow"/>
        </w:rPr>
        <w:t>)</w:t>
      </w:r>
      <w:r w:rsidRPr="007632A0">
        <w:t>.</w:t>
      </w:r>
    </w:p>
    <w:p w:rsidR="00724806" w:rsidRPr="007632A0" w:rsidRDefault="00724806" w:rsidP="00A833E7">
      <w:pPr>
        <w:pStyle w:val="NoteLevel11"/>
      </w:pPr>
    </w:p>
    <w:p w:rsidR="00865BF3" w:rsidRPr="007632A0" w:rsidRDefault="00EE76F0" w:rsidP="00A833E7">
      <w:pPr>
        <w:pStyle w:val="NoteLevel11"/>
        <w:rPr>
          <w:b/>
          <w:sz w:val="28"/>
          <w:szCs w:val="28"/>
        </w:rPr>
      </w:pPr>
      <w:r w:rsidRPr="007632A0">
        <w:rPr>
          <w:b/>
          <w:sz w:val="28"/>
          <w:szCs w:val="28"/>
        </w:rPr>
        <w:t>1</w:t>
      </w:r>
      <w:r w:rsidR="00724806" w:rsidRPr="007632A0">
        <w:rPr>
          <w:b/>
          <w:sz w:val="28"/>
          <w:szCs w:val="28"/>
        </w:rPr>
        <w:t xml:space="preserve">. At </w:t>
      </w:r>
      <w:r w:rsidR="00B262BA" w:rsidRPr="007632A0">
        <w:rPr>
          <w:b/>
          <w:sz w:val="28"/>
          <w:szCs w:val="28"/>
        </w:rPr>
        <w:t xml:space="preserve">the </w:t>
      </w:r>
      <w:r w:rsidR="00724806" w:rsidRPr="007632A0">
        <w:rPr>
          <w:b/>
          <w:sz w:val="28"/>
          <w:szCs w:val="28"/>
        </w:rPr>
        <w:t>University of Surrey (UoS)</w:t>
      </w:r>
    </w:p>
    <w:p w:rsidR="00507FB9" w:rsidRPr="007632A0" w:rsidRDefault="00507FB9" w:rsidP="00A833E7">
      <w:pPr>
        <w:pStyle w:val="NoteLevel11"/>
        <w:rPr>
          <w:rFonts w:cs="Helvetica"/>
          <w:szCs w:val="17"/>
        </w:rPr>
      </w:pPr>
      <w:r w:rsidRPr="007632A0">
        <w:rPr>
          <w:rFonts w:cs="Helvetica"/>
          <w:szCs w:val="17"/>
        </w:rPr>
        <w:t xml:space="preserve">Bone fragments were ground to a fine powder using sterilised pestles and mortars. The powders were weighed and divided into two amounts. One set was extracted immediately for </w:t>
      </w:r>
      <w:r w:rsidR="003D0B33" w:rsidRPr="007632A0">
        <w:rPr>
          <w:rFonts w:cs="Helvetica"/>
          <w:szCs w:val="17"/>
        </w:rPr>
        <w:t xml:space="preserve">leprosy </w:t>
      </w:r>
      <w:r w:rsidRPr="007632A0">
        <w:rPr>
          <w:rFonts w:cs="Helvetica"/>
          <w:szCs w:val="17"/>
        </w:rPr>
        <w:t>screening</w:t>
      </w:r>
      <w:r w:rsidR="00B262BA" w:rsidRPr="007632A0">
        <w:rPr>
          <w:rFonts w:cs="Helvetica"/>
          <w:szCs w:val="17"/>
        </w:rPr>
        <w:t>, while t</w:t>
      </w:r>
      <w:r w:rsidRPr="007632A0">
        <w:rPr>
          <w:rFonts w:cs="Helvetica"/>
          <w:szCs w:val="17"/>
        </w:rPr>
        <w:t xml:space="preserve">he other was </w:t>
      </w:r>
      <w:r w:rsidR="003D0B33" w:rsidRPr="007632A0">
        <w:rPr>
          <w:rFonts w:cs="Helvetica"/>
          <w:szCs w:val="17"/>
        </w:rPr>
        <w:t>set</w:t>
      </w:r>
      <w:r w:rsidRPr="007632A0">
        <w:rPr>
          <w:rFonts w:cs="Helvetica"/>
          <w:szCs w:val="17"/>
        </w:rPr>
        <w:t xml:space="preserve"> aside for subsequent genotyping. </w:t>
      </w:r>
    </w:p>
    <w:p w:rsidR="00B262BA" w:rsidRPr="007632A0" w:rsidRDefault="00B262BA" w:rsidP="00A833E7">
      <w:pPr>
        <w:pStyle w:val="NoteLevel11"/>
        <w:rPr>
          <w:rFonts w:cs="Helvetica"/>
          <w:szCs w:val="17"/>
        </w:rPr>
      </w:pPr>
    </w:p>
    <w:p w:rsidR="00507FB9" w:rsidRPr="007632A0" w:rsidRDefault="00507FB9" w:rsidP="00A833E7">
      <w:pPr>
        <w:pStyle w:val="NoteLevel11"/>
        <w:rPr>
          <w:rFonts w:cs="Helvetica"/>
          <w:szCs w:val="17"/>
        </w:rPr>
      </w:pPr>
      <w:r w:rsidRPr="004D1A25">
        <w:rPr>
          <w:rFonts w:cs="Helvetica"/>
          <w:szCs w:val="17"/>
        </w:rPr>
        <w:t xml:space="preserve">DNA was extracted using an in-house version of the </w:t>
      </w:r>
      <w:r w:rsidR="00BB7280" w:rsidRPr="004D1A25">
        <w:rPr>
          <w:rFonts w:cs="Helvetica"/>
          <w:szCs w:val="17"/>
        </w:rPr>
        <w:t xml:space="preserve">Boom method </w:t>
      </w:r>
      <w:r w:rsidR="006479DA" w:rsidRPr="004D1A25">
        <w:rPr>
          <w:rFonts w:cs="Helvetica"/>
          <w:szCs w:val="17"/>
        </w:rPr>
        <w:t>[41</w:t>
      </w:r>
      <w:r w:rsidR="004D1A25" w:rsidRPr="004D1A25">
        <w:rPr>
          <w:rFonts w:cs="Helvetica"/>
          <w:szCs w:val="17"/>
        </w:rPr>
        <w:t>]</w:t>
      </w:r>
      <w:r w:rsidRPr="004D1A25">
        <w:rPr>
          <w:rFonts w:cs="Helvetica"/>
          <w:szCs w:val="17"/>
        </w:rPr>
        <w:t>. In this</w:t>
      </w:r>
      <w:r w:rsidRPr="007632A0">
        <w:rPr>
          <w:rFonts w:cs="Helvetica"/>
          <w:szCs w:val="17"/>
        </w:rPr>
        <w:t xml:space="preserve"> procedure, 6M guanidinium thiocyanate (GUSCN, product G9020, US Biologicals, Salem, MA.) containing 1% Triton X-100 (Sigma-Aldrich, T8787) was dissolved in 1x Tris-EDTA buffer (Sigma-Aldrich, T9285) adjusted to pH 6.5 with 3M sodium acetate, pH 5.5 (Ambion</w:t>
      </w:r>
      <w:r w:rsidR="00D1670A" w:rsidRPr="007632A0">
        <w:rPr>
          <w:rFonts w:cs="Helvetica"/>
          <w:szCs w:val="17"/>
        </w:rPr>
        <w:t>, ™</w:t>
      </w:r>
      <w:r w:rsidRPr="007632A0">
        <w:rPr>
          <w:rFonts w:cs="Helvetica"/>
          <w:szCs w:val="17"/>
        </w:rPr>
        <w:t xml:space="preserve"> product 9740).  Bone powder was mixed with 1ml of the GUSCN buffer on a mixing wheel for 1hr at 4</w:t>
      </w:r>
      <w:r w:rsidR="00F03116" w:rsidRPr="007632A0">
        <w:rPr>
          <w:rFonts w:cs="Helvetica"/>
          <w:szCs w:val="17"/>
        </w:rPr>
        <w:t>°</w:t>
      </w:r>
      <w:r w:rsidRPr="007632A0">
        <w:rPr>
          <w:rFonts w:cs="Helvetica"/>
          <w:szCs w:val="17"/>
        </w:rPr>
        <w:t xml:space="preserve">C. The samples were then subjected to 3 freeze-thaw cycles to assist with DNA recovery. The bone powder was removed by centrifugation at 12,000 x r.p.m. and the supernatant buffer transferred to a fresh 1.5ml Eppendorf tube. Pre-washed silica suspension (40µl of 0.5-10µm, Sigma-Aldrich, S5631) was added and kept in contact for 3hrs to maximize recovery of fragmented DNA.  After centrifugation, silica was further washed twice with 1ml aliquots of GUSCN extraction buffer, followed by 3 washes with 75% ethanol and finally with 1ml of acetone. After thorough drying of the silica pellet, DNA residues were eluted in 60µl HPLC grade water (Sigma-Aldrich) at </w:t>
      </w:r>
      <w:r w:rsidR="00F03116" w:rsidRPr="007632A0">
        <w:rPr>
          <w:rFonts w:cs="Helvetica"/>
          <w:szCs w:val="17"/>
        </w:rPr>
        <w:t>55</w:t>
      </w:r>
      <w:r w:rsidR="00F03116" w:rsidRPr="007632A0">
        <w:rPr>
          <w:rFonts w:cs="Helvetica"/>
          <w:szCs w:val="17"/>
          <w:vertAlign w:val="superscript"/>
        </w:rPr>
        <w:t>°</w:t>
      </w:r>
      <w:r w:rsidR="00F03116" w:rsidRPr="007632A0">
        <w:rPr>
          <w:rFonts w:cs="Helvetica"/>
          <w:szCs w:val="17"/>
        </w:rPr>
        <w:t>C</w:t>
      </w:r>
      <w:r w:rsidRPr="007632A0">
        <w:rPr>
          <w:rFonts w:cs="Helvetica"/>
          <w:szCs w:val="17"/>
        </w:rPr>
        <w:t xml:space="preserve">.  These were then sub-divided into 2 x 30 µl aliquots and stored in low retention plastic tubes to minimize loss of DNA through repeated freeze- thawing events. </w:t>
      </w:r>
      <w:r w:rsidR="00450DDE" w:rsidRPr="007632A0">
        <w:rPr>
          <w:rFonts w:cs="Helvetica"/>
          <w:szCs w:val="17"/>
        </w:rPr>
        <w:t xml:space="preserve"> Extraction controls (less bone powder) were taken through the same procedure to check reagents were contamination free.</w:t>
      </w:r>
    </w:p>
    <w:p w:rsidR="00786F77" w:rsidRPr="007632A0" w:rsidRDefault="00786F77" w:rsidP="00A833E7">
      <w:pPr>
        <w:pStyle w:val="NoteLevel11"/>
        <w:rPr>
          <w:rFonts w:cs="Helvetica"/>
          <w:szCs w:val="17"/>
        </w:rPr>
      </w:pPr>
    </w:p>
    <w:p w:rsidR="00786F77" w:rsidRPr="007632A0" w:rsidRDefault="00BB7280" w:rsidP="00A833E7">
      <w:pPr>
        <w:pStyle w:val="NoteLevel11"/>
        <w:rPr>
          <w:rFonts w:cs="Helvetica"/>
          <w:b/>
          <w:sz w:val="28"/>
          <w:szCs w:val="28"/>
        </w:rPr>
      </w:pPr>
      <w:r w:rsidRPr="007632A0">
        <w:rPr>
          <w:rFonts w:cs="Helvetica"/>
          <w:b/>
          <w:sz w:val="28"/>
          <w:szCs w:val="28"/>
        </w:rPr>
        <w:t xml:space="preserve">2. At </w:t>
      </w:r>
      <w:r w:rsidR="00B262BA" w:rsidRPr="007632A0">
        <w:rPr>
          <w:rFonts w:cs="Helvetica"/>
          <w:b/>
          <w:sz w:val="28"/>
          <w:szCs w:val="28"/>
        </w:rPr>
        <w:t>the University of East Anglia (UEA)</w:t>
      </w:r>
    </w:p>
    <w:p w:rsidR="00AF738D" w:rsidRPr="007632A0" w:rsidRDefault="00BB7280">
      <w:pPr>
        <w:pStyle w:val="NoteLevel11"/>
        <w:rPr>
          <w:rFonts w:cs="Arial"/>
        </w:rPr>
      </w:pPr>
      <w:r w:rsidRPr="007632A0">
        <w:rPr>
          <w:rFonts w:cs="Arial"/>
        </w:rPr>
        <w:lastRenderedPageBreak/>
        <w:t>DNA was extracted from the bone powder received from UoS using a bead-beating approach. Initially, 700 µl bacterial lysis buffer (Roche UK-</w:t>
      </w:r>
      <w:r w:rsidRPr="007632A0">
        <w:t xml:space="preserve"> </w:t>
      </w:r>
      <w:r w:rsidR="00553121" w:rsidRPr="007632A0">
        <w:t xml:space="preserve">Cat. No. </w:t>
      </w:r>
      <w:r w:rsidRPr="007632A0">
        <w:rPr>
          <w:rFonts w:cs="Arial"/>
        </w:rPr>
        <w:t>4659180001) was added to the powder and vortexed before being transferred to a bead</w:t>
      </w:r>
      <w:r w:rsidR="00534D9E" w:rsidRPr="007632A0">
        <w:rPr>
          <w:rFonts w:cs="Arial"/>
        </w:rPr>
        <w:t xml:space="preserve"> </w:t>
      </w:r>
      <w:r w:rsidRPr="007632A0">
        <w:rPr>
          <w:rFonts w:cs="Arial"/>
        </w:rPr>
        <w:t xml:space="preserve">beating tube (Lysis Matrix B, </w:t>
      </w:r>
      <w:r w:rsidR="00553121" w:rsidRPr="007632A0">
        <w:rPr>
          <w:rFonts w:cs="Arial"/>
        </w:rPr>
        <w:t>2ml tube (</w:t>
      </w:r>
      <w:r w:rsidRPr="007632A0">
        <w:rPr>
          <w:rFonts w:cs="Arial"/>
          <w:color w:val="000000"/>
          <w:shd w:val="clear" w:color="auto" w:fill="FFFFFF"/>
        </w:rPr>
        <w:t>116911050</w:t>
      </w:r>
      <w:r w:rsidR="00553121" w:rsidRPr="007632A0">
        <w:rPr>
          <w:rFonts w:cs="Arial"/>
          <w:color w:val="000000"/>
          <w:shd w:val="clear" w:color="auto" w:fill="FFFFFF"/>
        </w:rPr>
        <w:t>,</w:t>
      </w:r>
      <w:r w:rsidR="00553121" w:rsidRPr="007632A0">
        <w:rPr>
          <w:rFonts w:cs="Arial"/>
        </w:rPr>
        <w:t xml:space="preserve"> </w:t>
      </w:r>
      <w:r w:rsidRPr="007632A0">
        <w:rPr>
          <w:rFonts w:cs="Arial"/>
        </w:rPr>
        <w:t>MP Biomedical</w:t>
      </w:r>
      <w:r w:rsidR="00553121" w:rsidRPr="007632A0">
        <w:rPr>
          <w:rFonts w:cs="Arial"/>
        </w:rPr>
        <w:t>s</w:t>
      </w:r>
      <w:r w:rsidRPr="007632A0">
        <w:rPr>
          <w:rFonts w:cs="Arial"/>
          <w:color w:val="000000"/>
          <w:shd w:val="clear" w:color="auto" w:fill="FFFFFF"/>
        </w:rPr>
        <w:t>)</w:t>
      </w:r>
      <w:r w:rsidRPr="007632A0">
        <w:rPr>
          <w:rFonts w:cs="Arial"/>
        </w:rPr>
        <w:t>. The sample was bead-beaten for 2 minutes at full speed on a Tissue Lyser bead beater (Qiagen-</w:t>
      </w:r>
      <w:r w:rsidRPr="007632A0">
        <w:rPr>
          <w:color w:val="404040"/>
          <w:szCs w:val="21"/>
          <w:shd w:val="clear" w:color="auto" w:fill="FFFFFF"/>
        </w:rPr>
        <w:t xml:space="preserve"> </w:t>
      </w:r>
      <w:r w:rsidR="00553121" w:rsidRPr="007632A0">
        <w:rPr>
          <w:color w:val="404040"/>
          <w:szCs w:val="21"/>
          <w:shd w:val="clear" w:color="auto" w:fill="FFFFFF"/>
        </w:rPr>
        <w:t xml:space="preserve">Cat. No. </w:t>
      </w:r>
      <w:r w:rsidRPr="007632A0">
        <w:rPr>
          <w:rFonts w:cs="Arial"/>
          <w:shd w:val="clear" w:color="auto" w:fill="FFFFFF"/>
        </w:rPr>
        <w:t>69980</w:t>
      </w:r>
      <w:r w:rsidR="0041134B" w:rsidRPr="007632A0">
        <w:rPr>
          <w:rFonts w:cs="Arial"/>
        </w:rPr>
        <w:t>) and then pulse</w:t>
      </w:r>
      <w:r w:rsidRPr="007632A0">
        <w:rPr>
          <w:rFonts w:cs="Arial"/>
        </w:rPr>
        <w:t xml:space="preserve"> centrifuged (Eppendorf UK centrifuge </w:t>
      </w:r>
      <w:r w:rsidR="00553121" w:rsidRPr="007632A0">
        <w:rPr>
          <w:rFonts w:cs="Arial"/>
        </w:rPr>
        <w:t xml:space="preserve">model </w:t>
      </w:r>
      <w:r w:rsidRPr="007632A0">
        <w:rPr>
          <w:rFonts w:cs="Arial"/>
        </w:rPr>
        <w:t xml:space="preserve">5424).  An aliquot (420 µl) was then transferred to a fresh </w:t>
      </w:r>
      <w:r w:rsidR="00534D9E" w:rsidRPr="007632A0">
        <w:rPr>
          <w:rFonts w:cs="Arial"/>
        </w:rPr>
        <w:t>E</w:t>
      </w:r>
      <w:r w:rsidRPr="007632A0">
        <w:rPr>
          <w:rFonts w:cs="Arial"/>
        </w:rPr>
        <w:t>ppendorf</w:t>
      </w:r>
      <w:r w:rsidR="00534D9E" w:rsidRPr="007632A0">
        <w:rPr>
          <w:rFonts w:cs="Arial"/>
        </w:rPr>
        <w:t xml:space="preserve"> </w:t>
      </w:r>
      <w:r w:rsidRPr="007632A0">
        <w:rPr>
          <w:rFonts w:cs="Arial"/>
        </w:rPr>
        <w:t>tube and 20 µl of proteinase K (&gt;600mAu/ml) (Qiagen</w:t>
      </w:r>
      <w:r w:rsidR="00534D9E" w:rsidRPr="007632A0">
        <w:rPr>
          <w:rFonts w:cs="Arial"/>
        </w:rPr>
        <w:t xml:space="preserve">, </w:t>
      </w:r>
      <w:r w:rsidR="00553121" w:rsidRPr="007632A0">
        <w:rPr>
          <w:rFonts w:cs="Arial"/>
        </w:rPr>
        <w:t xml:space="preserve">Cat. No. </w:t>
      </w:r>
      <w:r w:rsidRPr="007632A0">
        <w:rPr>
          <w:rFonts w:cs="Arial"/>
        </w:rPr>
        <w:t>19133) was added. The sample was then incubated at 65</w:t>
      </w:r>
      <w:r w:rsidRPr="007632A0">
        <w:rPr>
          <w:rFonts w:cs="Arial"/>
          <w:vertAlign w:val="superscript"/>
        </w:rPr>
        <w:t>o</w:t>
      </w:r>
      <w:r w:rsidRPr="007632A0">
        <w:rPr>
          <w:rFonts w:cs="Arial"/>
        </w:rPr>
        <w:t xml:space="preserve">C on a dry bath system (StarLab UK) for 10 minutes. Finally, DNA was purified on the MagNA Pure Compact machine (Roche UK) using the </w:t>
      </w:r>
      <w:r w:rsidRPr="007632A0">
        <w:rPr>
          <w:rFonts w:cs="Arial"/>
          <w:color w:val="000000"/>
        </w:rPr>
        <w:t xml:space="preserve">Roche MagnaPure Compact DNA_bacteria_V3_2 protocol (MagNA pure compact NA isolation kit I, </w:t>
      </w:r>
      <w:r w:rsidRPr="007632A0">
        <w:rPr>
          <w:rFonts w:cs="Arial"/>
        </w:rPr>
        <w:t>Roche UK-</w:t>
      </w:r>
      <w:r w:rsidRPr="007632A0">
        <w:rPr>
          <w:shd w:val="clear" w:color="auto" w:fill="FFFFFF"/>
        </w:rPr>
        <w:t xml:space="preserve"> </w:t>
      </w:r>
      <w:r w:rsidR="00553121" w:rsidRPr="007632A0">
        <w:rPr>
          <w:shd w:val="clear" w:color="auto" w:fill="FFFFFF"/>
        </w:rPr>
        <w:t xml:space="preserve">product </w:t>
      </w:r>
      <w:r w:rsidRPr="007632A0">
        <w:rPr>
          <w:rFonts w:cs="Arial"/>
          <w:shd w:val="clear" w:color="auto" w:fill="FFFFFF"/>
        </w:rPr>
        <w:t>03730964001</w:t>
      </w:r>
      <w:r w:rsidRPr="007632A0">
        <w:rPr>
          <w:rFonts w:cs="Arial"/>
        </w:rPr>
        <w:t>)</w:t>
      </w:r>
      <w:r w:rsidRPr="007632A0">
        <w:rPr>
          <w:rFonts w:cs="Arial"/>
          <w:szCs w:val="28"/>
        </w:rPr>
        <w:t>.</w:t>
      </w:r>
    </w:p>
    <w:p w:rsidR="006F1895" w:rsidRPr="007632A0" w:rsidRDefault="006F1895" w:rsidP="00A833E7">
      <w:pPr>
        <w:pStyle w:val="NoteLevel11"/>
        <w:rPr>
          <w:rFonts w:cs="Helvetica"/>
          <w:color w:val="00A2D6"/>
          <w:szCs w:val="17"/>
        </w:rPr>
      </w:pPr>
    </w:p>
    <w:p w:rsidR="00786F77" w:rsidRPr="007632A0" w:rsidRDefault="00507FB9" w:rsidP="0071290D">
      <w:pPr>
        <w:pStyle w:val="NoteLevel11"/>
        <w:rPr>
          <w:b/>
          <w:sz w:val="28"/>
          <w:szCs w:val="28"/>
        </w:rPr>
      </w:pPr>
      <w:r w:rsidRPr="007632A0">
        <w:rPr>
          <w:i/>
          <w:sz w:val="28"/>
          <w:szCs w:val="28"/>
        </w:rPr>
        <w:t>M.</w:t>
      </w:r>
      <w:r w:rsidR="00334306" w:rsidRPr="007632A0">
        <w:rPr>
          <w:i/>
          <w:sz w:val="28"/>
          <w:szCs w:val="28"/>
        </w:rPr>
        <w:t xml:space="preserve"> </w:t>
      </w:r>
      <w:r w:rsidRPr="007632A0">
        <w:rPr>
          <w:i/>
          <w:sz w:val="28"/>
          <w:szCs w:val="28"/>
        </w:rPr>
        <w:t>leprae</w:t>
      </w:r>
      <w:r w:rsidR="00B262BA" w:rsidRPr="007632A0">
        <w:rPr>
          <w:b/>
          <w:sz w:val="28"/>
          <w:szCs w:val="28"/>
        </w:rPr>
        <w:t xml:space="preserve"> screening methods</w:t>
      </w:r>
      <w:r w:rsidRPr="007632A0">
        <w:rPr>
          <w:b/>
          <w:sz w:val="28"/>
          <w:szCs w:val="28"/>
        </w:rPr>
        <w:t xml:space="preserve"> </w:t>
      </w:r>
      <w:r w:rsidR="0071290D" w:rsidRPr="007632A0">
        <w:rPr>
          <w:b/>
          <w:sz w:val="28"/>
          <w:szCs w:val="28"/>
        </w:rPr>
        <w:t>(a</w:t>
      </w:r>
      <w:r w:rsidR="00B262BA" w:rsidRPr="007632A0">
        <w:rPr>
          <w:b/>
          <w:sz w:val="28"/>
          <w:szCs w:val="28"/>
        </w:rPr>
        <w:t>t UoS</w:t>
      </w:r>
      <w:r w:rsidR="0071290D" w:rsidRPr="007632A0">
        <w:rPr>
          <w:b/>
          <w:sz w:val="28"/>
          <w:szCs w:val="28"/>
        </w:rPr>
        <w:t>)</w:t>
      </w:r>
    </w:p>
    <w:p w:rsidR="00507FB9" w:rsidRPr="007632A0" w:rsidRDefault="003150B1" w:rsidP="00A833E7">
      <w:pPr>
        <w:pStyle w:val="NoteLevel11"/>
        <w:rPr>
          <w:rFonts w:cs="Helvetica"/>
          <w:szCs w:val="17"/>
        </w:rPr>
      </w:pPr>
      <w:r w:rsidRPr="007632A0">
        <w:rPr>
          <w:rFonts w:cs="Helvetica"/>
          <w:szCs w:val="17"/>
        </w:rPr>
        <w:t>Two separate PCR methods were used to screen for</w:t>
      </w:r>
      <w:r w:rsidR="007E55A2" w:rsidRPr="007632A0">
        <w:rPr>
          <w:rFonts w:cs="Helvetica"/>
          <w:szCs w:val="17"/>
        </w:rPr>
        <w:t xml:space="preserve"> the RLEP element, present in multiple</w:t>
      </w:r>
      <w:r w:rsidRPr="007632A0">
        <w:rPr>
          <w:rFonts w:cs="Helvetica"/>
          <w:szCs w:val="17"/>
        </w:rPr>
        <w:t xml:space="preserve"> copies in the </w:t>
      </w:r>
      <w:r w:rsidRPr="007632A0">
        <w:rPr>
          <w:rFonts w:cs="Helvetica"/>
          <w:i/>
          <w:szCs w:val="17"/>
        </w:rPr>
        <w:t>M. leprae</w:t>
      </w:r>
      <w:r w:rsidRPr="007632A0">
        <w:rPr>
          <w:rFonts w:cs="Helvetica"/>
          <w:szCs w:val="17"/>
        </w:rPr>
        <w:t xml:space="preserve"> genome. I</w:t>
      </w:r>
      <w:r w:rsidR="00FC10AF" w:rsidRPr="007632A0">
        <w:rPr>
          <w:rFonts w:cs="Helvetica"/>
          <w:szCs w:val="17"/>
        </w:rPr>
        <w:t>n the first of these</w:t>
      </w:r>
      <w:r w:rsidRPr="007632A0">
        <w:rPr>
          <w:rFonts w:cs="Helvetica"/>
          <w:szCs w:val="17"/>
        </w:rPr>
        <w:t xml:space="preserve">, product formation was monitored using the intercalating dye </w:t>
      </w:r>
      <w:r w:rsidR="00EB2AC6" w:rsidRPr="007632A0">
        <w:rPr>
          <w:rFonts w:cs="Helvetica"/>
          <w:szCs w:val="17"/>
        </w:rPr>
        <w:t>EVA Green</w:t>
      </w:r>
      <w:r w:rsidRPr="007632A0">
        <w:rPr>
          <w:rFonts w:cs="Helvetica"/>
          <w:szCs w:val="17"/>
          <w:vertAlign w:val="superscript"/>
        </w:rPr>
        <w:t xml:space="preserve">™ </w:t>
      </w:r>
      <w:r w:rsidRPr="007632A0">
        <w:rPr>
          <w:rFonts w:cs="Helvetica"/>
          <w:szCs w:val="17"/>
        </w:rPr>
        <w:t xml:space="preserve">(Biotium). The second method employed a FAM labeled hybridization probe. Details of these two </w:t>
      </w:r>
      <w:r w:rsidRPr="004D1A25">
        <w:rPr>
          <w:rFonts w:cs="Helvetica"/>
          <w:szCs w:val="17"/>
        </w:rPr>
        <w:t>methods have been reported previously</w:t>
      </w:r>
      <w:r w:rsidR="00231391" w:rsidRPr="004D1A25">
        <w:rPr>
          <w:rFonts w:cs="Helvetica"/>
          <w:szCs w:val="17"/>
        </w:rPr>
        <w:t xml:space="preserve"> [4</w:t>
      </w:r>
      <w:r w:rsidR="006479DA" w:rsidRPr="004D1A25">
        <w:rPr>
          <w:rFonts w:cs="Helvetica"/>
          <w:szCs w:val="17"/>
        </w:rPr>
        <w:t>2</w:t>
      </w:r>
      <w:r w:rsidR="004D1A25" w:rsidRPr="004D1A25">
        <w:rPr>
          <w:rFonts w:cs="Helvetica"/>
          <w:szCs w:val="17"/>
        </w:rPr>
        <w:t>]</w:t>
      </w:r>
      <w:r w:rsidRPr="004D1A25">
        <w:rPr>
          <w:rFonts w:cs="Helvetica"/>
          <w:szCs w:val="17"/>
        </w:rPr>
        <w:t>. Finally, we also screened for the</w:t>
      </w:r>
      <w:r w:rsidRPr="007632A0">
        <w:rPr>
          <w:rFonts w:cs="Helvetica"/>
          <w:szCs w:val="17"/>
        </w:rPr>
        <w:t xml:space="preserve"> 18-kDa antigen locus </w:t>
      </w:r>
      <w:r w:rsidR="00381B00" w:rsidRPr="007632A0">
        <w:rPr>
          <w:rFonts w:cs="Helvetica"/>
          <w:szCs w:val="17"/>
        </w:rPr>
        <w:t xml:space="preserve">(ML1795) </w:t>
      </w:r>
      <w:r w:rsidRPr="007632A0">
        <w:rPr>
          <w:rFonts w:cs="Helvetica"/>
          <w:szCs w:val="17"/>
        </w:rPr>
        <w:t>using primers 18F 5‘-</w:t>
      </w:r>
      <w:r w:rsidRPr="007632A0">
        <w:rPr>
          <w:caps/>
        </w:rPr>
        <w:t>ctaatcgactgttgtttgcgcaac</w:t>
      </w:r>
      <w:r w:rsidRPr="007632A0">
        <w:rPr>
          <w:rFonts w:cs="Helvetica"/>
          <w:szCs w:val="17"/>
        </w:rPr>
        <w:t xml:space="preserve"> -3’ and 18R 5’- </w:t>
      </w:r>
      <w:r w:rsidRPr="007632A0">
        <w:rPr>
          <w:caps/>
        </w:rPr>
        <w:t>gccagcaaccgaaatgttcgga</w:t>
      </w:r>
      <w:r w:rsidRPr="007632A0">
        <w:rPr>
          <w:rFonts w:cs="Helvetica"/>
          <w:szCs w:val="17"/>
        </w:rPr>
        <w:t xml:space="preserve"> -3’ which amplify a </w:t>
      </w:r>
      <w:r w:rsidR="00601916" w:rsidRPr="007632A0">
        <w:rPr>
          <w:rFonts w:cs="Helvetica"/>
          <w:szCs w:val="17"/>
        </w:rPr>
        <w:t>11</w:t>
      </w:r>
      <w:r w:rsidR="00DC2FCC" w:rsidRPr="007632A0">
        <w:rPr>
          <w:rFonts w:cs="Helvetica"/>
          <w:szCs w:val="17"/>
        </w:rPr>
        <w:t>4</w:t>
      </w:r>
      <w:r w:rsidRPr="007632A0">
        <w:rPr>
          <w:rFonts w:cs="Helvetica"/>
          <w:szCs w:val="17"/>
        </w:rPr>
        <w:t xml:space="preserve"> bp product. </w:t>
      </w:r>
      <w:r w:rsidR="00601916" w:rsidRPr="007632A0">
        <w:rPr>
          <w:rFonts w:cs="Helvetica"/>
          <w:szCs w:val="17"/>
        </w:rPr>
        <w:t>This was reported with a dual</w:t>
      </w:r>
      <w:r w:rsidR="007A36A2" w:rsidRPr="007632A0">
        <w:rPr>
          <w:rFonts w:cs="Helvetica"/>
          <w:szCs w:val="17"/>
        </w:rPr>
        <w:t xml:space="preserve"> labeled hybridization probe</w:t>
      </w:r>
      <w:r w:rsidR="00CD7E8E" w:rsidRPr="007632A0">
        <w:rPr>
          <w:rFonts w:cs="Helvetica"/>
          <w:szCs w:val="17"/>
        </w:rPr>
        <w:t>,</w:t>
      </w:r>
      <w:r w:rsidR="007A36A2" w:rsidRPr="007632A0">
        <w:rPr>
          <w:rFonts w:cs="Helvetica"/>
          <w:szCs w:val="17"/>
        </w:rPr>
        <w:t xml:space="preserve"> </w:t>
      </w:r>
      <w:r w:rsidR="00601916" w:rsidRPr="007632A0">
        <w:rPr>
          <w:rFonts w:cs="Helvetica"/>
          <w:szCs w:val="17"/>
        </w:rPr>
        <w:t>[</w:t>
      </w:r>
      <w:r w:rsidR="00601916" w:rsidRPr="007632A0">
        <w:t>JOE] 5’-</w:t>
      </w:r>
      <w:r w:rsidRPr="007632A0">
        <w:rPr>
          <w:caps/>
        </w:rPr>
        <w:t>ctgcggtcaaaagcccgtcttagccatg</w:t>
      </w:r>
      <w:r w:rsidR="00601916" w:rsidRPr="007632A0">
        <w:t xml:space="preserve">-3’[BHQ1] </w:t>
      </w:r>
      <w:r w:rsidR="00217F83" w:rsidRPr="004D1A25">
        <w:t>[4</w:t>
      </w:r>
      <w:r w:rsidR="006479DA" w:rsidRPr="004D1A25">
        <w:t>2</w:t>
      </w:r>
      <w:r w:rsidR="004D1A25" w:rsidRPr="004D1A25">
        <w:t>]</w:t>
      </w:r>
      <w:r w:rsidR="007A36A2" w:rsidRPr="004D1A25">
        <w:rPr>
          <w:rFonts w:cs="Helvetica"/>
          <w:szCs w:val="17"/>
        </w:rPr>
        <w:t>.</w:t>
      </w:r>
      <w:r w:rsidRPr="004D1A25">
        <w:rPr>
          <w:rFonts w:cs="Helvetica"/>
          <w:szCs w:val="17"/>
        </w:rPr>
        <w:t xml:space="preserve"> Experience shows that positivity for this single copy method is a</w:t>
      </w:r>
      <w:r w:rsidR="008B0B0D" w:rsidRPr="004D1A25">
        <w:rPr>
          <w:rFonts w:cs="Helvetica"/>
          <w:szCs w:val="17"/>
        </w:rPr>
        <w:t xml:space="preserve"> useful</w:t>
      </w:r>
      <w:r w:rsidR="008B0B0D" w:rsidRPr="007632A0">
        <w:rPr>
          <w:rFonts w:cs="Helvetica"/>
          <w:szCs w:val="17"/>
        </w:rPr>
        <w:t xml:space="preserve"> </w:t>
      </w:r>
      <w:r w:rsidRPr="007632A0">
        <w:rPr>
          <w:rFonts w:cs="Helvetica"/>
          <w:szCs w:val="17"/>
        </w:rPr>
        <w:t>indicator that SNP genotyping methods may be successful.</w:t>
      </w:r>
    </w:p>
    <w:p w:rsidR="00786F77" w:rsidRPr="007632A0" w:rsidRDefault="00786F77" w:rsidP="00A833E7">
      <w:pPr>
        <w:pStyle w:val="NoteLevel11"/>
        <w:rPr>
          <w:rFonts w:cs="Helvetica"/>
          <w:szCs w:val="17"/>
        </w:rPr>
      </w:pPr>
    </w:p>
    <w:p w:rsidR="00786F77" w:rsidRPr="007632A0" w:rsidRDefault="0071290D" w:rsidP="0071290D">
      <w:pPr>
        <w:pStyle w:val="NoteLevel11"/>
        <w:rPr>
          <w:b/>
          <w:sz w:val="28"/>
          <w:szCs w:val="28"/>
        </w:rPr>
      </w:pPr>
      <w:r w:rsidRPr="007632A0">
        <w:rPr>
          <w:i/>
          <w:sz w:val="28"/>
          <w:szCs w:val="28"/>
        </w:rPr>
        <w:t>M. leprae</w:t>
      </w:r>
      <w:r w:rsidRPr="007632A0">
        <w:rPr>
          <w:b/>
          <w:sz w:val="28"/>
          <w:szCs w:val="28"/>
        </w:rPr>
        <w:t xml:space="preserve"> screening methods (</w:t>
      </w:r>
      <w:r w:rsidRPr="007632A0">
        <w:rPr>
          <w:rFonts w:cs="Helvetica"/>
          <w:b/>
          <w:sz w:val="28"/>
          <w:szCs w:val="28"/>
        </w:rPr>
        <w:t>a</w:t>
      </w:r>
      <w:r w:rsidR="00B262BA" w:rsidRPr="007632A0">
        <w:rPr>
          <w:rFonts w:cs="Helvetica"/>
          <w:b/>
          <w:sz w:val="28"/>
          <w:szCs w:val="28"/>
        </w:rPr>
        <w:t>t UEA</w:t>
      </w:r>
      <w:r w:rsidRPr="007632A0">
        <w:rPr>
          <w:rFonts w:cs="Helvetica"/>
          <w:b/>
          <w:sz w:val="28"/>
          <w:szCs w:val="28"/>
        </w:rPr>
        <w:t>)</w:t>
      </w:r>
    </w:p>
    <w:p w:rsidR="00AF738D" w:rsidRPr="007632A0" w:rsidRDefault="006F1895">
      <w:pPr>
        <w:pStyle w:val="NoteLevel11"/>
        <w:rPr>
          <w:rFonts w:eastAsia="Times New Roman" w:cs="Arial"/>
          <w:kern w:val="36"/>
          <w:lang w:eastAsia="en-GB"/>
        </w:rPr>
      </w:pPr>
      <w:r w:rsidRPr="007632A0">
        <w:rPr>
          <w:rFonts w:cs="Arial"/>
        </w:rPr>
        <w:t xml:space="preserve">A SYBR green real-time PCR </w:t>
      </w:r>
      <w:r w:rsidR="007D459B" w:rsidRPr="007632A0">
        <w:rPr>
          <w:rFonts w:cs="Arial"/>
        </w:rPr>
        <w:t>assay was used to detect the R</w:t>
      </w:r>
      <w:r w:rsidRPr="007632A0">
        <w:rPr>
          <w:rFonts w:cs="Arial"/>
        </w:rPr>
        <w:t>LEP element and all PCR was performed on a Roche Lightcycler 480 Instrument II (Roche UK</w:t>
      </w:r>
      <w:r w:rsidRPr="007632A0">
        <w:rPr>
          <w:rFonts w:cs="Arial"/>
          <w:shd w:val="clear" w:color="auto" w:fill="FFFFFF"/>
        </w:rPr>
        <w:t>)</w:t>
      </w:r>
      <w:r w:rsidR="00122149" w:rsidRPr="007632A0">
        <w:rPr>
          <w:rFonts w:cs="Arial"/>
        </w:rPr>
        <w:t xml:space="preserve">. </w:t>
      </w:r>
      <w:r w:rsidRPr="007632A0">
        <w:rPr>
          <w:rFonts w:cs="Arial"/>
        </w:rPr>
        <w:t xml:space="preserve">PCR reactions </w:t>
      </w:r>
      <w:r w:rsidR="00122149" w:rsidRPr="007632A0">
        <w:rPr>
          <w:rFonts w:cs="Arial"/>
        </w:rPr>
        <w:t xml:space="preserve">(20µl) </w:t>
      </w:r>
      <w:r w:rsidRPr="007632A0">
        <w:rPr>
          <w:rFonts w:cs="Arial"/>
        </w:rPr>
        <w:t xml:space="preserve">contained 10 µl of </w:t>
      </w:r>
      <w:r w:rsidRPr="007632A0">
        <w:rPr>
          <w:rFonts w:eastAsia="Times New Roman" w:cs="Arial"/>
          <w:kern w:val="36"/>
          <w:lang w:eastAsia="en-GB"/>
        </w:rPr>
        <w:t>LightCycler</w:t>
      </w:r>
      <w:r w:rsidRPr="007632A0">
        <w:rPr>
          <w:rFonts w:eastAsia="Times New Roman" w:cs="Arial"/>
          <w:kern w:val="36"/>
          <w:vertAlign w:val="superscript"/>
          <w:lang w:eastAsia="en-GB"/>
        </w:rPr>
        <w:t>®</w:t>
      </w:r>
      <w:r w:rsidRPr="007632A0">
        <w:rPr>
          <w:rFonts w:eastAsia="Times New Roman" w:cs="Arial"/>
          <w:kern w:val="36"/>
          <w:lang w:eastAsia="en-GB"/>
        </w:rPr>
        <w:t xml:space="preserve"> 480 SYBR Green I Master </w:t>
      </w:r>
      <w:r w:rsidR="00433F12" w:rsidRPr="007632A0">
        <w:rPr>
          <w:rFonts w:eastAsia="Times New Roman" w:cs="Arial"/>
          <w:kern w:val="36"/>
          <w:lang w:eastAsia="en-GB"/>
        </w:rPr>
        <w:t xml:space="preserve">mix </w:t>
      </w:r>
      <w:r w:rsidRPr="007632A0">
        <w:rPr>
          <w:rFonts w:eastAsia="Times New Roman" w:cs="Arial"/>
          <w:kern w:val="36"/>
          <w:lang w:eastAsia="en-GB"/>
        </w:rPr>
        <w:t>(Roche</w:t>
      </w:r>
      <w:r w:rsidR="00534D9E" w:rsidRPr="007632A0">
        <w:rPr>
          <w:rFonts w:eastAsia="Times New Roman" w:cs="Arial"/>
          <w:kern w:val="36"/>
          <w:lang w:eastAsia="en-GB"/>
        </w:rPr>
        <w:t xml:space="preserve">, </w:t>
      </w:r>
      <w:r w:rsidR="00B34625" w:rsidRPr="007632A0">
        <w:rPr>
          <w:rFonts w:cs="Arial"/>
          <w:shd w:val="clear" w:color="auto" w:fill="FFFFFF"/>
        </w:rPr>
        <w:t xml:space="preserve">product </w:t>
      </w:r>
      <w:r w:rsidRPr="007632A0">
        <w:rPr>
          <w:rFonts w:cs="Arial"/>
          <w:shd w:val="clear" w:color="auto" w:fill="FFFFFF"/>
        </w:rPr>
        <w:t>04707516001)</w:t>
      </w:r>
      <w:r w:rsidRPr="007632A0">
        <w:rPr>
          <w:rFonts w:cs="Arial"/>
        </w:rPr>
        <w:t>, 1 µl (500 nM) of each primer and 8 µl of DNA</w:t>
      </w:r>
      <w:r w:rsidR="007D459B" w:rsidRPr="007632A0">
        <w:rPr>
          <w:rFonts w:cs="Arial"/>
        </w:rPr>
        <w:t xml:space="preserve"> template</w:t>
      </w:r>
      <w:r w:rsidRPr="007632A0">
        <w:rPr>
          <w:rFonts w:cs="Arial"/>
        </w:rPr>
        <w:t>. The sequences of the forward and reverse primer were F-</w:t>
      </w:r>
      <w:r w:rsidR="007D459B" w:rsidRPr="007632A0">
        <w:rPr>
          <w:rFonts w:cs="Arial"/>
        </w:rPr>
        <w:t>5’</w:t>
      </w:r>
      <w:r w:rsidRPr="007632A0">
        <w:rPr>
          <w:rFonts w:cs="Arial"/>
        </w:rPr>
        <w:t>-CATTTCTGCCGCTGGTATC-3’ and R-</w:t>
      </w:r>
      <w:r w:rsidRPr="007632A0">
        <w:rPr>
          <w:rFonts w:cs="Arial"/>
          <w:caps/>
          <w:szCs w:val="15"/>
        </w:rPr>
        <w:t>5</w:t>
      </w:r>
      <w:r w:rsidRPr="007632A0">
        <w:rPr>
          <w:rFonts w:cs="Arial"/>
          <w:caps/>
          <w:szCs w:val="10"/>
        </w:rPr>
        <w:t>’</w:t>
      </w:r>
      <w:r w:rsidRPr="007632A0">
        <w:rPr>
          <w:rFonts w:cs="Arial"/>
          <w:caps/>
          <w:szCs w:val="15"/>
        </w:rPr>
        <w:t>-ATCATCGATGCACTGTTCAC-3</w:t>
      </w:r>
      <w:r w:rsidRPr="007632A0">
        <w:rPr>
          <w:rFonts w:cs="Arial"/>
          <w:caps/>
          <w:szCs w:val="10"/>
        </w:rPr>
        <w:t>’.</w:t>
      </w:r>
      <w:r w:rsidRPr="007632A0">
        <w:rPr>
          <w:rFonts w:cs="Arial"/>
        </w:rPr>
        <w:t xml:space="preserve"> All PCR primers were purchased from Sigma-Aldrich. Real-time</w:t>
      </w:r>
      <w:r w:rsidR="00433F12" w:rsidRPr="007632A0">
        <w:rPr>
          <w:rFonts w:cs="Arial"/>
        </w:rPr>
        <w:t xml:space="preserve"> PCR cycling conditions were as follows</w:t>
      </w:r>
      <w:r w:rsidRPr="007632A0">
        <w:rPr>
          <w:rFonts w:cs="Arial"/>
        </w:rPr>
        <w:t xml:space="preserve">: 1 cycle of </w:t>
      </w:r>
      <w:r w:rsidR="00433F12" w:rsidRPr="007632A0">
        <w:rPr>
          <w:rFonts w:eastAsia="Times New Roman" w:cs="Arial"/>
          <w:shd w:val="clear" w:color="auto" w:fill="FFFFFF"/>
          <w:lang w:eastAsia="en-GB"/>
        </w:rPr>
        <w:t>95° C for 5 minutes, 40 cycles of</w:t>
      </w:r>
      <w:r w:rsidRPr="007632A0">
        <w:rPr>
          <w:rFonts w:eastAsia="Times New Roman" w:cs="Arial"/>
          <w:shd w:val="clear" w:color="auto" w:fill="FFFFFF"/>
          <w:lang w:eastAsia="en-GB"/>
        </w:rPr>
        <w:t xml:space="preserve"> 95 °C for 30 seconds, 54 °C for 30 seconds, 72 °C for 30 seconds and an extension 72 °C for 5 minutes.</w:t>
      </w:r>
      <w:r w:rsidR="00433F12" w:rsidRPr="007632A0">
        <w:rPr>
          <w:rFonts w:eastAsia="Times New Roman" w:cs="Arial"/>
          <w:shd w:val="clear" w:color="auto" w:fill="FFFFFF"/>
          <w:lang w:eastAsia="en-GB"/>
        </w:rPr>
        <w:t xml:space="preserve"> A melt curve step of 95 </w:t>
      </w:r>
      <w:r w:rsidR="00BB7280" w:rsidRPr="007632A0">
        <w:rPr>
          <w:rFonts w:eastAsia="Times New Roman" w:cs="Arial"/>
          <w:shd w:val="clear" w:color="auto" w:fill="FFFFFF"/>
          <w:vertAlign w:val="superscript"/>
          <w:lang w:eastAsia="en-GB"/>
        </w:rPr>
        <w:t>o</w:t>
      </w:r>
      <w:r w:rsidR="00433F12" w:rsidRPr="007632A0">
        <w:rPr>
          <w:rFonts w:eastAsia="Times New Roman" w:cs="Arial"/>
          <w:shd w:val="clear" w:color="auto" w:fill="FFFFFF"/>
          <w:lang w:eastAsia="en-GB"/>
        </w:rPr>
        <w:t xml:space="preserve">C for 5 seconds, 65 </w:t>
      </w:r>
      <w:r w:rsidR="00BB7280"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 xml:space="preserve">C for 1 </w:t>
      </w:r>
      <w:r w:rsidR="00433F12" w:rsidRPr="007632A0">
        <w:rPr>
          <w:rFonts w:eastAsia="Times New Roman" w:cs="Arial"/>
          <w:shd w:val="clear" w:color="auto" w:fill="FFFFFF"/>
          <w:lang w:eastAsia="en-GB"/>
        </w:rPr>
        <w:t xml:space="preserve">minute and a ramp rate of 0.11 </w:t>
      </w:r>
      <w:r w:rsidR="00BB7280" w:rsidRPr="007632A0">
        <w:rPr>
          <w:rFonts w:eastAsia="Times New Roman" w:cs="Arial"/>
          <w:shd w:val="clear" w:color="auto" w:fill="FFFFFF"/>
          <w:vertAlign w:val="superscript"/>
          <w:lang w:eastAsia="en-GB"/>
        </w:rPr>
        <w:t>o</w:t>
      </w:r>
      <w:r w:rsidR="00433F12" w:rsidRPr="007632A0">
        <w:rPr>
          <w:rFonts w:eastAsia="Times New Roman" w:cs="Arial"/>
          <w:shd w:val="clear" w:color="auto" w:fill="FFFFFF"/>
          <w:lang w:eastAsia="en-GB"/>
        </w:rPr>
        <w:t xml:space="preserve">C/s to 97 </w:t>
      </w:r>
      <w:r w:rsidR="00BB7280"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C with continuous fluorescence monitoring was us</w:t>
      </w:r>
      <w:r w:rsidR="00433F12" w:rsidRPr="007632A0">
        <w:rPr>
          <w:rFonts w:eastAsia="Times New Roman" w:cs="Arial"/>
          <w:shd w:val="clear" w:color="auto" w:fill="FFFFFF"/>
          <w:lang w:eastAsia="en-GB"/>
        </w:rPr>
        <w:t xml:space="preserve">ed. </w:t>
      </w:r>
      <w:r w:rsidR="00B34625" w:rsidRPr="007632A0">
        <w:rPr>
          <w:rFonts w:eastAsia="Times New Roman" w:cs="Arial"/>
          <w:shd w:val="clear" w:color="auto" w:fill="FFFFFF"/>
          <w:lang w:eastAsia="en-GB"/>
        </w:rPr>
        <w:t>The protocol included a</w:t>
      </w:r>
      <w:r w:rsidR="00433F12" w:rsidRPr="007632A0">
        <w:rPr>
          <w:rFonts w:eastAsia="Times New Roman" w:cs="Arial"/>
          <w:shd w:val="clear" w:color="auto" w:fill="FFFFFF"/>
          <w:lang w:eastAsia="en-GB"/>
        </w:rPr>
        <w:t xml:space="preserve"> final cooling step to 40</w:t>
      </w:r>
      <w:r w:rsidR="00BB7280" w:rsidRPr="007632A0">
        <w:rPr>
          <w:rFonts w:eastAsia="Times New Roman" w:cs="Arial"/>
          <w:shd w:val="clear" w:color="auto" w:fill="FFFFFF"/>
          <w:vertAlign w:val="superscript"/>
          <w:lang w:eastAsia="en-GB"/>
        </w:rPr>
        <w:t xml:space="preserve"> o</w:t>
      </w:r>
      <w:r w:rsidRPr="007632A0">
        <w:rPr>
          <w:rFonts w:eastAsia="Times New Roman" w:cs="Arial"/>
          <w:shd w:val="clear" w:color="auto" w:fill="FFFFFF"/>
          <w:lang w:eastAsia="en-GB"/>
        </w:rPr>
        <w:t>C for 30 seconds.</w:t>
      </w:r>
    </w:p>
    <w:p w:rsidR="002E438A" w:rsidRPr="007632A0" w:rsidRDefault="002E438A" w:rsidP="00A833E7">
      <w:pPr>
        <w:pStyle w:val="NoteLevel11"/>
        <w:rPr>
          <w:rFonts w:cs="Helvetica"/>
          <w:color w:val="008FCC"/>
          <w:szCs w:val="17"/>
        </w:rPr>
      </w:pPr>
    </w:p>
    <w:p w:rsidR="00A22F83" w:rsidRPr="007632A0" w:rsidRDefault="00507FB9" w:rsidP="00A833E7">
      <w:pPr>
        <w:pStyle w:val="NoteLevel11"/>
        <w:rPr>
          <w:rFonts w:cs="Helvetica"/>
          <w:b/>
          <w:sz w:val="28"/>
          <w:szCs w:val="28"/>
        </w:rPr>
      </w:pPr>
      <w:r w:rsidRPr="007632A0">
        <w:rPr>
          <w:rFonts w:cs="Helvetica"/>
          <w:i/>
          <w:sz w:val="28"/>
          <w:szCs w:val="28"/>
        </w:rPr>
        <w:t>M.</w:t>
      </w:r>
      <w:r w:rsidR="00334306" w:rsidRPr="007632A0">
        <w:rPr>
          <w:rFonts w:cs="Helvetica"/>
          <w:i/>
          <w:sz w:val="28"/>
          <w:szCs w:val="28"/>
        </w:rPr>
        <w:t xml:space="preserve"> </w:t>
      </w:r>
      <w:r w:rsidRPr="007632A0">
        <w:rPr>
          <w:rFonts w:cs="Helvetica"/>
          <w:i/>
          <w:sz w:val="28"/>
          <w:szCs w:val="28"/>
        </w:rPr>
        <w:t>leprae</w:t>
      </w:r>
      <w:r w:rsidRPr="007632A0">
        <w:rPr>
          <w:rFonts w:cs="Helvetica"/>
          <w:b/>
          <w:sz w:val="28"/>
          <w:szCs w:val="28"/>
        </w:rPr>
        <w:t xml:space="preserve"> SNP genotyping methods</w:t>
      </w:r>
      <w:r w:rsidR="00B262BA" w:rsidRPr="007632A0">
        <w:rPr>
          <w:rFonts w:cs="Helvetica"/>
          <w:b/>
          <w:sz w:val="28"/>
          <w:szCs w:val="28"/>
        </w:rPr>
        <w:t xml:space="preserve"> (UoS only)</w:t>
      </w:r>
    </w:p>
    <w:p w:rsidR="00B05DB8" w:rsidRPr="004D1A25" w:rsidRDefault="00507FB9" w:rsidP="00A833E7">
      <w:pPr>
        <w:pStyle w:val="NoteLevel11"/>
        <w:rPr>
          <w:rFonts w:cs="Helvetica"/>
          <w:szCs w:val="17"/>
        </w:rPr>
      </w:pPr>
      <w:r w:rsidRPr="007632A0">
        <w:rPr>
          <w:rFonts w:cs="Helvetica"/>
          <w:szCs w:val="17"/>
        </w:rPr>
        <w:t xml:space="preserve">A series of PCR methods was used to genotype positive extracts. A number of these, used for </w:t>
      </w:r>
      <w:r w:rsidR="00D1670A" w:rsidRPr="007632A0">
        <w:rPr>
          <w:rFonts w:cs="Helvetica"/>
          <w:szCs w:val="17"/>
        </w:rPr>
        <w:t>characterizing</w:t>
      </w:r>
      <w:r w:rsidR="00CD7E8E" w:rsidRPr="007632A0">
        <w:rPr>
          <w:rFonts w:cs="Helvetica"/>
          <w:szCs w:val="17"/>
        </w:rPr>
        <w:t xml:space="preserve"> </w:t>
      </w:r>
      <w:r w:rsidR="003150B1" w:rsidRPr="007632A0">
        <w:rPr>
          <w:rFonts w:cs="Helvetica"/>
          <w:i/>
          <w:szCs w:val="17"/>
        </w:rPr>
        <w:t>M.</w:t>
      </w:r>
      <w:r w:rsidR="00334306" w:rsidRPr="007632A0">
        <w:rPr>
          <w:rFonts w:cs="Helvetica"/>
          <w:i/>
          <w:szCs w:val="17"/>
        </w:rPr>
        <w:t xml:space="preserve"> </w:t>
      </w:r>
      <w:r w:rsidR="003150B1" w:rsidRPr="007632A0">
        <w:rPr>
          <w:rFonts w:cs="Helvetica"/>
          <w:i/>
          <w:szCs w:val="17"/>
        </w:rPr>
        <w:t>leprae</w:t>
      </w:r>
      <w:r w:rsidRPr="007632A0">
        <w:rPr>
          <w:rFonts w:cs="Helvetica"/>
          <w:szCs w:val="17"/>
        </w:rPr>
        <w:t xml:space="preserve"> strains, have been previously published </w:t>
      </w:r>
      <w:r w:rsidR="00600647" w:rsidRPr="004D1A25">
        <w:rPr>
          <w:rFonts w:cs="Helvetica"/>
          <w:szCs w:val="17"/>
        </w:rPr>
        <w:t>[</w:t>
      </w:r>
      <w:r w:rsidR="006479DA" w:rsidRPr="004D1A25">
        <w:rPr>
          <w:rFonts w:cs="Helvetica"/>
          <w:szCs w:val="17"/>
        </w:rPr>
        <w:t>42</w:t>
      </w:r>
      <w:r w:rsidR="00600647" w:rsidRPr="004D1A25">
        <w:rPr>
          <w:rFonts w:cs="Helvetica"/>
          <w:szCs w:val="17"/>
        </w:rPr>
        <w:t>,4</w:t>
      </w:r>
      <w:r w:rsidR="006479DA" w:rsidRPr="004D1A25">
        <w:rPr>
          <w:rFonts w:cs="Helvetica"/>
          <w:szCs w:val="17"/>
        </w:rPr>
        <w:t>3</w:t>
      </w:r>
      <w:r w:rsidR="004D1A25" w:rsidRPr="004D1A25">
        <w:rPr>
          <w:rFonts w:cs="Helvetica"/>
          <w:szCs w:val="17"/>
        </w:rPr>
        <w:t>]</w:t>
      </w:r>
      <w:r w:rsidR="00B07E77" w:rsidRPr="004D1A25">
        <w:rPr>
          <w:rFonts w:cs="Helvetica"/>
          <w:szCs w:val="17"/>
        </w:rPr>
        <w:t>.</w:t>
      </w:r>
    </w:p>
    <w:p w:rsidR="00B05DB8" w:rsidRDefault="00B05DB8" w:rsidP="00A833E7">
      <w:pPr>
        <w:pStyle w:val="NoteLevel11"/>
        <w:rPr>
          <w:rFonts w:cs="Helvetica"/>
          <w:szCs w:val="17"/>
        </w:rPr>
      </w:pPr>
    </w:p>
    <w:p w:rsidR="00B05DB8" w:rsidRPr="007632A0" w:rsidRDefault="00C41ED7" w:rsidP="00507FB9">
      <w:pPr>
        <w:pStyle w:val="NoteLevel11"/>
        <w:rPr>
          <w:rFonts w:cs="Helvetica"/>
          <w:b/>
          <w:sz w:val="28"/>
          <w:szCs w:val="28"/>
        </w:rPr>
      </w:pPr>
      <w:r w:rsidRPr="007632A0">
        <w:rPr>
          <w:rFonts w:cs="Helvetica"/>
          <w:b/>
          <w:sz w:val="28"/>
          <w:szCs w:val="28"/>
        </w:rPr>
        <w:t>VNTR typing</w:t>
      </w:r>
      <w:r w:rsidR="00B262BA" w:rsidRPr="007632A0">
        <w:rPr>
          <w:rFonts w:cs="Helvetica"/>
          <w:b/>
          <w:sz w:val="28"/>
          <w:szCs w:val="28"/>
        </w:rPr>
        <w:t xml:space="preserve"> (UoS only)</w:t>
      </w:r>
    </w:p>
    <w:p w:rsidR="00045D2D" w:rsidRPr="007632A0" w:rsidRDefault="00187E86" w:rsidP="00A833E7">
      <w:pPr>
        <w:pStyle w:val="NoteLevel11"/>
      </w:pPr>
      <w:r w:rsidRPr="007632A0">
        <w:t>Three variable number tandem repeat loci were chosen for variable number tandem repeat (VNTR</w:t>
      </w:r>
      <w:r w:rsidR="00D1670A" w:rsidRPr="007632A0">
        <w:t>) analysis</w:t>
      </w:r>
      <w:r w:rsidRPr="007632A0">
        <w:t xml:space="preserve">. </w:t>
      </w:r>
      <w:r w:rsidR="00250B79" w:rsidRPr="007632A0">
        <w:t>Th</w:t>
      </w:r>
      <w:r w:rsidR="00960984" w:rsidRPr="007632A0">
        <w:t xml:space="preserve">e details are shown in </w:t>
      </w:r>
      <w:r w:rsidR="00960984" w:rsidRPr="007632A0">
        <w:rPr>
          <w:highlight w:val="cyan"/>
        </w:rPr>
        <w:t xml:space="preserve">Table </w:t>
      </w:r>
      <w:r w:rsidR="00822470" w:rsidRPr="007632A0">
        <w:rPr>
          <w:highlight w:val="cyan"/>
        </w:rPr>
        <w:t>1</w:t>
      </w:r>
      <w:r w:rsidR="00250B79" w:rsidRPr="007632A0">
        <w:t>.</w:t>
      </w:r>
    </w:p>
    <w:p w:rsidR="00822470" w:rsidRDefault="00822470" w:rsidP="00A833E7">
      <w:pPr>
        <w:pStyle w:val="NoteLevel11"/>
      </w:pPr>
    </w:p>
    <w:p w:rsidR="00B262BA" w:rsidRPr="00AB77FD" w:rsidRDefault="00045D2D" w:rsidP="00AB77FD">
      <w:pPr>
        <w:pStyle w:val="NoteLevel11"/>
        <w:rPr>
          <w:b/>
        </w:rPr>
      </w:pPr>
      <w:r w:rsidRPr="00FE60AB">
        <w:rPr>
          <w:b/>
        </w:rPr>
        <w:t xml:space="preserve">Table </w:t>
      </w:r>
      <w:r w:rsidR="005F382F" w:rsidRPr="00FE60AB">
        <w:rPr>
          <w:b/>
        </w:rPr>
        <w:t>1</w:t>
      </w:r>
      <w:r w:rsidRPr="00FE60AB">
        <w:rPr>
          <w:b/>
        </w:rPr>
        <w:t>. VNTR PCR methods applied to</w:t>
      </w:r>
      <w:r w:rsidR="004D1A25">
        <w:rPr>
          <w:b/>
        </w:rPr>
        <w:t xml:space="preserve"> positive Irish LL cases </w:t>
      </w:r>
      <w:r w:rsidR="004D1A25" w:rsidRPr="004D1A25">
        <w:rPr>
          <w:b/>
        </w:rPr>
        <w:t xml:space="preserve">after Taylor and Donoghue, 2011 </w:t>
      </w:r>
      <w:r w:rsidRPr="004D1A25">
        <w:rPr>
          <w:b/>
        </w:rPr>
        <w:t>[4</w:t>
      </w:r>
      <w:r w:rsidR="006479DA" w:rsidRPr="004D1A25">
        <w:rPr>
          <w:b/>
        </w:rPr>
        <w:t>4</w:t>
      </w:r>
      <w:r w:rsidRPr="004D1A25">
        <w:rPr>
          <w:b/>
        </w:rPr>
        <w:t xml:space="preserve">]. </w:t>
      </w:r>
    </w:p>
    <w:tbl>
      <w:tblPr>
        <w:tblW w:w="9918" w:type="dxa"/>
        <w:tblLook w:val="04A0" w:firstRow="1" w:lastRow="0" w:firstColumn="1" w:lastColumn="0" w:noHBand="0" w:noVBand="1"/>
      </w:tblPr>
      <w:tblGrid>
        <w:gridCol w:w="1097"/>
        <w:gridCol w:w="1270"/>
        <w:gridCol w:w="1527"/>
        <w:gridCol w:w="1098"/>
        <w:gridCol w:w="1159"/>
        <w:gridCol w:w="2347"/>
        <w:gridCol w:w="1420"/>
      </w:tblGrid>
      <w:tr w:rsidR="00822470" w:rsidRPr="00822470">
        <w:trPr>
          <w:trHeight w:val="630"/>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bookmarkStart w:id="7" w:name="RANGE!A1"/>
            <w:r w:rsidRPr="00822470">
              <w:rPr>
                <w:rFonts w:eastAsia="Times New Roman" w:cs="Calibri"/>
                <w:b/>
                <w:bCs/>
                <w:color w:val="000000"/>
                <w:sz w:val="20"/>
                <w:szCs w:val="20"/>
                <w:lang w:val="en-GB" w:eastAsia="en-GB"/>
              </w:rPr>
              <w:t>Locus</w:t>
            </w:r>
            <w:bookmarkEnd w:id="7"/>
          </w:p>
        </w:tc>
        <w:tc>
          <w:tcPr>
            <w:tcW w:w="1123"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Genome location</w:t>
            </w:r>
          </w:p>
        </w:tc>
        <w:tc>
          <w:tcPr>
            <w:tcW w:w="1668"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Type</w:t>
            </w:r>
          </w:p>
        </w:tc>
        <w:tc>
          <w:tcPr>
            <w:tcW w:w="1122"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Locus ID</w:t>
            </w:r>
          </w:p>
        </w:tc>
        <w:tc>
          <w:tcPr>
            <w:tcW w:w="1377"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Repeat unit (bp)</w:t>
            </w:r>
          </w:p>
        </w:tc>
        <w:tc>
          <w:tcPr>
            <w:tcW w:w="1985"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Repeat motif</w:t>
            </w:r>
          </w:p>
        </w:tc>
        <w:tc>
          <w:tcPr>
            <w:tcW w:w="1647" w:type="dxa"/>
            <w:tcBorders>
              <w:top w:val="single" w:sz="4" w:space="0" w:color="auto"/>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b/>
                <w:bCs/>
                <w:color w:val="000000"/>
                <w:sz w:val="20"/>
                <w:szCs w:val="20"/>
                <w:lang w:val="en-GB" w:eastAsia="en-GB"/>
              </w:rPr>
            </w:pPr>
            <w:r w:rsidRPr="00822470">
              <w:rPr>
                <w:rFonts w:eastAsia="Times New Roman" w:cs="Calibri"/>
                <w:b/>
                <w:bCs/>
                <w:color w:val="000000"/>
                <w:sz w:val="20"/>
                <w:szCs w:val="20"/>
                <w:lang w:val="en-GB" w:eastAsia="en-GB"/>
              </w:rPr>
              <w:t>Amplicon size in TN (bp)</w:t>
            </w:r>
          </w:p>
        </w:tc>
      </w:tr>
      <w:tr w:rsidR="00822470" w:rsidRPr="00822470">
        <w:trPr>
          <w:trHeight w:val="630"/>
        </w:trPr>
        <w:tc>
          <w:tcPr>
            <w:tcW w:w="996" w:type="dxa"/>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ML2344-ML2345</w:t>
            </w:r>
          </w:p>
        </w:tc>
        <w:tc>
          <w:tcPr>
            <w:tcW w:w="1123"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2785,364- 2785,494</w:t>
            </w:r>
          </w:p>
        </w:tc>
        <w:tc>
          <w:tcPr>
            <w:tcW w:w="1668"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Pseudogene</w:t>
            </w:r>
          </w:p>
        </w:tc>
        <w:tc>
          <w:tcPr>
            <w:tcW w:w="1122"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(AGA)20</w:t>
            </w:r>
          </w:p>
        </w:tc>
        <w:tc>
          <w:tcPr>
            <w:tcW w:w="1377"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3</w:t>
            </w:r>
          </w:p>
        </w:tc>
        <w:tc>
          <w:tcPr>
            <w:tcW w:w="1985"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TTC</w:t>
            </w:r>
          </w:p>
        </w:tc>
        <w:tc>
          <w:tcPr>
            <w:tcW w:w="1647"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131</w:t>
            </w:r>
          </w:p>
        </w:tc>
      </w:tr>
      <w:tr w:rsidR="00822470" w:rsidRPr="00822470">
        <w:trPr>
          <w:trHeight w:val="630"/>
        </w:trPr>
        <w:tc>
          <w:tcPr>
            <w:tcW w:w="996" w:type="dxa"/>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ML2172-ML2173</w:t>
            </w:r>
          </w:p>
        </w:tc>
        <w:tc>
          <w:tcPr>
            <w:tcW w:w="1123"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2583,816-2583,839</w:t>
            </w:r>
          </w:p>
        </w:tc>
        <w:tc>
          <w:tcPr>
            <w:tcW w:w="1668"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Hyp-pseudogene</w:t>
            </w:r>
          </w:p>
        </w:tc>
        <w:tc>
          <w:tcPr>
            <w:tcW w:w="1122"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(GTA)9</w:t>
            </w:r>
          </w:p>
        </w:tc>
        <w:tc>
          <w:tcPr>
            <w:tcW w:w="1377"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3</w:t>
            </w:r>
          </w:p>
        </w:tc>
        <w:tc>
          <w:tcPr>
            <w:tcW w:w="1985"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GTA</w:t>
            </w:r>
          </w:p>
        </w:tc>
        <w:tc>
          <w:tcPr>
            <w:tcW w:w="1647"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151</w:t>
            </w:r>
          </w:p>
        </w:tc>
      </w:tr>
      <w:tr w:rsidR="00822470" w:rsidRPr="00822470">
        <w:trPr>
          <w:trHeight w:val="315"/>
        </w:trPr>
        <w:tc>
          <w:tcPr>
            <w:tcW w:w="996"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ML0058</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72,683-73,686</w:t>
            </w:r>
          </w:p>
        </w:tc>
        <w:tc>
          <w:tcPr>
            <w:tcW w:w="1668"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i/>
                <w:iCs/>
                <w:color w:val="000000"/>
                <w:sz w:val="20"/>
                <w:szCs w:val="20"/>
                <w:lang w:val="en-GB" w:eastAsia="en-GB"/>
              </w:rPr>
            </w:pPr>
            <w:r w:rsidRPr="00822470">
              <w:rPr>
                <w:rFonts w:eastAsia="Times New Roman" w:cs="Calibri"/>
                <w:i/>
                <w:iCs/>
                <w:color w:val="000000"/>
                <w:sz w:val="20"/>
                <w:szCs w:val="20"/>
                <w:lang w:val="en-GB" w:eastAsia="en-GB"/>
              </w:rPr>
              <w:t>Esp e</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21-3</w:t>
            </w:r>
          </w:p>
        </w:tc>
        <w:tc>
          <w:tcPr>
            <w:tcW w:w="1377"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21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tgatcaacttgattcctggct</w:t>
            </w:r>
          </w:p>
        </w:tc>
        <w:tc>
          <w:tcPr>
            <w:tcW w:w="1647" w:type="dxa"/>
            <w:vMerge w:val="restart"/>
            <w:tcBorders>
              <w:top w:val="nil"/>
              <w:left w:val="single" w:sz="4" w:space="0" w:color="auto"/>
              <w:bottom w:val="single" w:sz="4" w:space="0" w:color="auto"/>
              <w:right w:val="single" w:sz="4" w:space="0" w:color="auto"/>
            </w:tcBorders>
            <w:shd w:val="clear" w:color="auto" w:fill="auto"/>
            <w:vAlign w:val="center"/>
          </w:tcPr>
          <w:p w:rsidR="00822470" w:rsidRPr="00822470" w:rsidRDefault="00822470" w:rsidP="00822470">
            <w:pPr>
              <w:pStyle w:val="NoteLevel11"/>
              <w:rPr>
                <w:rFonts w:eastAsia="Times New Roman" w:cs="Calibri"/>
                <w:color w:val="000000"/>
                <w:sz w:val="20"/>
                <w:szCs w:val="20"/>
                <w:lang w:val="en-GB" w:eastAsia="en-GB"/>
              </w:rPr>
            </w:pPr>
            <w:r w:rsidRPr="00822470">
              <w:rPr>
                <w:rFonts w:eastAsia="Times New Roman" w:cs="Calibri"/>
                <w:color w:val="000000"/>
                <w:sz w:val="20"/>
                <w:szCs w:val="20"/>
                <w:lang w:val="en-GB" w:eastAsia="en-GB"/>
              </w:rPr>
              <w:t>117</w:t>
            </w:r>
          </w:p>
        </w:tc>
      </w:tr>
      <w:tr w:rsidR="00822470" w:rsidRPr="00822470">
        <w:trPr>
          <w:trHeight w:val="315"/>
        </w:trPr>
        <w:tc>
          <w:tcPr>
            <w:tcW w:w="996"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c>
          <w:tcPr>
            <w:tcW w:w="1123"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c>
          <w:tcPr>
            <w:tcW w:w="1668" w:type="dxa"/>
            <w:tcBorders>
              <w:top w:val="nil"/>
              <w:left w:val="nil"/>
              <w:bottom w:val="single" w:sz="4" w:space="0" w:color="auto"/>
              <w:right w:val="single" w:sz="4" w:space="0" w:color="auto"/>
            </w:tcBorders>
            <w:shd w:val="clear" w:color="auto" w:fill="auto"/>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r w:rsidRPr="00822470">
              <w:rPr>
                <w:rFonts w:ascii="Cambria" w:eastAsia="Times New Roman" w:hAnsi="Cambria" w:cs="Calibri"/>
                <w:color w:val="000000"/>
                <w:sz w:val="20"/>
                <w:szCs w:val="20"/>
                <w:lang w:val="en-GB" w:eastAsia="en-GB"/>
              </w:rPr>
              <w:t>pseudogene</w:t>
            </w:r>
          </w:p>
        </w:tc>
        <w:tc>
          <w:tcPr>
            <w:tcW w:w="1122"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c>
          <w:tcPr>
            <w:tcW w:w="1377"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c>
          <w:tcPr>
            <w:tcW w:w="1985"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c>
          <w:tcPr>
            <w:tcW w:w="1647" w:type="dxa"/>
            <w:vMerge/>
            <w:tcBorders>
              <w:top w:val="nil"/>
              <w:left w:val="single" w:sz="4" w:space="0" w:color="auto"/>
              <w:bottom w:val="single" w:sz="4" w:space="0" w:color="auto"/>
              <w:right w:val="single" w:sz="4" w:space="0" w:color="auto"/>
            </w:tcBorders>
            <w:vAlign w:val="center"/>
          </w:tcPr>
          <w:p w:rsidR="00822470" w:rsidRPr="00822470" w:rsidRDefault="00822470" w:rsidP="00822470">
            <w:pPr>
              <w:pStyle w:val="NoteLevel11"/>
              <w:rPr>
                <w:rFonts w:ascii="Cambria" w:eastAsia="Times New Roman" w:hAnsi="Cambria" w:cs="Calibri"/>
                <w:color w:val="000000"/>
                <w:sz w:val="20"/>
                <w:szCs w:val="20"/>
                <w:lang w:val="en-GB" w:eastAsia="en-GB"/>
              </w:rPr>
            </w:pPr>
          </w:p>
        </w:tc>
      </w:tr>
    </w:tbl>
    <w:p w:rsidR="00B262BA" w:rsidRPr="00822470" w:rsidRDefault="00B262BA" w:rsidP="00AF306B">
      <w:pPr>
        <w:pStyle w:val="NoteLevel11"/>
        <w:rPr>
          <w:sz w:val="20"/>
          <w:szCs w:val="20"/>
        </w:rPr>
      </w:pPr>
    </w:p>
    <w:p w:rsidR="00AF306B" w:rsidRDefault="00AF306B" w:rsidP="00A833E7">
      <w:pPr>
        <w:pStyle w:val="NoteLevel11"/>
        <w:rPr>
          <w:b/>
          <w:sz w:val="28"/>
          <w:szCs w:val="28"/>
        </w:rPr>
      </w:pPr>
    </w:p>
    <w:p w:rsidR="00E8167C" w:rsidRPr="00FF5086" w:rsidRDefault="003150B1" w:rsidP="00FF5086">
      <w:pPr>
        <w:pStyle w:val="NoteLevel11"/>
        <w:rPr>
          <w:b/>
          <w:sz w:val="28"/>
          <w:szCs w:val="28"/>
        </w:rPr>
      </w:pPr>
      <w:r w:rsidRPr="00FF5086">
        <w:rPr>
          <w:b/>
          <w:sz w:val="28"/>
          <w:szCs w:val="28"/>
        </w:rPr>
        <w:t xml:space="preserve">Screening for </w:t>
      </w:r>
      <w:r w:rsidRPr="00FF5086">
        <w:rPr>
          <w:b/>
          <w:i/>
          <w:sz w:val="28"/>
          <w:szCs w:val="28"/>
        </w:rPr>
        <w:t>M.</w:t>
      </w:r>
      <w:r w:rsidR="00334306" w:rsidRPr="00FF5086">
        <w:rPr>
          <w:b/>
          <w:i/>
          <w:sz w:val="28"/>
          <w:szCs w:val="28"/>
        </w:rPr>
        <w:t xml:space="preserve"> </w:t>
      </w:r>
      <w:r w:rsidRPr="00FF5086">
        <w:rPr>
          <w:b/>
          <w:i/>
          <w:sz w:val="28"/>
          <w:szCs w:val="28"/>
        </w:rPr>
        <w:t>lepromatosis</w:t>
      </w:r>
      <w:r w:rsidRPr="00FF5086">
        <w:rPr>
          <w:b/>
          <w:sz w:val="28"/>
          <w:szCs w:val="28"/>
        </w:rPr>
        <w:t xml:space="preserve"> DNA</w:t>
      </w:r>
      <w:r w:rsidR="00B262BA" w:rsidRPr="00FF5086">
        <w:rPr>
          <w:b/>
          <w:sz w:val="28"/>
          <w:szCs w:val="28"/>
        </w:rPr>
        <w:t xml:space="preserve"> (UoS)</w:t>
      </w:r>
    </w:p>
    <w:p w:rsidR="003150B1" w:rsidRPr="007632A0" w:rsidRDefault="003150B1" w:rsidP="00A833E7">
      <w:pPr>
        <w:pStyle w:val="NoteLevel11"/>
        <w:rPr>
          <w:rFonts w:cs="Helvetica"/>
          <w:szCs w:val="17"/>
        </w:rPr>
      </w:pPr>
      <w:r w:rsidRPr="004D1A25">
        <w:rPr>
          <w:rFonts w:cs="Helvetica"/>
          <w:szCs w:val="17"/>
        </w:rPr>
        <w:t xml:space="preserve">Primers used were modifications of those described by </w:t>
      </w:r>
      <w:r w:rsidR="00FC10AF" w:rsidRPr="004D1A25">
        <w:rPr>
          <w:rFonts w:cs="Helvetica"/>
          <w:szCs w:val="17"/>
        </w:rPr>
        <w:t>Singh and colleagues [4</w:t>
      </w:r>
      <w:r w:rsidR="006479DA" w:rsidRPr="004D1A25">
        <w:rPr>
          <w:rFonts w:cs="Helvetica"/>
          <w:szCs w:val="17"/>
        </w:rPr>
        <w:t>5</w:t>
      </w:r>
      <w:r w:rsidR="00FC10AF" w:rsidRPr="004D1A25">
        <w:rPr>
          <w:rFonts w:cs="Helvetica"/>
          <w:szCs w:val="17"/>
        </w:rPr>
        <w:t>].</w:t>
      </w:r>
      <w:r w:rsidRPr="007632A0">
        <w:rPr>
          <w:rFonts w:cs="Helvetica"/>
          <w:szCs w:val="17"/>
        </w:rPr>
        <w:t xml:space="preserve">  The sequences of the pair used in the present study were F-5’-CTGTTCGTGAGGTACCGGTGAAA-3’ and R-5’-GTTCGGCCGGAGTGTAGGTGTTA-3’ These amplify a 135 bp fragment in the </w:t>
      </w:r>
      <w:r w:rsidRPr="007632A0">
        <w:rPr>
          <w:rFonts w:cs="Helvetica"/>
          <w:i/>
          <w:szCs w:val="17"/>
        </w:rPr>
        <w:t>hemN</w:t>
      </w:r>
      <w:r w:rsidRPr="007632A0">
        <w:rPr>
          <w:rFonts w:cs="Helvetica"/>
          <w:szCs w:val="17"/>
        </w:rPr>
        <w:t xml:space="preserve"> gene, present in </w:t>
      </w:r>
      <w:r w:rsidRPr="007632A0">
        <w:rPr>
          <w:rFonts w:cs="Helvetica"/>
          <w:i/>
          <w:szCs w:val="17"/>
        </w:rPr>
        <w:t>M.</w:t>
      </w:r>
      <w:r w:rsidR="00334306" w:rsidRPr="007632A0">
        <w:rPr>
          <w:rFonts w:cs="Helvetica"/>
          <w:i/>
          <w:szCs w:val="17"/>
        </w:rPr>
        <w:t xml:space="preserve"> </w:t>
      </w:r>
      <w:r w:rsidRPr="007632A0">
        <w:rPr>
          <w:rFonts w:cs="Helvetica"/>
          <w:i/>
          <w:szCs w:val="17"/>
        </w:rPr>
        <w:t>lepromatosis</w:t>
      </w:r>
      <w:r w:rsidR="00362931" w:rsidRPr="007632A0">
        <w:rPr>
          <w:rFonts w:cs="Helvetica"/>
          <w:szCs w:val="17"/>
        </w:rPr>
        <w:t xml:space="preserve"> but absent from</w:t>
      </w:r>
      <w:r w:rsidRPr="007632A0">
        <w:rPr>
          <w:rFonts w:cs="Helvetica"/>
          <w:szCs w:val="17"/>
        </w:rPr>
        <w:t xml:space="preserve"> </w:t>
      </w:r>
      <w:r w:rsidRPr="007632A0">
        <w:rPr>
          <w:rFonts w:cs="Helvetica"/>
          <w:i/>
          <w:szCs w:val="17"/>
        </w:rPr>
        <w:t>M.</w:t>
      </w:r>
      <w:r w:rsidR="00334306" w:rsidRPr="007632A0">
        <w:rPr>
          <w:rFonts w:cs="Helvetica"/>
          <w:i/>
          <w:szCs w:val="17"/>
        </w:rPr>
        <w:t xml:space="preserve"> </w:t>
      </w:r>
      <w:r w:rsidRPr="007632A0">
        <w:rPr>
          <w:rFonts w:cs="Helvetica"/>
          <w:i/>
          <w:szCs w:val="17"/>
        </w:rPr>
        <w:t>leprae</w:t>
      </w:r>
      <w:r w:rsidRPr="007632A0">
        <w:rPr>
          <w:rFonts w:cs="Helvetica"/>
          <w:szCs w:val="17"/>
        </w:rPr>
        <w:t xml:space="preserve">. The PCR reagents and conditions were as described for </w:t>
      </w:r>
      <w:r w:rsidRPr="007632A0">
        <w:rPr>
          <w:rFonts w:cs="Helvetica"/>
          <w:i/>
          <w:szCs w:val="17"/>
        </w:rPr>
        <w:t>M.</w:t>
      </w:r>
      <w:r w:rsidR="00334306" w:rsidRPr="007632A0">
        <w:rPr>
          <w:rFonts w:cs="Helvetica"/>
          <w:i/>
          <w:szCs w:val="17"/>
        </w:rPr>
        <w:t xml:space="preserve"> </w:t>
      </w:r>
      <w:r w:rsidRPr="007632A0">
        <w:rPr>
          <w:rFonts w:cs="Helvetica"/>
          <w:i/>
          <w:szCs w:val="17"/>
        </w:rPr>
        <w:t>leprae</w:t>
      </w:r>
      <w:r w:rsidRPr="007632A0">
        <w:rPr>
          <w:rFonts w:cs="Helvetica"/>
          <w:szCs w:val="17"/>
        </w:rPr>
        <w:t xml:space="preserve"> </w:t>
      </w:r>
      <w:r w:rsidR="00CD7E8E" w:rsidRPr="007632A0">
        <w:rPr>
          <w:rFonts w:cs="Helvetica"/>
          <w:szCs w:val="17"/>
        </w:rPr>
        <w:t xml:space="preserve">below, </w:t>
      </w:r>
      <w:r w:rsidRPr="007632A0">
        <w:rPr>
          <w:rFonts w:cs="Helvetica"/>
          <w:szCs w:val="17"/>
        </w:rPr>
        <w:t>except that an annealing temperature of 58</w:t>
      </w:r>
      <w:r w:rsidR="00FC10AF" w:rsidRPr="007632A0">
        <w:rPr>
          <w:rFonts w:cs="Helvetica"/>
          <w:szCs w:val="17"/>
        </w:rPr>
        <w:t xml:space="preserve"> </w:t>
      </w:r>
      <w:r w:rsidRPr="007632A0">
        <w:rPr>
          <w:rFonts w:cs="Helvetica"/>
          <w:szCs w:val="17"/>
          <w:vertAlign w:val="superscript"/>
        </w:rPr>
        <w:t>0</w:t>
      </w:r>
      <w:r w:rsidRPr="007632A0">
        <w:rPr>
          <w:rFonts w:cs="Helvetica"/>
          <w:szCs w:val="17"/>
        </w:rPr>
        <w:t>C was used.</w:t>
      </w:r>
    </w:p>
    <w:p w:rsidR="003150B1" w:rsidRPr="007632A0" w:rsidRDefault="003150B1" w:rsidP="00A833E7">
      <w:pPr>
        <w:pStyle w:val="NoteLevel11"/>
        <w:rPr>
          <w:sz w:val="28"/>
        </w:rPr>
      </w:pPr>
    </w:p>
    <w:p w:rsidR="00A22F83" w:rsidRPr="007632A0" w:rsidRDefault="00507FB9" w:rsidP="00A833E7">
      <w:pPr>
        <w:pStyle w:val="NoteLevel11"/>
        <w:rPr>
          <w:rFonts w:cs="Helvetica"/>
          <w:b/>
          <w:sz w:val="28"/>
          <w:szCs w:val="28"/>
        </w:rPr>
      </w:pPr>
      <w:r w:rsidRPr="007632A0">
        <w:rPr>
          <w:rFonts w:cs="Helvetica"/>
          <w:b/>
          <w:sz w:val="28"/>
          <w:szCs w:val="28"/>
        </w:rPr>
        <w:t xml:space="preserve">Screening for </w:t>
      </w:r>
      <w:r w:rsidRPr="007632A0">
        <w:rPr>
          <w:rFonts w:cs="Helvetica"/>
          <w:i/>
          <w:sz w:val="28"/>
          <w:szCs w:val="28"/>
        </w:rPr>
        <w:t>Mycobacterium tuberculosis</w:t>
      </w:r>
      <w:r w:rsidRPr="007632A0">
        <w:rPr>
          <w:rFonts w:cs="Helvetica"/>
          <w:b/>
          <w:sz w:val="28"/>
          <w:szCs w:val="28"/>
        </w:rPr>
        <w:t xml:space="preserve"> </w:t>
      </w:r>
      <w:r w:rsidR="00703E6B" w:rsidRPr="007632A0">
        <w:rPr>
          <w:rFonts w:cs="Helvetica"/>
          <w:b/>
          <w:sz w:val="28"/>
          <w:szCs w:val="28"/>
        </w:rPr>
        <w:t xml:space="preserve">(MTB) </w:t>
      </w:r>
      <w:r w:rsidRPr="007632A0">
        <w:rPr>
          <w:rFonts w:cs="Helvetica"/>
          <w:b/>
          <w:sz w:val="28"/>
          <w:szCs w:val="28"/>
        </w:rPr>
        <w:t>complex DNA</w:t>
      </w:r>
      <w:r w:rsidR="00B262BA" w:rsidRPr="007632A0">
        <w:rPr>
          <w:rFonts w:cs="Helvetica"/>
          <w:b/>
          <w:sz w:val="28"/>
          <w:szCs w:val="28"/>
        </w:rPr>
        <w:t xml:space="preserve"> (UoS)</w:t>
      </w:r>
    </w:p>
    <w:p w:rsidR="00A22F83" w:rsidRPr="004D1A25" w:rsidRDefault="003150B1" w:rsidP="00A833E7">
      <w:pPr>
        <w:pStyle w:val="NoteLevel11"/>
        <w:rPr>
          <w:rFonts w:cs="Helvetica"/>
          <w:szCs w:val="17"/>
        </w:rPr>
      </w:pPr>
      <w:r w:rsidRPr="007632A0">
        <w:rPr>
          <w:rFonts w:cs="Helvetica"/>
          <w:szCs w:val="17"/>
        </w:rPr>
        <w:t xml:space="preserve">Extracts were also tested for the presence of </w:t>
      </w:r>
      <w:r w:rsidRPr="007632A0">
        <w:rPr>
          <w:rFonts w:cs="Helvetica"/>
          <w:i/>
          <w:szCs w:val="17"/>
        </w:rPr>
        <w:t>Mycobacterium tuberculosis</w:t>
      </w:r>
      <w:r w:rsidRPr="007632A0">
        <w:rPr>
          <w:rFonts w:cs="Helvetica"/>
          <w:szCs w:val="17"/>
        </w:rPr>
        <w:t xml:space="preserve"> (MTB) </w:t>
      </w:r>
      <w:r w:rsidR="00362931" w:rsidRPr="007632A0">
        <w:rPr>
          <w:rFonts w:cs="Helvetica"/>
          <w:szCs w:val="17"/>
        </w:rPr>
        <w:t>complex organisms using a real-</w:t>
      </w:r>
      <w:r w:rsidRPr="007632A0">
        <w:rPr>
          <w:rFonts w:cs="Helvetica"/>
          <w:szCs w:val="17"/>
        </w:rPr>
        <w:t>time PCR method for the IS</w:t>
      </w:r>
      <w:r w:rsidRPr="007632A0">
        <w:rPr>
          <w:rFonts w:cs="Helvetica"/>
          <w:i/>
          <w:szCs w:val="17"/>
        </w:rPr>
        <w:t>1081</w:t>
      </w:r>
      <w:r w:rsidRPr="007632A0">
        <w:rPr>
          <w:rFonts w:cs="Helvetica"/>
          <w:szCs w:val="17"/>
        </w:rPr>
        <w:t xml:space="preserve"> repetitive </w:t>
      </w:r>
      <w:r w:rsidRPr="004D1A25">
        <w:rPr>
          <w:rFonts w:cs="Helvetica"/>
          <w:szCs w:val="17"/>
        </w:rPr>
        <w:t xml:space="preserve">element </w:t>
      </w:r>
      <w:r w:rsidR="00E37960" w:rsidRPr="004D1A25">
        <w:rPr>
          <w:rFonts w:cs="Helvetica"/>
          <w:szCs w:val="17"/>
        </w:rPr>
        <w:t>[4</w:t>
      </w:r>
      <w:r w:rsidR="006479DA" w:rsidRPr="004D1A25">
        <w:rPr>
          <w:rFonts w:cs="Helvetica"/>
          <w:szCs w:val="17"/>
        </w:rPr>
        <w:t>6</w:t>
      </w:r>
      <w:r w:rsidR="004D1A25" w:rsidRPr="004D1A25">
        <w:rPr>
          <w:rFonts w:cs="Helvetica"/>
          <w:szCs w:val="17"/>
        </w:rPr>
        <w:t>]</w:t>
      </w:r>
      <w:r w:rsidRPr="004D1A25">
        <w:rPr>
          <w:rFonts w:cs="Helvetica"/>
          <w:szCs w:val="17"/>
        </w:rPr>
        <w:t>.</w:t>
      </w:r>
    </w:p>
    <w:p w:rsidR="00507FB9" w:rsidRPr="007632A0" w:rsidRDefault="00507FB9" w:rsidP="00A833E7">
      <w:pPr>
        <w:pStyle w:val="NoteLevel11"/>
        <w:rPr>
          <w:rFonts w:cs="Helvetica"/>
          <w:szCs w:val="17"/>
        </w:rPr>
      </w:pPr>
    </w:p>
    <w:p w:rsidR="0022210B" w:rsidRPr="007632A0" w:rsidRDefault="003150B1" w:rsidP="00A833E7">
      <w:pPr>
        <w:pStyle w:val="NoteLevel11"/>
        <w:rPr>
          <w:rFonts w:cs="Helvetica"/>
          <w:b/>
          <w:sz w:val="28"/>
          <w:szCs w:val="28"/>
        </w:rPr>
      </w:pPr>
      <w:r w:rsidRPr="007632A0">
        <w:rPr>
          <w:rFonts w:cs="Helvetica"/>
          <w:b/>
          <w:sz w:val="28"/>
          <w:szCs w:val="28"/>
        </w:rPr>
        <w:t>Human aDNA</w:t>
      </w:r>
      <w:r w:rsidR="00B262BA" w:rsidRPr="007632A0">
        <w:rPr>
          <w:rFonts w:cs="Helvetica"/>
          <w:b/>
          <w:sz w:val="28"/>
          <w:szCs w:val="28"/>
        </w:rPr>
        <w:t xml:space="preserve"> (UoS</w:t>
      </w:r>
      <w:r w:rsidR="0071290D" w:rsidRPr="007632A0">
        <w:rPr>
          <w:rFonts w:cs="Helvetica"/>
          <w:b/>
          <w:sz w:val="28"/>
          <w:szCs w:val="28"/>
        </w:rPr>
        <w:t xml:space="preserve">) – </w:t>
      </w:r>
      <w:r w:rsidR="0071290D" w:rsidRPr="007632A0">
        <w:rPr>
          <w:rFonts w:eastAsia="Cambria" w:cs="Times New Roman"/>
          <w:b/>
          <w:sz w:val="28"/>
          <w:szCs w:val="28"/>
        </w:rPr>
        <w:t>m</w:t>
      </w:r>
      <w:r w:rsidR="00234C90" w:rsidRPr="007632A0">
        <w:rPr>
          <w:rFonts w:eastAsia="Cambria" w:cs="Times New Roman"/>
          <w:b/>
          <w:sz w:val="28"/>
          <w:szCs w:val="28"/>
        </w:rPr>
        <w:t>itochondrial</w:t>
      </w:r>
      <w:r w:rsidR="00931A7C" w:rsidRPr="007632A0">
        <w:rPr>
          <w:rFonts w:eastAsia="Cambria" w:cs="Times New Roman"/>
          <w:b/>
          <w:sz w:val="28"/>
          <w:szCs w:val="28"/>
        </w:rPr>
        <w:t xml:space="preserve"> DNA (mtDNA)</w:t>
      </w:r>
    </w:p>
    <w:p w:rsidR="00507FB9" w:rsidRPr="001047E1" w:rsidRDefault="00507FB9" w:rsidP="001047E1">
      <w:pPr>
        <w:pStyle w:val="NoteLevel11"/>
        <w:rPr>
          <w:rFonts w:eastAsia="Cambria" w:cs="Times New Roman"/>
        </w:rPr>
      </w:pPr>
      <w:r w:rsidRPr="007632A0">
        <w:rPr>
          <w:rFonts w:eastAsia="Cambria" w:cs="Times New Roman"/>
        </w:rPr>
        <w:t>Two PCR methods were used to look for evidence of human mtDNA.  Extracts were tested using primers which amplify a 116 bp region of the human mitochondrial DNA hypervariable region 1 (HVR-1). The sequences of these primers were: Forward (L15977-L15998) 5’-CCACCATTAGCACCCAAAGCTA-3’ and Reverse (H16092-H16070) 5’- AT</w:t>
      </w:r>
      <w:r w:rsidRPr="007632A0">
        <w:rPr>
          <w:rFonts w:eastAsia="Times New Roman" w:cs="Times New Roman"/>
          <w:lang w:eastAsia="en-GB"/>
        </w:rPr>
        <w:t xml:space="preserve">ACATAGCGGTTGTTGATGGGT-3’. </w:t>
      </w:r>
      <w:r w:rsidRPr="001047E1">
        <w:rPr>
          <w:rFonts w:eastAsia="Times New Roman" w:cs="Times New Roman"/>
          <w:lang w:eastAsia="en-GB"/>
        </w:rPr>
        <w:t>Another variant of this PCR was used with an alternative reverse primer (H16255-H16236) with the sequence 5’-CTTTGGAGTTGCAGTTGATG-3’. In combination with the forward primer, this amplifies a product of 279 bp.</w:t>
      </w:r>
    </w:p>
    <w:p w:rsidR="00507FB9" w:rsidRPr="007632A0" w:rsidRDefault="00507FB9" w:rsidP="00A833E7">
      <w:pPr>
        <w:pStyle w:val="NoteLevel11"/>
        <w:rPr>
          <w:rFonts w:eastAsia="Times New Roman" w:cs="Times New Roman"/>
          <w:lang w:eastAsia="en-GB"/>
        </w:rPr>
      </w:pPr>
    </w:p>
    <w:p w:rsidR="00A22F83" w:rsidRPr="007632A0" w:rsidRDefault="0071290D" w:rsidP="0071290D">
      <w:pPr>
        <w:pStyle w:val="NoteLevel11"/>
        <w:rPr>
          <w:rFonts w:cs="Helvetica"/>
          <w:b/>
          <w:sz w:val="28"/>
          <w:szCs w:val="28"/>
        </w:rPr>
      </w:pPr>
      <w:r w:rsidRPr="007632A0">
        <w:rPr>
          <w:rFonts w:cs="Helvetica"/>
          <w:b/>
          <w:sz w:val="28"/>
          <w:szCs w:val="28"/>
        </w:rPr>
        <w:t>Human aDNA (UoS) – a</w:t>
      </w:r>
      <w:r w:rsidR="00C41ED7" w:rsidRPr="007632A0">
        <w:rPr>
          <w:rFonts w:eastAsia="Cambria" w:cs="Times New Roman"/>
          <w:b/>
          <w:sz w:val="28"/>
          <w:szCs w:val="28"/>
        </w:rPr>
        <w:t>melogenin</w:t>
      </w:r>
    </w:p>
    <w:p w:rsidR="00AB340C" w:rsidRPr="007632A0" w:rsidRDefault="003150B1" w:rsidP="00A833E7">
      <w:pPr>
        <w:pStyle w:val="NoteLevel11"/>
        <w:rPr>
          <w:rFonts w:eastAsia="Cambria" w:cs="Times New Roman"/>
        </w:rPr>
      </w:pPr>
      <w:r w:rsidRPr="007632A0">
        <w:rPr>
          <w:rFonts w:eastAsia="Cambria" w:cs="Times New Roman"/>
        </w:rPr>
        <w:t>Two separate gender-determining PCRs based on polymorphisms in the amelogenin gene were also applied. In the first</w:t>
      </w:r>
      <w:r w:rsidR="008D2F35" w:rsidRPr="007632A0">
        <w:rPr>
          <w:rFonts w:eastAsia="Cambria" w:cs="Times New Roman"/>
        </w:rPr>
        <w:t xml:space="preserve"> </w:t>
      </w:r>
      <w:r w:rsidRPr="007632A0">
        <w:rPr>
          <w:rFonts w:eastAsia="Cambria" w:cs="Times New Roman"/>
        </w:rPr>
        <w:t xml:space="preserve">method, males are identified by two PCR products, one of 105 bp from the Y chromosome </w:t>
      </w:r>
      <w:r w:rsidR="00420520" w:rsidRPr="007632A0">
        <w:rPr>
          <w:rFonts w:eastAsia="Cambria" w:cs="Times New Roman"/>
        </w:rPr>
        <w:t xml:space="preserve">(AMELY) </w:t>
      </w:r>
      <w:r w:rsidRPr="007632A0">
        <w:rPr>
          <w:rFonts w:eastAsia="Cambria" w:cs="Times New Roman"/>
        </w:rPr>
        <w:t>and another of 290 bp from the X chromosome</w:t>
      </w:r>
      <w:r w:rsidR="00420520" w:rsidRPr="007632A0">
        <w:rPr>
          <w:rFonts w:eastAsia="Cambria" w:cs="Times New Roman"/>
        </w:rPr>
        <w:t xml:space="preserve"> (AMALX),</w:t>
      </w:r>
      <w:r w:rsidRPr="007632A0">
        <w:rPr>
          <w:rFonts w:eastAsia="Cambria" w:cs="Times New Roman"/>
        </w:rPr>
        <w:t xml:space="preserve"> w</w:t>
      </w:r>
      <w:r w:rsidR="00362931" w:rsidRPr="007632A0">
        <w:rPr>
          <w:rFonts w:eastAsia="Cambria" w:cs="Times New Roman"/>
        </w:rPr>
        <w:t xml:space="preserve">hereas females generate only </w:t>
      </w:r>
      <w:r w:rsidRPr="007632A0">
        <w:rPr>
          <w:rFonts w:eastAsia="Cambria" w:cs="Times New Roman"/>
        </w:rPr>
        <w:t>one product of 290 bp. The sequences of the primers used in this procedur</w:t>
      </w:r>
      <w:r w:rsidR="00FC10AF" w:rsidRPr="007632A0">
        <w:rPr>
          <w:rFonts w:eastAsia="Cambria" w:cs="Times New Roman"/>
        </w:rPr>
        <w:t xml:space="preserve">e have </w:t>
      </w:r>
      <w:r w:rsidR="00FC10AF" w:rsidRPr="004D1A25">
        <w:rPr>
          <w:rFonts w:eastAsia="Cambria" w:cs="Times New Roman"/>
        </w:rPr>
        <w:t>been previously reported</w:t>
      </w:r>
      <w:r w:rsidR="00E37960" w:rsidRPr="004D1A25">
        <w:rPr>
          <w:rFonts w:eastAsia="Cambria" w:cs="Times New Roman"/>
        </w:rPr>
        <w:t xml:space="preserve"> [4</w:t>
      </w:r>
      <w:r w:rsidR="006479DA" w:rsidRPr="004D1A25">
        <w:rPr>
          <w:rFonts w:eastAsia="Cambria" w:cs="Times New Roman"/>
        </w:rPr>
        <w:t>7</w:t>
      </w:r>
      <w:r w:rsidR="00E37960" w:rsidRPr="004D1A25">
        <w:rPr>
          <w:rFonts w:eastAsia="Cambria" w:cs="Times New Roman"/>
        </w:rPr>
        <w:t>]</w:t>
      </w:r>
      <w:r w:rsidRPr="004D1A25">
        <w:rPr>
          <w:rFonts w:eastAsia="Cambria" w:cs="Times New Roman"/>
        </w:rPr>
        <w:t xml:space="preserve">. </w:t>
      </w:r>
      <w:r w:rsidRPr="004D1A25">
        <w:rPr>
          <w:rFonts w:eastAsia="Cambria" w:cs="Arial"/>
        </w:rPr>
        <w:t>A second amelogenin method was also attempted</w:t>
      </w:r>
      <w:r w:rsidR="00E37960" w:rsidRPr="004D1A25">
        <w:rPr>
          <w:rFonts w:eastAsia="Cambria" w:cs="Arial"/>
        </w:rPr>
        <w:t xml:space="preserve"> [4</w:t>
      </w:r>
      <w:r w:rsidR="006479DA" w:rsidRPr="004D1A25">
        <w:rPr>
          <w:rFonts w:eastAsia="Cambria" w:cs="Arial"/>
        </w:rPr>
        <w:t>8</w:t>
      </w:r>
      <w:r w:rsidR="00E37960" w:rsidRPr="004D1A25">
        <w:rPr>
          <w:rFonts w:eastAsia="Cambria" w:cs="Arial"/>
        </w:rPr>
        <w:t>]</w:t>
      </w:r>
      <w:r w:rsidRPr="004D1A25">
        <w:rPr>
          <w:rFonts w:eastAsia="Cambria" w:cs="Arial"/>
        </w:rPr>
        <w:t>. This generates two bands from males of 106 bp and 112bp (AMELX and</w:t>
      </w:r>
      <w:r w:rsidRPr="007632A0">
        <w:rPr>
          <w:rFonts w:eastAsia="Cambria" w:cs="Arial"/>
        </w:rPr>
        <w:t xml:space="preserve"> AMELY products respectively), and a single AMELX product of 106bp from females.</w:t>
      </w:r>
      <w:r w:rsidR="00362931" w:rsidRPr="007632A0">
        <w:rPr>
          <w:rFonts w:eastAsia="Cambria" w:cs="Arial"/>
        </w:rPr>
        <w:t xml:space="preserve"> </w:t>
      </w:r>
    </w:p>
    <w:p w:rsidR="00371426" w:rsidRPr="007632A0" w:rsidRDefault="00371426" w:rsidP="00A833E7">
      <w:pPr>
        <w:pStyle w:val="NoteLevel11"/>
        <w:rPr>
          <w:rFonts w:eastAsia="Cambria" w:cs="Arial"/>
        </w:rPr>
      </w:pPr>
    </w:p>
    <w:p w:rsidR="00371426" w:rsidRPr="007632A0" w:rsidRDefault="00B262BA" w:rsidP="00A833E7">
      <w:pPr>
        <w:pStyle w:val="NoteLevel11"/>
        <w:rPr>
          <w:rFonts w:eastAsia="Cambria" w:cs="Arial"/>
          <w:b/>
          <w:sz w:val="28"/>
          <w:szCs w:val="32"/>
        </w:rPr>
      </w:pPr>
      <w:r w:rsidRPr="007632A0">
        <w:rPr>
          <w:rFonts w:eastAsia="Cambria" w:cs="Arial"/>
          <w:b/>
          <w:sz w:val="28"/>
          <w:szCs w:val="32"/>
        </w:rPr>
        <w:t>Human DNA Screening (UEA)</w:t>
      </w:r>
    </w:p>
    <w:p w:rsidR="00AF738D" w:rsidRPr="007632A0" w:rsidRDefault="00BB7280">
      <w:pPr>
        <w:pStyle w:val="NoteLevel11"/>
        <w:rPr>
          <w:rFonts w:eastAsia="Times New Roman" w:cs="Arial"/>
          <w:kern w:val="36"/>
          <w:lang w:eastAsia="en-GB"/>
        </w:rPr>
      </w:pPr>
      <w:r w:rsidRPr="007632A0">
        <w:rPr>
          <w:rFonts w:cs="Arial"/>
        </w:rPr>
        <w:t xml:space="preserve">A SYBR green real-time PCR assay was used to detect human mtDNA and all PCR was performed on the Roche Lightcycler 480 Instrument II. PCR reactions </w:t>
      </w:r>
      <w:r w:rsidR="00786EEB" w:rsidRPr="007632A0">
        <w:rPr>
          <w:rFonts w:cs="Arial"/>
        </w:rPr>
        <w:t xml:space="preserve">(20µl) </w:t>
      </w:r>
      <w:r w:rsidRPr="007632A0">
        <w:rPr>
          <w:rFonts w:cs="Arial"/>
        </w:rPr>
        <w:t xml:space="preserve">contained 10 µl of </w:t>
      </w:r>
      <w:r w:rsidRPr="007632A0">
        <w:rPr>
          <w:rFonts w:eastAsia="Times New Roman" w:cs="Arial"/>
          <w:kern w:val="36"/>
          <w:lang w:eastAsia="en-GB"/>
        </w:rPr>
        <w:t>LightCycler</w:t>
      </w:r>
      <w:r w:rsidRPr="007632A0">
        <w:rPr>
          <w:rFonts w:eastAsia="Times New Roman" w:cs="Arial"/>
          <w:kern w:val="36"/>
          <w:vertAlign w:val="superscript"/>
          <w:lang w:eastAsia="en-GB"/>
        </w:rPr>
        <w:t>®</w:t>
      </w:r>
      <w:r w:rsidRPr="007632A0">
        <w:rPr>
          <w:rFonts w:eastAsia="Times New Roman" w:cs="Arial"/>
          <w:kern w:val="36"/>
          <w:lang w:eastAsia="en-GB"/>
        </w:rPr>
        <w:t> 480 SYBR Green I Master (Roche</w:t>
      </w:r>
      <w:r w:rsidR="00362931" w:rsidRPr="007632A0">
        <w:rPr>
          <w:rFonts w:eastAsia="Times New Roman" w:cs="Arial"/>
          <w:kern w:val="36"/>
          <w:lang w:eastAsia="en-GB"/>
        </w:rPr>
        <w:t>,</w:t>
      </w:r>
      <w:r w:rsidRPr="007632A0">
        <w:rPr>
          <w:rFonts w:cs="Arial"/>
          <w:shd w:val="clear" w:color="auto" w:fill="FFFFFF"/>
        </w:rPr>
        <w:t xml:space="preserve"> 04707516001)</w:t>
      </w:r>
      <w:r w:rsidRPr="007632A0">
        <w:rPr>
          <w:rFonts w:cs="Arial"/>
        </w:rPr>
        <w:t>, 1 µl (500 nM) of each primer and 8 µl of DNA. The sequences of the forward (L15977-L15998) and reverse primer (H16092-H16070) were F-5’-CCACCATTAGCACCCAAAGCTA-3’ and R-5’- AT</w:t>
      </w:r>
      <w:r w:rsidRPr="007632A0">
        <w:rPr>
          <w:rFonts w:eastAsia="Times New Roman" w:cs="Arial"/>
          <w:lang w:eastAsia="en-GB"/>
        </w:rPr>
        <w:t xml:space="preserve">ACATAGCGGTTGTTGATGGGT-3’. </w:t>
      </w:r>
      <w:r w:rsidRPr="007632A0">
        <w:rPr>
          <w:rFonts w:cs="Arial"/>
        </w:rPr>
        <w:t xml:space="preserve">Real-time PCR cycling conditions were the following: 1 cycle of </w:t>
      </w:r>
      <w:r w:rsidRPr="007632A0">
        <w:rPr>
          <w:rFonts w:eastAsia="Times New Roman" w:cs="Arial"/>
          <w:shd w:val="clear" w:color="auto" w:fill="FFFFFF"/>
          <w:lang w:eastAsia="en-GB"/>
        </w:rPr>
        <w:t>95</w:t>
      </w:r>
      <w:r w:rsidR="001D7CC3" w:rsidRPr="007632A0">
        <w:rPr>
          <w:rFonts w:eastAsia="Times New Roman" w:cs="Arial"/>
          <w:shd w:val="clear" w:color="auto" w:fill="FFFFFF"/>
          <w:lang w:eastAsia="en-GB"/>
        </w:rPr>
        <w:t xml:space="preserve"> </w:t>
      </w:r>
      <w:r w:rsidRPr="007632A0">
        <w:rPr>
          <w:rFonts w:eastAsia="Times New Roman" w:cs="Arial"/>
          <w:shd w:val="clear" w:color="auto" w:fill="FFFFFF"/>
          <w:lang w:eastAsia="en-GB"/>
        </w:rPr>
        <w:t>°C for 5 minutes, 40 cycles: 95 °C for 30 seconds, 65 °C for 30 seconds, 72 °C for 30 seconds and an extension 72 °C for 5 minutes. A melt curve step of 95</w:t>
      </w:r>
      <w:r w:rsidR="00786EEB" w:rsidRPr="007632A0">
        <w:rPr>
          <w:rFonts w:eastAsia="Times New Roman" w:cs="Arial"/>
          <w:shd w:val="clear" w:color="auto" w:fill="FFFFFF"/>
          <w:lang w:eastAsia="en-GB"/>
        </w:rPr>
        <w:t xml:space="preserve"> </w:t>
      </w:r>
      <w:r w:rsidR="001D7CC3"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C for 5 seconds, 65</w:t>
      </w:r>
      <w:r w:rsidR="001D7CC3" w:rsidRPr="007632A0">
        <w:rPr>
          <w:rFonts w:eastAsia="Times New Roman" w:cs="Arial"/>
          <w:shd w:val="clear" w:color="auto" w:fill="FFFFFF"/>
          <w:lang w:eastAsia="en-GB"/>
        </w:rPr>
        <w:t xml:space="preserve"> </w:t>
      </w:r>
      <w:r w:rsidR="001D7CC3"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C for 1 minute and a ramp rate of 0.11</w:t>
      </w:r>
      <w:r w:rsidR="001D7CC3" w:rsidRPr="007632A0">
        <w:rPr>
          <w:rFonts w:eastAsia="Times New Roman" w:cs="Arial"/>
          <w:shd w:val="clear" w:color="auto" w:fill="FFFFFF"/>
          <w:lang w:eastAsia="en-GB"/>
        </w:rPr>
        <w:t xml:space="preserve"> </w:t>
      </w:r>
      <w:r w:rsidR="001D7CC3"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C/s to 97</w:t>
      </w:r>
      <w:r w:rsidR="00786EEB" w:rsidRPr="007632A0">
        <w:rPr>
          <w:rFonts w:eastAsia="Times New Roman" w:cs="Arial"/>
          <w:shd w:val="clear" w:color="auto" w:fill="FFFFFF"/>
          <w:lang w:eastAsia="en-GB"/>
        </w:rPr>
        <w:t xml:space="preserve"> </w:t>
      </w:r>
      <w:r w:rsidR="001D7CC3" w:rsidRPr="007632A0">
        <w:rPr>
          <w:rFonts w:eastAsia="Times New Roman" w:cs="Arial"/>
          <w:shd w:val="clear" w:color="auto" w:fill="FFFFFF"/>
          <w:vertAlign w:val="superscript"/>
          <w:lang w:eastAsia="en-GB"/>
        </w:rPr>
        <w:t>o</w:t>
      </w:r>
      <w:r w:rsidRPr="007632A0">
        <w:rPr>
          <w:rFonts w:eastAsia="Times New Roman" w:cs="Arial"/>
          <w:shd w:val="clear" w:color="auto" w:fill="FFFFFF"/>
          <w:lang w:eastAsia="en-GB"/>
        </w:rPr>
        <w:t xml:space="preserve">C with continuous fluorescence monitoring was used. A final cooling step to 40 </w:t>
      </w:r>
      <w:r w:rsidR="001D7CC3" w:rsidRPr="007632A0">
        <w:rPr>
          <w:rFonts w:eastAsia="Times New Roman" w:cs="Arial"/>
          <w:shd w:val="clear" w:color="auto" w:fill="FFFFFF"/>
          <w:vertAlign w:val="superscript"/>
          <w:lang w:eastAsia="en-GB"/>
        </w:rPr>
        <w:t>o</w:t>
      </w:r>
      <w:r w:rsidR="001D7CC3" w:rsidRPr="007632A0">
        <w:rPr>
          <w:rFonts w:eastAsia="Times New Roman" w:cs="Arial"/>
          <w:shd w:val="clear" w:color="auto" w:fill="FFFFFF"/>
          <w:lang w:eastAsia="en-GB"/>
        </w:rPr>
        <w:t>C</w:t>
      </w:r>
      <w:r w:rsidRPr="007632A0">
        <w:rPr>
          <w:rFonts w:eastAsia="Times New Roman" w:cs="Arial"/>
          <w:shd w:val="clear" w:color="auto" w:fill="FFFFFF"/>
          <w:lang w:eastAsia="en-GB"/>
        </w:rPr>
        <w:t xml:space="preserve"> for 30 seconds.</w:t>
      </w:r>
    </w:p>
    <w:p w:rsidR="00786EEB" w:rsidRPr="007632A0" w:rsidRDefault="00786EEB" w:rsidP="00A833E7">
      <w:pPr>
        <w:pStyle w:val="NoteLevel11"/>
        <w:rPr>
          <w:rFonts w:eastAsia="Cambria" w:cs="Arial"/>
        </w:rPr>
      </w:pPr>
    </w:p>
    <w:p w:rsidR="00A22F83" w:rsidRPr="007632A0" w:rsidRDefault="00507FB9" w:rsidP="00A833E7">
      <w:pPr>
        <w:pStyle w:val="NoteLevel11"/>
        <w:rPr>
          <w:rFonts w:cs="Helvetica"/>
          <w:sz w:val="28"/>
          <w:szCs w:val="32"/>
        </w:rPr>
      </w:pPr>
      <w:r w:rsidRPr="007632A0">
        <w:rPr>
          <w:rFonts w:cs="Helvetica"/>
          <w:b/>
          <w:sz w:val="28"/>
          <w:szCs w:val="32"/>
        </w:rPr>
        <w:t>PCR Amplification details</w:t>
      </w:r>
      <w:r w:rsidR="00234C90" w:rsidRPr="007632A0">
        <w:rPr>
          <w:rFonts w:cs="Helvetica"/>
          <w:b/>
          <w:sz w:val="28"/>
          <w:szCs w:val="32"/>
        </w:rPr>
        <w:t xml:space="preserve"> (UoS)</w:t>
      </w:r>
    </w:p>
    <w:p w:rsidR="00507FB9" w:rsidRDefault="00507FB9" w:rsidP="00A833E7">
      <w:pPr>
        <w:pStyle w:val="NoteLevel11"/>
        <w:rPr>
          <w:rFonts w:cs="Helvetica"/>
          <w:color w:val="000000"/>
          <w:szCs w:val="17"/>
        </w:rPr>
      </w:pPr>
      <w:r w:rsidRPr="007632A0">
        <w:rPr>
          <w:rFonts w:cs="Helvetica"/>
          <w:color w:val="000000"/>
          <w:szCs w:val="17"/>
        </w:rPr>
        <w:t xml:space="preserve">PCR was performed in a final volume of 15µl, using a hot start Taq kit from Qiagen (product 203445). The reactions contained 25 pmol of forward and reverse primers, each in 1µl, 7.5 µl of the kit master mix, 1.5 µl non-acetylated bovine serum albumin (BSA, 10mg/ml, Sigma B4287) and 2µl of template. The kit magnesium ion concentration of 1.5 mM per reaction was supplemented to </w:t>
      </w:r>
      <w:r w:rsidR="00F03116" w:rsidRPr="007632A0">
        <w:rPr>
          <w:rFonts w:cs="Helvetica"/>
          <w:color w:val="000000"/>
          <w:szCs w:val="17"/>
        </w:rPr>
        <w:t>2 </w:t>
      </w:r>
      <w:r w:rsidRPr="007632A0">
        <w:rPr>
          <w:rFonts w:cs="Helvetica"/>
          <w:color w:val="000000"/>
          <w:szCs w:val="17"/>
        </w:rPr>
        <w:t>mM for PCR methods using EVAGreen™ and to 3mM MgCl</w:t>
      </w:r>
      <w:r w:rsidRPr="007632A0">
        <w:rPr>
          <w:rFonts w:cs="Helvetica"/>
          <w:color w:val="000000"/>
          <w:szCs w:val="12"/>
          <w:vertAlign w:val="subscript"/>
        </w:rPr>
        <w:t>2</w:t>
      </w:r>
      <w:r w:rsidRPr="007632A0">
        <w:rPr>
          <w:rFonts w:cs="Helvetica"/>
          <w:color w:val="000000"/>
          <w:szCs w:val="12"/>
        </w:rPr>
        <w:t xml:space="preserve"> </w:t>
      </w:r>
      <w:r w:rsidRPr="007632A0">
        <w:rPr>
          <w:rFonts w:cs="Helvetica"/>
          <w:color w:val="000000"/>
          <w:szCs w:val="17"/>
        </w:rPr>
        <w:t xml:space="preserve">for real-time PCR with the RLEP </w:t>
      </w:r>
      <w:r w:rsidR="008D2F35" w:rsidRPr="007632A0">
        <w:rPr>
          <w:rFonts w:cs="Helvetica"/>
          <w:color w:val="000000"/>
          <w:szCs w:val="17"/>
        </w:rPr>
        <w:t xml:space="preserve">and 18-kDa </w:t>
      </w:r>
      <w:r w:rsidRPr="007632A0">
        <w:rPr>
          <w:rFonts w:cs="Helvetica"/>
          <w:color w:val="000000"/>
          <w:szCs w:val="17"/>
        </w:rPr>
        <w:t>probe</w:t>
      </w:r>
      <w:r w:rsidR="00362931" w:rsidRPr="007632A0">
        <w:rPr>
          <w:rFonts w:cs="Helvetica"/>
          <w:color w:val="000000"/>
          <w:szCs w:val="17"/>
        </w:rPr>
        <w:t>s</w:t>
      </w:r>
      <w:r w:rsidRPr="007632A0">
        <w:rPr>
          <w:rFonts w:cs="Helvetica"/>
          <w:color w:val="000000"/>
          <w:szCs w:val="17"/>
        </w:rPr>
        <w:t>. The probe</w:t>
      </w:r>
      <w:r w:rsidR="008D2F35" w:rsidRPr="007632A0">
        <w:rPr>
          <w:rFonts w:cs="Helvetica"/>
          <w:color w:val="000000"/>
          <w:szCs w:val="17"/>
        </w:rPr>
        <w:t>s</w:t>
      </w:r>
      <w:r w:rsidRPr="007632A0">
        <w:rPr>
          <w:rFonts w:cs="Helvetica"/>
          <w:color w:val="000000"/>
          <w:szCs w:val="17"/>
        </w:rPr>
        <w:t xml:space="preserve"> w</w:t>
      </w:r>
      <w:r w:rsidR="008D2F35" w:rsidRPr="007632A0">
        <w:rPr>
          <w:rFonts w:cs="Helvetica"/>
          <w:color w:val="000000"/>
          <w:szCs w:val="17"/>
        </w:rPr>
        <w:t>ere</w:t>
      </w:r>
      <w:r w:rsidRPr="007632A0">
        <w:rPr>
          <w:rFonts w:cs="Helvetica"/>
          <w:color w:val="000000"/>
          <w:szCs w:val="17"/>
        </w:rPr>
        <w:t xml:space="preserve"> used at a final concentration </w:t>
      </w:r>
      <w:r w:rsidR="00362931" w:rsidRPr="007632A0">
        <w:rPr>
          <w:rFonts w:cs="Helvetica"/>
          <w:color w:val="000000"/>
          <w:szCs w:val="17"/>
        </w:rPr>
        <w:t>of 100 nM.</w:t>
      </w:r>
      <w:r w:rsidRPr="007632A0">
        <w:rPr>
          <w:rFonts w:cs="Helvetica"/>
          <w:color w:val="000000"/>
          <w:szCs w:val="17"/>
        </w:rPr>
        <w:t xml:space="preserve"> T</w:t>
      </w:r>
      <w:r w:rsidR="008D2F35" w:rsidRPr="007632A0">
        <w:rPr>
          <w:rFonts w:cs="Helvetica"/>
          <w:color w:val="000000"/>
          <w:szCs w:val="17"/>
        </w:rPr>
        <w:t>ube</w:t>
      </w:r>
      <w:r w:rsidRPr="007632A0">
        <w:rPr>
          <w:rFonts w:cs="Helvetica"/>
          <w:color w:val="000000"/>
          <w:szCs w:val="17"/>
        </w:rPr>
        <w:t xml:space="preserve"> volumes were made up to 15 µl with molecular biology grade water (Sigma-Aldrich). After an initial activation step of 14 min at </w:t>
      </w:r>
      <w:r w:rsidR="00F03116" w:rsidRPr="007632A0">
        <w:rPr>
          <w:rFonts w:cs="Helvetica"/>
          <w:color w:val="000000"/>
          <w:szCs w:val="17"/>
        </w:rPr>
        <w:t>95</w:t>
      </w:r>
      <w:r w:rsidR="00F03116" w:rsidRPr="007632A0">
        <w:rPr>
          <w:rFonts w:cs="Helvetica"/>
          <w:color w:val="000000"/>
          <w:szCs w:val="17"/>
          <w:vertAlign w:val="superscript"/>
        </w:rPr>
        <w:t>°</w:t>
      </w:r>
      <w:r w:rsidR="00F03116" w:rsidRPr="007632A0">
        <w:rPr>
          <w:rFonts w:cs="Helvetica"/>
          <w:color w:val="000000"/>
          <w:szCs w:val="17"/>
        </w:rPr>
        <w:t>C</w:t>
      </w:r>
      <w:r w:rsidRPr="007632A0">
        <w:rPr>
          <w:rFonts w:cs="Helvetica"/>
          <w:color w:val="000000"/>
          <w:szCs w:val="17"/>
        </w:rPr>
        <w:t>, 4</w:t>
      </w:r>
      <w:r w:rsidR="00D234C3" w:rsidRPr="007632A0">
        <w:rPr>
          <w:rFonts w:cs="Helvetica"/>
          <w:color w:val="000000"/>
          <w:szCs w:val="17"/>
        </w:rPr>
        <w:t>3 or 45</w:t>
      </w:r>
      <w:r w:rsidRPr="00AF0F3F">
        <w:rPr>
          <w:rFonts w:cs="Helvetica"/>
          <w:color w:val="000000"/>
          <w:szCs w:val="17"/>
        </w:rPr>
        <w:t xml:space="preserve"> cycles of amplification were performed on an Mx3005P RT-PCR platform (Agilent Technologies). </w:t>
      </w:r>
    </w:p>
    <w:p w:rsidR="00B262BA" w:rsidRPr="002D5EF6" w:rsidRDefault="00B262BA" w:rsidP="00A833E7">
      <w:pPr>
        <w:pStyle w:val="NoteLevel11"/>
        <w:rPr>
          <w:rFonts w:cs="Helvetica"/>
          <w:szCs w:val="17"/>
        </w:rPr>
      </w:pPr>
    </w:p>
    <w:p w:rsidR="00507FB9" w:rsidRPr="007632A0" w:rsidRDefault="00507FB9" w:rsidP="00A833E7">
      <w:pPr>
        <w:pStyle w:val="NoteLevel11"/>
        <w:rPr>
          <w:rFonts w:cs="Helvetica"/>
          <w:szCs w:val="17"/>
        </w:rPr>
      </w:pPr>
      <w:r w:rsidRPr="007632A0">
        <w:rPr>
          <w:rFonts w:cs="Helvetica"/>
          <w:szCs w:val="17"/>
        </w:rPr>
        <w:t xml:space="preserve">The thermal profile of the amplification cycles consisted of denaturation at </w:t>
      </w:r>
      <w:r w:rsidR="00F03116" w:rsidRPr="007632A0">
        <w:rPr>
          <w:rFonts w:cs="Helvetica"/>
          <w:szCs w:val="17"/>
        </w:rPr>
        <w:t>95</w:t>
      </w:r>
      <w:r w:rsidR="00F03116" w:rsidRPr="007632A0">
        <w:rPr>
          <w:rFonts w:cs="Helvetica"/>
          <w:szCs w:val="17"/>
          <w:vertAlign w:val="superscript"/>
        </w:rPr>
        <w:t>°</w:t>
      </w:r>
      <w:r w:rsidR="00F03116" w:rsidRPr="007632A0">
        <w:rPr>
          <w:rFonts w:cs="Helvetica"/>
          <w:szCs w:val="17"/>
        </w:rPr>
        <w:t xml:space="preserve">C </w:t>
      </w:r>
      <w:r w:rsidRPr="007632A0">
        <w:rPr>
          <w:rFonts w:cs="Helvetica"/>
          <w:szCs w:val="17"/>
        </w:rPr>
        <w:t>for 10s, annealing (range 52–</w:t>
      </w:r>
      <w:r w:rsidR="00F03116" w:rsidRPr="007632A0">
        <w:rPr>
          <w:rFonts w:cs="Helvetica"/>
          <w:szCs w:val="17"/>
        </w:rPr>
        <w:t>60</w:t>
      </w:r>
      <w:r w:rsidR="00F03116" w:rsidRPr="007632A0">
        <w:rPr>
          <w:rFonts w:cs="Helvetica"/>
          <w:szCs w:val="17"/>
          <w:vertAlign w:val="superscript"/>
        </w:rPr>
        <w:t>°</w:t>
      </w:r>
      <w:r w:rsidR="00F03116" w:rsidRPr="007632A0">
        <w:rPr>
          <w:rFonts w:cs="Helvetica"/>
          <w:szCs w:val="17"/>
        </w:rPr>
        <w:t>C</w:t>
      </w:r>
      <w:r w:rsidRPr="007632A0">
        <w:rPr>
          <w:rFonts w:cs="Helvetica"/>
          <w:szCs w:val="17"/>
        </w:rPr>
        <w:t xml:space="preserve">) for 30s and extension at </w:t>
      </w:r>
      <w:r w:rsidR="00F03116" w:rsidRPr="007632A0">
        <w:rPr>
          <w:rFonts w:cs="Helvetica"/>
          <w:szCs w:val="17"/>
        </w:rPr>
        <w:t>72</w:t>
      </w:r>
      <w:r w:rsidR="00F03116" w:rsidRPr="007632A0">
        <w:rPr>
          <w:rFonts w:cs="Helvetica"/>
          <w:szCs w:val="17"/>
          <w:vertAlign w:val="superscript"/>
        </w:rPr>
        <w:t>°</w:t>
      </w:r>
      <w:r w:rsidR="00F03116" w:rsidRPr="007632A0">
        <w:rPr>
          <w:rFonts w:cs="Helvetica"/>
          <w:szCs w:val="17"/>
        </w:rPr>
        <w:t xml:space="preserve">C </w:t>
      </w:r>
      <w:r w:rsidRPr="007632A0">
        <w:rPr>
          <w:rFonts w:cs="Helvetica"/>
          <w:szCs w:val="17"/>
        </w:rPr>
        <w:t>for 30s. Fluorescence data was acquired during the extension step. Melt analyses was performed automatically at the end o</w:t>
      </w:r>
      <w:r w:rsidR="001D7CC3" w:rsidRPr="007632A0">
        <w:rPr>
          <w:rFonts w:cs="Helvetica"/>
          <w:szCs w:val="17"/>
        </w:rPr>
        <w:t xml:space="preserve">f runs monitored with EVAGreen™ </w:t>
      </w:r>
      <w:r w:rsidRPr="007632A0">
        <w:rPr>
          <w:rFonts w:cs="Helvetica"/>
          <w:szCs w:val="17"/>
        </w:rPr>
        <w:t>and dissociation curves studied to identify likely positives.</w:t>
      </w:r>
    </w:p>
    <w:p w:rsidR="00507FB9" w:rsidRPr="007632A0" w:rsidRDefault="00507FB9" w:rsidP="00A833E7">
      <w:pPr>
        <w:pStyle w:val="NoteLevel11"/>
        <w:rPr>
          <w:rFonts w:cs="Helvetica"/>
          <w:szCs w:val="17"/>
        </w:rPr>
      </w:pPr>
    </w:p>
    <w:p w:rsidR="006B771F" w:rsidRPr="007632A0" w:rsidRDefault="00507FB9" w:rsidP="00A833E7">
      <w:pPr>
        <w:pStyle w:val="NoteLevel11"/>
        <w:rPr>
          <w:rFonts w:cs="Helvetica"/>
          <w:b/>
          <w:sz w:val="28"/>
          <w:szCs w:val="28"/>
        </w:rPr>
      </w:pPr>
      <w:r w:rsidRPr="007632A0">
        <w:rPr>
          <w:rFonts w:cs="Helvetica"/>
          <w:b/>
          <w:sz w:val="28"/>
          <w:szCs w:val="28"/>
        </w:rPr>
        <w:t>Gel electrophores</w:t>
      </w:r>
      <w:r w:rsidR="00B262BA" w:rsidRPr="007632A0">
        <w:rPr>
          <w:rFonts w:cs="Helvetica"/>
          <w:b/>
          <w:sz w:val="28"/>
          <w:szCs w:val="28"/>
        </w:rPr>
        <w:t>is and automated DNA sequencing</w:t>
      </w:r>
      <w:r w:rsidR="0071290D" w:rsidRPr="007632A0">
        <w:rPr>
          <w:rFonts w:cs="Helvetica"/>
          <w:b/>
          <w:sz w:val="28"/>
          <w:szCs w:val="28"/>
        </w:rPr>
        <w:t xml:space="preserve"> (a</w:t>
      </w:r>
      <w:r w:rsidR="00B262BA" w:rsidRPr="007632A0">
        <w:rPr>
          <w:rFonts w:cs="Helvetica"/>
          <w:b/>
          <w:sz w:val="28"/>
          <w:szCs w:val="28"/>
        </w:rPr>
        <w:t>t UoS</w:t>
      </w:r>
      <w:r w:rsidR="0071290D" w:rsidRPr="007632A0">
        <w:rPr>
          <w:rFonts w:cs="Helvetica"/>
          <w:b/>
          <w:sz w:val="28"/>
          <w:szCs w:val="28"/>
        </w:rPr>
        <w:t>)</w:t>
      </w:r>
    </w:p>
    <w:p w:rsidR="006B771F" w:rsidRPr="007632A0" w:rsidRDefault="00507FB9" w:rsidP="00A833E7">
      <w:pPr>
        <w:pStyle w:val="NoteLevel11"/>
        <w:rPr>
          <w:rFonts w:cs="Helvetica"/>
          <w:szCs w:val="17"/>
        </w:rPr>
      </w:pPr>
      <w:r w:rsidRPr="007632A0">
        <w:rPr>
          <w:rFonts w:cs="Helvetica"/>
          <w:szCs w:val="17"/>
        </w:rPr>
        <w:t xml:space="preserve">PCR products were run out on 3% agarose gels in a TAE buffer system alongside appropriate DNA size markers (100 bp or 50 bp DNA ladders, Promega) to confirm product identity. </w:t>
      </w:r>
      <w:r w:rsidR="006B771F" w:rsidRPr="007632A0">
        <w:rPr>
          <w:rFonts w:cs="Helvetica"/>
          <w:szCs w:val="17"/>
        </w:rPr>
        <w:t>For separation of the amelogenin amplicons (106/112bp), products were run on 4.5% MetaPhor™ agarose gels (Lonza Walkerville Inc.).  In both instances, SYBR™ Safe DNA gel stain (Thermo Fisher Scientific) w</w:t>
      </w:r>
      <w:r w:rsidR="00B262BA" w:rsidRPr="007632A0">
        <w:rPr>
          <w:rFonts w:cs="Helvetica"/>
          <w:szCs w:val="17"/>
        </w:rPr>
        <w:t xml:space="preserve">as used to visualize the bands. </w:t>
      </w:r>
      <w:r w:rsidRPr="007632A0">
        <w:rPr>
          <w:rFonts w:cs="Helvetica"/>
          <w:szCs w:val="17"/>
        </w:rPr>
        <w:t xml:space="preserve">Positive samples for SNP or </w:t>
      </w:r>
      <w:r w:rsidR="00371426" w:rsidRPr="007632A0">
        <w:rPr>
          <w:rFonts w:cs="Helvetica"/>
          <w:szCs w:val="17"/>
        </w:rPr>
        <w:t>VNTR</w:t>
      </w:r>
      <w:r w:rsidRPr="007632A0">
        <w:rPr>
          <w:rFonts w:cs="Helvetica"/>
          <w:szCs w:val="17"/>
        </w:rPr>
        <w:t xml:space="preserve"> typing were bulk purified on 3% (wt/vol) low-melting-point agarose (Invitrogen); bands were excised and purified using a Geneclean DNA isolation kit (Cat.No.1001-200, mpbio.com). Templates were sequenced using both forward and reve</w:t>
      </w:r>
      <w:r w:rsidR="00960984" w:rsidRPr="007632A0">
        <w:rPr>
          <w:rFonts w:cs="Helvetica"/>
          <w:szCs w:val="17"/>
        </w:rPr>
        <w:t xml:space="preserve">rse primers by Genewiz UK Ltd., </w:t>
      </w:r>
      <w:r w:rsidRPr="007632A0">
        <w:rPr>
          <w:rFonts w:cs="Helvetica"/>
          <w:szCs w:val="17"/>
        </w:rPr>
        <w:t xml:space="preserve">Takeley, </w:t>
      </w:r>
      <w:r w:rsidR="00C41ED7" w:rsidRPr="007632A0">
        <w:rPr>
          <w:rFonts w:cs="Helvetica"/>
          <w:szCs w:val="17"/>
        </w:rPr>
        <w:t xml:space="preserve">Essex, UK. </w:t>
      </w:r>
      <w:r w:rsidR="00EE76F0" w:rsidRPr="007632A0">
        <w:rPr>
          <w:rFonts w:cs="Arial"/>
        </w:rPr>
        <w:t xml:space="preserve">The sequencing platform </w:t>
      </w:r>
      <w:r w:rsidR="00371426" w:rsidRPr="007632A0">
        <w:rPr>
          <w:rFonts w:cs="Arial"/>
        </w:rPr>
        <w:t xml:space="preserve">they </w:t>
      </w:r>
      <w:r w:rsidR="00EE76F0" w:rsidRPr="007632A0">
        <w:rPr>
          <w:rFonts w:cs="Arial"/>
        </w:rPr>
        <w:t>used was the Life Technologies 3730xl DNA Analyzer, a 96 capillary instrument.</w:t>
      </w:r>
    </w:p>
    <w:p w:rsidR="00371426" w:rsidRPr="007632A0" w:rsidRDefault="00371426" w:rsidP="00A833E7">
      <w:pPr>
        <w:pStyle w:val="NoteLevel11"/>
        <w:rPr>
          <w:rFonts w:cs="Helvetica"/>
          <w:szCs w:val="17"/>
        </w:rPr>
      </w:pPr>
    </w:p>
    <w:p w:rsidR="00AF738D" w:rsidRPr="007632A0" w:rsidRDefault="00BB7280">
      <w:pPr>
        <w:pStyle w:val="NoteLevel11"/>
        <w:rPr>
          <w:rFonts w:eastAsia="Times New Roman" w:cs="Arial"/>
          <w:b/>
          <w:kern w:val="36"/>
          <w:sz w:val="28"/>
          <w:szCs w:val="28"/>
          <w:lang w:eastAsia="en-GB"/>
        </w:rPr>
      </w:pPr>
      <w:r w:rsidRPr="007632A0">
        <w:rPr>
          <w:rFonts w:eastAsia="Times New Roman" w:cs="Arial"/>
          <w:b/>
          <w:kern w:val="36"/>
          <w:sz w:val="28"/>
          <w:szCs w:val="28"/>
          <w:lang w:eastAsia="en-GB"/>
        </w:rPr>
        <w:t>Visualisatio</w:t>
      </w:r>
      <w:r w:rsidR="00B262BA" w:rsidRPr="007632A0">
        <w:rPr>
          <w:rFonts w:eastAsia="Times New Roman" w:cs="Arial"/>
          <w:b/>
          <w:kern w:val="36"/>
          <w:sz w:val="28"/>
          <w:szCs w:val="28"/>
          <w:lang w:eastAsia="en-GB"/>
        </w:rPr>
        <w:t>n of PCR products (UEA)</w:t>
      </w:r>
    </w:p>
    <w:p w:rsidR="00AF738D" w:rsidRPr="007632A0" w:rsidRDefault="00BB7280">
      <w:pPr>
        <w:pStyle w:val="NoteLevel11"/>
        <w:rPr>
          <w:rFonts w:cs="Arial"/>
        </w:rPr>
      </w:pPr>
      <w:r w:rsidRPr="007632A0">
        <w:rPr>
          <w:rFonts w:eastAsia="Times New Roman" w:cs="Arial"/>
          <w:kern w:val="36"/>
          <w:lang w:eastAsia="en-GB"/>
        </w:rPr>
        <w:t>PCR products were visualised using an automated electrophoresis platform, 2200 TapeStation and Agilent software (Agilent Technologies-</w:t>
      </w:r>
      <w:r w:rsidRPr="007632A0">
        <w:rPr>
          <w:rFonts w:cs="Arial"/>
        </w:rPr>
        <w:t>G2964AA</w:t>
      </w:r>
      <w:r w:rsidRPr="007632A0">
        <w:rPr>
          <w:rFonts w:eastAsia="Times New Roman" w:cs="Arial"/>
          <w:kern w:val="36"/>
          <w:lang w:eastAsia="en-GB"/>
        </w:rPr>
        <w:t xml:space="preserve">). PCR products (1 </w:t>
      </w:r>
      <w:r w:rsidRPr="007632A0">
        <w:rPr>
          <w:rFonts w:cs="Arial"/>
        </w:rPr>
        <w:t>µl) and loading buffer (10 µl) (</w:t>
      </w:r>
      <w:r w:rsidRPr="007632A0">
        <w:rPr>
          <w:rFonts w:eastAsia="Times New Roman" w:cs="Arial"/>
          <w:kern w:val="36"/>
          <w:lang w:eastAsia="en-GB"/>
        </w:rPr>
        <w:t>Agilent Technologies-</w:t>
      </w:r>
      <w:r w:rsidRPr="007632A0">
        <w:rPr>
          <w:rFonts w:cs="Arial"/>
          <w:sz w:val="20"/>
          <w:szCs w:val="20"/>
          <w:shd w:val="clear" w:color="auto" w:fill="FFFFFF"/>
        </w:rPr>
        <w:t xml:space="preserve"> </w:t>
      </w:r>
      <w:r w:rsidRPr="007632A0">
        <w:rPr>
          <w:rFonts w:cs="Arial"/>
          <w:shd w:val="clear" w:color="auto" w:fill="FFFFFF"/>
        </w:rPr>
        <w:t>5067-5366</w:t>
      </w:r>
      <w:r w:rsidRPr="007632A0">
        <w:rPr>
          <w:rFonts w:eastAsia="Times New Roman" w:cs="Arial"/>
          <w:kern w:val="36"/>
          <w:lang w:eastAsia="en-GB"/>
        </w:rPr>
        <w:t>)</w:t>
      </w:r>
      <w:r w:rsidRPr="007632A0">
        <w:rPr>
          <w:rFonts w:cs="Arial"/>
        </w:rPr>
        <w:t xml:space="preserve"> were added to optical tube strips </w:t>
      </w:r>
      <w:r w:rsidRPr="007632A0">
        <w:rPr>
          <w:rFonts w:eastAsia="Times New Roman" w:cs="Arial"/>
          <w:kern w:val="36"/>
          <w:lang w:eastAsia="en-GB"/>
        </w:rPr>
        <w:t>(Agilent Technologies-</w:t>
      </w:r>
      <w:r w:rsidRPr="007632A0">
        <w:rPr>
          <w:rFonts w:cs="Arial"/>
        </w:rPr>
        <w:t>401428</w:t>
      </w:r>
      <w:r w:rsidRPr="007632A0">
        <w:rPr>
          <w:rFonts w:eastAsia="Times New Roman" w:cs="Arial"/>
          <w:kern w:val="36"/>
          <w:lang w:eastAsia="en-GB"/>
        </w:rPr>
        <w:t>) and mixed before being placed into the TapeStation. The TapeStation then loaded the PCR products to the genomic screenTape (Agilent Technologies</w:t>
      </w:r>
      <w:r w:rsidR="00362931" w:rsidRPr="007632A0">
        <w:rPr>
          <w:rFonts w:eastAsia="Times New Roman" w:cs="Arial"/>
          <w:kern w:val="36"/>
          <w:lang w:eastAsia="en-GB"/>
        </w:rPr>
        <w:t xml:space="preserve">, </w:t>
      </w:r>
      <w:r w:rsidRPr="007632A0">
        <w:rPr>
          <w:rFonts w:cs="Arial"/>
          <w:shd w:val="clear" w:color="auto" w:fill="FFFFFF"/>
        </w:rPr>
        <w:t>5067-5365)</w:t>
      </w:r>
      <w:r w:rsidRPr="007632A0">
        <w:rPr>
          <w:rFonts w:cs="Arial"/>
        </w:rPr>
        <w:t xml:space="preserve"> </w:t>
      </w:r>
      <w:r w:rsidRPr="007632A0">
        <w:rPr>
          <w:rFonts w:eastAsia="Times New Roman" w:cs="Arial"/>
          <w:kern w:val="36"/>
          <w:lang w:eastAsia="en-GB"/>
        </w:rPr>
        <w:t>automatically.  A DNA ladder (200 to &gt;60,000 bp)</w:t>
      </w:r>
      <w:r w:rsidRPr="007632A0">
        <w:rPr>
          <w:rFonts w:cs="Arial"/>
        </w:rPr>
        <w:t xml:space="preserve"> (</w:t>
      </w:r>
      <w:r w:rsidRPr="007632A0">
        <w:rPr>
          <w:rFonts w:eastAsia="Times New Roman" w:cs="Arial"/>
          <w:kern w:val="36"/>
          <w:lang w:eastAsia="en-GB"/>
        </w:rPr>
        <w:t>Agilent Technologies-</w:t>
      </w:r>
      <w:r w:rsidRPr="007632A0">
        <w:rPr>
          <w:rFonts w:cs="Arial"/>
          <w:sz w:val="20"/>
          <w:szCs w:val="20"/>
          <w:shd w:val="clear" w:color="auto" w:fill="FFFFFF"/>
        </w:rPr>
        <w:t xml:space="preserve"> </w:t>
      </w:r>
      <w:r w:rsidRPr="007632A0">
        <w:rPr>
          <w:rFonts w:cs="Arial"/>
          <w:shd w:val="clear" w:color="auto" w:fill="FFFFFF"/>
        </w:rPr>
        <w:t>5067-5366</w:t>
      </w:r>
      <w:r w:rsidRPr="007632A0">
        <w:rPr>
          <w:rFonts w:eastAsia="Times New Roman" w:cs="Arial"/>
          <w:kern w:val="36"/>
          <w:lang w:eastAsia="en-GB"/>
        </w:rPr>
        <w:t>)</w:t>
      </w:r>
      <w:r w:rsidRPr="007632A0">
        <w:rPr>
          <w:rFonts w:cs="Arial"/>
        </w:rPr>
        <w:t xml:space="preserve"> </w:t>
      </w:r>
      <w:r w:rsidRPr="007632A0">
        <w:rPr>
          <w:rFonts w:eastAsia="Times New Roman" w:cs="Arial"/>
          <w:kern w:val="36"/>
          <w:lang w:eastAsia="en-GB"/>
        </w:rPr>
        <w:t>was run alongside the PCR products.</w:t>
      </w:r>
    </w:p>
    <w:p w:rsidR="00786EEB" w:rsidRPr="00786EEB" w:rsidRDefault="00786EEB" w:rsidP="00A833E7">
      <w:pPr>
        <w:pStyle w:val="NoteLevel11"/>
        <w:rPr>
          <w:rFonts w:cs="Helvetica"/>
          <w:szCs w:val="17"/>
        </w:rPr>
      </w:pPr>
    </w:p>
    <w:p w:rsidR="00AF738D" w:rsidRPr="0071290D" w:rsidRDefault="00BB7280">
      <w:pPr>
        <w:pStyle w:val="NoteLevel11"/>
        <w:rPr>
          <w:rFonts w:cs="Arial"/>
          <w:b/>
          <w:sz w:val="28"/>
          <w:szCs w:val="28"/>
        </w:rPr>
      </w:pPr>
      <w:r w:rsidRPr="0071290D">
        <w:rPr>
          <w:rFonts w:cs="Arial"/>
          <w:b/>
          <w:sz w:val="28"/>
          <w:szCs w:val="28"/>
        </w:rPr>
        <w:t>Sequencing of PCR amplicons</w:t>
      </w:r>
      <w:r w:rsidR="00B262BA" w:rsidRPr="0071290D">
        <w:rPr>
          <w:rFonts w:cs="Arial"/>
          <w:b/>
          <w:sz w:val="28"/>
          <w:szCs w:val="28"/>
        </w:rPr>
        <w:t xml:space="preserve"> (UEA)</w:t>
      </w:r>
    </w:p>
    <w:p w:rsidR="00AF738D" w:rsidRDefault="00BB7280">
      <w:pPr>
        <w:pStyle w:val="NoteLevel11"/>
        <w:rPr>
          <w:rFonts w:cs="Arial"/>
        </w:rPr>
      </w:pPr>
      <w:r w:rsidRPr="00BB7280">
        <w:rPr>
          <w:rFonts w:cs="Arial"/>
        </w:rPr>
        <w:t xml:space="preserve">Sanger sequencing of mtDNA and </w:t>
      </w:r>
      <w:r w:rsidRPr="00BB7280">
        <w:rPr>
          <w:rFonts w:cs="Arial"/>
          <w:i/>
        </w:rPr>
        <w:t>M. leprae</w:t>
      </w:r>
      <w:r w:rsidRPr="00BB7280">
        <w:rPr>
          <w:rFonts w:cs="Arial"/>
        </w:rPr>
        <w:t xml:space="preserve"> PCR products was performed by Source Bioscience using the forward primer only (</w:t>
      </w:r>
      <w:r w:rsidRPr="00BB7280">
        <w:rPr>
          <w:rFonts w:cs="Arial"/>
          <w:shd w:val="clear" w:color="auto" w:fill="FFFFFF"/>
        </w:rPr>
        <w:t xml:space="preserve">3.2pmol/µl) for the </w:t>
      </w:r>
      <w:r w:rsidRPr="00BB7280">
        <w:rPr>
          <w:rFonts w:cs="Arial"/>
          <w:i/>
          <w:shd w:val="clear" w:color="auto" w:fill="FFFFFF"/>
        </w:rPr>
        <w:t>M. leprae</w:t>
      </w:r>
      <w:r w:rsidRPr="00BB7280">
        <w:rPr>
          <w:rFonts w:cs="Arial"/>
          <w:shd w:val="clear" w:color="auto" w:fill="FFFFFF"/>
        </w:rPr>
        <w:t xml:space="preserve"> and human PCR assays</w:t>
      </w:r>
      <w:r w:rsidRPr="00BB7280">
        <w:rPr>
          <w:rFonts w:cs="Arial"/>
        </w:rPr>
        <w:t>. The quantity of the DNA was determined before sending using the Qubit 3.0 Fluorometer (Thermo Fisher-</w:t>
      </w:r>
      <w:r w:rsidR="002D7A92">
        <w:rPr>
          <w:rFonts w:cs="Arial"/>
        </w:rPr>
        <w:t xml:space="preserve">Cat. No. </w:t>
      </w:r>
      <w:r w:rsidRPr="00BB7280">
        <w:rPr>
          <w:rFonts w:cs="Arial"/>
        </w:rPr>
        <w:t xml:space="preserve">Q33226) and the high sensitivity dsDNA assay kit (Thermo Fisher- </w:t>
      </w:r>
      <w:r w:rsidR="002D7A92">
        <w:rPr>
          <w:rFonts w:cs="Arial"/>
        </w:rPr>
        <w:t xml:space="preserve">Cat. No. </w:t>
      </w:r>
      <w:r w:rsidRPr="00BB7280">
        <w:rPr>
          <w:rFonts w:cs="Arial"/>
        </w:rPr>
        <w:t xml:space="preserve">Q32851). </w:t>
      </w:r>
    </w:p>
    <w:p w:rsidR="00786EEB" w:rsidRPr="005351E4" w:rsidRDefault="00786EEB" w:rsidP="00A833E7">
      <w:pPr>
        <w:pStyle w:val="NoteLevel11"/>
        <w:rPr>
          <w:rFonts w:cs="Helvetica"/>
          <w:szCs w:val="17"/>
        </w:rPr>
      </w:pPr>
    </w:p>
    <w:p w:rsidR="00786F77" w:rsidRPr="0071290D" w:rsidRDefault="00507FB9" w:rsidP="00A833E7">
      <w:pPr>
        <w:pStyle w:val="NoteLevel11"/>
        <w:rPr>
          <w:rFonts w:cs="Helvetica"/>
          <w:b/>
          <w:sz w:val="28"/>
          <w:szCs w:val="28"/>
        </w:rPr>
      </w:pPr>
      <w:r w:rsidRPr="0071290D">
        <w:rPr>
          <w:rFonts w:cs="Helvetica"/>
          <w:b/>
          <w:sz w:val="28"/>
          <w:szCs w:val="28"/>
        </w:rPr>
        <w:t>Measures to prevent contamin</w:t>
      </w:r>
      <w:r w:rsidR="00B262BA" w:rsidRPr="0071290D">
        <w:rPr>
          <w:rFonts w:cs="Helvetica"/>
          <w:b/>
          <w:sz w:val="28"/>
          <w:szCs w:val="28"/>
        </w:rPr>
        <w:t>ation</w:t>
      </w:r>
      <w:r w:rsidR="0071290D" w:rsidRPr="0071290D">
        <w:rPr>
          <w:rFonts w:cs="Helvetica"/>
          <w:b/>
          <w:sz w:val="28"/>
          <w:szCs w:val="28"/>
        </w:rPr>
        <w:t xml:space="preserve"> (a</w:t>
      </w:r>
      <w:r w:rsidR="00B262BA" w:rsidRPr="0071290D">
        <w:rPr>
          <w:rFonts w:cs="Helvetica"/>
          <w:b/>
          <w:sz w:val="28"/>
          <w:szCs w:val="28"/>
        </w:rPr>
        <w:t>t UoS</w:t>
      </w:r>
      <w:r w:rsidR="0071290D" w:rsidRPr="0071290D">
        <w:rPr>
          <w:rFonts w:cs="Helvetica"/>
          <w:b/>
          <w:sz w:val="28"/>
          <w:szCs w:val="28"/>
        </w:rPr>
        <w:t>)</w:t>
      </w:r>
    </w:p>
    <w:p w:rsidR="00507FB9" w:rsidRDefault="00060ED1" w:rsidP="00A833E7">
      <w:pPr>
        <w:pStyle w:val="NoteLevel11"/>
        <w:rPr>
          <w:rFonts w:cs="Helvetica"/>
          <w:szCs w:val="17"/>
        </w:rPr>
      </w:pPr>
      <w:r>
        <w:rPr>
          <w:rFonts w:cs="Helvetica"/>
          <w:szCs w:val="17"/>
        </w:rPr>
        <w:t xml:space="preserve"> Measures to prevent contamination were adopted from the time of sampling onwards. Samples were taken from bone interiors which had not been handled. </w:t>
      </w:r>
      <w:r w:rsidR="00507FB9" w:rsidRPr="00AF0F3F">
        <w:rPr>
          <w:rFonts w:cs="Helvetica"/>
          <w:szCs w:val="17"/>
        </w:rPr>
        <w:t>Separate laboratories were used for each of the three main stages of the aDNA ana</w:t>
      </w:r>
      <w:r w:rsidR="00507FB9">
        <w:rPr>
          <w:rFonts w:cs="Helvetica"/>
          <w:szCs w:val="17"/>
        </w:rPr>
        <w:t>lyses, these being extraction, amplification and p</w:t>
      </w:r>
      <w:r w:rsidR="00507FB9" w:rsidRPr="00AF0F3F">
        <w:rPr>
          <w:rFonts w:cs="Helvetica"/>
          <w:szCs w:val="17"/>
        </w:rPr>
        <w:t xml:space="preserve">ost PCR analysis, such as gel electrophoresis and purification of products for sequencing. The pre- and post- PCR laboratories were physically separated </w:t>
      </w:r>
      <w:r w:rsidR="00D234C3">
        <w:rPr>
          <w:rFonts w:cs="Helvetica"/>
          <w:szCs w:val="17"/>
        </w:rPr>
        <w:t xml:space="preserve">by </w:t>
      </w:r>
      <w:r w:rsidR="006B771F">
        <w:rPr>
          <w:rFonts w:cs="Helvetica"/>
          <w:szCs w:val="17"/>
        </w:rPr>
        <w:t xml:space="preserve">several hundred metres </w:t>
      </w:r>
      <w:r w:rsidR="00507FB9" w:rsidRPr="00AF0F3F">
        <w:rPr>
          <w:rFonts w:cs="Helvetica"/>
          <w:szCs w:val="17"/>
        </w:rPr>
        <w:t xml:space="preserve">and independently equipped with </w:t>
      </w:r>
      <w:r w:rsidR="006B771F">
        <w:rPr>
          <w:rFonts w:cs="Helvetica"/>
          <w:szCs w:val="17"/>
        </w:rPr>
        <w:t xml:space="preserve">personal protective equipment (PPE), </w:t>
      </w:r>
      <w:r w:rsidR="00507FB9" w:rsidRPr="00AF0F3F">
        <w:rPr>
          <w:rFonts w:cs="Helvetica"/>
          <w:szCs w:val="17"/>
        </w:rPr>
        <w:t>pipettes, fridge-freezers, mixers and bench top centrifuges, disposable plasticware, filter tips and other reagents dedicated to the project.</w:t>
      </w:r>
    </w:p>
    <w:p w:rsidR="00B262BA" w:rsidRPr="00AF0F3F" w:rsidRDefault="00B262BA" w:rsidP="00A833E7">
      <w:pPr>
        <w:pStyle w:val="NoteLevel11"/>
        <w:rPr>
          <w:rFonts w:cs="Helvetica"/>
          <w:szCs w:val="17"/>
        </w:rPr>
      </w:pPr>
    </w:p>
    <w:p w:rsidR="006F0E14" w:rsidRDefault="00507FB9" w:rsidP="00A833E7">
      <w:pPr>
        <w:pStyle w:val="NoteLevel11"/>
        <w:rPr>
          <w:rFonts w:cs="Helvetica"/>
          <w:szCs w:val="17"/>
        </w:rPr>
      </w:pPr>
      <w:r w:rsidRPr="00AF0F3F">
        <w:rPr>
          <w:rFonts w:cs="Helvetica"/>
          <w:szCs w:val="17"/>
        </w:rPr>
        <w:t xml:space="preserve">Surfaces and equipment in contact with sample tubes (centrifuges, rotors, mixers, etc.) were cleaned before each assay. </w:t>
      </w:r>
      <w:r w:rsidR="006B771F">
        <w:rPr>
          <w:rFonts w:cs="Helvetica"/>
          <w:szCs w:val="17"/>
        </w:rPr>
        <w:t>In the clean area, t</w:t>
      </w:r>
      <w:r w:rsidRPr="00AF0F3F">
        <w:rPr>
          <w:rFonts w:cs="Helvetica"/>
          <w:szCs w:val="17"/>
        </w:rPr>
        <w:t>wo control tubes, comprising reagents less</w:t>
      </w:r>
      <w:r>
        <w:rPr>
          <w:rFonts w:cs="Helvetica"/>
          <w:szCs w:val="17"/>
        </w:rPr>
        <w:t xml:space="preserve"> bone powder</w:t>
      </w:r>
      <w:r w:rsidRPr="00AF0F3F">
        <w:rPr>
          <w:rFonts w:cs="Helvetica"/>
          <w:szCs w:val="17"/>
        </w:rPr>
        <w:t>, were taken through each extraction experiment to ensure reagents were contamination free</w:t>
      </w:r>
      <w:r w:rsidR="00060ED1">
        <w:rPr>
          <w:rFonts w:cs="Helvetica"/>
          <w:szCs w:val="17"/>
        </w:rPr>
        <w:t xml:space="preserve"> before testing cases.</w:t>
      </w:r>
      <w:r w:rsidRPr="00AF0F3F">
        <w:rPr>
          <w:rFonts w:cs="Helvetica"/>
          <w:szCs w:val="17"/>
        </w:rPr>
        <w:t xml:space="preserve">  </w:t>
      </w:r>
      <w:r w:rsidR="006B771F">
        <w:rPr>
          <w:rFonts w:cs="Helvetica"/>
          <w:szCs w:val="17"/>
        </w:rPr>
        <w:t>T</w:t>
      </w:r>
      <w:r w:rsidRPr="00AF0F3F">
        <w:rPr>
          <w:rFonts w:cs="Helvetica"/>
          <w:szCs w:val="17"/>
        </w:rPr>
        <w:t xml:space="preserve">emplate blanks were run alongside bone extracts in the PCR machine to screen for random contamination. Positive controls were not included in any of the PCR experiments. </w:t>
      </w:r>
    </w:p>
    <w:p w:rsidR="00B262BA" w:rsidRDefault="00B262BA" w:rsidP="00A833E7">
      <w:pPr>
        <w:pStyle w:val="NoteLevel11"/>
        <w:rPr>
          <w:rFonts w:cs="Helvetica"/>
          <w:szCs w:val="17"/>
        </w:rPr>
      </w:pPr>
    </w:p>
    <w:p w:rsidR="00786F77" w:rsidRPr="00FF5086" w:rsidRDefault="0071290D" w:rsidP="00FF5086">
      <w:pPr>
        <w:pStyle w:val="NoteLevel11"/>
        <w:rPr>
          <w:rFonts w:cs="Helvetica"/>
          <w:b/>
          <w:sz w:val="28"/>
          <w:szCs w:val="28"/>
        </w:rPr>
      </w:pPr>
      <w:r w:rsidRPr="00FF5086">
        <w:rPr>
          <w:rFonts w:cs="Helvetica"/>
          <w:b/>
          <w:sz w:val="28"/>
          <w:szCs w:val="28"/>
        </w:rPr>
        <w:t>Measures to prevent contamination (a</w:t>
      </w:r>
      <w:r w:rsidR="00BB7280" w:rsidRPr="00FF5086">
        <w:rPr>
          <w:rFonts w:cs="Helvetica"/>
          <w:b/>
          <w:sz w:val="28"/>
          <w:szCs w:val="28"/>
        </w:rPr>
        <w:t>t UEA</w:t>
      </w:r>
      <w:r w:rsidRPr="00FF5086">
        <w:rPr>
          <w:rFonts w:cs="Helvetica"/>
          <w:b/>
          <w:sz w:val="28"/>
          <w:szCs w:val="28"/>
        </w:rPr>
        <w:t>)</w:t>
      </w:r>
    </w:p>
    <w:p w:rsidR="00AF738D" w:rsidRDefault="00BB7280">
      <w:pPr>
        <w:pStyle w:val="NoteLevel11"/>
        <w:rPr>
          <w:rFonts w:cs="Arial"/>
        </w:rPr>
      </w:pPr>
      <w:r w:rsidRPr="00BB7280">
        <w:rPr>
          <w:rFonts w:cs="Arial"/>
        </w:rPr>
        <w:t xml:space="preserve">Three separate laboratories were used for DNA extraction, PCR set up and post-PCR analysis in the Bob Champion Research and Educational Building. At the time this work was carried out, the laboratory was just under 2 years old and no previous aDNA or </w:t>
      </w:r>
      <w:r w:rsidRPr="00BB7280">
        <w:rPr>
          <w:rFonts w:cs="Arial"/>
          <w:i/>
        </w:rPr>
        <w:t>M. leprae</w:t>
      </w:r>
      <w:r w:rsidRPr="00BB7280">
        <w:rPr>
          <w:rFonts w:cs="Arial"/>
        </w:rPr>
        <w:t xml:space="preserve"> DNA had ever been used in the laboratory. The laboratory used for DNA extraction was on a different floor from PCR set up and analysis. These rooms all were separately equipped with PPE, equipment and plastic ware. DNA extraction from bones samples took place in a class II microbiological safety cabinet which was thoroughly cleaned with 10% CHEMGENE HLD4L laboratory disinfectant (MediMark Scientific-XTM309) prior to use. All surfaces in the three separate labs were thoroughly cleaned with 2% CHEMGENE prior to use. Positive controls were not included in any of the PCR experiments. </w:t>
      </w:r>
      <w:r w:rsidR="003152B7">
        <w:rPr>
          <w:rFonts w:cs="Arial"/>
        </w:rPr>
        <w:t>“</w:t>
      </w:r>
      <w:r w:rsidRPr="00BB7280">
        <w:rPr>
          <w:rFonts w:cs="Arial"/>
        </w:rPr>
        <w:t>No template</w:t>
      </w:r>
      <w:r w:rsidR="003152B7">
        <w:rPr>
          <w:rFonts w:cs="Arial"/>
        </w:rPr>
        <w:t>”</w:t>
      </w:r>
      <w:r w:rsidRPr="00BB7280">
        <w:rPr>
          <w:rFonts w:cs="Arial"/>
        </w:rPr>
        <w:t xml:space="preserve"> controls were run alongside bone extracts in all PCR runs to screen for contamination. </w:t>
      </w:r>
    </w:p>
    <w:p w:rsidR="002C3318" w:rsidRPr="002C3318" w:rsidRDefault="002C3318" w:rsidP="00A833E7">
      <w:pPr>
        <w:pStyle w:val="NoteLevel11"/>
        <w:rPr>
          <w:rFonts w:cs="Helvetica"/>
          <w:szCs w:val="17"/>
        </w:rPr>
      </w:pPr>
    </w:p>
    <w:p w:rsidR="0013077C" w:rsidRPr="00234C90" w:rsidRDefault="00BB7280" w:rsidP="00A833E7">
      <w:pPr>
        <w:pStyle w:val="NoteLevel11"/>
        <w:rPr>
          <w:rFonts w:cs="Helvetica"/>
          <w:b/>
          <w:sz w:val="28"/>
          <w:szCs w:val="32"/>
        </w:rPr>
      </w:pPr>
      <w:r w:rsidRPr="00234C90">
        <w:rPr>
          <w:rFonts w:cs="Helvetica"/>
          <w:b/>
          <w:sz w:val="28"/>
          <w:szCs w:val="32"/>
        </w:rPr>
        <w:t>Whole genome amplification, enr</w:t>
      </w:r>
      <w:r w:rsidR="00234C90">
        <w:rPr>
          <w:rFonts w:cs="Helvetica"/>
          <w:b/>
          <w:sz w:val="28"/>
          <w:szCs w:val="32"/>
        </w:rPr>
        <w:t>ichment and analysis (UoS</w:t>
      </w:r>
      <w:r w:rsidR="00B262BA" w:rsidRPr="00234C90">
        <w:rPr>
          <w:rFonts w:cs="Helvetica"/>
          <w:b/>
          <w:sz w:val="28"/>
          <w:szCs w:val="32"/>
        </w:rPr>
        <w:t>)</w:t>
      </w:r>
    </w:p>
    <w:p w:rsidR="006F0E14" w:rsidRPr="009064A1" w:rsidRDefault="00BB7280" w:rsidP="00A833E7">
      <w:pPr>
        <w:pStyle w:val="NoteLevel11"/>
        <w:rPr>
          <w:rFonts w:cs="Times"/>
          <w:szCs w:val="19"/>
        </w:rPr>
      </w:pPr>
      <w:r w:rsidRPr="00BB7280">
        <w:rPr>
          <w:rFonts w:cs="Times"/>
          <w:szCs w:val="19"/>
        </w:rPr>
        <w:t>DNA was extracted, enriched and assessed at the University of Surrey. The protocol has been fully described</w:t>
      </w:r>
      <w:r w:rsidR="008D433A">
        <w:rPr>
          <w:rFonts w:cs="Times"/>
          <w:szCs w:val="19"/>
        </w:rPr>
        <w:t xml:space="preserve"> </w:t>
      </w:r>
      <w:r w:rsidR="008D433A" w:rsidRPr="004D1A25">
        <w:rPr>
          <w:rFonts w:cs="Times"/>
          <w:szCs w:val="19"/>
        </w:rPr>
        <w:t>[20</w:t>
      </w:r>
      <w:r w:rsidR="004D1A25" w:rsidRPr="004D1A25">
        <w:rPr>
          <w:rFonts w:cs="Times"/>
          <w:szCs w:val="19"/>
        </w:rPr>
        <w:t>]</w:t>
      </w:r>
      <w:r w:rsidRPr="004D1A25">
        <w:rPr>
          <w:rFonts w:cs="Times"/>
          <w:szCs w:val="19"/>
        </w:rPr>
        <w:t>.</w:t>
      </w:r>
      <w:r w:rsidRPr="00BB7280">
        <w:rPr>
          <w:rFonts w:cs="Times"/>
          <w:szCs w:val="19"/>
        </w:rPr>
        <w:t xml:space="preserve"> This involved removing uracil residues with USER enzyme (New England Biolabs, Hitchin, UK), repairing the DNA, ligating linkers to the ends and PCR amplifying before enriching for </w:t>
      </w:r>
      <w:r w:rsidRPr="00BB7280">
        <w:rPr>
          <w:rFonts w:cs="Times"/>
          <w:i/>
          <w:szCs w:val="19"/>
        </w:rPr>
        <w:t>M. leprae</w:t>
      </w:r>
      <w:r w:rsidRPr="00BB7280">
        <w:rPr>
          <w:rFonts w:cs="Times"/>
          <w:szCs w:val="19"/>
        </w:rPr>
        <w:t xml:space="preserve"> sequences. Samples were pair-end sequenced with double indices on a HiSeq ™ X Ten platform (Genewiz Ltd., Takely, Essex, UK).</w:t>
      </w:r>
    </w:p>
    <w:p w:rsidR="00ED5024" w:rsidRPr="0071062F" w:rsidRDefault="00ED5024" w:rsidP="0071062F">
      <w:pPr>
        <w:pStyle w:val="NoteLevel11"/>
        <w:rPr>
          <w:rFonts w:cs="Helvetica"/>
          <w:b/>
          <w:sz w:val="32"/>
          <w:szCs w:val="32"/>
        </w:rPr>
      </w:pPr>
    </w:p>
    <w:p w:rsidR="002C2F90" w:rsidRPr="000E2CDC" w:rsidRDefault="00CC5D4C" w:rsidP="00A833E7">
      <w:pPr>
        <w:pStyle w:val="NoteLevel11"/>
        <w:rPr>
          <w:rFonts w:cs="Helvetica"/>
          <w:b/>
          <w:sz w:val="32"/>
          <w:szCs w:val="32"/>
        </w:rPr>
      </w:pPr>
      <w:r>
        <w:rPr>
          <w:rFonts w:cs="Helvetica"/>
          <w:b/>
          <w:sz w:val="32"/>
          <w:szCs w:val="32"/>
        </w:rPr>
        <w:t>Stable i</w:t>
      </w:r>
      <w:r w:rsidR="00B262BA" w:rsidRPr="000E2CDC">
        <w:rPr>
          <w:rFonts w:cs="Helvetica"/>
          <w:b/>
          <w:sz w:val="32"/>
          <w:szCs w:val="32"/>
        </w:rPr>
        <w:t>sotope a</w:t>
      </w:r>
      <w:r>
        <w:rPr>
          <w:rFonts w:cs="Helvetica"/>
          <w:b/>
          <w:sz w:val="32"/>
          <w:szCs w:val="32"/>
        </w:rPr>
        <w:t>nalysis</w:t>
      </w:r>
    </w:p>
    <w:p w:rsidR="00D866F2" w:rsidRPr="00CC5D4C" w:rsidRDefault="00CC5D4C" w:rsidP="00CC5D4C">
      <w:pPr>
        <w:pStyle w:val="NoteLevel11"/>
        <w:rPr>
          <w:rFonts w:cs="Times"/>
          <w:szCs w:val="20"/>
        </w:rPr>
      </w:pPr>
      <w:r>
        <w:rPr>
          <w:rFonts w:cs="Times"/>
          <w:szCs w:val="20"/>
        </w:rPr>
        <w:t xml:space="preserve">The isotopic analysis was undertaken at the University of Southampton. </w:t>
      </w:r>
      <w:r w:rsidR="00BB7280" w:rsidRPr="00BB7280">
        <w:rPr>
          <w:rFonts w:cs="Times"/>
          <w:szCs w:val="20"/>
        </w:rPr>
        <w:t>Strontium and oxygen isotopic analysis were carried out on tooth enamel of the three Golden Lane cases to shed light on each individual</w:t>
      </w:r>
      <w:r w:rsidR="00BB7280" w:rsidRPr="00BB7280">
        <w:rPr>
          <w:rFonts w:cs="Helvetica"/>
          <w:szCs w:val="20"/>
        </w:rPr>
        <w:t>’</w:t>
      </w:r>
      <w:r w:rsidR="00BB7280" w:rsidRPr="00BB7280">
        <w:rPr>
          <w:rFonts w:cs="Times"/>
          <w:szCs w:val="20"/>
        </w:rPr>
        <w:t>s childhood origins</w:t>
      </w:r>
      <w:r>
        <w:rPr>
          <w:rFonts w:cs="Times"/>
          <w:szCs w:val="20"/>
        </w:rPr>
        <w:t>; no dental samples were available for either the Armoy or Ard</w:t>
      </w:r>
      <w:r w:rsidR="00084608">
        <w:rPr>
          <w:rFonts w:cs="Times"/>
          <w:szCs w:val="20"/>
        </w:rPr>
        <w:t>r</w:t>
      </w:r>
      <w:r>
        <w:rPr>
          <w:rFonts w:cs="Times"/>
          <w:szCs w:val="20"/>
        </w:rPr>
        <w:t>eigh cases</w:t>
      </w:r>
      <w:r w:rsidR="00BB7280" w:rsidRPr="00BB7280">
        <w:rPr>
          <w:rFonts w:cs="Times"/>
          <w:szCs w:val="20"/>
        </w:rPr>
        <w:t>.</w:t>
      </w:r>
      <w:r>
        <w:rPr>
          <w:rFonts w:cs="Times"/>
          <w:szCs w:val="20"/>
        </w:rPr>
        <w:t xml:space="preserve"> </w:t>
      </w:r>
      <w:r>
        <w:t>Where available, s</w:t>
      </w:r>
      <w:r w:rsidR="00BB7280" w:rsidRPr="00BB7280">
        <w:t>amples of rib and long</w:t>
      </w:r>
      <w:r>
        <w:t xml:space="preserve"> </w:t>
      </w:r>
      <w:r w:rsidR="00BB7280" w:rsidRPr="00BB7280">
        <w:t>bone fro</w:t>
      </w:r>
      <w:r>
        <w:t xml:space="preserve">m each individual were sampled for carbon and nitrogen isotopic analysis for the purposes of dietary reconstruction. Details of the samples taken are provided </w:t>
      </w:r>
      <w:r w:rsidR="00230582">
        <w:t xml:space="preserve">in </w:t>
      </w:r>
      <w:r w:rsidR="00230582" w:rsidRPr="00230582">
        <w:rPr>
          <w:highlight w:val="yellow"/>
        </w:rPr>
        <w:t>Supporting Information S2</w:t>
      </w:r>
      <w:r>
        <w:t>.</w:t>
      </w:r>
    </w:p>
    <w:p w:rsidR="00D866F2" w:rsidRDefault="00D866F2" w:rsidP="00A833E7">
      <w:pPr>
        <w:pStyle w:val="NoteLevel11"/>
      </w:pPr>
    </w:p>
    <w:p w:rsidR="00CC5D4C" w:rsidRPr="00234C90" w:rsidRDefault="00CC5D4C" w:rsidP="00A833E7">
      <w:pPr>
        <w:pStyle w:val="NoteLevel11"/>
        <w:rPr>
          <w:b/>
          <w:sz w:val="28"/>
          <w:szCs w:val="32"/>
        </w:rPr>
      </w:pPr>
      <w:r w:rsidRPr="00234C90">
        <w:rPr>
          <w:b/>
          <w:sz w:val="28"/>
          <w:szCs w:val="32"/>
        </w:rPr>
        <w:t>Strontium</w:t>
      </w:r>
    </w:p>
    <w:p w:rsidR="00CC5D4C" w:rsidRDefault="00BB7280" w:rsidP="00A833E7">
      <w:pPr>
        <w:pStyle w:val="NoteLevel11"/>
      </w:pPr>
      <w:r w:rsidRPr="00BB7280">
        <w:t>For strontium isotope analysis, the teeth sampled w</w:t>
      </w:r>
      <w:r w:rsidR="00CC5D4C">
        <w:t>ere permanent second or third molars.</w:t>
      </w:r>
      <w:r w:rsidRPr="00BB7280">
        <w:t xml:space="preserve"> Longitudinal sections approximately 1mm thick of enamel and some incidental dentine were removed using a hand drill and diamond cutting disk. The samples represent a section of the complete length of the enamel from the crown to the cervix. Samples were cleaned in an ultrasonic bath in 18M</w:t>
      </w:r>
      <w:r w:rsidRPr="00BB7280">
        <w:sym w:font="Symbol" w:char="F057"/>
      </w:r>
      <w:r w:rsidRPr="00BB7280">
        <w:t xml:space="preserve"> H</w:t>
      </w:r>
      <w:r w:rsidRPr="00BB7280">
        <w:rPr>
          <w:vertAlign w:val="subscript"/>
        </w:rPr>
        <w:t>2</w:t>
      </w:r>
      <w:r w:rsidRPr="00BB7280">
        <w:t>O for ten minutes and dried overnight in an oven at 60</w:t>
      </w:r>
      <w:r w:rsidRPr="00BB7280">
        <w:rPr>
          <w:vertAlign w:val="superscript"/>
        </w:rPr>
        <w:t>o</w:t>
      </w:r>
      <w:r w:rsidRPr="00BB7280">
        <w:t xml:space="preserve">C.  </w:t>
      </w:r>
    </w:p>
    <w:p w:rsidR="00CC5D4C" w:rsidRDefault="00CC5D4C" w:rsidP="00CC5D4C">
      <w:pPr>
        <w:pStyle w:val="NoteLevel11"/>
      </w:pPr>
    </w:p>
    <w:p w:rsidR="00CC5D4C" w:rsidRPr="00D22139" w:rsidRDefault="00CC5D4C" w:rsidP="00CC5D4C">
      <w:pPr>
        <w:pStyle w:val="NoteLevel11"/>
      </w:pPr>
      <w:r>
        <w:t>The</w:t>
      </w:r>
      <w:r w:rsidRPr="00BB7280">
        <w:t xml:space="preserve"> samples were mounted in the laser cell by pressing into Blu-T</w:t>
      </w:r>
      <w:r>
        <w:t>ack. Strontium</w:t>
      </w:r>
      <w:r w:rsidRPr="00BB7280">
        <w:t xml:space="preserve"> isotopic analysis was performed on a Finnegan Neptune multi collector ICP-MS with a New Wave 193 nm ArF homogenized excimer laser, using the oxide </w:t>
      </w:r>
      <w:r w:rsidRPr="004D1A25">
        <w:t xml:space="preserve">reduction technique of </w:t>
      </w:r>
      <w:r w:rsidR="004D1A25" w:rsidRPr="004D1A25">
        <w:t xml:space="preserve">De Jong and colleagues </w:t>
      </w:r>
      <w:r w:rsidR="006479DA" w:rsidRPr="004D1A25">
        <w:t>[49,50</w:t>
      </w:r>
      <w:r w:rsidRPr="004D1A25">
        <w:t>]. The measurement of Sr</w:t>
      </w:r>
      <w:r w:rsidRPr="00BB7280">
        <w:t xml:space="preserve"> isotopes by laser ablation has only recently been made reliable. The primary difficulty has been the molecular interference on </w:t>
      </w:r>
      <w:r w:rsidRPr="00BB7280">
        <w:rPr>
          <w:vertAlign w:val="superscript"/>
        </w:rPr>
        <w:t>87</w:t>
      </w:r>
      <w:r w:rsidRPr="00BB7280">
        <w:t>Sr of</w:t>
      </w:r>
      <w:r w:rsidRPr="00BB7280">
        <w:rPr>
          <w:vertAlign w:val="superscript"/>
        </w:rPr>
        <w:t xml:space="preserve"> 40</w:t>
      </w:r>
      <w:r w:rsidRPr="00BB7280">
        <w:t>Ca</w:t>
      </w:r>
      <w:r w:rsidRPr="00BB7280">
        <w:rPr>
          <w:vertAlign w:val="superscript"/>
        </w:rPr>
        <w:t>31</w:t>
      </w:r>
      <w:r w:rsidRPr="00BB7280">
        <w:t>P</w:t>
      </w:r>
      <w:r w:rsidRPr="00BB7280">
        <w:rPr>
          <w:vertAlign w:val="superscript"/>
        </w:rPr>
        <w:t>16</w:t>
      </w:r>
      <w:r w:rsidRPr="00BB7280">
        <w:t>O</w:t>
      </w:r>
      <w:r w:rsidRPr="00BB7280">
        <w:rPr>
          <w:vertAlign w:val="superscript"/>
        </w:rPr>
        <w:t>+</w:t>
      </w:r>
      <w:r w:rsidRPr="00BB7280">
        <w:t>, which is the primary constituent of the enamel matrix. Other potential problems come from double charged rare</w:t>
      </w:r>
      <w:r>
        <w:t xml:space="preserve"> earth elements which give mass-to-</w:t>
      </w:r>
      <w:r w:rsidRPr="00BB7280">
        <w:t xml:space="preserve">charge ratios of between 84 and 88, calcium-calcium and calcium-argide dimers which can interfere with </w:t>
      </w:r>
      <w:r w:rsidRPr="00BB7280">
        <w:rPr>
          <w:vertAlign w:val="superscript"/>
        </w:rPr>
        <w:t>84</w:t>
      </w:r>
      <w:r w:rsidRPr="00BB7280">
        <w:t xml:space="preserve">Sr, </w:t>
      </w:r>
      <w:r w:rsidRPr="00BB7280">
        <w:rPr>
          <w:vertAlign w:val="superscript"/>
        </w:rPr>
        <w:t>86</w:t>
      </w:r>
      <w:r w:rsidRPr="00BB7280">
        <w:t xml:space="preserve">Sr and </w:t>
      </w:r>
      <w:r w:rsidRPr="00BB7280">
        <w:rPr>
          <w:vertAlign w:val="superscript"/>
        </w:rPr>
        <w:t>88</w:t>
      </w:r>
      <w:r w:rsidRPr="00BB7280">
        <w:t xml:space="preserve">Sr, in addition to potential </w:t>
      </w:r>
      <w:r w:rsidRPr="00BB7280">
        <w:rPr>
          <w:vertAlign w:val="superscript"/>
        </w:rPr>
        <w:t>87</w:t>
      </w:r>
      <w:r w:rsidRPr="00BB7280">
        <w:t xml:space="preserve">Rb and </w:t>
      </w:r>
      <w:r w:rsidRPr="00BB7280">
        <w:rPr>
          <w:vertAlign w:val="superscript"/>
        </w:rPr>
        <w:t>86</w:t>
      </w:r>
      <w:r w:rsidRPr="00BB7280">
        <w:t xml:space="preserve">Kr interferences. Our approach has been to minimize oxide formation (monitored as </w:t>
      </w:r>
      <w:r w:rsidRPr="00BB7280">
        <w:rPr>
          <w:vertAlign w:val="superscript"/>
        </w:rPr>
        <w:t>254</w:t>
      </w:r>
      <w:r w:rsidRPr="00BB7280">
        <w:t>(UO)</w:t>
      </w:r>
      <w:r w:rsidRPr="00BB7280">
        <w:rPr>
          <w:vertAlign w:val="superscript"/>
        </w:rPr>
        <w:t>+</w:t>
      </w:r>
      <w:r w:rsidRPr="00BB7280">
        <w:t>/</w:t>
      </w:r>
      <w:r w:rsidRPr="00BB7280">
        <w:rPr>
          <w:vertAlign w:val="superscript"/>
        </w:rPr>
        <w:t>238</w:t>
      </w:r>
      <w:r w:rsidRPr="00BB7280">
        <w:t>U</w:t>
      </w:r>
      <w:r w:rsidRPr="00BB7280">
        <w:rPr>
          <w:vertAlign w:val="superscript"/>
        </w:rPr>
        <w:t>+</w:t>
      </w:r>
      <w:r w:rsidRPr="00BB7280">
        <w:t xml:space="preserve">) through careful control of plasma conditions, and to monitor and reject teeth that have significant rare earth concentrations which we consider diagenetic. We correct for the </w:t>
      </w:r>
      <w:r w:rsidRPr="00BB7280">
        <w:rPr>
          <w:vertAlign w:val="superscript"/>
        </w:rPr>
        <w:t>86</w:t>
      </w:r>
      <w:r>
        <w:t>Kr using an on-</w:t>
      </w:r>
      <w:r w:rsidRPr="00BB7280">
        <w:t xml:space="preserve">peak gas blank and for rubidium interference using the natural </w:t>
      </w:r>
      <w:r w:rsidRPr="00BB7280">
        <w:rPr>
          <w:vertAlign w:val="superscript"/>
        </w:rPr>
        <w:t>87</w:t>
      </w:r>
      <w:r w:rsidRPr="00BB7280">
        <w:t>Rb/</w:t>
      </w:r>
      <w:r w:rsidRPr="00BB7280">
        <w:rPr>
          <w:vertAlign w:val="superscript"/>
        </w:rPr>
        <w:t>85</w:t>
      </w:r>
      <w:r w:rsidRPr="00BB7280">
        <w:t xml:space="preserve">Rb ratio of 0.385617. A small positive offset from known values </w:t>
      </w:r>
      <w:r w:rsidRPr="00BB7280">
        <w:rPr>
          <w:vertAlign w:val="superscript"/>
        </w:rPr>
        <w:t>87</w:t>
      </w:r>
      <w:r w:rsidRPr="00BB7280">
        <w:t>Sr/</w:t>
      </w:r>
      <w:r w:rsidRPr="00BB7280">
        <w:rPr>
          <w:vertAlign w:val="superscript"/>
        </w:rPr>
        <w:t>86</w:t>
      </w:r>
      <w:r w:rsidRPr="00BB7280">
        <w:t>Sr of</w:t>
      </w:r>
      <w:r w:rsidR="0074345C">
        <w:t xml:space="preserve"> standards is usually observed </w:t>
      </w:r>
      <w:r w:rsidRPr="00BB7280">
        <w:t>but is within the precision of a typical measurement.</w:t>
      </w:r>
    </w:p>
    <w:p w:rsidR="00CC5D4C" w:rsidRPr="00D22139" w:rsidRDefault="00CC5D4C" w:rsidP="00CC5D4C">
      <w:pPr>
        <w:pStyle w:val="NoteLevel11"/>
      </w:pPr>
    </w:p>
    <w:p w:rsidR="00CC5D4C" w:rsidRPr="00D22139" w:rsidRDefault="00CC5D4C" w:rsidP="00CC5D4C">
      <w:pPr>
        <w:pStyle w:val="NoteLevel11"/>
      </w:pPr>
      <w:r w:rsidRPr="00BB7280">
        <w:t>Time series of strontium isotopes are obtained as continuous data by moving the tooth along its growth axis (at 2.5 or 5</w:t>
      </w:r>
      <w:r w:rsidRPr="00BB7280">
        <w:sym w:font="Symbol" w:char="F06D"/>
      </w:r>
      <w:r w:rsidRPr="00BB7280">
        <w:t>ms</w:t>
      </w:r>
      <w:r w:rsidRPr="00BB7280">
        <w:rPr>
          <w:vertAlign w:val="superscript"/>
        </w:rPr>
        <w:t>-1</w:t>
      </w:r>
      <w:r w:rsidRPr="00BB7280">
        <w:t xml:space="preserve">) as the laser pulses with a repetition rate of 10Hz and spot size 110 </w:t>
      </w:r>
      <w:r w:rsidRPr="00BB7280">
        <w:sym w:font="Symbol" w:char="F06D"/>
      </w:r>
      <w:r w:rsidRPr="00BB7280">
        <w:t>m, giving a fluence of c.8.6 Jcm</w:t>
      </w:r>
      <w:r w:rsidRPr="00BB7280">
        <w:rPr>
          <w:vertAlign w:val="superscript"/>
        </w:rPr>
        <w:t>-2</w:t>
      </w:r>
      <w:r w:rsidRPr="00BB7280">
        <w:t>. Repeat analysis of an in-house ashed bovine pellet standard (BP1) bracketing analyses of the teeth, showed an offset of +156±61 ppm (1 sigma) for the laser ablation analyses over TIMS values. This is within the precision of individual measurements of 200-600ppm and the total variation between the teeth of c.</w:t>
      </w:r>
      <w:r>
        <w:t xml:space="preserve"> </w:t>
      </w:r>
      <w:r w:rsidR="0074345C">
        <w:t>5000ppm</w:t>
      </w:r>
      <w:r w:rsidRPr="00BB7280">
        <w:t xml:space="preserve"> and is therefore considered insignificant to our interpretation of the isotopes. </w:t>
      </w:r>
    </w:p>
    <w:p w:rsidR="00CC5D4C" w:rsidRDefault="00CC5D4C" w:rsidP="00A833E7">
      <w:pPr>
        <w:pStyle w:val="NoteLevel11"/>
      </w:pPr>
    </w:p>
    <w:p w:rsidR="00CC5D4C" w:rsidRPr="001A3046" w:rsidRDefault="00CC5D4C" w:rsidP="00A833E7">
      <w:pPr>
        <w:pStyle w:val="NoteLevel11"/>
        <w:rPr>
          <w:b/>
          <w:sz w:val="28"/>
          <w:szCs w:val="32"/>
        </w:rPr>
      </w:pPr>
      <w:r w:rsidRPr="001A3046">
        <w:rPr>
          <w:b/>
          <w:sz w:val="28"/>
          <w:szCs w:val="32"/>
        </w:rPr>
        <w:t>Oxygen</w:t>
      </w:r>
    </w:p>
    <w:p w:rsidR="003150B1" w:rsidRPr="001A3046" w:rsidRDefault="00BB7280" w:rsidP="00A833E7">
      <w:pPr>
        <w:pStyle w:val="NoteLevel11"/>
      </w:pPr>
      <w:r w:rsidRPr="001A3046">
        <w:t>For oxygen isotop</w:t>
      </w:r>
      <w:r w:rsidR="00764B25" w:rsidRPr="001A3046">
        <w:t xml:space="preserve">e analysis a second </w:t>
      </w:r>
      <w:r w:rsidRPr="001A3046">
        <w:t>section was taken from each tooth. Surface dirt and any dentine was removed using a dental bur</w:t>
      </w:r>
      <w:r w:rsidR="00927BDA" w:rsidRPr="001A3046">
        <w:t>r</w:t>
      </w:r>
      <w:r w:rsidRPr="001A3046">
        <w:t>. The sample was ground to a fine powder in an agate mortar under acetone. The powder was leached for 10 minutes in 10% acetic acid to remove diagenetic carbonate then centrifuged and washed in 18M</w:t>
      </w:r>
      <w:r w:rsidRPr="001A3046">
        <w:sym w:font="Symbol" w:char="F057"/>
      </w:r>
      <w:r w:rsidRPr="001A3046">
        <w:t xml:space="preserve"> H</w:t>
      </w:r>
      <w:r w:rsidRPr="001A3046">
        <w:rPr>
          <w:vertAlign w:val="subscript"/>
        </w:rPr>
        <w:t>2</w:t>
      </w:r>
      <w:r w:rsidRPr="001A3046">
        <w:t xml:space="preserve">O three times and dried. Two 5 </w:t>
      </w:r>
      <w:r w:rsidRPr="001A3046">
        <w:sym w:font="Symbol" w:char="F06D"/>
      </w:r>
      <w:r w:rsidRPr="001A3046">
        <w:t xml:space="preserve">g aliquots were weighed for analysis. </w:t>
      </w:r>
    </w:p>
    <w:p w:rsidR="00764B25" w:rsidRPr="001A3046" w:rsidRDefault="00764B25" w:rsidP="00764B25">
      <w:pPr>
        <w:pStyle w:val="NoteLevel11"/>
      </w:pPr>
    </w:p>
    <w:p w:rsidR="00764B25" w:rsidRPr="001A3046" w:rsidRDefault="00764B25" w:rsidP="00764B25">
      <w:pPr>
        <w:pStyle w:val="NoteLevel11"/>
      </w:pPr>
      <w:r w:rsidRPr="001A3046">
        <w:t xml:space="preserve">Oxygen isotope analyses were performed on a Thermo Scientific Kiel IV Carbonate device coupled with a MAT253 isotope ratio mass spectrometer on c. 0.6mg samples. Samples were calibrated and drift corrected by bracketing with NBS18 and 19. Results are quoted as </w:t>
      </w:r>
      <w:r w:rsidRPr="001A3046">
        <w:sym w:font="Symbol" w:char="F064"/>
      </w:r>
      <w:r w:rsidRPr="001A3046">
        <w:t xml:space="preserve"> values relative to PDB. Quality control standards give reproducibilities at 1</w:t>
      </w:r>
      <w:r w:rsidRPr="001A3046">
        <w:sym w:font="Symbol" w:char="F073"/>
      </w:r>
      <w:r w:rsidRPr="001A3046">
        <w:t xml:space="preserve"> of ±0.01 for </w:t>
      </w:r>
      <w:r w:rsidRPr="001A3046">
        <w:sym w:font="Symbol" w:char="F064"/>
      </w:r>
      <w:r w:rsidRPr="001A3046">
        <w:rPr>
          <w:vertAlign w:val="superscript"/>
        </w:rPr>
        <w:t>13</w:t>
      </w:r>
      <w:r w:rsidRPr="001A3046">
        <w:t xml:space="preserve">C and ±0.05 for </w:t>
      </w:r>
      <w:r w:rsidRPr="001A3046">
        <w:sym w:font="Symbol" w:char="F064"/>
      </w:r>
      <w:r w:rsidRPr="001A3046">
        <w:rPr>
          <w:vertAlign w:val="superscript"/>
        </w:rPr>
        <w:t>18</w:t>
      </w:r>
      <w:r w:rsidRPr="001A3046">
        <w:t xml:space="preserve">O. </w:t>
      </w:r>
      <w:r w:rsidRPr="001A3046">
        <w:rPr>
          <w:rFonts w:cs="Times"/>
          <w:szCs w:val="20"/>
        </w:rPr>
        <w:t xml:space="preserve">For comparison with published measurements on enamel phosphate oxygen isotopes and rainwater </w:t>
      </w:r>
      <w:r w:rsidRPr="001A3046">
        <w:rPr>
          <w:rFonts w:cs="Helvetica"/>
          <w:szCs w:val="20"/>
        </w:rPr>
        <w:t>δ</w:t>
      </w:r>
      <w:r w:rsidRPr="001A3046">
        <w:rPr>
          <w:rFonts w:cs="Times"/>
          <w:szCs w:val="14"/>
        </w:rPr>
        <w:t>18</w:t>
      </w:r>
      <w:r w:rsidRPr="001A3046">
        <w:rPr>
          <w:rFonts w:cs="Times"/>
          <w:szCs w:val="20"/>
        </w:rPr>
        <w:t>O, structural carbonate values were converted to phosphate values and then to drinking water equivalents [</w:t>
      </w:r>
      <w:r w:rsidR="006479DA" w:rsidRPr="001A3046">
        <w:rPr>
          <w:rFonts w:cs="Times"/>
          <w:szCs w:val="20"/>
        </w:rPr>
        <w:t>51</w:t>
      </w:r>
      <w:r w:rsidRPr="001A3046">
        <w:rPr>
          <w:rFonts w:cs="Times"/>
          <w:szCs w:val="20"/>
        </w:rPr>
        <w:t>,5</w:t>
      </w:r>
      <w:r w:rsidR="006479DA" w:rsidRPr="001A3046">
        <w:rPr>
          <w:rFonts w:cs="Times"/>
          <w:szCs w:val="20"/>
        </w:rPr>
        <w:t>2</w:t>
      </w:r>
      <w:r w:rsidRPr="001A3046">
        <w:rPr>
          <w:rFonts w:cs="Times"/>
          <w:szCs w:val="20"/>
        </w:rPr>
        <w:t>].</w:t>
      </w:r>
    </w:p>
    <w:p w:rsidR="00C41260" w:rsidRPr="001A3046" w:rsidRDefault="00C41260" w:rsidP="00A833E7">
      <w:pPr>
        <w:pStyle w:val="NoteLevel11"/>
        <w:rPr>
          <w:color w:val="0000FF"/>
        </w:rPr>
      </w:pPr>
    </w:p>
    <w:p w:rsidR="00CC5D4C" w:rsidRPr="001A3046" w:rsidRDefault="00CC5D4C" w:rsidP="00A833E7">
      <w:pPr>
        <w:pStyle w:val="NoteLevel11"/>
        <w:rPr>
          <w:b/>
          <w:sz w:val="28"/>
          <w:szCs w:val="32"/>
        </w:rPr>
      </w:pPr>
      <w:r w:rsidRPr="001A3046">
        <w:rPr>
          <w:b/>
          <w:sz w:val="28"/>
          <w:szCs w:val="32"/>
        </w:rPr>
        <w:t>Carbon and Nitrogen</w:t>
      </w:r>
    </w:p>
    <w:p w:rsidR="003150B1" w:rsidRPr="001A3046" w:rsidRDefault="00CC5D4C" w:rsidP="00A833E7">
      <w:pPr>
        <w:pStyle w:val="NoteLevel11"/>
      </w:pPr>
      <w:r w:rsidRPr="001A3046">
        <w:t>Trabecular bone turns over 3</w:t>
      </w:r>
      <w:bookmarkStart w:id="8" w:name="_Hlk514761205"/>
      <w:r w:rsidRPr="001A3046">
        <w:t>–</w:t>
      </w:r>
      <w:bookmarkEnd w:id="8"/>
      <w:r w:rsidRPr="001A3046">
        <w:t>10 times faster than cortical bone [</w:t>
      </w:r>
      <w:r w:rsidR="005C3DCD" w:rsidRPr="001A3046">
        <w:t>5</w:t>
      </w:r>
      <w:r w:rsidR="006479DA" w:rsidRPr="001A3046">
        <w:t>3</w:t>
      </w:r>
      <w:r w:rsidR="004D1A25" w:rsidRPr="001A3046">
        <w:t xml:space="preserve">] </w:t>
      </w:r>
      <w:r w:rsidRPr="001A3046">
        <w:t>so the isotopes from the ribs will re</w:t>
      </w:r>
      <w:r w:rsidRPr="001A3046">
        <w:rPr>
          <w:rFonts w:cs="Arial"/>
        </w:rPr>
        <w:t>present the more recent average diet than from the femur samples.</w:t>
      </w:r>
      <w:r w:rsidRPr="001A3046">
        <w:t xml:space="preserve"> </w:t>
      </w:r>
      <w:r w:rsidR="00BB7280" w:rsidRPr="001A3046">
        <w:t>For C and N isotope analysis</w:t>
      </w:r>
      <w:r w:rsidR="00927BDA" w:rsidRPr="001A3046">
        <w:t>, circa</w:t>
      </w:r>
      <w:r w:rsidR="00BB7280" w:rsidRPr="001A3046">
        <w:t xml:space="preserve"> 500 mg bone ‘chunks’ were demineralized over several days in 0.5M HCl at room temperature, centrifuged, rinsed and filtered.</w:t>
      </w:r>
      <w:r w:rsidR="00CF20B3" w:rsidRPr="001A3046">
        <w:t xml:space="preserve"> </w:t>
      </w:r>
      <w:r w:rsidR="00BB7280" w:rsidRPr="001A3046">
        <w:t>To remove contamination, the sample was treated with 0.1M NaOH for 30 minutes, rinsed and treated with 0.5M HCl for 15 minutes and further rinsed.  The residue was gelatinized in pH 3 HCl at 70</w:t>
      </w:r>
      <w:r w:rsidR="00D925D5" w:rsidRPr="001A3046">
        <w:t xml:space="preserve"> </w:t>
      </w:r>
      <w:r w:rsidR="00BB7280" w:rsidRPr="001A3046">
        <w:rPr>
          <w:vertAlign w:val="superscript"/>
        </w:rPr>
        <w:t>o</w:t>
      </w:r>
      <w:r w:rsidR="00BB7280" w:rsidRPr="001A3046">
        <w:t>C for 24 hours. Insoluble residue was then removed by centrifuging and filtering</w:t>
      </w:r>
      <w:r w:rsidR="00927BDA" w:rsidRPr="001A3046">
        <w:t>,</w:t>
      </w:r>
      <w:r w:rsidR="00BB7280" w:rsidRPr="001A3046">
        <w:t xml:space="preserve"> and the soluble fraction containing the collagen was freeze dried.</w:t>
      </w:r>
    </w:p>
    <w:p w:rsidR="00124BAD" w:rsidRPr="001A3046" w:rsidRDefault="00124BAD" w:rsidP="00A833E7">
      <w:pPr>
        <w:pStyle w:val="NoteLevel11"/>
        <w:rPr>
          <w:rFonts w:cs="Times"/>
          <w:color w:val="0000FF"/>
          <w:szCs w:val="20"/>
        </w:rPr>
      </w:pPr>
    </w:p>
    <w:p w:rsidR="003150B1" w:rsidRPr="001A3046" w:rsidRDefault="00764B25" w:rsidP="00A833E7">
      <w:pPr>
        <w:pStyle w:val="NoteLevel11"/>
      </w:pPr>
      <w:r w:rsidRPr="001A3046">
        <w:t xml:space="preserve">The </w:t>
      </w:r>
      <w:r w:rsidR="00BB7280" w:rsidRPr="001A3046">
        <w:t xml:space="preserve">analyses were performed on duplicate 0.8mg aliquots of the purified collagen using a Sercon continuous flow 20-22 Isotope Ratio Mass Spectrometer. Results are quoted as </w:t>
      </w:r>
      <w:r w:rsidR="00BB7280" w:rsidRPr="001A3046">
        <w:sym w:font="Symbol" w:char="F064"/>
      </w:r>
      <w:r w:rsidR="00BB7280" w:rsidRPr="001A3046">
        <w:t xml:space="preserve"> values vs. PDB and AIR for C and N respectively (</w:t>
      </w:r>
      <w:r w:rsidR="00BB7280" w:rsidRPr="001A3046">
        <w:rPr>
          <w:highlight w:val="cyan"/>
        </w:rPr>
        <w:t xml:space="preserve">see Table </w:t>
      </w:r>
      <w:r w:rsidR="009513A3" w:rsidRPr="001A3046">
        <w:rPr>
          <w:highlight w:val="cyan"/>
        </w:rPr>
        <w:t>9</w:t>
      </w:r>
      <w:r w:rsidR="00BB7280" w:rsidRPr="001A3046">
        <w:t xml:space="preserve">). Duplicate collagen analyses showed typical reproducibility of 0.05‰ for </w:t>
      </w:r>
      <w:r w:rsidR="00BB7280" w:rsidRPr="001A3046">
        <w:sym w:font="Symbol" w:char="F064"/>
      </w:r>
      <w:r w:rsidR="00BB7280" w:rsidRPr="001A3046">
        <w:rPr>
          <w:vertAlign w:val="superscript"/>
        </w:rPr>
        <w:t>15</w:t>
      </w:r>
      <w:r w:rsidR="00BB7280" w:rsidRPr="001A3046">
        <w:t xml:space="preserve">N and 0.20‰ for </w:t>
      </w:r>
      <w:r w:rsidR="00BB7280" w:rsidRPr="001A3046">
        <w:sym w:font="Symbol" w:char="F064"/>
      </w:r>
      <w:r w:rsidR="00BB7280" w:rsidRPr="001A3046">
        <w:rPr>
          <w:vertAlign w:val="superscript"/>
        </w:rPr>
        <w:t>13</w:t>
      </w:r>
      <w:r w:rsidR="00BB7280" w:rsidRPr="001A3046">
        <w:t>C. The CN molar ratio was monitored</w:t>
      </w:r>
      <w:r w:rsidR="00D925D5" w:rsidRPr="001A3046">
        <w:t xml:space="preserve"> as a control for contamination</w:t>
      </w:r>
      <w:r w:rsidR="00BB7280" w:rsidRPr="001A3046">
        <w:t xml:space="preserve"> and fell within the acceptable limits of 2.9-3.6.</w:t>
      </w:r>
    </w:p>
    <w:p w:rsidR="00F03511" w:rsidRPr="001A3046" w:rsidRDefault="00F03511" w:rsidP="00A833E7">
      <w:pPr>
        <w:pStyle w:val="NoteLevel11"/>
        <w:rPr>
          <w:color w:val="0000FF"/>
        </w:rPr>
      </w:pPr>
    </w:p>
    <w:p w:rsidR="00271CF4" w:rsidRPr="001A3046" w:rsidRDefault="00D866F2" w:rsidP="0071062F">
      <w:pPr>
        <w:pStyle w:val="NoteLevel11"/>
        <w:numPr>
          <w:ilvl w:val="0"/>
          <w:numId w:val="0"/>
        </w:numPr>
        <w:rPr>
          <w:rFonts w:cs="Calibri"/>
          <w:b/>
          <w:color w:val="000000"/>
          <w:sz w:val="32"/>
          <w:szCs w:val="32"/>
          <w:shd w:val="clear" w:color="auto" w:fill="FFFFFF"/>
        </w:rPr>
      </w:pPr>
      <w:r w:rsidRPr="001A3046">
        <w:rPr>
          <w:rFonts w:cs="Calibri"/>
          <w:b/>
          <w:color w:val="000000"/>
          <w:sz w:val="32"/>
          <w:szCs w:val="32"/>
          <w:shd w:val="clear" w:color="auto" w:fill="FFFFFF"/>
        </w:rPr>
        <w:t>Radiocarbon dating</w:t>
      </w:r>
    </w:p>
    <w:p w:rsidR="00AB77FD" w:rsidRDefault="00AD3C17" w:rsidP="00AB77FD">
      <w:pPr>
        <w:pStyle w:val="NoteLevel11"/>
        <w:keepNext w:val="0"/>
        <w:widowControl w:val="0"/>
        <w:rPr>
          <w:lang w:val="en-GB"/>
        </w:rPr>
      </w:pPr>
      <w:r w:rsidRPr="001A3046">
        <w:rPr>
          <w:rFonts w:cs="Calibri"/>
          <w:color w:val="000000"/>
          <w:shd w:val="clear" w:color="auto" w:fill="FFFFFF"/>
        </w:rPr>
        <w:t xml:space="preserve">The individuals from Armoy </w:t>
      </w:r>
      <w:r w:rsidR="004D1A25" w:rsidRPr="001A3046">
        <w:rPr>
          <w:rFonts w:cs="Calibri"/>
          <w:color w:val="000000"/>
          <w:shd w:val="clear" w:color="auto" w:fill="FFFFFF"/>
        </w:rPr>
        <w:t xml:space="preserve">[10,26] </w:t>
      </w:r>
      <w:r w:rsidRPr="001A3046">
        <w:rPr>
          <w:rFonts w:cs="Calibri"/>
          <w:color w:val="000000"/>
          <w:shd w:val="clear" w:color="auto" w:fill="FFFFFF"/>
        </w:rPr>
        <w:t xml:space="preserve">and Ardreigh </w:t>
      </w:r>
      <w:r w:rsidR="004D1A25" w:rsidRPr="001A3046">
        <w:rPr>
          <w:rFonts w:cs="Calibri"/>
          <w:color w:val="000000"/>
          <w:shd w:val="clear" w:color="auto" w:fill="FFFFFF"/>
        </w:rPr>
        <w:t xml:space="preserve">[13] </w:t>
      </w:r>
      <w:r w:rsidRPr="001A3046">
        <w:rPr>
          <w:rFonts w:cs="Calibri"/>
          <w:color w:val="000000"/>
          <w:shd w:val="clear" w:color="auto" w:fill="FFFFFF"/>
        </w:rPr>
        <w:t xml:space="preserve">had both been previously dated so it was only necessary to obtain radiocarbon dates from the Golden Lane skeletons. </w:t>
      </w:r>
      <w:r w:rsidR="00A22F83" w:rsidRPr="001A3046">
        <w:rPr>
          <w:rFonts w:cs="Calibri"/>
          <w:color w:val="000000"/>
          <w:shd w:val="clear" w:color="auto" w:fill="FFFFFF"/>
        </w:rPr>
        <w:t xml:space="preserve">Samples </w:t>
      </w:r>
      <w:r w:rsidR="00BD5DB1" w:rsidRPr="001A3046">
        <w:rPr>
          <w:rFonts w:cs="Calibri"/>
          <w:color w:val="000000"/>
          <w:shd w:val="clear" w:color="auto" w:fill="FFFFFF"/>
        </w:rPr>
        <w:t xml:space="preserve">of rib were </w:t>
      </w:r>
      <w:r w:rsidR="00FC21D3" w:rsidRPr="001A3046">
        <w:rPr>
          <w:rFonts w:cs="Calibri"/>
          <w:color w:val="000000"/>
          <w:shd w:val="clear" w:color="auto" w:fill="FFFFFF"/>
        </w:rPr>
        <w:t>submitted</w:t>
      </w:r>
      <w:r w:rsidR="00A22F83" w:rsidRPr="001A3046">
        <w:rPr>
          <w:rFonts w:cs="Calibri"/>
          <w:color w:val="000000"/>
          <w:shd w:val="clear" w:color="auto" w:fill="FFFFFF"/>
        </w:rPr>
        <w:t xml:space="preserve"> to the </w:t>
      </w:r>
      <w:r w:rsidR="00A22F83" w:rsidRPr="001A3046">
        <w:rPr>
          <w:rFonts w:cs="Calibri"/>
          <w:color w:val="000000"/>
          <w:shd w:val="clear" w:color="auto" w:fill="FFFFFF"/>
          <w:vertAlign w:val="superscript"/>
        </w:rPr>
        <w:t>14</w:t>
      </w:r>
      <w:r w:rsidR="00A22F83" w:rsidRPr="001A3046">
        <w:rPr>
          <w:rFonts w:cs="Calibri"/>
          <w:color w:val="000000"/>
          <w:shd w:val="clear" w:color="auto" w:fill="FFFFFF"/>
        </w:rPr>
        <w:t>CHRONO Centre</w:t>
      </w:r>
      <w:r w:rsidR="00FC21D3" w:rsidRPr="001A3046">
        <w:rPr>
          <w:rFonts w:cs="Calibri"/>
          <w:color w:val="000000"/>
          <w:shd w:val="clear" w:color="auto" w:fill="FFFFFF"/>
        </w:rPr>
        <w:t xml:space="preserve"> </w:t>
      </w:r>
      <w:r w:rsidRPr="001A3046">
        <w:rPr>
          <w:rFonts w:cs="Calibri"/>
          <w:color w:val="000000"/>
          <w:shd w:val="clear" w:color="auto" w:fill="FFFFFF"/>
        </w:rPr>
        <w:t>of</w:t>
      </w:r>
      <w:r w:rsidR="00FC21D3" w:rsidRPr="001A3046">
        <w:rPr>
          <w:rFonts w:cs="Calibri"/>
          <w:color w:val="000000"/>
          <w:shd w:val="clear" w:color="auto" w:fill="FFFFFF"/>
        </w:rPr>
        <w:t xml:space="preserve"> the School o</w:t>
      </w:r>
      <w:r w:rsidR="00D866F2" w:rsidRPr="001A3046">
        <w:rPr>
          <w:rFonts w:cs="Calibri"/>
          <w:color w:val="000000"/>
          <w:shd w:val="clear" w:color="auto" w:fill="FFFFFF"/>
        </w:rPr>
        <w:t xml:space="preserve">f Natural and Built Environment of </w:t>
      </w:r>
      <w:r w:rsidR="00A22F83" w:rsidRPr="001A3046">
        <w:rPr>
          <w:rFonts w:cs="Calibri"/>
          <w:color w:val="000000"/>
          <w:shd w:val="clear" w:color="auto" w:fill="FFFFFF"/>
        </w:rPr>
        <w:t>Queen’s University Belfast</w:t>
      </w:r>
      <w:r w:rsidRPr="001A3046">
        <w:rPr>
          <w:rFonts w:cs="Calibri"/>
          <w:color w:val="000000"/>
          <w:shd w:val="clear" w:color="auto" w:fill="FFFFFF"/>
        </w:rPr>
        <w:t>, for radiocarbon dating</w:t>
      </w:r>
      <w:r w:rsidR="00FC21D3" w:rsidRPr="001A3046">
        <w:rPr>
          <w:rFonts w:cs="Calibri"/>
          <w:color w:val="000000"/>
          <w:shd w:val="clear" w:color="auto" w:fill="FFFFFF"/>
        </w:rPr>
        <w:t>.</w:t>
      </w:r>
    </w:p>
    <w:p w:rsidR="00AB77FD" w:rsidRPr="00AB77FD" w:rsidRDefault="00AB77FD" w:rsidP="00AB77FD">
      <w:pPr>
        <w:pStyle w:val="NoteLevel11"/>
        <w:keepNext w:val="0"/>
        <w:widowControl w:val="0"/>
        <w:rPr>
          <w:lang w:val="en-GB"/>
        </w:rPr>
      </w:pPr>
    </w:p>
    <w:p w:rsidR="003413D1" w:rsidRPr="00AB77FD" w:rsidRDefault="00764B25" w:rsidP="00AB77FD">
      <w:pPr>
        <w:pStyle w:val="NoteLevel11"/>
        <w:keepNext w:val="0"/>
        <w:widowControl w:val="0"/>
        <w:rPr>
          <w:lang w:val="en-GB"/>
        </w:rPr>
      </w:pPr>
      <w:r w:rsidRPr="00AB77FD">
        <w:rPr>
          <w:b/>
          <w:sz w:val="36"/>
          <w:szCs w:val="36"/>
        </w:rPr>
        <w:t>Results</w:t>
      </w:r>
    </w:p>
    <w:p w:rsidR="00AB77FD" w:rsidRPr="001A3046" w:rsidRDefault="00AB77FD" w:rsidP="00AB77FD">
      <w:pPr>
        <w:pStyle w:val="NoteLevel11"/>
        <w:rPr>
          <w:b/>
          <w:sz w:val="32"/>
          <w:szCs w:val="32"/>
        </w:rPr>
      </w:pPr>
      <w:r w:rsidRPr="001A3046">
        <w:rPr>
          <w:b/>
          <w:sz w:val="32"/>
          <w:szCs w:val="32"/>
        </w:rPr>
        <w:t>Osteology</w:t>
      </w:r>
    </w:p>
    <w:p w:rsidR="00AB77FD" w:rsidRPr="001A3046" w:rsidRDefault="00AB77FD" w:rsidP="00AB77FD">
      <w:pPr>
        <w:pStyle w:val="NoteLevel11"/>
      </w:pPr>
      <w:r w:rsidRPr="001A3046">
        <w:t xml:space="preserve">Summary details of the four previously published cases are provided in </w:t>
      </w:r>
      <w:r w:rsidRPr="001A3046">
        <w:rPr>
          <w:highlight w:val="cyan"/>
        </w:rPr>
        <w:t>Table 2</w:t>
      </w:r>
      <w:r w:rsidRPr="001A3046">
        <w:t>.</w:t>
      </w:r>
    </w:p>
    <w:p w:rsidR="00AB77FD" w:rsidRPr="001A3046" w:rsidRDefault="00AB77FD" w:rsidP="00AB77FD">
      <w:pPr>
        <w:pStyle w:val="NoteLevel11"/>
        <w:rPr>
          <w:b/>
          <w:highlight w:val="green"/>
        </w:rPr>
      </w:pPr>
    </w:p>
    <w:p w:rsidR="00AB77FD" w:rsidRPr="00AD3C17" w:rsidRDefault="00AB77FD" w:rsidP="00AB77FD">
      <w:pPr>
        <w:pStyle w:val="NoteLevel11"/>
        <w:rPr>
          <w:b/>
        </w:rPr>
      </w:pPr>
      <w:r w:rsidRPr="00AD3C17">
        <w:rPr>
          <w:b/>
        </w:rPr>
        <w:t>Table 2. Summary of the osteological characteristics of the previously</w:t>
      </w:r>
      <w:r>
        <w:rPr>
          <w:b/>
        </w:rPr>
        <w:t xml:space="preserve"> </w:t>
      </w:r>
      <w:r w:rsidRPr="00AD3C17">
        <w:rPr>
          <w:b/>
        </w:rPr>
        <w:t>published individuals from Golden Lane and Armoy.</w:t>
      </w:r>
    </w:p>
    <w:p w:rsidR="00AB77FD" w:rsidRPr="00AB77FD" w:rsidRDefault="00AB77FD" w:rsidP="00AB77FD">
      <w:pPr>
        <w:rPr>
          <w:lang w:val="en-GB"/>
        </w:rPr>
      </w:pPr>
    </w:p>
    <w:p w:rsidR="00E41969" w:rsidRPr="00AB77FD" w:rsidRDefault="00E41969" w:rsidP="00AB77FD">
      <w:pPr>
        <w:pStyle w:val="NoteLevel11"/>
        <w:keepNext w:val="0"/>
        <w:widowControl w:val="0"/>
        <w:rPr>
          <w:lang w:val="en-GB"/>
        </w:rPr>
      </w:pPr>
    </w:p>
    <w:tbl>
      <w:tblPr>
        <w:tblW w:w="10444" w:type="dxa"/>
        <w:tblInd w:w="-718" w:type="dxa"/>
        <w:tblLook w:val="04A0" w:firstRow="1" w:lastRow="0" w:firstColumn="1" w:lastColumn="0" w:noHBand="0" w:noVBand="1"/>
      </w:tblPr>
      <w:tblGrid>
        <w:gridCol w:w="918"/>
        <w:gridCol w:w="1249"/>
        <w:gridCol w:w="1788"/>
        <w:gridCol w:w="1392"/>
        <w:gridCol w:w="705"/>
        <w:gridCol w:w="1343"/>
        <w:gridCol w:w="3049"/>
      </w:tblGrid>
      <w:tr w:rsidR="00E20B3E" w:rsidRPr="0074345C" w:rsidTr="0074345C">
        <w:trPr>
          <w:trHeight w:val="300"/>
        </w:trPr>
        <w:tc>
          <w:tcPr>
            <w:tcW w:w="918" w:type="dxa"/>
            <w:tcBorders>
              <w:top w:val="single" w:sz="4" w:space="0" w:color="auto"/>
              <w:left w:val="single" w:sz="4" w:space="0" w:color="auto"/>
              <w:bottom w:val="nil"/>
              <w:right w:val="single" w:sz="4" w:space="0" w:color="auto"/>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Site</w:t>
            </w:r>
          </w:p>
        </w:tc>
        <w:tc>
          <w:tcPr>
            <w:tcW w:w="1249" w:type="dxa"/>
            <w:tcBorders>
              <w:top w:val="single" w:sz="4" w:space="0" w:color="auto"/>
              <w:left w:val="nil"/>
              <w:bottom w:val="nil"/>
              <w:right w:val="single" w:sz="4" w:space="0" w:color="auto"/>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Context</w:t>
            </w:r>
          </w:p>
        </w:tc>
        <w:tc>
          <w:tcPr>
            <w:tcW w:w="1788" w:type="dxa"/>
            <w:tcBorders>
              <w:top w:val="single" w:sz="4" w:space="0" w:color="auto"/>
              <w:left w:val="nil"/>
              <w:bottom w:val="nil"/>
              <w:right w:val="single" w:sz="4" w:space="0" w:color="auto"/>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Completeness</w:t>
            </w:r>
          </w:p>
        </w:tc>
        <w:tc>
          <w:tcPr>
            <w:tcW w:w="1392" w:type="dxa"/>
            <w:tcBorders>
              <w:top w:val="single" w:sz="4" w:space="0" w:color="auto"/>
              <w:left w:val="nil"/>
              <w:bottom w:val="nil"/>
              <w:right w:val="single" w:sz="4" w:space="0" w:color="auto"/>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Age (years)</w:t>
            </w:r>
          </w:p>
        </w:tc>
        <w:tc>
          <w:tcPr>
            <w:tcW w:w="705" w:type="dxa"/>
            <w:tcBorders>
              <w:top w:val="single" w:sz="4" w:space="0" w:color="auto"/>
              <w:left w:val="nil"/>
              <w:bottom w:val="nil"/>
              <w:right w:val="single" w:sz="4" w:space="0" w:color="auto"/>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Sex</w:t>
            </w:r>
          </w:p>
        </w:tc>
        <w:tc>
          <w:tcPr>
            <w:tcW w:w="1343" w:type="dxa"/>
            <w:tcBorders>
              <w:top w:val="single" w:sz="4" w:space="0" w:color="auto"/>
              <w:left w:val="nil"/>
              <w:bottom w:val="nil"/>
              <w:right w:val="nil"/>
            </w:tcBorders>
            <w:shd w:val="clear" w:color="auto" w:fill="auto"/>
            <w:noWrap/>
            <w:vAlign w:val="center"/>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Pathology</w:t>
            </w:r>
          </w:p>
        </w:tc>
        <w:tc>
          <w:tcPr>
            <w:tcW w:w="3049"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r w:rsidR="00E20B3E" w:rsidRPr="0074345C" w:rsidTr="0074345C">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single" w:sz="4" w:space="0" w:color="auto"/>
              <w:right w:val="nil"/>
            </w:tcBorders>
            <w:shd w:val="clear" w:color="auto" w:fill="auto"/>
            <w:noWrap/>
            <w:vAlign w:val="bottom"/>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Cranial</w:t>
            </w:r>
          </w:p>
        </w:tc>
        <w:tc>
          <w:tcPr>
            <w:tcW w:w="30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Feet and lower legs</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Armoy</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Sk171</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&lt; 25% (only feet)</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Adult</w:t>
            </w:r>
          </w:p>
        </w:tc>
        <w:tc>
          <w:tcPr>
            <w:tcW w:w="705" w:type="dxa"/>
            <w:tcBorders>
              <w:top w:val="nil"/>
              <w:left w:val="nil"/>
              <w:bottom w:val="nil"/>
              <w:right w:val="single" w:sz="4" w:space="0" w:color="auto"/>
            </w:tcBorders>
            <w:shd w:val="clear" w:color="auto" w:fill="auto"/>
            <w:noWrap/>
            <w:vAlign w:val="bottom"/>
          </w:tcPr>
          <w:p w:rsidR="00D328B1" w:rsidRPr="0074345C" w:rsidRDefault="00E20B3E"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Diaphyseal remodelling</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Knife edge deformity</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Cup and peg deformity</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Dorsal tarsal exostoses</w:t>
            </w:r>
          </w:p>
        </w:tc>
      </w:tr>
      <w:tr w:rsidR="00E20B3E" w:rsidRPr="0074345C" w:rsidTr="0074345C">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Inflammatory pitting</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bookmarkStart w:id="9" w:name="_Hlk529077727"/>
            <w:r w:rsidRPr="0074345C">
              <w:rPr>
                <w:rFonts w:eastAsia="Times New Roman" w:cs="Calibri"/>
                <w:color w:val="000000"/>
                <w:sz w:val="20"/>
                <w:szCs w:val="20"/>
                <w:lang w:eastAsia="en-GB"/>
              </w:rPr>
              <w:t>SkCXLVIII</w:t>
            </w:r>
            <w:bookmarkEnd w:id="9"/>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75-100%</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13-18</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Pr male</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None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Diaphyseal remodelling</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Destruction of extremities MT and P</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Inflammatory pitting</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Reactive new bone formation </w:t>
            </w:r>
          </w:p>
        </w:tc>
      </w:tr>
      <w:tr w:rsidR="00E20B3E" w:rsidRPr="0074345C" w:rsidTr="0074345C">
        <w:trPr>
          <w:trHeight w:val="300"/>
        </w:trPr>
        <w:tc>
          <w:tcPr>
            <w:tcW w:w="918" w:type="dxa"/>
            <w:tcBorders>
              <w:top w:val="single" w:sz="4" w:space="0" w:color="auto"/>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49"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eastAsia="en-GB"/>
              </w:rPr>
              <w:t>SkCXCV</w:t>
            </w:r>
          </w:p>
        </w:tc>
        <w:tc>
          <w:tcPr>
            <w:tcW w:w="1788"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75-100%</w:t>
            </w:r>
          </w:p>
        </w:tc>
        <w:tc>
          <w:tcPr>
            <w:tcW w:w="1392"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35-50</w:t>
            </w:r>
          </w:p>
        </w:tc>
        <w:tc>
          <w:tcPr>
            <w:tcW w:w="705"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Male</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Rhino-maxillary syndrome</w:t>
            </w:r>
          </w:p>
        </w:tc>
        <w:tc>
          <w:tcPr>
            <w:tcW w:w="3049"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Diaphyseal remodelling</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Destruction of extremities MT and P</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Knife edge deformity</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Cup and peg deformity</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Dorsal tarsal exostosis</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Reactive new bone formation</w:t>
            </w:r>
          </w:p>
        </w:tc>
      </w:tr>
      <w:tr w:rsidR="00E20B3E" w:rsidRPr="0074345C" w:rsidTr="0074345C">
        <w:trPr>
          <w:trHeight w:val="300"/>
        </w:trPr>
        <w:tc>
          <w:tcPr>
            <w:tcW w:w="918" w:type="dxa"/>
            <w:tcBorders>
              <w:top w:val="single" w:sz="4" w:space="0" w:color="auto"/>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49"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eastAsia="en-GB"/>
              </w:rPr>
              <w:t>SkCCXXX</w:t>
            </w:r>
          </w:p>
        </w:tc>
        <w:tc>
          <w:tcPr>
            <w:tcW w:w="1788"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75-100%</w:t>
            </w:r>
          </w:p>
        </w:tc>
        <w:tc>
          <w:tcPr>
            <w:tcW w:w="1392"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35-50</w:t>
            </w:r>
          </w:p>
        </w:tc>
        <w:tc>
          <w:tcPr>
            <w:tcW w:w="705" w:type="dxa"/>
            <w:tcBorders>
              <w:top w:val="single" w:sz="4" w:space="0" w:color="auto"/>
              <w:left w:val="nil"/>
              <w:bottom w:val="nil"/>
              <w:right w:val="nil"/>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Male</w:t>
            </w:r>
          </w:p>
        </w:tc>
        <w:tc>
          <w:tcPr>
            <w:tcW w:w="1343" w:type="dxa"/>
            <w:tcBorders>
              <w:top w:val="single" w:sz="4" w:space="0" w:color="auto"/>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Rhino-maxillary syndrome</w:t>
            </w:r>
          </w:p>
        </w:tc>
        <w:tc>
          <w:tcPr>
            <w:tcW w:w="3049" w:type="dxa"/>
            <w:tcBorders>
              <w:top w:val="single" w:sz="4" w:space="0" w:color="auto"/>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eastAsia="en-GB"/>
              </w:rPr>
              <w:t>Minor destruction of extremities MT and P</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nil"/>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Chronic maxillary sinusitis</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Reactive new bone formation</w:t>
            </w:r>
          </w:p>
        </w:tc>
      </w:tr>
      <w:tr w:rsidR="00E20B3E" w:rsidRPr="0074345C" w:rsidTr="0074345C">
        <w:trPr>
          <w:trHeight w:val="300"/>
        </w:trPr>
        <w:tc>
          <w:tcPr>
            <w:tcW w:w="918"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nil"/>
              <w:right w:val="nil"/>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single" w:sz="4" w:space="0" w:color="auto"/>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Large lytic lesion on frontal bone</w:t>
            </w:r>
          </w:p>
        </w:tc>
        <w:tc>
          <w:tcPr>
            <w:tcW w:w="3049" w:type="dxa"/>
            <w:tcBorders>
              <w:top w:val="nil"/>
              <w:left w:val="nil"/>
              <w:bottom w:val="nil"/>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r w:rsidR="00E20B3E" w:rsidRPr="0074345C" w:rsidTr="0074345C">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88"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92"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705" w:type="dxa"/>
            <w:tcBorders>
              <w:top w:val="nil"/>
              <w:left w:val="nil"/>
              <w:bottom w:val="single" w:sz="4" w:space="0" w:color="auto"/>
              <w:right w:val="nil"/>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43" w:type="dxa"/>
            <w:tcBorders>
              <w:top w:val="nil"/>
              <w:left w:val="single" w:sz="4" w:space="0" w:color="auto"/>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3049" w:type="dxa"/>
            <w:tcBorders>
              <w:top w:val="nil"/>
              <w:left w:val="nil"/>
              <w:bottom w:val="single" w:sz="4" w:space="0" w:color="auto"/>
              <w:right w:val="single" w:sz="4" w:space="0" w:color="auto"/>
            </w:tcBorders>
            <w:shd w:val="clear" w:color="auto" w:fill="auto"/>
            <w:noWrap/>
            <w:vAlign w:val="bottom"/>
          </w:tcPr>
          <w:p w:rsidR="00D328B1" w:rsidRPr="0074345C" w:rsidRDefault="00D328B1" w:rsidP="00D328B1">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bl>
    <w:p w:rsidR="00753ACE" w:rsidRDefault="00E20B3E" w:rsidP="00A833E7">
      <w:pPr>
        <w:pStyle w:val="NoteLevel11"/>
        <w:rPr>
          <w:lang w:val="en-GB"/>
        </w:rPr>
      </w:pPr>
      <w:r>
        <w:rPr>
          <w:lang w:val="en-GB"/>
        </w:rPr>
        <w:t xml:space="preserve">Pr </w:t>
      </w:r>
      <w:r w:rsidR="00DB104B">
        <w:rPr>
          <w:lang w:val="en-GB"/>
        </w:rPr>
        <w:t xml:space="preserve">= </w:t>
      </w:r>
      <w:r>
        <w:rPr>
          <w:lang w:val="en-GB"/>
        </w:rPr>
        <w:t>Probable</w:t>
      </w:r>
      <w:r w:rsidR="00DB104B">
        <w:rPr>
          <w:lang w:val="en-GB"/>
        </w:rPr>
        <w:t>,</w:t>
      </w:r>
      <w:r>
        <w:rPr>
          <w:lang w:val="en-GB"/>
        </w:rPr>
        <w:t xml:space="preserve"> MT </w:t>
      </w:r>
      <w:r w:rsidR="00DB104B">
        <w:rPr>
          <w:lang w:val="en-GB"/>
        </w:rPr>
        <w:t>=</w:t>
      </w:r>
      <w:r w:rsidR="00753ACE">
        <w:rPr>
          <w:lang w:val="en-GB"/>
        </w:rPr>
        <w:t xml:space="preserve"> metatarsal</w:t>
      </w:r>
      <w:r w:rsidR="00DB104B">
        <w:rPr>
          <w:lang w:val="en-GB"/>
        </w:rPr>
        <w:t>,</w:t>
      </w:r>
      <w:r w:rsidR="00753ACE">
        <w:rPr>
          <w:lang w:val="en-GB"/>
        </w:rPr>
        <w:t xml:space="preserve"> P </w:t>
      </w:r>
      <w:r w:rsidR="00DB104B">
        <w:rPr>
          <w:lang w:val="en-GB"/>
        </w:rPr>
        <w:t>=</w:t>
      </w:r>
      <w:r w:rsidR="00753ACE">
        <w:rPr>
          <w:lang w:val="en-GB"/>
        </w:rPr>
        <w:t xml:space="preserve"> phalanges</w:t>
      </w:r>
      <w:r>
        <w:rPr>
          <w:lang w:val="en-GB"/>
        </w:rPr>
        <w:t>.</w:t>
      </w:r>
    </w:p>
    <w:p w:rsidR="00753ACE" w:rsidRDefault="00753ACE" w:rsidP="00A833E7">
      <w:pPr>
        <w:pStyle w:val="NoteLevel11"/>
        <w:rPr>
          <w:lang w:val="en-GB"/>
        </w:rPr>
      </w:pPr>
    </w:p>
    <w:p w:rsidR="00AB77FD" w:rsidRDefault="002348A0" w:rsidP="00AB77FD">
      <w:pPr>
        <w:pStyle w:val="NoteLevel11"/>
        <w:keepNext w:val="0"/>
        <w:widowControl w:val="0"/>
        <w:rPr>
          <w:rFonts w:eastAsia="Times New Roman" w:cs="PalatinoLinotype-Roman"/>
          <w:lang w:eastAsia="en-GB"/>
        </w:rPr>
      </w:pPr>
      <w:r>
        <w:t xml:space="preserve">The individual from </w:t>
      </w:r>
      <w:r w:rsidR="00BB7280" w:rsidRPr="00BB7280">
        <w:t xml:space="preserve">Ardreigh </w:t>
      </w:r>
      <w:r>
        <w:t xml:space="preserve">(Sk1494) </w:t>
      </w:r>
      <w:r w:rsidR="00BB7280" w:rsidRPr="00BB7280">
        <w:rPr>
          <w:rFonts w:eastAsia="Times New Roman" w:cs="PalatinoLinotype-Roman"/>
          <w:lang w:eastAsia="en-GB"/>
        </w:rPr>
        <w:t xml:space="preserve">was a </w:t>
      </w:r>
      <w:r w:rsidR="00432433">
        <w:rPr>
          <w:rFonts w:eastAsia="Times New Roman" w:cs="PalatinoLinotype-Roman"/>
          <w:lang w:eastAsia="en-GB"/>
        </w:rPr>
        <w:t xml:space="preserve">possible male </w:t>
      </w:r>
      <w:r w:rsidR="00BB7280" w:rsidRPr="00BB7280">
        <w:rPr>
          <w:rFonts w:eastAsia="Times New Roman" w:cs="PalatinoLinotype-Roman"/>
          <w:lang w:eastAsia="en-GB"/>
        </w:rPr>
        <w:t xml:space="preserve">adult of 18-35 years. The </w:t>
      </w:r>
      <w:r w:rsidR="00432433">
        <w:rPr>
          <w:rFonts w:eastAsia="Times New Roman" w:cs="PalatinoLinotype-Roman"/>
          <w:lang w:eastAsia="en-GB"/>
        </w:rPr>
        <w:t xml:space="preserve">post-cranial skeleton was largely complete but the </w:t>
      </w:r>
      <w:r w:rsidR="00BB7280" w:rsidRPr="00BB7280">
        <w:rPr>
          <w:rFonts w:eastAsia="Times New Roman" w:cs="PalatinoLinotype-Roman"/>
          <w:lang w:eastAsia="en-GB"/>
        </w:rPr>
        <w:t>skull was not preserved</w:t>
      </w:r>
      <w:r w:rsidR="00432433">
        <w:rPr>
          <w:rFonts w:eastAsia="Times New Roman" w:cs="PalatinoLinotype-Roman"/>
          <w:lang w:eastAsia="en-GB"/>
        </w:rPr>
        <w:t>. L</w:t>
      </w:r>
      <w:r w:rsidR="00BB7280" w:rsidRPr="00BB7280">
        <w:rPr>
          <w:rFonts w:eastAsia="Times New Roman" w:cs="PalatinoLinotype-Roman"/>
          <w:lang w:eastAsia="en-GB"/>
        </w:rPr>
        <w:t>esions suggestive of leprosy were evident in the bones of the lower legs and feet</w:t>
      </w:r>
      <w:r w:rsidR="00D10310">
        <w:rPr>
          <w:rFonts w:eastAsia="Times New Roman" w:cs="PalatinoLinotype-Roman"/>
          <w:lang w:eastAsia="en-GB"/>
        </w:rPr>
        <w:t xml:space="preserve"> (</w:t>
      </w:r>
      <w:r w:rsidR="00D10310" w:rsidRPr="00E20B3E">
        <w:rPr>
          <w:rFonts w:eastAsia="Times New Roman" w:cs="PalatinoLinotype-Roman"/>
          <w:highlight w:val="magenta"/>
          <w:lang w:eastAsia="en-GB"/>
        </w:rPr>
        <w:t xml:space="preserve">Fig </w:t>
      </w:r>
      <w:r w:rsidR="00E20B3E" w:rsidRPr="00E20B3E">
        <w:rPr>
          <w:rFonts w:eastAsia="Times New Roman" w:cs="PalatinoLinotype-Roman"/>
          <w:highlight w:val="magenta"/>
          <w:lang w:eastAsia="en-GB"/>
        </w:rPr>
        <w:t>2</w:t>
      </w:r>
      <w:r w:rsidR="00D10310">
        <w:rPr>
          <w:rFonts w:eastAsia="Times New Roman" w:cs="PalatinoLinotype-Roman"/>
          <w:lang w:eastAsia="en-GB"/>
        </w:rPr>
        <w:t>)</w:t>
      </w:r>
      <w:r w:rsidR="00BB7280" w:rsidRPr="00BB7280">
        <w:rPr>
          <w:rFonts w:eastAsia="Times New Roman" w:cs="PalatinoLinotype-Roman"/>
          <w:lang w:eastAsia="en-GB"/>
        </w:rPr>
        <w:t>. In the left foot, diaphyseal remodeling was evident in the third, fourth and fifth metatarsals and a nodule of bone was attached to the anterior surface of the shaft of the left fourth metatarsal. The heads of these metatarsals had been destroyed and corresponding lesions in the third and fourth proximal phalanges had resulted in the “cup-and-peg” deformity. The proximal end of the fifth proximal phalanx also displayed destruction, while possible minor lytic activity was visible at the distal end of the first distal phalanx. Diaphyseal remodeling was evident in the third, fourth and fifth proximal phalanges. Turning to the right foot again, the bones of the first and second digits were largely spared, while the remaining metatarsals had undergone major destruction of their distal halves. Diaphyseal remodeling appears to have resulted in a fracture of the shaft of the fourth metatarsal; the distal end then slipped and became attached to the proximal part of the bone. Three abscess sinuses were evident. The distal ends of the third and fourth proximal phalanges were present, with the proximal aspects having been destroyed as a result of the disease processes. Dorsal tarsal exostoses were notable on the majority of tarsals present, with the naviculars and cuboids most severely affected. Bilateral and pronounced reactive new bone formation, with a spiculed appearance and in the process of healing, was evident on all surfaces of the distal halves of the tibiae and fibulae. Fractures were visible in the neural arches of the eleventh thoracic (unhealed) and fifth lumbar (healed) vertebrae, while a single right rib displayed a healed fracture. It is possible that the</w:t>
      </w:r>
      <w:r w:rsidR="00AB77FD">
        <w:rPr>
          <w:rFonts w:eastAsia="Times New Roman" w:cs="PalatinoLinotype-Roman"/>
          <w:lang w:eastAsia="en-GB"/>
        </w:rPr>
        <w:t xml:space="preserve"> </w:t>
      </w:r>
      <w:r w:rsidR="00BB7280" w:rsidRPr="00BB7280">
        <w:rPr>
          <w:rFonts w:eastAsia="Times New Roman" w:cs="PalatinoLinotype-Roman"/>
          <w:lang w:eastAsia="en-GB"/>
        </w:rPr>
        <w:t>disintegration of the architecture of the foot had made the individual more susceptible to accidental injuries.</w:t>
      </w:r>
    </w:p>
    <w:p w:rsidR="00AB77FD" w:rsidRPr="00AB77FD" w:rsidRDefault="00AB77FD" w:rsidP="00AB77FD">
      <w:pPr>
        <w:pStyle w:val="NoteLevel11"/>
        <w:keepNext w:val="0"/>
        <w:widowControl w:val="0"/>
        <w:rPr>
          <w:rFonts w:eastAsia="Times New Roman" w:cs="PalatinoLinotype-Roman"/>
          <w:lang w:eastAsia="en-GB"/>
        </w:rPr>
      </w:pPr>
    </w:p>
    <w:p w:rsidR="00AB77FD" w:rsidRDefault="003E3A7E" w:rsidP="00AB77FD">
      <w:pPr>
        <w:pStyle w:val="NoteLevel11"/>
        <w:keepNext w:val="0"/>
        <w:widowControl w:val="0"/>
        <w:rPr>
          <w:rFonts w:eastAsia="Times New Roman" w:cs="PalatinoLinotype-Roman"/>
          <w:lang w:eastAsia="en-GB"/>
        </w:rPr>
      </w:pPr>
      <w:r w:rsidRPr="00AB77FD">
        <w:rPr>
          <w:rFonts w:eastAsia="Times New Roman" w:cs="PalatinoLinotype-Roman"/>
          <w:b/>
          <w:lang w:eastAsia="en-GB"/>
        </w:rPr>
        <w:t>Figure 2. Lesions characteristic of leprosy in the feet of Sk1494 from Ardreigh, Co. Kildare.</w:t>
      </w:r>
    </w:p>
    <w:p w:rsidR="00AB77FD" w:rsidRDefault="00AB77FD" w:rsidP="00AB77FD">
      <w:pPr>
        <w:pStyle w:val="ListParagraph"/>
        <w:rPr>
          <w:b/>
          <w:sz w:val="32"/>
          <w:szCs w:val="32"/>
        </w:rPr>
      </w:pPr>
    </w:p>
    <w:p w:rsidR="00AB77FD" w:rsidRDefault="00AB77FD" w:rsidP="00AB77FD">
      <w:pPr>
        <w:pStyle w:val="NoteLevel11"/>
        <w:keepNext w:val="0"/>
        <w:widowControl w:val="0"/>
        <w:rPr>
          <w:rFonts w:eastAsia="Times New Roman" w:cs="PalatinoLinotype-Roman"/>
          <w:lang w:eastAsia="en-GB"/>
        </w:rPr>
      </w:pPr>
    </w:p>
    <w:p w:rsidR="00AB77FD" w:rsidRPr="00AB77FD" w:rsidRDefault="00AB77FD" w:rsidP="00AB77FD">
      <w:pPr>
        <w:pStyle w:val="NoteLevel11"/>
        <w:keepNext w:val="0"/>
        <w:widowControl w:val="0"/>
        <w:rPr>
          <w:rFonts w:eastAsia="Times New Roman" w:cs="PalatinoLinotype-Roman"/>
          <w:lang w:eastAsia="en-GB"/>
        </w:rPr>
      </w:pPr>
    </w:p>
    <w:p w:rsidR="00AB77FD" w:rsidRPr="00AB77FD" w:rsidRDefault="00AB77FD" w:rsidP="00AB77FD">
      <w:pPr>
        <w:pStyle w:val="NoteLevel11"/>
        <w:keepNext w:val="0"/>
        <w:widowControl w:val="0"/>
        <w:rPr>
          <w:rFonts w:eastAsia="Times New Roman" w:cs="PalatinoLinotype-Roman"/>
          <w:lang w:eastAsia="en-GB"/>
        </w:rPr>
      </w:pPr>
    </w:p>
    <w:p w:rsidR="00271CF4" w:rsidRPr="00AB77FD" w:rsidRDefault="00271CF4" w:rsidP="00AB77FD">
      <w:pPr>
        <w:pStyle w:val="NoteLevel11"/>
        <w:keepNext w:val="0"/>
        <w:widowControl w:val="0"/>
        <w:rPr>
          <w:rFonts w:eastAsia="Times New Roman" w:cs="PalatinoLinotype-Roman"/>
          <w:lang w:eastAsia="en-GB"/>
        </w:rPr>
      </w:pPr>
      <w:r w:rsidRPr="00AB77FD">
        <w:rPr>
          <w:b/>
          <w:sz w:val="32"/>
          <w:szCs w:val="32"/>
        </w:rPr>
        <w:t>Biomolecular study</w:t>
      </w:r>
      <w:r w:rsidR="00D22139" w:rsidRPr="00AB77FD">
        <w:rPr>
          <w:b/>
          <w:sz w:val="32"/>
          <w:szCs w:val="32"/>
        </w:rPr>
        <w:t xml:space="preserve"> </w:t>
      </w:r>
      <w:r w:rsidR="00D07394" w:rsidRPr="00AB77FD">
        <w:rPr>
          <w:b/>
          <w:sz w:val="32"/>
          <w:szCs w:val="32"/>
        </w:rPr>
        <w:t>(UoS)</w:t>
      </w:r>
    </w:p>
    <w:p w:rsidR="00BD7071" w:rsidRDefault="00BD7071" w:rsidP="00271CF4">
      <w:pPr>
        <w:pStyle w:val="NoteLevel11"/>
        <w:rPr>
          <w:sz w:val="28"/>
        </w:rPr>
      </w:pPr>
    </w:p>
    <w:p w:rsidR="00430342" w:rsidRPr="001B2803" w:rsidRDefault="003150B1" w:rsidP="00A833E7">
      <w:pPr>
        <w:pStyle w:val="NoteLevel11"/>
        <w:rPr>
          <w:rFonts w:cs="Helvetica"/>
          <w:b/>
          <w:sz w:val="28"/>
          <w:szCs w:val="28"/>
        </w:rPr>
      </w:pPr>
      <w:r w:rsidRPr="001B2803">
        <w:rPr>
          <w:rFonts w:cs="Helvetica"/>
          <w:b/>
          <w:i/>
          <w:sz w:val="28"/>
          <w:szCs w:val="28"/>
        </w:rPr>
        <w:t>M.</w:t>
      </w:r>
      <w:r w:rsidR="00334306" w:rsidRPr="001B2803">
        <w:rPr>
          <w:rFonts w:cs="Helvetica"/>
          <w:b/>
          <w:i/>
          <w:sz w:val="28"/>
          <w:szCs w:val="28"/>
        </w:rPr>
        <w:t xml:space="preserve"> </w:t>
      </w:r>
      <w:r w:rsidR="001B2803" w:rsidRPr="001B2803">
        <w:rPr>
          <w:rFonts w:cs="Helvetica"/>
          <w:b/>
          <w:i/>
          <w:sz w:val="28"/>
          <w:szCs w:val="28"/>
        </w:rPr>
        <w:t>leprae</w:t>
      </w:r>
      <w:r w:rsidR="001B2803" w:rsidRPr="001B2803">
        <w:rPr>
          <w:rFonts w:cs="Helvetica"/>
          <w:b/>
          <w:sz w:val="28"/>
          <w:szCs w:val="28"/>
        </w:rPr>
        <w:t xml:space="preserve"> screening methods</w:t>
      </w:r>
    </w:p>
    <w:p w:rsidR="00AB77FD" w:rsidRDefault="00430342" w:rsidP="00AB77FD">
      <w:pPr>
        <w:pStyle w:val="NoteLevel11"/>
        <w:keepNext w:val="0"/>
        <w:widowControl w:val="0"/>
        <w:rPr>
          <w:rFonts w:cs="Helvetica"/>
          <w:szCs w:val="17"/>
        </w:rPr>
      </w:pPr>
      <w:r w:rsidRPr="00726BC5">
        <w:rPr>
          <w:rFonts w:cs="Helvetica"/>
          <w:szCs w:val="17"/>
        </w:rPr>
        <w:t>Screening of the Golden Lane cases revealed</w:t>
      </w:r>
      <w:r w:rsidR="009A6DF9">
        <w:rPr>
          <w:rFonts w:cs="Helvetica"/>
          <w:szCs w:val="17"/>
        </w:rPr>
        <w:t xml:space="preserve"> two robust </w:t>
      </w:r>
      <w:r w:rsidRPr="00726BC5">
        <w:rPr>
          <w:rFonts w:cs="Helvetica"/>
          <w:szCs w:val="17"/>
        </w:rPr>
        <w:t>positives</w:t>
      </w:r>
      <w:r w:rsidR="009A6DF9">
        <w:rPr>
          <w:rFonts w:cs="Helvetica"/>
          <w:szCs w:val="17"/>
        </w:rPr>
        <w:t xml:space="preserve"> for RLEP PCR reported with EVAGreen</w:t>
      </w:r>
      <w:r w:rsidR="009A6DF9">
        <w:rPr>
          <w:rFonts w:ascii="Cambria" w:hAnsi="Cambria" w:cs="Helvetica"/>
          <w:szCs w:val="17"/>
        </w:rPr>
        <w:t>™</w:t>
      </w:r>
      <w:r w:rsidR="001B2803">
        <w:rPr>
          <w:rFonts w:cs="Helvetica"/>
          <w:szCs w:val="17"/>
        </w:rPr>
        <w:t xml:space="preserve"> </w:t>
      </w:r>
      <w:r w:rsidR="001B2803" w:rsidRPr="00BB7280">
        <w:t>–</w:t>
      </w:r>
      <w:r w:rsidR="001B2803">
        <w:t xml:space="preserve"> </w:t>
      </w:r>
      <w:r w:rsidR="009A6DF9">
        <w:rPr>
          <w:rFonts w:cs="Helvetica"/>
          <w:szCs w:val="17"/>
        </w:rPr>
        <w:t>SkCXCV and SkCCXXX</w:t>
      </w:r>
      <w:r w:rsidR="00EF5160">
        <w:rPr>
          <w:rFonts w:cs="Helvetica"/>
          <w:szCs w:val="17"/>
        </w:rPr>
        <w:t>. B</w:t>
      </w:r>
      <w:r w:rsidR="009A6DF9">
        <w:rPr>
          <w:rFonts w:cs="Helvetica"/>
          <w:szCs w:val="17"/>
        </w:rPr>
        <w:t xml:space="preserve">oth </w:t>
      </w:r>
      <w:r w:rsidR="00EF5160">
        <w:rPr>
          <w:rFonts w:cs="Helvetica"/>
          <w:szCs w:val="17"/>
        </w:rPr>
        <w:t>extracts prepared from the latter</w:t>
      </w:r>
      <w:r w:rsidR="001B2803">
        <w:rPr>
          <w:rFonts w:cs="Helvetica"/>
          <w:szCs w:val="17"/>
        </w:rPr>
        <w:t xml:space="preserve"> case was positive, while </w:t>
      </w:r>
      <w:r w:rsidR="009A6DF9">
        <w:rPr>
          <w:rFonts w:cs="Helvetica"/>
          <w:szCs w:val="17"/>
        </w:rPr>
        <w:t xml:space="preserve">SkCXLVIII was only weakly positive in one of the </w:t>
      </w:r>
      <w:r w:rsidR="00D22901">
        <w:rPr>
          <w:rFonts w:cs="Helvetica"/>
          <w:szCs w:val="17"/>
        </w:rPr>
        <w:t xml:space="preserve">two extracts tested, </w:t>
      </w:r>
      <w:r w:rsidR="001B2803">
        <w:rPr>
          <w:rFonts w:cs="Helvetica"/>
          <w:szCs w:val="17"/>
        </w:rPr>
        <w:t xml:space="preserve">that derived from </w:t>
      </w:r>
      <w:r w:rsidR="00D22901">
        <w:rPr>
          <w:rFonts w:cs="Helvetica"/>
          <w:szCs w:val="17"/>
        </w:rPr>
        <w:t>the fibula (</w:t>
      </w:r>
      <w:r w:rsidR="00D22901" w:rsidRPr="00DB104B">
        <w:rPr>
          <w:rFonts w:cs="Helvetica"/>
          <w:szCs w:val="17"/>
          <w:highlight w:val="cyan"/>
        </w:rPr>
        <w:t xml:space="preserve">Table </w:t>
      </w:r>
      <w:r w:rsidR="00432433" w:rsidRPr="00DB104B">
        <w:rPr>
          <w:rFonts w:cs="Helvetica"/>
          <w:szCs w:val="17"/>
          <w:highlight w:val="cyan"/>
        </w:rPr>
        <w:t>3</w:t>
      </w:r>
      <w:r w:rsidR="00D22901">
        <w:rPr>
          <w:rFonts w:cs="Helvetica"/>
          <w:szCs w:val="17"/>
        </w:rPr>
        <w:t>).</w:t>
      </w:r>
      <w:r w:rsidR="009A6DF9">
        <w:rPr>
          <w:rFonts w:cs="Helvetica"/>
          <w:szCs w:val="17"/>
        </w:rPr>
        <w:t xml:space="preserve"> </w:t>
      </w:r>
      <w:r w:rsidR="00187E86">
        <w:rPr>
          <w:rFonts w:cs="Helvetica"/>
          <w:szCs w:val="17"/>
        </w:rPr>
        <w:t>Burials SkCXCV and Sk</w:t>
      </w:r>
      <w:r w:rsidR="00B23A5C" w:rsidRPr="00726BC5">
        <w:rPr>
          <w:rFonts w:cs="Helvetica"/>
          <w:szCs w:val="17"/>
        </w:rPr>
        <w:t xml:space="preserve">CCXXX </w:t>
      </w:r>
      <w:r w:rsidRPr="00726BC5">
        <w:rPr>
          <w:rFonts w:cs="Helvetica"/>
          <w:szCs w:val="17"/>
        </w:rPr>
        <w:t>were also positive for RLEP using the specific FAM labeled reporter probe and also for t</w:t>
      </w:r>
      <w:r w:rsidR="00D22901">
        <w:rPr>
          <w:rFonts w:cs="Helvetica"/>
          <w:szCs w:val="17"/>
        </w:rPr>
        <w:t>he single-copy 18-kDa locus</w:t>
      </w:r>
      <w:r w:rsidRPr="00726BC5">
        <w:rPr>
          <w:rFonts w:cs="Helvetica"/>
          <w:szCs w:val="17"/>
        </w:rPr>
        <w:t xml:space="preserve"> (See </w:t>
      </w:r>
      <w:r w:rsidR="001B2803" w:rsidRPr="00DB104B">
        <w:rPr>
          <w:rFonts w:cs="Helvetica"/>
          <w:szCs w:val="17"/>
          <w:highlight w:val="magenta"/>
        </w:rPr>
        <w:t>Figs</w:t>
      </w:r>
      <w:r w:rsidR="009A6DF9" w:rsidRPr="00DB104B">
        <w:rPr>
          <w:rFonts w:cs="Helvetica"/>
          <w:szCs w:val="17"/>
          <w:highlight w:val="magenta"/>
        </w:rPr>
        <w:t xml:space="preserve"> </w:t>
      </w:r>
      <w:r w:rsidR="00DB104B" w:rsidRPr="00DB104B">
        <w:rPr>
          <w:rFonts w:cs="Helvetica"/>
          <w:szCs w:val="17"/>
          <w:highlight w:val="magenta"/>
        </w:rPr>
        <w:t>3</w:t>
      </w:r>
      <w:r w:rsidR="009A6DF9" w:rsidRPr="00DB104B">
        <w:rPr>
          <w:rFonts w:cs="Helvetica"/>
          <w:szCs w:val="17"/>
          <w:highlight w:val="magenta"/>
        </w:rPr>
        <w:t xml:space="preserve"> and </w:t>
      </w:r>
      <w:r w:rsidR="00DB104B" w:rsidRPr="00DB104B">
        <w:rPr>
          <w:rFonts w:cs="Helvetica"/>
          <w:szCs w:val="17"/>
          <w:highlight w:val="magenta"/>
        </w:rPr>
        <w:t>4</w:t>
      </w:r>
      <w:r w:rsidR="009A6DF9">
        <w:rPr>
          <w:rFonts w:cs="Helvetica"/>
          <w:szCs w:val="17"/>
        </w:rPr>
        <w:t xml:space="preserve"> and </w:t>
      </w:r>
      <w:r w:rsidRPr="00DB104B">
        <w:rPr>
          <w:rFonts w:cs="Helvetica"/>
          <w:szCs w:val="17"/>
          <w:highlight w:val="cyan"/>
        </w:rPr>
        <w:t xml:space="preserve">Table </w:t>
      </w:r>
      <w:r w:rsidR="00DB104B" w:rsidRPr="00DB104B">
        <w:rPr>
          <w:rFonts w:cs="Helvetica"/>
          <w:szCs w:val="17"/>
          <w:highlight w:val="cyan"/>
        </w:rPr>
        <w:t>3</w:t>
      </w:r>
      <w:r w:rsidRPr="00726BC5">
        <w:rPr>
          <w:rFonts w:cs="Helvetica"/>
          <w:szCs w:val="17"/>
        </w:rPr>
        <w:t>).</w:t>
      </w:r>
      <w:r w:rsidR="00B23A5C" w:rsidRPr="00726BC5">
        <w:rPr>
          <w:rFonts w:cs="Helvetica"/>
          <w:szCs w:val="17"/>
        </w:rPr>
        <w:t xml:space="preserve"> </w:t>
      </w:r>
      <w:r w:rsidRPr="00726BC5">
        <w:rPr>
          <w:rFonts w:cs="Helvetica"/>
          <w:szCs w:val="17"/>
        </w:rPr>
        <w:t xml:space="preserve">No evidence for </w:t>
      </w:r>
      <w:r w:rsidRPr="00726BC5">
        <w:rPr>
          <w:rFonts w:cs="Helvetica"/>
          <w:i/>
          <w:szCs w:val="17"/>
        </w:rPr>
        <w:t>M.</w:t>
      </w:r>
      <w:r w:rsidR="00334306">
        <w:rPr>
          <w:rFonts w:cs="Helvetica"/>
          <w:i/>
          <w:szCs w:val="17"/>
        </w:rPr>
        <w:t xml:space="preserve"> </w:t>
      </w:r>
      <w:r w:rsidRPr="00726BC5">
        <w:rPr>
          <w:rFonts w:cs="Helvetica"/>
          <w:i/>
          <w:szCs w:val="17"/>
        </w:rPr>
        <w:t>leprae</w:t>
      </w:r>
      <w:r w:rsidR="001B2803">
        <w:rPr>
          <w:rFonts w:cs="Helvetica"/>
          <w:szCs w:val="17"/>
        </w:rPr>
        <w:t xml:space="preserve"> DNA was found in the </w:t>
      </w:r>
      <w:r w:rsidRPr="00726BC5">
        <w:rPr>
          <w:rFonts w:cs="Helvetica"/>
          <w:szCs w:val="17"/>
        </w:rPr>
        <w:t>case</w:t>
      </w:r>
      <w:r w:rsidR="009A6DF9">
        <w:rPr>
          <w:rFonts w:cs="Helvetica"/>
          <w:szCs w:val="17"/>
        </w:rPr>
        <w:t>s</w:t>
      </w:r>
      <w:r w:rsidR="001B2803">
        <w:rPr>
          <w:rFonts w:cs="Helvetica"/>
          <w:szCs w:val="17"/>
        </w:rPr>
        <w:t xml:space="preserve"> tested from Armoy and Ardreigh</w:t>
      </w:r>
      <w:r w:rsidR="00EF5160">
        <w:rPr>
          <w:rFonts w:cs="Helvetica"/>
          <w:szCs w:val="17"/>
        </w:rPr>
        <w:t>.</w:t>
      </w:r>
      <w:r w:rsidR="00F03B9C">
        <w:rPr>
          <w:rFonts w:cs="Helvetica"/>
          <w:szCs w:val="17"/>
        </w:rPr>
        <w:t xml:space="preserve"> There was a notable difference between the first and second rounds of sampling in terms of pathogen DNA recovery found in the Golden Lane cases, with the initial pilot study providing more robust evidence and lower Cq values on the PCR real-time platform. </w:t>
      </w:r>
    </w:p>
    <w:p w:rsidR="00AB77FD" w:rsidRPr="00AB77FD" w:rsidRDefault="00AB77FD" w:rsidP="00AB77FD">
      <w:pPr>
        <w:pStyle w:val="NoteLevel11"/>
        <w:keepNext w:val="0"/>
        <w:widowControl w:val="0"/>
        <w:rPr>
          <w:rFonts w:cs="Helvetica"/>
          <w:szCs w:val="17"/>
        </w:rPr>
      </w:pPr>
    </w:p>
    <w:p w:rsidR="001B2803" w:rsidRPr="00AB77FD" w:rsidRDefault="00045D2D" w:rsidP="00AB77FD">
      <w:pPr>
        <w:pStyle w:val="NoteLevel11"/>
        <w:keepNext w:val="0"/>
        <w:widowControl w:val="0"/>
        <w:rPr>
          <w:rFonts w:cs="Helvetica"/>
          <w:szCs w:val="17"/>
        </w:rPr>
      </w:pPr>
      <w:r w:rsidRPr="00AB77FD">
        <w:rPr>
          <w:rFonts w:cs="Helvetica"/>
          <w:b/>
          <w:szCs w:val="17"/>
        </w:rPr>
        <w:t xml:space="preserve">Table </w:t>
      </w:r>
      <w:r w:rsidR="00E75AD3" w:rsidRPr="00AB77FD">
        <w:rPr>
          <w:rFonts w:cs="Helvetica"/>
          <w:b/>
          <w:szCs w:val="17"/>
        </w:rPr>
        <w:t>3</w:t>
      </w:r>
      <w:r w:rsidRPr="00AB77FD">
        <w:rPr>
          <w:rFonts w:cs="Helvetica"/>
          <w:b/>
          <w:szCs w:val="17"/>
        </w:rPr>
        <w:t xml:space="preserve">. Summary of screening methods for </w:t>
      </w:r>
      <w:r w:rsidRPr="00AB77FD">
        <w:rPr>
          <w:rFonts w:cs="Helvetica"/>
          <w:b/>
          <w:i/>
          <w:szCs w:val="17"/>
        </w:rPr>
        <w:t>M. leprae</w:t>
      </w:r>
      <w:r w:rsidRPr="00AB77FD">
        <w:rPr>
          <w:rFonts w:cs="Helvetica"/>
          <w:b/>
          <w:szCs w:val="17"/>
        </w:rPr>
        <w:t xml:space="preserve"> applied to Irish cases.</w:t>
      </w:r>
      <w:r w:rsidR="001B2803" w:rsidRPr="00AB77FD">
        <w:rPr>
          <w:rFonts w:cs="Helvetica"/>
          <w:b/>
          <w:szCs w:val="17"/>
        </w:rPr>
        <w:t xml:space="preserve"> </w:t>
      </w:r>
    </w:p>
    <w:tbl>
      <w:tblPr>
        <w:tblW w:w="9356" w:type="dxa"/>
        <w:tblInd w:w="-5" w:type="dxa"/>
        <w:tblLook w:val="04A0" w:firstRow="1" w:lastRow="0" w:firstColumn="1" w:lastColumn="0" w:noHBand="0" w:noVBand="1"/>
      </w:tblPr>
      <w:tblGrid>
        <w:gridCol w:w="1441"/>
        <w:gridCol w:w="1285"/>
        <w:gridCol w:w="1704"/>
        <w:gridCol w:w="1045"/>
        <w:gridCol w:w="1101"/>
        <w:gridCol w:w="1524"/>
        <w:gridCol w:w="1256"/>
      </w:tblGrid>
      <w:tr w:rsidR="00DB104B" w:rsidRPr="0074345C">
        <w:trPr>
          <w:trHeight w:val="510"/>
        </w:trPr>
        <w:tc>
          <w:tcPr>
            <w:tcW w:w="1441" w:type="dxa"/>
            <w:tcBorders>
              <w:top w:val="single" w:sz="4" w:space="0" w:color="auto"/>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Context</w:t>
            </w:r>
          </w:p>
        </w:tc>
        <w:tc>
          <w:tcPr>
            <w:tcW w:w="17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Element</w:t>
            </w:r>
          </w:p>
        </w:tc>
        <w:tc>
          <w:tcPr>
            <w:tcW w:w="956" w:type="dxa"/>
            <w:tcBorders>
              <w:top w:val="single" w:sz="4" w:space="0" w:color="auto"/>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Sample</w:t>
            </w:r>
          </w:p>
        </w:tc>
        <w:tc>
          <w:tcPr>
            <w:tcW w:w="1102" w:type="dxa"/>
            <w:tcBorders>
              <w:top w:val="single" w:sz="4" w:space="0" w:color="auto"/>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RLEP PCR</w:t>
            </w:r>
          </w:p>
        </w:tc>
        <w:tc>
          <w:tcPr>
            <w:tcW w:w="1559" w:type="dxa"/>
            <w:tcBorders>
              <w:top w:val="single" w:sz="4" w:space="0" w:color="auto"/>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RLEP PCR FAM</w:t>
            </w:r>
          </w:p>
        </w:tc>
        <w:tc>
          <w:tcPr>
            <w:tcW w:w="1276" w:type="dxa"/>
            <w:tcBorders>
              <w:top w:val="single" w:sz="4" w:space="0" w:color="auto"/>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18-kDa PCR</w:t>
            </w:r>
          </w:p>
        </w:tc>
      </w:tr>
      <w:tr w:rsidR="00906564" w:rsidRPr="0074345C">
        <w:trPr>
          <w:trHeight w:val="510"/>
        </w:trPr>
        <w:tc>
          <w:tcPr>
            <w:tcW w:w="1441" w:type="dxa"/>
            <w:tcBorders>
              <w:top w:val="nil"/>
              <w:left w:val="single" w:sz="4" w:space="0" w:color="auto"/>
              <w:bottom w:val="nil"/>
              <w:right w:val="single" w:sz="4" w:space="0" w:color="auto"/>
            </w:tcBorders>
            <w:shd w:val="clear" w:color="auto" w:fill="auto"/>
            <w:noWrap/>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Site</w:t>
            </w:r>
          </w:p>
        </w:tc>
        <w:tc>
          <w:tcPr>
            <w:tcW w:w="1287" w:type="dxa"/>
            <w:vMerge/>
            <w:tcBorders>
              <w:top w:val="single" w:sz="4" w:space="0" w:color="auto"/>
              <w:left w:val="single" w:sz="4" w:space="0" w:color="auto"/>
              <w:bottom w:val="single" w:sz="4" w:space="0" w:color="000000"/>
              <w:right w:val="single" w:sz="4" w:space="0" w:color="auto"/>
            </w:tcBorders>
            <w:vAlign w:val="center"/>
          </w:tcPr>
          <w:p w:rsidR="00906564" w:rsidRPr="0074345C" w:rsidRDefault="00906564" w:rsidP="00906564">
            <w:pPr>
              <w:pStyle w:val="NoteLevel11"/>
              <w:rPr>
                <w:rFonts w:eastAsia="Times New Roman" w:cs="Calibri"/>
                <w:b/>
                <w:bCs/>
                <w:color w:val="000000"/>
                <w:sz w:val="20"/>
                <w:szCs w:val="20"/>
                <w:lang w:val="en-GB" w:eastAsia="en-GB"/>
              </w:rPr>
            </w:pPr>
          </w:p>
        </w:tc>
        <w:tc>
          <w:tcPr>
            <w:tcW w:w="1735" w:type="dxa"/>
            <w:vMerge/>
            <w:tcBorders>
              <w:top w:val="single" w:sz="4" w:space="0" w:color="auto"/>
              <w:left w:val="single" w:sz="4" w:space="0" w:color="auto"/>
              <w:bottom w:val="single" w:sz="4" w:space="0" w:color="000000"/>
              <w:right w:val="single" w:sz="4" w:space="0" w:color="auto"/>
            </w:tcBorders>
            <w:vAlign w:val="center"/>
          </w:tcPr>
          <w:p w:rsidR="00906564" w:rsidRPr="0074345C" w:rsidRDefault="00906564" w:rsidP="00906564">
            <w:pPr>
              <w:pStyle w:val="NoteLevel11"/>
              <w:rPr>
                <w:rFonts w:eastAsia="Times New Roman" w:cs="Calibri"/>
                <w:b/>
                <w:bCs/>
                <w:color w:val="000000"/>
                <w:sz w:val="20"/>
                <w:szCs w:val="20"/>
                <w:lang w:val="en-GB" w:eastAsia="en-GB"/>
              </w:rPr>
            </w:pPr>
          </w:p>
        </w:tc>
        <w:tc>
          <w:tcPr>
            <w:tcW w:w="956" w:type="dxa"/>
            <w:tcBorders>
              <w:top w:val="nil"/>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(mg)</w:t>
            </w:r>
          </w:p>
        </w:tc>
        <w:tc>
          <w:tcPr>
            <w:tcW w:w="1102" w:type="dxa"/>
            <w:tcBorders>
              <w:top w:val="nil"/>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EVA Green™</w:t>
            </w:r>
          </w:p>
        </w:tc>
        <w:tc>
          <w:tcPr>
            <w:tcW w:w="1559" w:type="dxa"/>
            <w:tcBorders>
              <w:top w:val="nil"/>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Probe</w:t>
            </w:r>
          </w:p>
        </w:tc>
        <w:tc>
          <w:tcPr>
            <w:tcW w:w="1276" w:type="dxa"/>
            <w:tcBorders>
              <w:top w:val="nil"/>
              <w:left w:val="nil"/>
              <w:bottom w:val="nil"/>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JOE</w:t>
            </w:r>
          </w:p>
        </w:tc>
      </w:tr>
      <w:tr w:rsidR="00906564" w:rsidRPr="0074345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vMerge/>
            <w:tcBorders>
              <w:top w:val="single" w:sz="4" w:space="0" w:color="auto"/>
              <w:left w:val="single" w:sz="4" w:space="0" w:color="auto"/>
              <w:bottom w:val="single" w:sz="4" w:space="0" w:color="000000"/>
              <w:right w:val="single" w:sz="4" w:space="0" w:color="auto"/>
            </w:tcBorders>
            <w:vAlign w:val="center"/>
          </w:tcPr>
          <w:p w:rsidR="00906564" w:rsidRPr="0074345C" w:rsidRDefault="00906564" w:rsidP="00906564">
            <w:pPr>
              <w:pStyle w:val="NoteLevel11"/>
              <w:rPr>
                <w:rFonts w:eastAsia="Times New Roman" w:cs="Calibri"/>
                <w:b/>
                <w:bCs/>
                <w:color w:val="000000"/>
                <w:sz w:val="20"/>
                <w:szCs w:val="20"/>
                <w:lang w:val="en-GB" w:eastAsia="en-GB"/>
              </w:rPr>
            </w:pPr>
          </w:p>
        </w:tc>
        <w:tc>
          <w:tcPr>
            <w:tcW w:w="1735" w:type="dxa"/>
            <w:vMerge/>
            <w:tcBorders>
              <w:top w:val="single" w:sz="4" w:space="0" w:color="auto"/>
              <w:left w:val="single" w:sz="4" w:space="0" w:color="auto"/>
              <w:bottom w:val="single" w:sz="4" w:space="0" w:color="000000"/>
              <w:right w:val="single" w:sz="4" w:space="0" w:color="auto"/>
            </w:tcBorders>
            <w:vAlign w:val="center"/>
          </w:tcPr>
          <w:p w:rsidR="00906564" w:rsidRPr="0074345C" w:rsidRDefault="00906564" w:rsidP="00906564">
            <w:pPr>
              <w:pStyle w:val="NoteLevel11"/>
              <w:rPr>
                <w:rFonts w:eastAsia="Times New Roman" w:cs="Calibri"/>
                <w:b/>
                <w:bCs/>
                <w:color w:val="000000"/>
                <w:sz w:val="20"/>
                <w:szCs w:val="20"/>
                <w:lang w:val="en-GB" w:eastAsia="en-GB"/>
              </w:rPr>
            </w:pPr>
          </w:p>
        </w:tc>
        <w:tc>
          <w:tcPr>
            <w:tcW w:w="956"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102"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559"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Probe</w:t>
            </w:r>
          </w:p>
        </w:tc>
      </w:tr>
      <w:tr w:rsidR="00DB104B" w:rsidRPr="0074345C">
        <w:trPr>
          <w:trHeight w:val="300"/>
        </w:trPr>
        <w:tc>
          <w:tcPr>
            <w:tcW w:w="1441" w:type="dxa"/>
            <w:tcBorders>
              <w:top w:val="nil"/>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SkCCL</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Rib</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r>
      <w:tr w:rsidR="00DB104B" w:rsidRPr="0074345C">
        <w:trPr>
          <w:trHeight w:val="300"/>
        </w:trPr>
        <w:tc>
          <w:tcPr>
            <w:tcW w:w="1441" w:type="dxa"/>
            <w:tcBorders>
              <w:top w:val="nil"/>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Distal fibula</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u w:val="single"/>
                <w:lang w:val="en-GB" w:eastAsia="en-GB"/>
              </w:rPr>
            </w:pPr>
            <w:r w:rsidRPr="0074345C">
              <w:rPr>
                <w:rFonts w:eastAsia="Times New Roman" w:cs="Calibri"/>
                <w:color w:val="000000"/>
                <w:sz w:val="20"/>
                <w:szCs w:val="20"/>
                <w:u w:val="single"/>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DB104B" w:rsidRPr="0074345C">
        <w:trPr>
          <w:trHeight w:val="510"/>
        </w:trPr>
        <w:tc>
          <w:tcPr>
            <w:tcW w:w="1441" w:type="dxa"/>
            <w:tcBorders>
              <w:top w:val="nil"/>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 proximal foot phalanx</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DB104B" w:rsidRPr="0074345C">
        <w:trPr>
          <w:trHeight w:val="300"/>
        </w:trPr>
        <w:tc>
          <w:tcPr>
            <w:tcW w:w="1441" w:type="dxa"/>
            <w:tcBorders>
              <w:top w:val="nil"/>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L distal fibula</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DB104B" w:rsidRPr="0074345C">
        <w:trPr>
          <w:trHeight w:val="300"/>
        </w:trPr>
        <w:tc>
          <w:tcPr>
            <w:tcW w:w="1441" w:type="dxa"/>
            <w:tcBorders>
              <w:top w:val="nil"/>
              <w:left w:val="single" w:sz="4" w:space="0" w:color="auto"/>
              <w:bottom w:val="nil"/>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Palate (R+L)</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DB104B" w:rsidRPr="0074345C">
        <w:trPr>
          <w:trHeight w:val="510"/>
        </w:trPr>
        <w:tc>
          <w:tcPr>
            <w:tcW w:w="1441" w:type="dxa"/>
            <w:tcBorders>
              <w:top w:val="nil"/>
              <w:left w:val="single" w:sz="4" w:space="0" w:color="auto"/>
              <w:bottom w:val="single" w:sz="4" w:space="0" w:color="auto"/>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L proximal first foot phalanx</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DB104B" w:rsidRPr="0074345C">
        <w:trPr>
          <w:trHeight w:val="510"/>
        </w:trPr>
        <w:tc>
          <w:tcPr>
            <w:tcW w:w="1441" w:type="dxa"/>
            <w:tcBorders>
              <w:top w:val="nil"/>
              <w:left w:val="single" w:sz="4" w:space="0" w:color="auto"/>
              <w:bottom w:val="nil"/>
              <w:right w:val="single" w:sz="4" w:space="0" w:color="auto"/>
            </w:tcBorders>
            <w:shd w:val="clear" w:color="auto" w:fill="auto"/>
            <w:noWrap/>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Ardreigh</w:t>
            </w:r>
          </w:p>
        </w:tc>
        <w:tc>
          <w:tcPr>
            <w:tcW w:w="1287"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Sk1494  (1)</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 proximal foot phalanx</w:t>
            </w:r>
          </w:p>
        </w:tc>
        <w:tc>
          <w:tcPr>
            <w:tcW w:w="956"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c>
          <w:tcPr>
            <w:tcW w:w="1276" w:type="dxa"/>
            <w:tcBorders>
              <w:top w:val="nil"/>
              <w:left w:val="nil"/>
              <w:bottom w:val="single" w:sz="4" w:space="0" w:color="auto"/>
              <w:right w:val="single" w:sz="4" w:space="0" w:color="auto"/>
            </w:tcBorders>
            <w:shd w:val="clear" w:color="auto" w:fill="auto"/>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r>
      <w:tr w:rsidR="00DB104B" w:rsidRPr="0074345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Sk1494  (2)</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R fibula</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r>
      <w:tr w:rsidR="00DB104B" w:rsidRPr="0074345C">
        <w:trPr>
          <w:trHeight w:val="300"/>
        </w:trPr>
        <w:tc>
          <w:tcPr>
            <w:tcW w:w="1441" w:type="dxa"/>
            <w:tcBorders>
              <w:top w:val="nil"/>
              <w:left w:val="single" w:sz="4" w:space="0" w:color="auto"/>
              <w:bottom w:val="single" w:sz="4" w:space="0" w:color="auto"/>
              <w:right w:val="single" w:sz="4" w:space="0" w:color="auto"/>
            </w:tcBorders>
            <w:shd w:val="clear" w:color="auto" w:fill="auto"/>
            <w:noWrap/>
            <w:vAlign w:val="bottom"/>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Armoy</w:t>
            </w:r>
          </w:p>
        </w:tc>
        <w:tc>
          <w:tcPr>
            <w:tcW w:w="1287"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 171</w:t>
            </w:r>
          </w:p>
        </w:tc>
        <w:tc>
          <w:tcPr>
            <w:tcW w:w="1735"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Tarsal</w:t>
            </w:r>
          </w:p>
        </w:tc>
        <w:tc>
          <w:tcPr>
            <w:tcW w:w="95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30</w:t>
            </w:r>
          </w:p>
        </w:tc>
        <w:tc>
          <w:tcPr>
            <w:tcW w:w="1102"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559"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76" w:type="dxa"/>
            <w:tcBorders>
              <w:top w:val="nil"/>
              <w:left w:val="nil"/>
              <w:bottom w:val="single" w:sz="4" w:space="0" w:color="auto"/>
              <w:right w:val="single" w:sz="4" w:space="0" w:color="auto"/>
            </w:tcBorders>
            <w:shd w:val="clear" w:color="auto" w:fill="auto"/>
            <w:vAlign w:val="center"/>
          </w:tcPr>
          <w:p w:rsidR="00906564" w:rsidRPr="0074345C" w:rsidRDefault="00906564" w:rsidP="00906564">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ND</w:t>
            </w:r>
          </w:p>
        </w:tc>
      </w:tr>
    </w:tbl>
    <w:p w:rsidR="00AF738D" w:rsidRPr="00DB104B" w:rsidRDefault="001B2803" w:rsidP="001B2803">
      <w:pPr>
        <w:pStyle w:val="NoteLevel11"/>
        <w:rPr>
          <w:rFonts w:cs="Helvetica"/>
          <w:szCs w:val="17"/>
        </w:rPr>
      </w:pPr>
      <w:r w:rsidRPr="00DB104B">
        <w:rPr>
          <w:rFonts w:cs="Helvetica"/>
          <w:szCs w:val="17"/>
        </w:rPr>
        <w:t>+ = PCR positive,</w:t>
      </w:r>
      <w:r w:rsidR="009A033C" w:rsidRPr="00DB104B">
        <w:rPr>
          <w:rFonts w:cs="Helvetica"/>
          <w:szCs w:val="17"/>
        </w:rPr>
        <w:t xml:space="preserve"> </w:t>
      </w:r>
      <w:r w:rsidR="00BB7280" w:rsidRPr="00DB104B">
        <w:rPr>
          <w:rFonts w:cs="Helvetica"/>
          <w:szCs w:val="17"/>
          <w:u w:val="single"/>
        </w:rPr>
        <w:t>+</w:t>
      </w:r>
      <w:r w:rsidRPr="00DB104B">
        <w:rPr>
          <w:rFonts w:cs="Helvetica"/>
          <w:szCs w:val="17"/>
        </w:rPr>
        <w:t xml:space="preserve">  = weak positive,</w:t>
      </w:r>
      <w:r w:rsidR="00BB7280" w:rsidRPr="00DB104B">
        <w:rPr>
          <w:rFonts w:cs="Helvetica"/>
          <w:szCs w:val="17"/>
        </w:rPr>
        <w:t xml:space="preserve">  </w:t>
      </w:r>
      <w:r w:rsidRPr="00DB104B">
        <w:rPr>
          <w:rFonts w:cs="Helvetica"/>
          <w:szCs w:val="17"/>
        </w:rPr>
        <w:t>- = PCR negative,</w:t>
      </w:r>
      <w:r w:rsidR="009A033C" w:rsidRPr="00DB104B">
        <w:rPr>
          <w:rFonts w:cs="Helvetica"/>
          <w:szCs w:val="17"/>
        </w:rPr>
        <w:t xml:space="preserve"> ND = not determined.</w:t>
      </w:r>
    </w:p>
    <w:p w:rsidR="00B00BCC" w:rsidRDefault="00B00BCC" w:rsidP="00A833E7">
      <w:pPr>
        <w:pStyle w:val="NoteLevel11"/>
        <w:rPr>
          <w:rFonts w:cs="Helvetica"/>
          <w:szCs w:val="17"/>
        </w:rPr>
      </w:pPr>
    </w:p>
    <w:p w:rsidR="00583796" w:rsidRPr="0074345C" w:rsidRDefault="00583796" w:rsidP="00583796">
      <w:pPr>
        <w:pStyle w:val="NoteLevel11"/>
        <w:rPr>
          <w:rFonts w:cs="Helvetica"/>
          <w:b/>
        </w:rPr>
      </w:pPr>
      <w:r w:rsidRPr="0074345C">
        <w:rPr>
          <w:rFonts w:cs="Helvetica"/>
          <w:b/>
        </w:rPr>
        <w:t xml:space="preserve">Figure </w:t>
      </w:r>
      <w:r w:rsidR="00980F2F" w:rsidRPr="0074345C">
        <w:rPr>
          <w:rFonts w:cs="Helvetica"/>
          <w:b/>
        </w:rPr>
        <w:t>3</w:t>
      </w:r>
      <w:r w:rsidRPr="0074345C">
        <w:rPr>
          <w:rFonts w:cs="Helvetica"/>
          <w:b/>
        </w:rPr>
        <w:t>. Amplification plots of the multi-copy PCR target RLEP reported with a specific FAM-labelled fluorogenic probe. Products were generated from extracts prepared from SkCXCV (left fibula, blue traces) and SkCCXXX from two extracts (palate, green traces) and first phalanx (fuchsia pink trace). SkCXLVIII was negative using this PCR method, as were the two template blanks run in parallel (black traces).</w:t>
      </w:r>
    </w:p>
    <w:p w:rsidR="00583796" w:rsidRPr="0074345C" w:rsidRDefault="00583796" w:rsidP="00583796">
      <w:pPr>
        <w:pStyle w:val="NoteLevel11"/>
      </w:pPr>
    </w:p>
    <w:p w:rsidR="00583796" w:rsidRPr="0074345C" w:rsidRDefault="00583796" w:rsidP="00583796">
      <w:pPr>
        <w:pStyle w:val="NoteLevel11"/>
        <w:rPr>
          <w:rFonts w:eastAsia="Cambria" w:cs="Helvetica"/>
          <w:b/>
        </w:rPr>
      </w:pPr>
      <w:r w:rsidRPr="0074345C">
        <w:rPr>
          <w:rFonts w:eastAsia="Cambria" w:cs="Helvetica"/>
          <w:b/>
        </w:rPr>
        <w:t xml:space="preserve">Figure </w:t>
      </w:r>
      <w:r w:rsidR="00980F2F" w:rsidRPr="0074345C">
        <w:rPr>
          <w:rFonts w:eastAsia="Cambria" w:cs="Helvetica"/>
          <w:b/>
        </w:rPr>
        <w:t>4</w:t>
      </w:r>
      <w:r w:rsidRPr="0074345C">
        <w:rPr>
          <w:rFonts w:eastAsia="Cambria" w:cs="Helvetica"/>
          <w:b/>
        </w:rPr>
        <w:t xml:space="preserve">. Amplification plots of the single-copy 18kDa gene PCR product reported with a specific JOE-labelled fluorogenic probe. Products were generated from extracts prepared from SkCXCV (left fibula, blue traces) and SkCCXXX from two extracts (palate, green traces) and </w:t>
      </w:r>
      <w:r w:rsidR="00ED77B8" w:rsidRPr="0074345C">
        <w:rPr>
          <w:rFonts w:eastAsia="Cambria" w:cs="Helvetica"/>
          <w:b/>
        </w:rPr>
        <w:t>fir</w:t>
      </w:r>
      <w:r w:rsidRPr="0074345C">
        <w:rPr>
          <w:rFonts w:eastAsia="Cambria" w:cs="Helvetica"/>
          <w:b/>
        </w:rPr>
        <w:t>st phalanx (fuchsia pink trace).</w:t>
      </w:r>
      <w:r w:rsidR="00ED77B8" w:rsidRPr="0074345C">
        <w:rPr>
          <w:rFonts w:eastAsia="Cambria" w:cs="Helvetica"/>
          <w:b/>
        </w:rPr>
        <w:t xml:space="preserve"> </w:t>
      </w:r>
      <w:r w:rsidRPr="0074345C">
        <w:rPr>
          <w:rFonts w:eastAsia="Cambria" w:cs="Helvetica"/>
          <w:b/>
        </w:rPr>
        <w:t>SkCXLVIII was negative using this PCR method, as were the two template blanks run in parallel (black traces)</w:t>
      </w:r>
      <w:r w:rsidR="00ED77B8" w:rsidRPr="0074345C">
        <w:rPr>
          <w:rFonts w:eastAsia="Cambria" w:cs="Helvetica"/>
          <w:b/>
        </w:rPr>
        <w:t>.</w:t>
      </w:r>
    </w:p>
    <w:p w:rsidR="00726BC5" w:rsidRDefault="00726BC5" w:rsidP="003413D1">
      <w:pPr>
        <w:pStyle w:val="NoteLevel11"/>
        <w:rPr>
          <w:rFonts w:cs="Helvetica"/>
          <w:szCs w:val="17"/>
        </w:rPr>
      </w:pPr>
    </w:p>
    <w:p w:rsidR="00726BC5" w:rsidRPr="00234C90" w:rsidRDefault="00726BC5" w:rsidP="00004E81">
      <w:pPr>
        <w:pStyle w:val="NoteLevel11"/>
        <w:rPr>
          <w:rFonts w:cs="Helvetica"/>
          <w:b/>
          <w:sz w:val="28"/>
          <w:szCs w:val="28"/>
        </w:rPr>
      </w:pPr>
      <w:r w:rsidRPr="00234C90">
        <w:rPr>
          <w:rFonts w:cs="Helvetica"/>
          <w:b/>
          <w:sz w:val="28"/>
          <w:szCs w:val="28"/>
        </w:rPr>
        <w:t>S</w:t>
      </w:r>
      <w:r w:rsidR="001B2803" w:rsidRPr="00234C90">
        <w:rPr>
          <w:rFonts w:cs="Helvetica"/>
          <w:b/>
          <w:sz w:val="28"/>
          <w:szCs w:val="28"/>
        </w:rPr>
        <w:t>NP genotyping of positive cases</w:t>
      </w:r>
    </w:p>
    <w:p w:rsidR="00AB77FD" w:rsidRDefault="00726BC5" w:rsidP="00AB77FD">
      <w:pPr>
        <w:pStyle w:val="NoteLevel11"/>
        <w:keepNext w:val="0"/>
        <w:widowControl w:val="0"/>
        <w:rPr>
          <w:rFonts w:cs="Helvetica"/>
          <w:szCs w:val="17"/>
        </w:rPr>
      </w:pPr>
      <w:r w:rsidRPr="004B34DA">
        <w:rPr>
          <w:rFonts w:cs="Helvetica"/>
          <w:szCs w:val="17"/>
        </w:rPr>
        <w:t>A series of phylogenetically informative SNP PCRs were applied to G</w:t>
      </w:r>
      <w:r w:rsidR="000202D9" w:rsidRPr="004B34DA">
        <w:rPr>
          <w:rFonts w:cs="Helvetica"/>
          <w:szCs w:val="17"/>
        </w:rPr>
        <w:t>olden Lane cases SkCXCV and Sk</w:t>
      </w:r>
      <w:r w:rsidRPr="004B34DA">
        <w:rPr>
          <w:rFonts w:cs="Helvetica"/>
          <w:szCs w:val="17"/>
        </w:rPr>
        <w:t xml:space="preserve">CCXXX.  A summary of the sequencing data </w:t>
      </w:r>
      <w:r w:rsidRPr="0061294C">
        <w:rPr>
          <w:rFonts w:cs="Helvetica"/>
          <w:szCs w:val="17"/>
        </w:rPr>
        <w:t>obtaine</w:t>
      </w:r>
      <w:r w:rsidR="00D22901" w:rsidRPr="0061294C">
        <w:rPr>
          <w:rFonts w:cs="Helvetica"/>
          <w:szCs w:val="17"/>
        </w:rPr>
        <w:t xml:space="preserve">d from these is shown in </w:t>
      </w:r>
      <w:r w:rsidR="00D22901" w:rsidRPr="0061294C">
        <w:rPr>
          <w:rFonts w:cs="Helvetica"/>
          <w:szCs w:val="17"/>
          <w:highlight w:val="cyan"/>
        </w:rPr>
        <w:t xml:space="preserve">Table </w:t>
      </w:r>
      <w:r w:rsidR="00E270A9" w:rsidRPr="0061294C">
        <w:rPr>
          <w:rFonts w:cs="Helvetica"/>
          <w:szCs w:val="17"/>
          <w:highlight w:val="cyan"/>
        </w:rPr>
        <w:t>4</w:t>
      </w:r>
      <w:r w:rsidRPr="0061294C">
        <w:rPr>
          <w:rFonts w:cs="Helvetica"/>
          <w:szCs w:val="17"/>
        </w:rPr>
        <w:t>.</w:t>
      </w:r>
      <w:r w:rsidR="00ED6B50" w:rsidRPr="0061294C">
        <w:rPr>
          <w:rFonts w:cs="Helvetica"/>
          <w:szCs w:val="17"/>
        </w:rPr>
        <w:t xml:space="preserve"> All amplicons generated were of expected sizes.</w:t>
      </w:r>
      <w:r w:rsidR="000202D9" w:rsidRPr="0061294C">
        <w:rPr>
          <w:rFonts w:cs="Helvetica"/>
          <w:szCs w:val="17"/>
        </w:rPr>
        <w:t xml:space="preserve"> The data revealed that SkCXCV was a type 3I-1 strain and that SkCCXXX belonged to the rarer</w:t>
      </w:r>
      <w:r w:rsidR="00945303" w:rsidRPr="0061294C">
        <w:rPr>
          <w:rFonts w:cs="Helvetica"/>
          <w:szCs w:val="17"/>
        </w:rPr>
        <w:t>,</w:t>
      </w:r>
      <w:r w:rsidR="00D22901" w:rsidRPr="0061294C">
        <w:rPr>
          <w:rFonts w:cs="Helvetica"/>
          <w:szCs w:val="17"/>
        </w:rPr>
        <w:t xml:space="preserve"> type 2F lineage</w:t>
      </w:r>
      <w:r w:rsidR="006D63C8" w:rsidRPr="0061294C">
        <w:rPr>
          <w:rFonts w:cs="Helvetica"/>
          <w:szCs w:val="17"/>
        </w:rPr>
        <w:t xml:space="preserve"> [21]</w:t>
      </w:r>
      <w:r w:rsidR="000202D9" w:rsidRPr="0061294C">
        <w:rPr>
          <w:rFonts w:cs="Helvetica"/>
          <w:szCs w:val="17"/>
        </w:rPr>
        <w:t>.</w:t>
      </w:r>
      <w:r w:rsidR="00E27A6E" w:rsidRPr="0061294C">
        <w:rPr>
          <w:rFonts w:cs="Helvetica"/>
          <w:szCs w:val="17"/>
        </w:rPr>
        <w:t xml:space="preserve"> </w:t>
      </w:r>
      <w:r w:rsidR="00665EB1" w:rsidRPr="0061294C">
        <w:rPr>
          <w:rFonts w:cs="Helvetica"/>
          <w:szCs w:val="17"/>
        </w:rPr>
        <w:t xml:space="preserve">No </w:t>
      </w:r>
      <w:r w:rsidR="00D22901" w:rsidRPr="0061294C">
        <w:rPr>
          <w:rFonts w:cs="Helvetica"/>
          <w:szCs w:val="17"/>
        </w:rPr>
        <w:t>novel</w:t>
      </w:r>
      <w:r w:rsidR="00E27A6E" w:rsidRPr="0061294C">
        <w:rPr>
          <w:rFonts w:cs="Helvetica"/>
          <w:szCs w:val="17"/>
        </w:rPr>
        <w:t xml:space="preserve"> </w:t>
      </w:r>
      <w:r w:rsidR="00BB7280" w:rsidRPr="0061294C">
        <w:rPr>
          <w:rFonts w:cs="Helvetica"/>
          <w:i/>
          <w:szCs w:val="17"/>
        </w:rPr>
        <w:t>M.</w:t>
      </w:r>
      <w:r w:rsidR="00334306" w:rsidRPr="0061294C">
        <w:rPr>
          <w:rFonts w:cs="Helvetica"/>
          <w:i/>
          <w:szCs w:val="17"/>
        </w:rPr>
        <w:t xml:space="preserve"> </w:t>
      </w:r>
      <w:r w:rsidR="00BB7280" w:rsidRPr="0061294C">
        <w:rPr>
          <w:rFonts w:cs="Helvetica"/>
          <w:i/>
          <w:szCs w:val="17"/>
        </w:rPr>
        <w:t>leprae</w:t>
      </w:r>
      <w:r w:rsidR="00E27A6E" w:rsidRPr="0061294C">
        <w:rPr>
          <w:rFonts w:cs="Helvetica"/>
          <w:szCs w:val="17"/>
        </w:rPr>
        <w:t xml:space="preserve"> polymorphisms were </w:t>
      </w:r>
      <w:r w:rsidR="00E27A6E">
        <w:rPr>
          <w:rFonts w:cs="Helvetica"/>
          <w:szCs w:val="17"/>
        </w:rPr>
        <w:t>detected</w:t>
      </w:r>
      <w:r w:rsidR="00D22901">
        <w:rPr>
          <w:rFonts w:cs="Helvetica"/>
          <w:szCs w:val="17"/>
        </w:rPr>
        <w:t xml:space="preserve"> </w:t>
      </w:r>
      <w:r w:rsidR="00E27A6E">
        <w:rPr>
          <w:rFonts w:cs="Helvetica"/>
          <w:szCs w:val="17"/>
        </w:rPr>
        <w:t>and all sequences exactl</w:t>
      </w:r>
      <w:r w:rsidR="00AB77FD">
        <w:rPr>
          <w:rFonts w:cs="Helvetica"/>
          <w:szCs w:val="17"/>
        </w:rPr>
        <w:t xml:space="preserve">y </w:t>
      </w:r>
      <w:r w:rsidR="00E27A6E">
        <w:rPr>
          <w:rFonts w:cs="Helvetica"/>
          <w:szCs w:val="17"/>
        </w:rPr>
        <w:t>matched those previously reported in public databases.</w:t>
      </w: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AB77FD" w:rsidRPr="00AB77FD" w:rsidRDefault="00AB77FD" w:rsidP="00AB77FD">
      <w:pPr>
        <w:pStyle w:val="NoteLevel11"/>
        <w:keepNext w:val="0"/>
        <w:widowControl w:val="0"/>
        <w:rPr>
          <w:rFonts w:cs="Helvetica"/>
          <w:szCs w:val="17"/>
        </w:rPr>
      </w:pPr>
    </w:p>
    <w:p w:rsidR="009155B0" w:rsidRPr="00AB77FD" w:rsidRDefault="00045D2D" w:rsidP="00AB77FD">
      <w:pPr>
        <w:pStyle w:val="NoteLevel11"/>
        <w:keepNext w:val="0"/>
        <w:widowControl w:val="0"/>
        <w:rPr>
          <w:rFonts w:cs="Helvetica"/>
          <w:szCs w:val="17"/>
        </w:rPr>
      </w:pPr>
      <w:r w:rsidRPr="00AB77FD">
        <w:rPr>
          <w:rFonts w:cs="Helvetica"/>
          <w:b/>
          <w:szCs w:val="17"/>
        </w:rPr>
        <w:t xml:space="preserve">Table </w:t>
      </w:r>
      <w:r w:rsidR="00E270A9" w:rsidRPr="00AB77FD">
        <w:rPr>
          <w:rFonts w:cs="Helvetica"/>
          <w:b/>
          <w:szCs w:val="17"/>
        </w:rPr>
        <w:t>4</w:t>
      </w:r>
      <w:r w:rsidRPr="00AB77FD">
        <w:rPr>
          <w:rFonts w:cs="Helvetica"/>
          <w:b/>
          <w:szCs w:val="17"/>
        </w:rPr>
        <w:t>. Summary of SNP genotyping from Golden Lane positive cases.</w:t>
      </w:r>
      <w:r w:rsidR="009155B0" w:rsidRPr="00AB77FD">
        <w:rPr>
          <w:rFonts w:cs="Helvetica"/>
          <w:b/>
          <w:szCs w:val="17"/>
        </w:rPr>
        <w:t xml:space="preserve"> </w:t>
      </w:r>
    </w:p>
    <w:tbl>
      <w:tblPr>
        <w:tblW w:w="8527" w:type="dxa"/>
        <w:tblInd w:w="-5" w:type="dxa"/>
        <w:tblLook w:val="04A0" w:firstRow="1" w:lastRow="0" w:firstColumn="1" w:lastColumn="0" w:noHBand="0" w:noVBand="1"/>
      </w:tblPr>
      <w:tblGrid>
        <w:gridCol w:w="1901"/>
        <w:gridCol w:w="1257"/>
        <w:gridCol w:w="1088"/>
        <w:gridCol w:w="1424"/>
        <w:gridCol w:w="1240"/>
        <w:gridCol w:w="1827"/>
      </w:tblGrid>
      <w:tr w:rsidR="00ED6B50" w:rsidRPr="0061294C">
        <w:trPr>
          <w:trHeight w:val="300"/>
        </w:trPr>
        <w:tc>
          <w:tcPr>
            <w:tcW w:w="19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Locus: TN positio</w:t>
            </w:r>
            <w:r w:rsidRPr="0061294C">
              <w:rPr>
                <w:rFonts w:eastAsia="Times New Roman" w:cs="Calibri"/>
                <w:b/>
                <w:bCs/>
                <w:sz w:val="20"/>
                <w:szCs w:val="20"/>
                <w:vertAlign w:val="superscript"/>
                <w:lang w:val="en-GB" w:eastAsia="en-GB"/>
              </w:rPr>
              <w:t>1</w:t>
            </w:r>
          </w:p>
        </w:tc>
        <w:tc>
          <w:tcPr>
            <w:tcW w:w="1097" w:type="dxa"/>
            <w:tcBorders>
              <w:top w:val="single" w:sz="4" w:space="0" w:color="auto"/>
              <w:left w:val="nil"/>
              <w:bottom w:val="single" w:sz="4" w:space="0" w:color="auto"/>
              <w:right w:val="single" w:sz="4" w:space="0" w:color="auto"/>
            </w:tcBorders>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Amplicon</w:t>
            </w:r>
          </w:p>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Size (bp)</w:t>
            </w:r>
          </w:p>
        </w:tc>
        <w:tc>
          <w:tcPr>
            <w:tcW w:w="1071" w:type="dxa"/>
            <w:tcBorders>
              <w:top w:val="single" w:sz="4" w:space="0" w:color="auto"/>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SkCXCV</w:t>
            </w:r>
          </w:p>
        </w:tc>
        <w:tc>
          <w:tcPr>
            <w:tcW w:w="1424" w:type="dxa"/>
            <w:tcBorders>
              <w:top w:val="single" w:sz="4" w:space="0" w:color="auto"/>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Inference</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SkCCXXX</w:t>
            </w:r>
          </w:p>
        </w:tc>
        <w:tc>
          <w:tcPr>
            <w:tcW w:w="1827" w:type="dxa"/>
            <w:tcBorders>
              <w:top w:val="single" w:sz="4" w:space="0" w:color="auto"/>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Inference</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1: 14,676</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121</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2: 1,642,875</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122</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T</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T</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3: 2,935,685</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117</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Main type 3</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A</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Main type 2</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4: 413,903</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120</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G</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I-K</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G</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E-H</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5: 591,857</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107</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I-L</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Subypes E-H</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6: 1,133,492</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121</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T</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 I</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T</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E-H</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7: 2,312,066</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101</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I or J</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E-H</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8: 7,614</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109</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T</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 I</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Main types 1-4</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9: 1,113,923</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117</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G</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Main type 3</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A</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Main types 1,2 or 4</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10:1,104,235</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117</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ND</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E or F</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11:  3,102,787</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139</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ND</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C</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Subtypes F-H</w:t>
            </w:r>
          </w:p>
        </w:tc>
      </w:tr>
      <w:tr w:rsidR="00ED6B50" w:rsidRPr="0061294C">
        <w:trPr>
          <w:trHeight w:val="300"/>
        </w:trPr>
        <w:tc>
          <w:tcPr>
            <w:tcW w:w="1901" w:type="dxa"/>
            <w:tcBorders>
              <w:top w:val="nil"/>
              <w:left w:val="single" w:sz="4" w:space="0" w:color="auto"/>
              <w:bottom w:val="nil"/>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Indel 17915</w:t>
            </w:r>
          </w:p>
        </w:tc>
        <w:tc>
          <w:tcPr>
            <w:tcW w:w="1097" w:type="dxa"/>
            <w:vMerge w:val="restart"/>
            <w:tcBorders>
              <w:top w:val="nil"/>
              <w:left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p>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120</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 copy</w:t>
            </w:r>
          </w:p>
        </w:tc>
        <w:tc>
          <w:tcPr>
            <w:tcW w:w="1424" w:type="dxa"/>
            <w:vMerge w:val="restart"/>
            <w:tcBorders>
              <w:top w:val="nil"/>
              <w:left w:val="single" w:sz="4" w:space="0" w:color="auto"/>
              <w:bottom w:val="single" w:sz="4" w:space="0" w:color="000000"/>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3I</w:t>
            </w:r>
          </w:p>
        </w:tc>
        <w:tc>
          <w:tcPr>
            <w:tcW w:w="1207" w:type="dxa"/>
            <w:vMerge w:val="restart"/>
            <w:tcBorders>
              <w:top w:val="nil"/>
              <w:left w:val="single" w:sz="4" w:space="0" w:color="auto"/>
              <w:bottom w:val="single" w:sz="4" w:space="0" w:color="000000"/>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2 copies</w:t>
            </w:r>
          </w:p>
        </w:tc>
        <w:tc>
          <w:tcPr>
            <w:tcW w:w="1827" w:type="dxa"/>
            <w:vMerge w:val="restart"/>
            <w:tcBorders>
              <w:top w:val="nil"/>
              <w:left w:val="single" w:sz="4" w:space="0" w:color="auto"/>
              <w:bottom w:val="single" w:sz="4" w:space="0" w:color="000000"/>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Not 3I</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11 bp repeat</w:t>
            </w:r>
          </w:p>
        </w:tc>
        <w:tc>
          <w:tcPr>
            <w:tcW w:w="1097" w:type="dxa"/>
            <w:vMerge/>
            <w:tcBorders>
              <w:left w:val="single" w:sz="4" w:space="0" w:color="auto"/>
              <w:bottom w:val="single" w:sz="4" w:space="0" w:color="000000"/>
              <w:right w:val="single" w:sz="4" w:space="0" w:color="auto"/>
            </w:tcBorders>
          </w:tcPr>
          <w:p w:rsidR="00ED6B50" w:rsidRPr="0061294C" w:rsidRDefault="00ED6B50" w:rsidP="00BB5426">
            <w:pPr>
              <w:pStyle w:val="NoteLevel11"/>
              <w:rPr>
                <w:rFonts w:eastAsia="Times New Roman" w:cs="Calibri"/>
                <w:sz w:val="20"/>
                <w:szCs w:val="20"/>
                <w:lang w:val="en-GB" w:eastAsia="en-GB"/>
              </w:rPr>
            </w:pPr>
          </w:p>
        </w:tc>
        <w:tc>
          <w:tcPr>
            <w:tcW w:w="1071" w:type="dxa"/>
            <w:vMerge/>
            <w:tcBorders>
              <w:top w:val="nil"/>
              <w:left w:val="single" w:sz="4" w:space="0" w:color="auto"/>
              <w:bottom w:val="single" w:sz="4" w:space="0" w:color="000000"/>
              <w:right w:val="single" w:sz="4" w:space="0" w:color="auto"/>
            </w:tcBorders>
            <w:vAlign w:val="center"/>
          </w:tcPr>
          <w:p w:rsidR="00ED6B50" w:rsidRPr="0061294C" w:rsidRDefault="00ED6B50" w:rsidP="00BB5426">
            <w:pPr>
              <w:pStyle w:val="NoteLevel11"/>
              <w:rPr>
                <w:rFonts w:eastAsia="Times New Roman" w:cs="Calibri"/>
                <w:sz w:val="20"/>
                <w:szCs w:val="20"/>
                <w:lang w:val="en-GB" w:eastAsia="en-GB"/>
              </w:rPr>
            </w:pPr>
          </w:p>
        </w:tc>
        <w:tc>
          <w:tcPr>
            <w:tcW w:w="1424" w:type="dxa"/>
            <w:vMerge/>
            <w:tcBorders>
              <w:top w:val="nil"/>
              <w:left w:val="single" w:sz="4" w:space="0" w:color="auto"/>
              <w:bottom w:val="single" w:sz="4" w:space="0" w:color="000000"/>
              <w:right w:val="single" w:sz="4" w:space="0" w:color="auto"/>
            </w:tcBorders>
            <w:vAlign w:val="center"/>
          </w:tcPr>
          <w:p w:rsidR="00ED6B50" w:rsidRPr="0061294C" w:rsidRDefault="00ED6B50" w:rsidP="00BB5426">
            <w:pPr>
              <w:pStyle w:val="NoteLevel11"/>
              <w:rPr>
                <w:rFonts w:eastAsia="Times New Roman" w:cs="Calibri"/>
                <w:sz w:val="20"/>
                <w:szCs w:val="20"/>
                <w:lang w:val="en-GB" w:eastAsia="en-GB"/>
              </w:rPr>
            </w:pPr>
          </w:p>
        </w:tc>
        <w:tc>
          <w:tcPr>
            <w:tcW w:w="1207" w:type="dxa"/>
            <w:vMerge/>
            <w:tcBorders>
              <w:top w:val="nil"/>
              <w:left w:val="single" w:sz="4" w:space="0" w:color="auto"/>
              <w:bottom w:val="single" w:sz="4" w:space="0" w:color="000000"/>
              <w:right w:val="single" w:sz="4" w:space="0" w:color="auto"/>
            </w:tcBorders>
            <w:vAlign w:val="center"/>
          </w:tcPr>
          <w:p w:rsidR="00ED6B50" w:rsidRPr="0061294C" w:rsidRDefault="00ED6B50" w:rsidP="00BB5426">
            <w:pPr>
              <w:pStyle w:val="NoteLevel11"/>
              <w:rPr>
                <w:rFonts w:eastAsia="Times New Roman" w:cs="Calibri"/>
                <w:sz w:val="20"/>
                <w:szCs w:val="20"/>
                <w:lang w:val="en-GB" w:eastAsia="en-GB"/>
              </w:rPr>
            </w:pPr>
          </w:p>
        </w:tc>
        <w:tc>
          <w:tcPr>
            <w:tcW w:w="1827" w:type="dxa"/>
            <w:vMerge/>
            <w:tcBorders>
              <w:top w:val="nil"/>
              <w:left w:val="single" w:sz="4" w:space="0" w:color="auto"/>
              <w:bottom w:val="single" w:sz="4" w:space="0" w:color="000000"/>
              <w:right w:val="single" w:sz="4" w:space="0" w:color="auto"/>
            </w:tcBorders>
            <w:vAlign w:val="center"/>
          </w:tcPr>
          <w:p w:rsidR="00ED6B50" w:rsidRPr="0061294C" w:rsidRDefault="00ED6B50" w:rsidP="00BB5426">
            <w:pPr>
              <w:pStyle w:val="NoteLevel11"/>
              <w:rPr>
                <w:rFonts w:eastAsia="Times New Roman" w:cs="Calibri"/>
                <w:sz w:val="20"/>
                <w:szCs w:val="20"/>
                <w:lang w:val="en-GB" w:eastAsia="en-GB"/>
              </w:rPr>
            </w:pP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SNP 12: 1,527,056</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101</w:t>
            </w: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G</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3I-1</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G</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sz w:val="20"/>
                <w:szCs w:val="20"/>
                <w:lang w:val="en-GB" w:eastAsia="en-GB"/>
              </w:rPr>
            </w:pPr>
            <w:r w:rsidRPr="0061294C">
              <w:rPr>
                <w:rFonts w:eastAsia="Times New Roman" w:cs="Calibri"/>
                <w:sz w:val="20"/>
                <w:szCs w:val="20"/>
                <w:lang w:val="en-GB" w:eastAsia="en-GB"/>
              </w:rPr>
              <w:t> </w:t>
            </w:r>
          </w:p>
        </w:tc>
      </w:tr>
      <w:tr w:rsidR="00ED6B50" w:rsidRPr="0061294C">
        <w:trPr>
          <w:trHeight w:val="300"/>
        </w:trPr>
        <w:tc>
          <w:tcPr>
            <w:tcW w:w="1901" w:type="dxa"/>
            <w:tcBorders>
              <w:top w:val="nil"/>
              <w:left w:val="single" w:sz="4" w:space="0" w:color="auto"/>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Genotyping</w:t>
            </w:r>
          </w:p>
        </w:tc>
        <w:tc>
          <w:tcPr>
            <w:tcW w:w="1097" w:type="dxa"/>
            <w:tcBorders>
              <w:top w:val="nil"/>
              <w:left w:val="nil"/>
              <w:bottom w:val="single" w:sz="4" w:space="0" w:color="auto"/>
              <w:right w:val="single" w:sz="4" w:space="0" w:color="auto"/>
            </w:tcBorders>
          </w:tcPr>
          <w:p w:rsidR="00ED6B50" w:rsidRPr="0061294C" w:rsidRDefault="00ED6B50" w:rsidP="00BB5426">
            <w:pPr>
              <w:pStyle w:val="NoteLevel11"/>
              <w:rPr>
                <w:rFonts w:eastAsia="Times New Roman" w:cs="Calibri"/>
                <w:b/>
                <w:bCs/>
                <w:sz w:val="20"/>
                <w:szCs w:val="20"/>
                <w:lang w:val="en-GB" w:eastAsia="en-GB"/>
              </w:rPr>
            </w:pPr>
          </w:p>
        </w:tc>
        <w:tc>
          <w:tcPr>
            <w:tcW w:w="1071"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 </w:t>
            </w:r>
          </w:p>
        </w:tc>
        <w:tc>
          <w:tcPr>
            <w:tcW w:w="1424"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3I-1</w:t>
            </w:r>
          </w:p>
        </w:tc>
        <w:tc>
          <w:tcPr>
            <w:tcW w:w="120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 </w:t>
            </w:r>
          </w:p>
        </w:tc>
        <w:tc>
          <w:tcPr>
            <w:tcW w:w="1827" w:type="dxa"/>
            <w:tcBorders>
              <w:top w:val="nil"/>
              <w:left w:val="nil"/>
              <w:bottom w:val="single" w:sz="4" w:space="0" w:color="auto"/>
              <w:right w:val="single" w:sz="4" w:space="0" w:color="auto"/>
            </w:tcBorders>
            <w:shd w:val="clear" w:color="auto" w:fill="auto"/>
            <w:noWrap/>
            <w:vAlign w:val="center"/>
          </w:tcPr>
          <w:p w:rsidR="00ED6B50" w:rsidRPr="0061294C" w:rsidRDefault="00ED6B50" w:rsidP="00BB5426">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2F</w:t>
            </w:r>
          </w:p>
        </w:tc>
      </w:tr>
    </w:tbl>
    <w:p w:rsidR="00045D2D" w:rsidRPr="00BB5426" w:rsidRDefault="006479DA" w:rsidP="00A833E7">
      <w:pPr>
        <w:pStyle w:val="NoteLevel11"/>
        <w:rPr>
          <w:rFonts w:cs="Helvetica"/>
          <w:szCs w:val="17"/>
        </w:rPr>
      </w:pPr>
      <w:r>
        <w:rPr>
          <w:rFonts w:cs="Helvetica"/>
          <w:szCs w:val="17"/>
        </w:rPr>
        <w:t xml:space="preserve">1. </w:t>
      </w:r>
      <w:r w:rsidR="00BB5426" w:rsidRPr="00BB5426">
        <w:rPr>
          <w:rFonts w:cs="Helvetica"/>
          <w:szCs w:val="17"/>
        </w:rPr>
        <w:t xml:space="preserve">SNP numbering denotes position in the amended TN genome </w:t>
      </w:r>
      <w:r w:rsidR="00BB5426" w:rsidRPr="004D1A25">
        <w:rPr>
          <w:rFonts w:cs="Helvetica"/>
          <w:szCs w:val="17"/>
        </w:rPr>
        <w:t>[19</w:t>
      </w:r>
      <w:r w:rsidR="004D1A25" w:rsidRPr="004D1A25">
        <w:rPr>
          <w:rFonts w:cs="Helvetica"/>
          <w:szCs w:val="17"/>
        </w:rPr>
        <w:t>]</w:t>
      </w:r>
      <w:r w:rsidR="00BB5426" w:rsidRPr="004D1A25">
        <w:rPr>
          <w:rFonts w:cs="Helvetica"/>
          <w:szCs w:val="17"/>
        </w:rPr>
        <w:t>.</w:t>
      </w:r>
    </w:p>
    <w:p w:rsidR="00BB5426" w:rsidRDefault="00BB5426" w:rsidP="00271CF4">
      <w:pPr>
        <w:pStyle w:val="NoteLevel11"/>
        <w:rPr>
          <w:rFonts w:cs="Helvetica"/>
          <w:b/>
          <w:sz w:val="28"/>
          <w:szCs w:val="28"/>
        </w:rPr>
      </w:pPr>
    </w:p>
    <w:p w:rsidR="00B05DB8" w:rsidRPr="00234C90" w:rsidRDefault="00161C32" w:rsidP="00271CF4">
      <w:pPr>
        <w:pStyle w:val="NoteLevel11"/>
        <w:rPr>
          <w:rFonts w:cs="Helvetica"/>
          <w:b/>
          <w:sz w:val="28"/>
          <w:szCs w:val="28"/>
        </w:rPr>
      </w:pPr>
      <w:r w:rsidRPr="00234C90">
        <w:rPr>
          <w:rFonts w:cs="Helvetica"/>
          <w:b/>
          <w:sz w:val="28"/>
          <w:szCs w:val="28"/>
        </w:rPr>
        <w:t>VNTR typing</w:t>
      </w:r>
    </w:p>
    <w:p w:rsidR="00B05DB8" w:rsidRPr="0061294C" w:rsidRDefault="00B05DB8" w:rsidP="00E5393B">
      <w:pPr>
        <w:pStyle w:val="NoteLevel11"/>
        <w:rPr>
          <w:rFonts w:cs="Helvetica"/>
          <w:sz w:val="28"/>
          <w:szCs w:val="17"/>
        </w:rPr>
      </w:pPr>
      <w:r w:rsidRPr="00E5393B">
        <w:rPr>
          <w:rFonts w:cs="Times"/>
          <w:szCs w:val="20"/>
        </w:rPr>
        <w:t>We undertook multiple loci variable number tandem repeat (VNTR) analysis of three</w:t>
      </w:r>
      <w:r w:rsidR="009D0F3C" w:rsidRPr="00E5393B">
        <w:rPr>
          <w:rFonts w:cs="Times"/>
          <w:szCs w:val="20"/>
        </w:rPr>
        <w:t xml:space="preserve"> loci </w:t>
      </w:r>
      <w:r w:rsidR="00255829" w:rsidRPr="00E5393B">
        <w:rPr>
          <w:rFonts w:cs="Times"/>
          <w:szCs w:val="20"/>
        </w:rPr>
        <w:t>[4</w:t>
      </w:r>
      <w:r w:rsidR="006479DA" w:rsidRPr="00E5393B">
        <w:rPr>
          <w:rFonts w:cs="Times"/>
          <w:szCs w:val="20"/>
        </w:rPr>
        <w:t>4</w:t>
      </w:r>
      <w:r w:rsidR="004D1A25" w:rsidRPr="00E5393B">
        <w:rPr>
          <w:rFonts w:cs="Times"/>
          <w:szCs w:val="20"/>
        </w:rPr>
        <w:t>]</w:t>
      </w:r>
      <w:r w:rsidRPr="00E5393B">
        <w:rPr>
          <w:rFonts w:cs="Times"/>
          <w:szCs w:val="20"/>
        </w:rPr>
        <w:t xml:space="preserve"> (</w:t>
      </w:r>
      <w:r w:rsidRPr="00E5393B">
        <w:rPr>
          <w:rFonts w:cs="Times"/>
          <w:szCs w:val="20"/>
          <w:highlight w:val="cyan"/>
        </w:rPr>
        <w:t xml:space="preserve">Table </w:t>
      </w:r>
      <w:r w:rsidR="002A3926" w:rsidRPr="00E5393B">
        <w:rPr>
          <w:rFonts w:cs="Times"/>
          <w:szCs w:val="20"/>
          <w:highlight w:val="cyan"/>
        </w:rPr>
        <w:t>5</w:t>
      </w:r>
      <w:r w:rsidR="00297E5D" w:rsidRPr="00E5393B">
        <w:rPr>
          <w:rFonts w:cs="Times"/>
          <w:szCs w:val="20"/>
        </w:rPr>
        <w:t>)</w:t>
      </w:r>
      <w:r w:rsidRPr="00E5393B">
        <w:rPr>
          <w:rFonts w:cs="Times"/>
          <w:szCs w:val="20"/>
        </w:rPr>
        <w:t xml:space="preserve">. The two cases were identical at two of the three loci but differed at the (GTA)9 locus, with SkCXCV having an </w:t>
      </w:r>
      <w:r w:rsidR="006B6A09" w:rsidRPr="0061294C">
        <w:rPr>
          <w:rFonts w:cs="Times"/>
          <w:szCs w:val="20"/>
        </w:rPr>
        <w:t>extra copy of this triplet repeat</w:t>
      </w:r>
      <w:r w:rsidRPr="0061294C">
        <w:rPr>
          <w:rFonts w:cs="Times"/>
          <w:szCs w:val="20"/>
        </w:rPr>
        <w:t>.</w:t>
      </w:r>
      <w:r w:rsidR="00DB3ABC" w:rsidRPr="0061294C">
        <w:rPr>
          <w:rFonts w:cs="Times"/>
          <w:szCs w:val="20"/>
        </w:rPr>
        <w:t xml:space="preserve"> </w:t>
      </w:r>
      <w:r w:rsidR="00DE3FE4" w:rsidRPr="0061294C">
        <w:rPr>
          <w:rFonts w:cs="Times"/>
          <w:szCs w:val="20"/>
        </w:rPr>
        <w:t xml:space="preserve">We have not previously encountered </w:t>
      </w:r>
      <w:r w:rsidR="00CC4E47" w:rsidRPr="0061294C">
        <w:rPr>
          <w:rFonts w:cs="Times"/>
          <w:i/>
          <w:szCs w:val="20"/>
        </w:rPr>
        <w:t>M.leprae</w:t>
      </w:r>
      <w:r w:rsidR="00CC4E47" w:rsidRPr="0061294C">
        <w:rPr>
          <w:rFonts w:cs="Times"/>
          <w:szCs w:val="20"/>
        </w:rPr>
        <w:t xml:space="preserve"> strains with this combination of SNP and VNTR polymorphisms.</w:t>
      </w:r>
    </w:p>
    <w:p w:rsidR="00234C90" w:rsidRPr="0061294C" w:rsidRDefault="00234C90" w:rsidP="00A833E7">
      <w:pPr>
        <w:pStyle w:val="NoteLevel11"/>
        <w:rPr>
          <w:rFonts w:cs="Times"/>
          <w:szCs w:val="20"/>
        </w:rPr>
      </w:pPr>
    </w:p>
    <w:p w:rsidR="00B05DB8" w:rsidRPr="0061294C" w:rsidRDefault="00045D2D" w:rsidP="00DB3ABC">
      <w:pPr>
        <w:pStyle w:val="NoteLevel11"/>
        <w:rPr>
          <w:rFonts w:cs="Helvetica"/>
          <w:b/>
          <w:sz w:val="28"/>
          <w:szCs w:val="17"/>
        </w:rPr>
      </w:pPr>
      <w:r w:rsidRPr="0061294C">
        <w:rPr>
          <w:rFonts w:cs="Helvetica"/>
          <w:b/>
          <w:szCs w:val="17"/>
        </w:rPr>
        <w:t xml:space="preserve">Table </w:t>
      </w:r>
      <w:r w:rsidR="00DF63D8" w:rsidRPr="0061294C">
        <w:rPr>
          <w:rFonts w:cs="Helvetica"/>
          <w:b/>
          <w:szCs w:val="17"/>
        </w:rPr>
        <w:t>5</w:t>
      </w:r>
      <w:r w:rsidRPr="0061294C">
        <w:rPr>
          <w:rFonts w:cs="Helvetica"/>
          <w:b/>
          <w:sz w:val="28"/>
          <w:szCs w:val="17"/>
        </w:rPr>
        <w:t xml:space="preserve">. </w:t>
      </w:r>
      <w:r w:rsidR="00234C90" w:rsidRPr="0061294C">
        <w:rPr>
          <w:rFonts w:cs="Helvetica"/>
          <w:b/>
          <w:szCs w:val="17"/>
        </w:rPr>
        <w:t>VNTR analysis at the three</w:t>
      </w:r>
      <w:r w:rsidRPr="0061294C">
        <w:rPr>
          <w:rFonts w:cs="Helvetica"/>
          <w:b/>
          <w:szCs w:val="17"/>
        </w:rPr>
        <w:t xml:space="preserve"> chosen polymorphic loci.</w:t>
      </w:r>
    </w:p>
    <w:tbl>
      <w:tblPr>
        <w:tblW w:w="7655" w:type="dxa"/>
        <w:tblInd w:w="-5" w:type="dxa"/>
        <w:tblLook w:val="04A0" w:firstRow="1" w:lastRow="0" w:firstColumn="1" w:lastColumn="0" w:noHBand="0" w:noVBand="1"/>
      </w:tblPr>
      <w:tblGrid>
        <w:gridCol w:w="1400"/>
        <w:gridCol w:w="2428"/>
        <w:gridCol w:w="1842"/>
        <w:gridCol w:w="1985"/>
      </w:tblGrid>
      <w:tr w:rsidR="00087BC0" w:rsidRPr="0074345C" w:rsidTr="0074345C">
        <w:trPr>
          <w:trHeight w:val="315"/>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Individual</w:t>
            </w:r>
          </w:p>
        </w:tc>
        <w:tc>
          <w:tcPr>
            <w:tcW w:w="2428" w:type="dxa"/>
            <w:tcBorders>
              <w:top w:val="single" w:sz="4" w:space="0" w:color="auto"/>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TTC (AGA)20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(GTA)9</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ML0058 (21-3)</w:t>
            </w:r>
          </w:p>
        </w:tc>
      </w:tr>
      <w:tr w:rsidR="00087BC0" w:rsidRPr="0074345C" w:rsidTr="0074345C">
        <w:trPr>
          <w:trHeight w:val="315"/>
        </w:trPr>
        <w:tc>
          <w:tcPr>
            <w:tcW w:w="1400" w:type="dxa"/>
            <w:tcBorders>
              <w:top w:val="nil"/>
              <w:left w:val="single" w:sz="4" w:space="0" w:color="auto"/>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2428"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w:t>
            </w:r>
          </w:p>
        </w:tc>
        <w:tc>
          <w:tcPr>
            <w:tcW w:w="1842"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w:t>
            </w:r>
          </w:p>
        </w:tc>
        <w:tc>
          <w:tcPr>
            <w:tcW w:w="1985"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2</w:t>
            </w:r>
          </w:p>
        </w:tc>
      </w:tr>
      <w:tr w:rsidR="00087BC0" w:rsidRPr="0074345C" w:rsidTr="0074345C">
        <w:trPr>
          <w:trHeight w:val="315"/>
        </w:trPr>
        <w:tc>
          <w:tcPr>
            <w:tcW w:w="1400" w:type="dxa"/>
            <w:tcBorders>
              <w:top w:val="nil"/>
              <w:left w:val="single" w:sz="4" w:space="0" w:color="auto"/>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2428"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w:t>
            </w:r>
          </w:p>
        </w:tc>
        <w:tc>
          <w:tcPr>
            <w:tcW w:w="1842"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9</w:t>
            </w:r>
          </w:p>
        </w:tc>
        <w:tc>
          <w:tcPr>
            <w:tcW w:w="1985" w:type="dxa"/>
            <w:tcBorders>
              <w:top w:val="nil"/>
              <w:left w:val="nil"/>
              <w:bottom w:val="single" w:sz="4" w:space="0" w:color="auto"/>
              <w:right w:val="single" w:sz="4" w:space="0" w:color="auto"/>
            </w:tcBorders>
            <w:shd w:val="clear" w:color="auto" w:fill="auto"/>
            <w:noWrap/>
            <w:vAlign w:val="center"/>
          </w:tcPr>
          <w:p w:rsidR="00087BC0" w:rsidRPr="0074345C" w:rsidRDefault="00087BC0" w:rsidP="00087BC0">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2</w:t>
            </w:r>
          </w:p>
        </w:tc>
      </w:tr>
    </w:tbl>
    <w:p w:rsidR="00297E5D" w:rsidRDefault="00297E5D" w:rsidP="00297E5D">
      <w:pPr>
        <w:pStyle w:val="NoteLevel11"/>
        <w:rPr>
          <w:rFonts w:cs="Helvetica"/>
          <w:sz w:val="28"/>
          <w:szCs w:val="17"/>
        </w:rPr>
      </w:pPr>
    </w:p>
    <w:p w:rsidR="00087BC0" w:rsidRDefault="00087BC0" w:rsidP="00A833E7">
      <w:pPr>
        <w:pStyle w:val="NoteLevel11"/>
        <w:rPr>
          <w:rFonts w:cs="Helvetica"/>
          <w:b/>
          <w:sz w:val="28"/>
          <w:szCs w:val="17"/>
        </w:rPr>
      </w:pPr>
    </w:p>
    <w:p w:rsidR="00703E6B" w:rsidRPr="00990F4B" w:rsidRDefault="00BF3706" w:rsidP="00990F4B">
      <w:pPr>
        <w:pStyle w:val="NoteLevel11"/>
        <w:rPr>
          <w:rFonts w:cs="Helvetica"/>
          <w:b/>
          <w:sz w:val="28"/>
          <w:szCs w:val="17"/>
        </w:rPr>
      </w:pPr>
      <w:r w:rsidRPr="00990F4B">
        <w:rPr>
          <w:rFonts w:cs="Helvetica"/>
          <w:b/>
          <w:sz w:val="28"/>
          <w:szCs w:val="17"/>
        </w:rPr>
        <w:t xml:space="preserve">Screening for </w:t>
      </w:r>
      <w:r w:rsidR="00BB7280" w:rsidRPr="00990F4B">
        <w:rPr>
          <w:rFonts w:cs="Helvetica"/>
          <w:i/>
          <w:sz w:val="28"/>
          <w:szCs w:val="17"/>
        </w:rPr>
        <w:t>M. lepromatosis</w:t>
      </w:r>
      <w:r w:rsidR="00234C90" w:rsidRPr="00990F4B">
        <w:rPr>
          <w:rFonts w:cs="Helvetica"/>
          <w:b/>
          <w:sz w:val="28"/>
          <w:szCs w:val="17"/>
        </w:rPr>
        <w:t xml:space="preserve"> DNA</w:t>
      </w:r>
    </w:p>
    <w:p w:rsidR="00D22901" w:rsidRDefault="00BB7280" w:rsidP="00A833E7">
      <w:pPr>
        <w:pStyle w:val="NoteLevel11"/>
        <w:rPr>
          <w:rFonts w:cs="Helvetica"/>
        </w:rPr>
      </w:pPr>
      <w:r w:rsidRPr="00BB7280">
        <w:rPr>
          <w:rFonts w:cs="Helvetica"/>
          <w:szCs w:val="17"/>
        </w:rPr>
        <w:t>No evidence for this pathogen was found in any of the Irish cases with osteological s</w:t>
      </w:r>
      <w:r w:rsidR="000A3DE7">
        <w:rPr>
          <w:rFonts w:cs="Helvetica"/>
          <w:szCs w:val="17"/>
        </w:rPr>
        <w:t>igns of leprosy or in the individual</w:t>
      </w:r>
      <w:r w:rsidRPr="00BB7280">
        <w:rPr>
          <w:rFonts w:cs="Helvetica"/>
          <w:szCs w:val="17"/>
        </w:rPr>
        <w:t xml:space="preserve"> used as a control in the genotyping experiments, SkCCL.</w:t>
      </w:r>
      <w:r w:rsidR="000419B6">
        <w:rPr>
          <w:rFonts w:cs="Helvetica"/>
          <w:szCs w:val="17"/>
        </w:rPr>
        <w:t xml:space="preserve"> In separate experi</w:t>
      </w:r>
      <w:r w:rsidR="0015668F">
        <w:rPr>
          <w:rFonts w:cs="Helvetica"/>
          <w:szCs w:val="17"/>
        </w:rPr>
        <w:t>m</w:t>
      </w:r>
      <w:r w:rsidR="000419B6">
        <w:rPr>
          <w:rFonts w:cs="Helvetica"/>
          <w:szCs w:val="17"/>
        </w:rPr>
        <w:t>en</w:t>
      </w:r>
      <w:r w:rsidR="0015668F">
        <w:rPr>
          <w:rFonts w:cs="Helvetica"/>
          <w:szCs w:val="17"/>
        </w:rPr>
        <w:t xml:space="preserve">ts </w:t>
      </w:r>
      <w:r w:rsidR="00C43976">
        <w:rPr>
          <w:rFonts w:cs="Helvetica"/>
          <w:szCs w:val="17"/>
        </w:rPr>
        <w:t xml:space="preserve">(not shown) </w:t>
      </w:r>
      <w:r w:rsidR="000419B6">
        <w:rPr>
          <w:rFonts w:cs="Helvetica"/>
          <w:szCs w:val="17"/>
        </w:rPr>
        <w:t xml:space="preserve">it was found </w:t>
      </w:r>
      <w:r w:rsidR="0015668F">
        <w:rPr>
          <w:rFonts w:cs="Helvetica"/>
          <w:szCs w:val="17"/>
        </w:rPr>
        <w:t xml:space="preserve">that the primers amplified the expected target of 135 bp from </w:t>
      </w:r>
      <w:r w:rsidRPr="00BB7280">
        <w:rPr>
          <w:rFonts w:cs="Helvetica"/>
          <w:i/>
          <w:szCs w:val="17"/>
        </w:rPr>
        <w:t>M. lepromatosis</w:t>
      </w:r>
      <w:r w:rsidR="0015668F">
        <w:rPr>
          <w:rFonts w:cs="Helvetica"/>
          <w:szCs w:val="17"/>
        </w:rPr>
        <w:t xml:space="preserve"> DNA partially purified from an infected red squirrel </w:t>
      </w:r>
      <w:r w:rsidRPr="00BB7280">
        <w:rPr>
          <w:lang w:val="en-GB"/>
        </w:rPr>
        <w:t>(</w:t>
      </w:r>
      <w:r w:rsidRPr="00BB7280">
        <w:rPr>
          <w:rFonts w:cs="Helvetica"/>
          <w:i/>
        </w:rPr>
        <w:t>Sciurus vulgaris</w:t>
      </w:r>
      <w:r w:rsidRPr="00BB7280">
        <w:rPr>
          <w:rFonts w:cs="Helvetica"/>
        </w:rPr>
        <w:t xml:space="preserve">). This DNA was kindly supplied by Dr. Charlotte Avanzi, of The Global Health Institute, </w:t>
      </w:r>
      <w:r w:rsidRPr="00BB7280">
        <w:rPr>
          <w:rFonts w:cs="Helvetica"/>
          <w:caps/>
        </w:rPr>
        <w:t>é</w:t>
      </w:r>
      <w:r w:rsidRPr="00BB7280">
        <w:rPr>
          <w:rFonts w:cs="Helvetica"/>
        </w:rPr>
        <w:t>cole Polytechnique Fédérale de Lausanne, 1015 Lausanne, Switzerland</w:t>
      </w:r>
      <w:r w:rsidR="00C43976">
        <w:rPr>
          <w:rFonts w:cs="Helvetica"/>
        </w:rPr>
        <w:t>.</w:t>
      </w:r>
    </w:p>
    <w:p w:rsidR="00234C90" w:rsidRDefault="00234C90" w:rsidP="00DE0EEE">
      <w:pPr>
        <w:pStyle w:val="NoteLevel11"/>
        <w:rPr>
          <w:rFonts w:cs="Helvetica"/>
          <w:b/>
          <w:sz w:val="28"/>
          <w:szCs w:val="17"/>
        </w:rPr>
      </w:pPr>
    </w:p>
    <w:p w:rsidR="00B05DB8" w:rsidRPr="00DE0EEE" w:rsidRDefault="00B05DB8" w:rsidP="00DE0EEE">
      <w:pPr>
        <w:pStyle w:val="NoteLevel11"/>
        <w:rPr>
          <w:rFonts w:cs="Helvetica"/>
          <w:b/>
          <w:sz w:val="28"/>
          <w:szCs w:val="17"/>
        </w:rPr>
      </w:pPr>
      <w:r w:rsidRPr="00DE0EEE">
        <w:rPr>
          <w:rFonts w:cs="Helvetica"/>
          <w:b/>
          <w:sz w:val="28"/>
          <w:szCs w:val="17"/>
        </w:rPr>
        <w:t xml:space="preserve">Screening for </w:t>
      </w:r>
      <w:r w:rsidRPr="00004E81">
        <w:rPr>
          <w:rFonts w:cs="Helvetica"/>
          <w:i/>
          <w:sz w:val="28"/>
          <w:szCs w:val="17"/>
        </w:rPr>
        <w:t>M.</w:t>
      </w:r>
      <w:r w:rsidR="000419B6" w:rsidRPr="00004E81">
        <w:rPr>
          <w:rFonts w:cs="Helvetica"/>
          <w:i/>
          <w:sz w:val="28"/>
          <w:szCs w:val="17"/>
        </w:rPr>
        <w:t xml:space="preserve"> </w:t>
      </w:r>
      <w:r w:rsidRPr="00004E81">
        <w:rPr>
          <w:rFonts w:cs="Helvetica"/>
          <w:i/>
          <w:sz w:val="28"/>
          <w:szCs w:val="17"/>
        </w:rPr>
        <w:t>tuberculosis</w:t>
      </w:r>
      <w:r w:rsidR="00234C90">
        <w:rPr>
          <w:rFonts w:cs="Helvetica"/>
          <w:b/>
          <w:sz w:val="28"/>
          <w:szCs w:val="17"/>
        </w:rPr>
        <w:t xml:space="preserve"> complex DNA</w:t>
      </w:r>
    </w:p>
    <w:p w:rsidR="00E2120A" w:rsidRDefault="00B05DB8" w:rsidP="00DE0EEE">
      <w:pPr>
        <w:pStyle w:val="NoteLevel11"/>
        <w:rPr>
          <w:rFonts w:cs="Helvetica"/>
          <w:szCs w:val="17"/>
        </w:rPr>
      </w:pPr>
      <w:r w:rsidRPr="006B6A09">
        <w:rPr>
          <w:rFonts w:cs="Helvetica"/>
          <w:szCs w:val="17"/>
        </w:rPr>
        <w:t xml:space="preserve">All </w:t>
      </w:r>
      <w:r w:rsidR="003E354C">
        <w:rPr>
          <w:rFonts w:cs="Helvetica"/>
          <w:szCs w:val="17"/>
        </w:rPr>
        <w:t>five</w:t>
      </w:r>
      <w:r w:rsidR="00350E99">
        <w:rPr>
          <w:rFonts w:cs="Helvetica"/>
          <w:szCs w:val="17"/>
        </w:rPr>
        <w:t xml:space="preserve"> </w:t>
      </w:r>
      <w:r w:rsidRPr="006B6A09">
        <w:rPr>
          <w:rFonts w:cs="Helvetica"/>
          <w:szCs w:val="17"/>
        </w:rPr>
        <w:t>cases tested negative for MTB complex DNA using the IS</w:t>
      </w:r>
      <w:r w:rsidRPr="006B6A09">
        <w:rPr>
          <w:rFonts w:cs="Helvetica"/>
          <w:i/>
          <w:szCs w:val="17"/>
        </w:rPr>
        <w:t xml:space="preserve">1081 </w:t>
      </w:r>
      <w:r w:rsidRPr="006B6A09">
        <w:rPr>
          <w:rFonts w:cs="Helvetica"/>
          <w:szCs w:val="17"/>
        </w:rPr>
        <w:t>multi-copy marker.</w:t>
      </w:r>
    </w:p>
    <w:p w:rsidR="001E0D6A" w:rsidRDefault="001E0D6A" w:rsidP="00DE0EEE">
      <w:pPr>
        <w:pStyle w:val="NoteLevel11"/>
        <w:rPr>
          <w:rFonts w:cs="Helvetica"/>
          <w:szCs w:val="17"/>
        </w:rPr>
      </w:pPr>
    </w:p>
    <w:p w:rsidR="000C194C" w:rsidRPr="00DE0EEE" w:rsidRDefault="000C194C" w:rsidP="00DE0EEE">
      <w:pPr>
        <w:pStyle w:val="NoteLevel11"/>
        <w:rPr>
          <w:rFonts w:cs="Helvetica"/>
          <w:b/>
          <w:sz w:val="28"/>
          <w:szCs w:val="17"/>
        </w:rPr>
      </w:pPr>
      <w:r w:rsidRPr="00DE0EEE">
        <w:rPr>
          <w:rFonts w:cs="Helvetica"/>
          <w:b/>
          <w:sz w:val="28"/>
          <w:szCs w:val="17"/>
        </w:rPr>
        <w:t>Evid</w:t>
      </w:r>
      <w:r w:rsidR="00234C90">
        <w:rPr>
          <w:rFonts w:cs="Helvetica"/>
          <w:b/>
          <w:sz w:val="28"/>
          <w:szCs w:val="17"/>
        </w:rPr>
        <w:t>ence for Human DNA preservation</w:t>
      </w:r>
    </w:p>
    <w:p w:rsidR="00861BF7" w:rsidRPr="00250B79" w:rsidRDefault="000C194C" w:rsidP="005926E3">
      <w:pPr>
        <w:pStyle w:val="NoteLevel11"/>
        <w:rPr>
          <w:rFonts w:cs="Helvetica"/>
          <w:szCs w:val="17"/>
        </w:rPr>
      </w:pPr>
      <w:r w:rsidRPr="00250B79">
        <w:rPr>
          <w:rFonts w:cs="Helvetica"/>
          <w:szCs w:val="17"/>
        </w:rPr>
        <w:t xml:space="preserve">Four of the </w:t>
      </w:r>
      <w:r w:rsidR="001E3EC8">
        <w:rPr>
          <w:rFonts w:cs="Helvetica"/>
          <w:szCs w:val="17"/>
        </w:rPr>
        <w:t>six</w:t>
      </w:r>
      <w:r w:rsidRPr="00250B79">
        <w:rPr>
          <w:rFonts w:cs="Helvetica"/>
          <w:szCs w:val="17"/>
        </w:rPr>
        <w:t xml:space="preserve"> </w:t>
      </w:r>
      <w:r w:rsidR="00234C90">
        <w:rPr>
          <w:rFonts w:cs="Helvetica"/>
          <w:szCs w:val="17"/>
        </w:rPr>
        <w:t>Irish skeletons included in the study</w:t>
      </w:r>
      <w:r w:rsidRPr="00250B79">
        <w:rPr>
          <w:rFonts w:cs="Helvetica"/>
          <w:szCs w:val="17"/>
        </w:rPr>
        <w:t xml:space="preserve"> provided evidence for human DNA survival, with only SkCCXXX </w:t>
      </w:r>
      <w:r w:rsidR="000419B6">
        <w:rPr>
          <w:rFonts w:cs="Helvetica"/>
          <w:szCs w:val="17"/>
        </w:rPr>
        <w:t>and the case from Armoy (Sk171</w:t>
      </w:r>
      <w:r w:rsidR="001E3EC8">
        <w:rPr>
          <w:rFonts w:cs="Helvetica"/>
          <w:szCs w:val="17"/>
        </w:rPr>
        <w:t xml:space="preserve">) </w:t>
      </w:r>
      <w:r w:rsidRPr="00250B79">
        <w:rPr>
          <w:rFonts w:cs="Helvetica"/>
          <w:szCs w:val="17"/>
        </w:rPr>
        <w:t>being negati</w:t>
      </w:r>
      <w:r w:rsidR="00234C90">
        <w:rPr>
          <w:rFonts w:cs="Helvetica"/>
          <w:szCs w:val="17"/>
        </w:rPr>
        <w:t>ve</w:t>
      </w:r>
      <w:r w:rsidR="000419B6">
        <w:rPr>
          <w:rFonts w:cs="Helvetica"/>
          <w:szCs w:val="17"/>
        </w:rPr>
        <w:t xml:space="preserve"> for both methods</w:t>
      </w:r>
      <w:r w:rsidR="009544C8">
        <w:rPr>
          <w:rFonts w:cs="Helvetica"/>
          <w:szCs w:val="17"/>
        </w:rPr>
        <w:t xml:space="preserve"> </w:t>
      </w:r>
      <w:r w:rsidR="00250B79">
        <w:rPr>
          <w:rFonts w:cs="Helvetica"/>
          <w:szCs w:val="17"/>
        </w:rPr>
        <w:t>(</w:t>
      </w:r>
      <w:r w:rsidR="00250B79" w:rsidRPr="00DF63D8">
        <w:rPr>
          <w:rFonts w:cs="Helvetica"/>
          <w:szCs w:val="17"/>
          <w:highlight w:val="cyan"/>
        </w:rPr>
        <w:t xml:space="preserve">Table </w:t>
      </w:r>
      <w:r w:rsidR="00DF63D8" w:rsidRPr="00DF63D8">
        <w:rPr>
          <w:rFonts w:cs="Helvetica"/>
          <w:szCs w:val="17"/>
          <w:highlight w:val="cyan"/>
        </w:rPr>
        <w:t>6</w:t>
      </w:r>
      <w:r w:rsidR="00250B79">
        <w:rPr>
          <w:rFonts w:cs="Helvetica"/>
          <w:szCs w:val="17"/>
        </w:rPr>
        <w:t>).</w:t>
      </w:r>
      <w:r w:rsidR="00861BF7" w:rsidRPr="00250B79">
        <w:rPr>
          <w:rFonts w:cs="Helvetica"/>
          <w:szCs w:val="17"/>
        </w:rPr>
        <w:t xml:space="preserve"> Preservation was poorer in cases SkCCL and SkCXLVIII, which showed a greater degree of fragmentation, as judged by the failure of the PCR for the larger mtDNA template of 279 bp.  Attempts to confirm </w:t>
      </w:r>
      <w:r w:rsidR="000307D3">
        <w:rPr>
          <w:rFonts w:cs="Helvetica"/>
          <w:szCs w:val="17"/>
        </w:rPr>
        <w:t>or determine the</w:t>
      </w:r>
      <w:r w:rsidR="009544C8">
        <w:rPr>
          <w:rFonts w:cs="Helvetica"/>
          <w:szCs w:val="17"/>
        </w:rPr>
        <w:t xml:space="preserve"> </w:t>
      </w:r>
      <w:r w:rsidR="000307D3">
        <w:rPr>
          <w:rFonts w:cs="Helvetica"/>
          <w:szCs w:val="17"/>
        </w:rPr>
        <w:t>sex of the individuals</w:t>
      </w:r>
      <w:r w:rsidR="00861BF7" w:rsidRPr="00250B79">
        <w:rPr>
          <w:rFonts w:cs="Helvetica"/>
          <w:szCs w:val="17"/>
        </w:rPr>
        <w:t xml:space="preserve"> using the amelogenin PCR procedure</w:t>
      </w:r>
      <w:r w:rsidR="00C25B55">
        <w:rPr>
          <w:rFonts w:cs="Helvetica"/>
          <w:szCs w:val="17"/>
        </w:rPr>
        <w:t>s</w:t>
      </w:r>
      <w:r w:rsidR="00861BF7" w:rsidRPr="00250B79">
        <w:rPr>
          <w:rFonts w:cs="Helvetica"/>
          <w:szCs w:val="17"/>
        </w:rPr>
        <w:t xml:space="preserve"> were unsuccessful, and this is very likely due to the </w:t>
      </w:r>
      <w:r w:rsidR="00C25B55">
        <w:rPr>
          <w:rFonts w:cs="Helvetica"/>
          <w:szCs w:val="17"/>
        </w:rPr>
        <w:t>poor survival of single copy nuclear DNA</w:t>
      </w:r>
      <w:r w:rsidR="00861BF7" w:rsidRPr="00250B79">
        <w:rPr>
          <w:rFonts w:cs="Helvetica"/>
          <w:szCs w:val="17"/>
        </w:rPr>
        <w:t xml:space="preserve"> </w:t>
      </w:r>
      <w:r w:rsidR="00C25B55">
        <w:rPr>
          <w:rFonts w:cs="Helvetica"/>
          <w:szCs w:val="17"/>
        </w:rPr>
        <w:t>compared to the multi-copy nature of</w:t>
      </w:r>
      <w:r w:rsidR="00250B79">
        <w:rPr>
          <w:rFonts w:cs="Helvetica"/>
          <w:szCs w:val="17"/>
        </w:rPr>
        <w:t xml:space="preserve"> </w:t>
      </w:r>
      <w:r w:rsidR="00861BF7" w:rsidRPr="00250B79">
        <w:rPr>
          <w:rFonts w:cs="Helvetica"/>
          <w:szCs w:val="17"/>
        </w:rPr>
        <w:t>mtDNA.</w:t>
      </w:r>
    </w:p>
    <w:p w:rsidR="00C5432F" w:rsidRDefault="00C5432F" w:rsidP="005926E3">
      <w:pPr>
        <w:pStyle w:val="NoteLevel11"/>
        <w:rPr>
          <w:rFonts w:cs="Helvetica"/>
          <w:b/>
          <w:szCs w:val="17"/>
        </w:rPr>
      </w:pPr>
    </w:p>
    <w:p w:rsidR="00297E5D" w:rsidRPr="000307D3" w:rsidRDefault="009155B0" w:rsidP="005926E3">
      <w:pPr>
        <w:pStyle w:val="NoteLevel11"/>
        <w:rPr>
          <w:rFonts w:cs="Helvetica"/>
          <w:b/>
        </w:rPr>
      </w:pPr>
      <w:r w:rsidRPr="00E55A9C">
        <w:rPr>
          <w:rFonts w:cs="Helvetica"/>
          <w:b/>
          <w:szCs w:val="17"/>
        </w:rPr>
        <w:t xml:space="preserve">Table </w:t>
      </w:r>
      <w:r w:rsidR="00E55A9C" w:rsidRPr="00E55A9C">
        <w:rPr>
          <w:rFonts w:cs="Helvetica"/>
          <w:b/>
          <w:szCs w:val="17"/>
        </w:rPr>
        <w:t>6</w:t>
      </w:r>
      <w:r w:rsidRPr="00E55A9C">
        <w:rPr>
          <w:rFonts w:cs="Helvetica"/>
          <w:b/>
          <w:szCs w:val="17"/>
        </w:rPr>
        <w:t>.</w:t>
      </w:r>
      <w:r w:rsidRPr="00E55A9C">
        <w:rPr>
          <w:rFonts w:cs="Helvetica"/>
          <w:b/>
          <w:sz w:val="28"/>
          <w:szCs w:val="17"/>
        </w:rPr>
        <w:t xml:space="preserve"> </w:t>
      </w:r>
      <w:r w:rsidRPr="00E55A9C">
        <w:rPr>
          <w:rFonts w:cs="Helvetica"/>
          <w:b/>
        </w:rPr>
        <w:t>Screening for human DNA survival (UoS).</w:t>
      </w:r>
    </w:p>
    <w:tbl>
      <w:tblPr>
        <w:tblW w:w="7938" w:type="dxa"/>
        <w:tblInd w:w="-5" w:type="dxa"/>
        <w:tblLook w:val="04A0" w:firstRow="1" w:lastRow="0" w:firstColumn="1" w:lastColumn="0" w:noHBand="0" w:noVBand="1"/>
      </w:tblPr>
      <w:tblGrid>
        <w:gridCol w:w="1421"/>
        <w:gridCol w:w="1261"/>
        <w:gridCol w:w="1083"/>
        <w:gridCol w:w="1077"/>
        <w:gridCol w:w="1548"/>
        <w:gridCol w:w="1548"/>
      </w:tblGrid>
      <w:tr w:rsidR="00E55A9C" w:rsidRPr="0074345C">
        <w:trPr>
          <w:trHeight w:val="300"/>
        </w:trPr>
        <w:tc>
          <w:tcPr>
            <w:tcW w:w="1421" w:type="dxa"/>
            <w:tcBorders>
              <w:top w:val="single" w:sz="4" w:space="0" w:color="auto"/>
              <w:left w:val="single" w:sz="4" w:space="0" w:color="auto"/>
              <w:bottom w:val="nil"/>
              <w:right w:val="single" w:sz="4" w:space="0" w:color="auto"/>
            </w:tcBorders>
            <w:shd w:val="clear" w:color="auto" w:fill="auto"/>
            <w:noWrap/>
            <w:vAlign w:val="bottom"/>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3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Context</w:t>
            </w:r>
          </w:p>
        </w:tc>
        <w:tc>
          <w:tcPr>
            <w:tcW w:w="1344" w:type="dxa"/>
            <w:tcBorders>
              <w:top w:val="single" w:sz="4" w:space="0" w:color="auto"/>
              <w:left w:val="nil"/>
              <w:bottom w:val="nil"/>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mtDNA</w:t>
            </w:r>
          </w:p>
        </w:tc>
        <w:tc>
          <w:tcPr>
            <w:tcW w:w="1317" w:type="dxa"/>
            <w:tcBorders>
              <w:top w:val="single" w:sz="4" w:space="0" w:color="auto"/>
              <w:left w:val="nil"/>
              <w:bottom w:val="nil"/>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mtDNA</w:t>
            </w:r>
          </w:p>
        </w:tc>
        <w:tc>
          <w:tcPr>
            <w:tcW w:w="1084" w:type="dxa"/>
            <w:tcBorders>
              <w:top w:val="single" w:sz="4" w:space="0" w:color="auto"/>
              <w:left w:val="nil"/>
              <w:bottom w:val="nil"/>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Amelogenin</w:t>
            </w:r>
          </w:p>
        </w:tc>
        <w:tc>
          <w:tcPr>
            <w:tcW w:w="1467" w:type="dxa"/>
            <w:tcBorders>
              <w:top w:val="single" w:sz="4" w:space="0" w:color="auto"/>
              <w:left w:val="nil"/>
              <w:bottom w:val="nil"/>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Amelogenin</w:t>
            </w:r>
          </w:p>
        </w:tc>
      </w:tr>
      <w:tr w:rsidR="00E55A9C" w:rsidRPr="0074345C">
        <w:trPr>
          <w:trHeight w:val="510"/>
        </w:trPr>
        <w:tc>
          <w:tcPr>
            <w:tcW w:w="1421" w:type="dxa"/>
            <w:tcBorders>
              <w:top w:val="nil"/>
              <w:left w:val="single" w:sz="4" w:space="0" w:color="auto"/>
              <w:bottom w:val="single" w:sz="4" w:space="0" w:color="auto"/>
              <w:right w:val="single" w:sz="4" w:space="0" w:color="auto"/>
            </w:tcBorders>
            <w:shd w:val="clear" w:color="auto" w:fill="auto"/>
            <w:noWrap/>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Site</w:t>
            </w:r>
          </w:p>
        </w:tc>
        <w:tc>
          <w:tcPr>
            <w:tcW w:w="1305" w:type="dxa"/>
            <w:vMerge/>
            <w:tcBorders>
              <w:top w:val="single" w:sz="4" w:space="0" w:color="auto"/>
              <w:left w:val="single" w:sz="4" w:space="0" w:color="auto"/>
              <w:bottom w:val="single" w:sz="4" w:space="0" w:color="000000"/>
              <w:right w:val="single" w:sz="4" w:space="0" w:color="auto"/>
            </w:tcBorders>
            <w:vAlign w:val="center"/>
          </w:tcPr>
          <w:p w:rsidR="00E55A9C" w:rsidRPr="0074345C" w:rsidRDefault="00E55A9C" w:rsidP="00E55A9C">
            <w:pPr>
              <w:pStyle w:val="NoteLevel11"/>
              <w:rPr>
                <w:rFonts w:eastAsia="Times New Roman" w:cs="Calibri"/>
                <w:b/>
                <w:bCs/>
                <w:color w:val="000000"/>
                <w:sz w:val="20"/>
                <w:szCs w:val="20"/>
                <w:lang w:val="en-GB" w:eastAsia="en-GB"/>
              </w:rPr>
            </w:pP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116 bp</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289 bp</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105/290bp</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106/112bp</w:t>
            </w:r>
          </w:p>
        </w:tc>
      </w:tr>
      <w:tr w:rsidR="00E55A9C" w:rsidRPr="0074345C">
        <w:trPr>
          <w:trHeight w:val="300"/>
        </w:trPr>
        <w:tc>
          <w:tcPr>
            <w:tcW w:w="1421" w:type="dxa"/>
            <w:tcBorders>
              <w:top w:val="nil"/>
              <w:left w:val="single" w:sz="4" w:space="0" w:color="auto"/>
              <w:bottom w:val="nil"/>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SkCCL</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E55A9C" w:rsidRPr="0074345C">
        <w:trPr>
          <w:trHeight w:val="300"/>
        </w:trPr>
        <w:tc>
          <w:tcPr>
            <w:tcW w:w="1421" w:type="dxa"/>
            <w:tcBorders>
              <w:top w:val="nil"/>
              <w:left w:val="single" w:sz="4" w:space="0" w:color="auto"/>
              <w:bottom w:val="nil"/>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u w:val="single"/>
                <w:lang w:val="en-GB" w:eastAsia="en-GB"/>
              </w:rPr>
            </w:pPr>
            <w:r w:rsidRPr="0074345C">
              <w:rPr>
                <w:rFonts w:eastAsia="Times New Roman" w:cs="Calibri"/>
                <w:color w:val="000000"/>
                <w:sz w:val="20"/>
                <w:szCs w:val="20"/>
                <w:u w:val="single"/>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E55A9C" w:rsidRPr="0074345C">
        <w:trPr>
          <w:trHeight w:val="300"/>
        </w:trPr>
        <w:tc>
          <w:tcPr>
            <w:tcW w:w="1421" w:type="dxa"/>
            <w:tcBorders>
              <w:top w:val="nil"/>
              <w:left w:val="single" w:sz="4" w:space="0" w:color="auto"/>
              <w:bottom w:val="nil"/>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E55A9C" w:rsidRPr="0074345C">
        <w:trPr>
          <w:trHeight w:val="300"/>
        </w:trPr>
        <w:tc>
          <w:tcPr>
            <w:tcW w:w="1421" w:type="dxa"/>
            <w:tcBorders>
              <w:top w:val="nil"/>
              <w:left w:val="single" w:sz="4" w:space="0" w:color="auto"/>
              <w:bottom w:val="single" w:sz="4" w:space="0" w:color="auto"/>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E55A9C" w:rsidRPr="0074345C">
        <w:trPr>
          <w:trHeight w:val="300"/>
        </w:trPr>
        <w:tc>
          <w:tcPr>
            <w:tcW w:w="1421" w:type="dxa"/>
            <w:tcBorders>
              <w:top w:val="nil"/>
              <w:left w:val="single" w:sz="4" w:space="0" w:color="auto"/>
              <w:bottom w:val="single" w:sz="4" w:space="0" w:color="auto"/>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Ardreigh</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Sk1494</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E55A9C" w:rsidRPr="0074345C">
        <w:trPr>
          <w:trHeight w:val="300"/>
        </w:trPr>
        <w:tc>
          <w:tcPr>
            <w:tcW w:w="1421" w:type="dxa"/>
            <w:tcBorders>
              <w:top w:val="nil"/>
              <w:left w:val="single" w:sz="4" w:space="0" w:color="auto"/>
              <w:bottom w:val="single" w:sz="4" w:space="0" w:color="auto"/>
              <w:right w:val="single" w:sz="4" w:space="0" w:color="auto"/>
            </w:tcBorders>
            <w:shd w:val="clear" w:color="auto" w:fill="auto"/>
            <w:noWrap/>
            <w:vAlign w:val="bottom"/>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Armoy</w:t>
            </w:r>
          </w:p>
        </w:tc>
        <w:tc>
          <w:tcPr>
            <w:tcW w:w="1305"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Sk171</w:t>
            </w:r>
          </w:p>
        </w:tc>
        <w:tc>
          <w:tcPr>
            <w:tcW w:w="134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1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84"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467" w:type="dxa"/>
            <w:tcBorders>
              <w:top w:val="nil"/>
              <w:left w:val="nil"/>
              <w:bottom w:val="single" w:sz="4" w:space="0" w:color="auto"/>
              <w:right w:val="single" w:sz="4" w:space="0" w:color="auto"/>
            </w:tcBorders>
            <w:shd w:val="clear" w:color="auto" w:fill="auto"/>
            <w:vAlign w:val="center"/>
          </w:tcPr>
          <w:p w:rsidR="00E55A9C" w:rsidRPr="0074345C" w:rsidRDefault="00E55A9C" w:rsidP="00E55A9C">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bl>
    <w:p w:rsidR="009155B0" w:rsidRDefault="009155B0" w:rsidP="005926E3">
      <w:pPr>
        <w:pStyle w:val="NoteLevel11"/>
        <w:rPr>
          <w:rFonts w:cs="Helvetica"/>
          <w:b/>
          <w:szCs w:val="17"/>
        </w:rPr>
      </w:pPr>
    </w:p>
    <w:p w:rsidR="00ED5024" w:rsidRDefault="00ED5024" w:rsidP="005926E3">
      <w:pPr>
        <w:pStyle w:val="NoteLevel11"/>
        <w:rPr>
          <w:rFonts w:cs="Helvetica"/>
          <w:b/>
          <w:sz w:val="28"/>
          <w:szCs w:val="17"/>
        </w:rPr>
      </w:pPr>
    </w:p>
    <w:p w:rsidR="00861BF7" w:rsidRPr="00DE0EEE" w:rsidRDefault="000307D3" w:rsidP="005926E3">
      <w:pPr>
        <w:pStyle w:val="NoteLevel11"/>
        <w:rPr>
          <w:rFonts w:cs="Helvetica"/>
          <w:b/>
          <w:sz w:val="28"/>
          <w:szCs w:val="17"/>
        </w:rPr>
      </w:pPr>
      <w:r>
        <w:rPr>
          <w:rFonts w:cs="Helvetica"/>
          <w:b/>
          <w:sz w:val="28"/>
          <w:szCs w:val="17"/>
        </w:rPr>
        <w:t>Second Centre aDNA confirmation</w:t>
      </w:r>
    </w:p>
    <w:p w:rsidR="00C25B55" w:rsidRDefault="003150B1" w:rsidP="00AB77FD">
      <w:pPr>
        <w:pStyle w:val="NoteLevel11"/>
        <w:keepNext w:val="0"/>
        <w:widowControl w:val="0"/>
        <w:rPr>
          <w:rFonts w:cs="Helvetica"/>
          <w:szCs w:val="17"/>
        </w:rPr>
      </w:pPr>
      <w:r w:rsidRPr="003150B1">
        <w:rPr>
          <w:rFonts w:cs="Helvetica"/>
          <w:szCs w:val="17"/>
        </w:rPr>
        <w:t xml:space="preserve">A series of PCRs were undertaken at </w:t>
      </w:r>
      <w:r w:rsidR="000307D3">
        <w:rPr>
          <w:rFonts w:cs="Helvetica"/>
          <w:szCs w:val="17"/>
        </w:rPr>
        <w:t xml:space="preserve">the </w:t>
      </w:r>
      <w:r w:rsidRPr="003150B1">
        <w:rPr>
          <w:rFonts w:cs="Helvetica"/>
          <w:szCs w:val="17"/>
        </w:rPr>
        <w:t xml:space="preserve">University of East Anglia to confirm the </w:t>
      </w:r>
      <w:r w:rsidR="00450DDE">
        <w:rPr>
          <w:rFonts w:cs="Helvetica"/>
          <w:szCs w:val="17"/>
        </w:rPr>
        <w:t>key</w:t>
      </w:r>
      <w:r w:rsidRPr="003150B1">
        <w:rPr>
          <w:rFonts w:cs="Helvetica"/>
          <w:szCs w:val="17"/>
        </w:rPr>
        <w:t xml:space="preserve"> aDNA observations made at University of Surrey</w:t>
      </w:r>
      <w:r w:rsidR="00E55A9C">
        <w:rPr>
          <w:rFonts w:cs="Helvetica"/>
          <w:szCs w:val="17"/>
        </w:rPr>
        <w:t xml:space="preserve"> (</w:t>
      </w:r>
      <w:r w:rsidR="00E55A9C" w:rsidRPr="00E55A9C">
        <w:rPr>
          <w:rFonts w:cs="Helvetica"/>
          <w:szCs w:val="17"/>
          <w:highlight w:val="cyan"/>
        </w:rPr>
        <w:t>Table 7</w:t>
      </w:r>
      <w:r w:rsidR="00E55A9C">
        <w:rPr>
          <w:rFonts w:cs="Helvetica"/>
          <w:szCs w:val="17"/>
        </w:rPr>
        <w:t>)</w:t>
      </w:r>
      <w:r w:rsidRPr="003150B1">
        <w:rPr>
          <w:rFonts w:cs="Helvetica"/>
          <w:szCs w:val="17"/>
        </w:rPr>
        <w:t xml:space="preserve">. Confirmation at a second centre is a key criterion for authentication and publication. </w:t>
      </w:r>
      <w:r w:rsidR="00C25B55">
        <w:rPr>
          <w:rFonts w:cs="Helvetica"/>
          <w:szCs w:val="17"/>
        </w:rPr>
        <w:t xml:space="preserve">The </w:t>
      </w:r>
      <w:r w:rsidRPr="003150B1">
        <w:rPr>
          <w:rFonts w:cs="Helvetica"/>
          <w:szCs w:val="17"/>
        </w:rPr>
        <w:t xml:space="preserve">laboratory at UEA confirmed the presence of </w:t>
      </w:r>
      <w:r w:rsidRPr="003150B1">
        <w:rPr>
          <w:rFonts w:cs="Helvetica"/>
          <w:i/>
          <w:szCs w:val="17"/>
        </w:rPr>
        <w:t>M.</w:t>
      </w:r>
      <w:r w:rsidR="00334306">
        <w:rPr>
          <w:rFonts w:cs="Helvetica"/>
          <w:i/>
          <w:szCs w:val="17"/>
        </w:rPr>
        <w:t xml:space="preserve"> </w:t>
      </w:r>
      <w:r w:rsidRPr="003150B1">
        <w:rPr>
          <w:rFonts w:cs="Helvetica"/>
          <w:i/>
          <w:szCs w:val="17"/>
        </w:rPr>
        <w:t>leprae</w:t>
      </w:r>
      <w:r w:rsidRPr="003150B1">
        <w:rPr>
          <w:rFonts w:cs="Helvetica"/>
          <w:szCs w:val="17"/>
        </w:rPr>
        <w:t xml:space="preserve"> DNA in the two </w:t>
      </w:r>
      <w:r w:rsidR="00C25B55">
        <w:rPr>
          <w:rFonts w:cs="Helvetica"/>
          <w:szCs w:val="17"/>
        </w:rPr>
        <w:t xml:space="preserve">Golden Lane </w:t>
      </w:r>
      <w:r w:rsidR="000307D3">
        <w:rPr>
          <w:rFonts w:cs="Helvetica"/>
          <w:szCs w:val="17"/>
        </w:rPr>
        <w:t xml:space="preserve">cases with positive determinations </w:t>
      </w:r>
      <w:r w:rsidRPr="003150B1">
        <w:rPr>
          <w:rFonts w:cs="Helvetica"/>
          <w:szCs w:val="17"/>
        </w:rPr>
        <w:t xml:space="preserve">at the University of Surrey. The RLEP amplicon was sequenced at UEA to confirm product identity.  The UEA laboratory was also able to confirm the UoS mtDNA results for SkCCXXX and SkCXCV. </w:t>
      </w:r>
      <w:r w:rsidR="00C25B55">
        <w:rPr>
          <w:rFonts w:cs="Helvetica"/>
          <w:szCs w:val="17"/>
        </w:rPr>
        <w:t xml:space="preserve">Additionally, UoS detected mtDNA in the WGS </w:t>
      </w:r>
      <w:r w:rsidR="002B5C9A">
        <w:rPr>
          <w:rFonts w:cs="Helvetica"/>
          <w:szCs w:val="17"/>
        </w:rPr>
        <w:t>control burial Sk</w:t>
      </w:r>
      <w:r w:rsidR="00C25B55">
        <w:rPr>
          <w:rFonts w:cs="Helvetica"/>
          <w:szCs w:val="17"/>
        </w:rPr>
        <w:t xml:space="preserve">CCL </w:t>
      </w:r>
      <w:r w:rsidR="002B5C9A">
        <w:rPr>
          <w:rFonts w:cs="Helvetica"/>
          <w:szCs w:val="17"/>
        </w:rPr>
        <w:t>and Sk</w:t>
      </w:r>
      <w:r w:rsidR="00C25B55">
        <w:rPr>
          <w:rFonts w:cs="Helvetica"/>
          <w:szCs w:val="17"/>
        </w:rPr>
        <w:t xml:space="preserve">CXLVIII. </w:t>
      </w:r>
    </w:p>
    <w:p w:rsidR="009155B0" w:rsidRPr="00AB77FD" w:rsidRDefault="009155B0" w:rsidP="00AB77FD">
      <w:pPr>
        <w:pStyle w:val="NoteLevel11"/>
        <w:numPr>
          <w:ilvl w:val="0"/>
          <w:numId w:val="0"/>
        </w:numPr>
        <w:rPr>
          <w:rFonts w:cs="Helvetica"/>
          <w:szCs w:val="17"/>
        </w:rPr>
      </w:pPr>
      <w:r w:rsidRPr="00AB77FD">
        <w:rPr>
          <w:rFonts w:cs="Helvetica"/>
          <w:b/>
          <w:szCs w:val="17"/>
        </w:rPr>
        <w:t xml:space="preserve">Table </w:t>
      </w:r>
      <w:r w:rsidR="00E55A9C" w:rsidRPr="00AB77FD">
        <w:rPr>
          <w:rFonts w:cs="Helvetica"/>
          <w:b/>
          <w:szCs w:val="17"/>
        </w:rPr>
        <w:t>7</w:t>
      </w:r>
      <w:r w:rsidR="00DB3ABC" w:rsidRPr="00AB77FD">
        <w:rPr>
          <w:rFonts w:cs="Helvetica"/>
          <w:b/>
          <w:sz w:val="28"/>
          <w:szCs w:val="17"/>
        </w:rPr>
        <w:t xml:space="preserve">. </w:t>
      </w:r>
      <w:r w:rsidRPr="00AB77FD">
        <w:rPr>
          <w:rFonts w:cs="Helvetica"/>
          <w:b/>
          <w:szCs w:val="17"/>
        </w:rPr>
        <w:t>Comparison of key biomo</w:t>
      </w:r>
      <w:r w:rsidR="000307D3" w:rsidRPr="00AB77FD">
        <w:rPr>
          <w:rFonts w:cs="Helvetica"/>
          <w:b/>
          <w:szCs w:val="17"/>
        </w:rPr>
        <w:t xml:space="preserve">lecular findings at UoS and UEA </w:t>
      </w:r>
      <w:r w:rsidRPr="00AB77FD">
        <w:rPr>
          <w:rFonts w:cs="Helvetica"/>
          <w:b/>
          <w:szCs w:val="17"/>
        </w:rPr>
        <w:t xml:space="preserve">laboratories.  </w:t>
      </w:r>
    </w:p>
    <w:tbl>
      <w:tblPr>
        <w:tblW w:w="6620" w:type="dxa"/>
        <w:tblInd w:w="-5" w:type="dxa"/>
        <w:tblLook w:val="04A0" w:firstRow="1" w:lastRow="0" w:firstColumn="1" w:lastColumn="0" w:noHBand="0" w:noVBand="1"/>
      </w:tblPr>
      <w:tblGrid>
        <w:gridCol w:w="1420"/>
        <w:gridCol w:w="1260"/>
        <w:gridCol w:w="1300"/>
        <w:gridCol w:w="1280"/>
        <w:gridCol w:w="1360"/>
      </w:tblGrid>
      <w:tr w:rsidR="00A906A6" w:rsidRPr="0074345C">
        <w:trPr>
          <w:trHeight w:val="300"/>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Individual</w:t>
            </w:r>
          </w:p>
        </w:tc>
        <w:tc>
          <w:tcPr>
            <w:tcW w:w="1260" w:type="dxa"/>
            <w:tcBorders>
              <w:top w:val="single" w:sz="4" w:space="0" w:color="auto"/>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UoS RLEP</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UEA RLEP</w:t>
            </w:r>
          </w:p>
        </w:tc>
        <w:tc>
          <w:tcPr>
            <w:tcW w:w="1280" w:type="dxa"/>
            <w:tcBorders>
              <w:top w:val="single" w:sz="4" w:space="0" w:color="auto"/>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UoS mtDNA</w:t>
            </w:r>
          </w:p>
        </w:tc>
        <w:tc>
          <w:tcPr>
            <w:tcW w:w="1360" w:type="dxa"/>
            <w:tcBorders>
              <w:top w:val="single" w:sz="4" w:space="0" w:color="auto"/>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UEA mtDNA</w:t>
            </w:r>
          </w:p>
        </w:tc>
      </w:tr>
      <w:tr w:rsidR="00A906A6" w:rsidRPr="0074345C">
        <w:trPr>
          <w:trHeight w:val="300"/>
        </w:trPr>
        <w:tc>
          <w:tcPr>
            <w:tcW w:w="1420" w:type="dxa"/>
            <w:vMerge/>
            <w:tcBorders>
              <w:top w:val="single" w:sz="4" w:space="0" w:color="auto"/>
              <w:left w:val="single" w:sz="4" w:space="0" w:color="auto"/>
              <w:bottom w:val="single" w:sz="4" w:space="0" w:color="000000"/>
              <w:right w:val="single" w:sz="4" w:space="0" w:color="auto"/>
            </w:tcBorders>
            <w:vAlign w:val="center"/>
          </w:tcPr>
          <w:p w:rsidR="00A906A6" w:rsidRPr="0074345C" w:rsidRDefault="00A906A6" w:rsidP="00A906A6">
            <w:pPr>
              <w:pStyle w:val="NoteLevel11"/>
              <w:rPr>
                <w:rFonts w:eastAsia="Times New Roman" w:cs="Calibri"/>
                <w:b/>
                <w:bCs/>
                <w:color w:val="000000"/>
                <w:sz w:val="20"/>
                <w:szCs w:val="20"/>
                <w:lang w:val="en-GB" w:eastAsia="en-GB"/>
              </w:rPr>
            </w:pPr>
          </w:p>
        </w:tc>
        <w:tc>
          <w:tcPr>
            <w:tcW w:w="1260" w:type="dxa"/>
            <w:tcBorders>
              <w:top w:val="nil"/>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(Probe)</w:t>
            </w:r>
          </w:p>
        </w:tc>
        <w:tc>
          <w:tcPr>
            <w:tcW w:w="1300" w:type="dxa"/>
            <w:vMerge/>
            <w:tcBorders>
              <w:top w:val="single" w:sz="4" w:space="0" w:color="auto"/>
              <w:left w:val="single" w:sz="4" w:space="0" w:color="auto"/>
              <w:bottom w:val="single" w:sz="4" w:space="0" w:color="000000"/>
              <w:right w:val="single" w:sz="4" w:space="0" w:color="auto"/>
            </w:tcBorders>
            <w:vAlign w:val="center"/>
          </w:tcPr>
          <w:p w:rsidR="00A906A6" w:rsidRPr="0074345C" w:rsidRDefault="00A906A6" w:rsidP="00A906A6">
            <w:pPr>
              <w:pStyle w:val="NoteLevel11"/>
              <w:rPr>
                <w:rFonts w:eastAsia="Times New Roman" w:cs="Calibri"/>
                <w:b/>
                <w:bCs/>
                <w:color w:val="000000"/>
                <w:sz w:val="20"/>
                <w:szCs w:val="20"/>
                <w:lang w:val="en-GB" w:eastAsia="en-GB"/>
              </w:rPr>
            </w:pPr>
          </w:p>
        </w:tc>
        <w:tc>
          <w:tcPr>
            <w:tcW w:w="1280" w:type="dxa"/>
            <w:tcBorders>
              <w:top w:val="nil"/>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116 bp</w:t>
            </w:r>
          </w:p>
        </w:tc>
        <w:tc>
          <w:tcPr>
            <w:tcW w:w="1360" w:type="dxa"/>
            <w:tcBorders>
              <w:top w:val="nil"/>
              <w:left w:val="nil"/>
              <w:bottom w:val="nil"/>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116 bp</w:t>
            </w:r>
          </w:p>
        </w:tc>
      </w:tr>
      <w:tr w:rsidR="00A906A6" w:rsidRPr="0074345C">
        <w:trPr>
          <w:trHeight w:val="300"/>
        </w:trPr>
        <w:tc>
          <w:tcPr>
            <w:tcW w:w="1420" w:type="dxa"/>
            <w:vMerge/>
            <w:tcBorders>
              <w:top w:val="single" w:sz="4" w:space="0" w:color="auto"/>
              <w:left w:val="single" w:sz="4" w:space="0" w:color="auto"/>
              <w:bottom w:val="single" w:sz="4" w:space="0" w:color="000000"/>
              <w:right w:val="single" w:sz="4" w:space="0" w:color="auto"/>
            </w:tcBorders>
            <w:vAlign w:val="center"/>
          </w:tcPr>
          <w:p w:rsidR="00A906A6" w:rsidRPr="0074345C" w:rsidRDefault="00A906A6" w:rsidP="00A906A6">
            <w:pPr>
              <w:pStyle w:val="NoteLevel11"/>
              <w:rPr>
                <w:rFonts w:eastAsia="Times New Roman" w:cs="Calibri"/>
                <w:b/>
                <w:bCs/>
                <w:color w:val="000000"/>
                <w:sz w:val="20"/>
                <w:szCs w:val="20"/>
                <w:lang w:val="en-GB" w:eastAsia="en-GB"/>
              </w:rPr>
            </w:pPr>
          </w:p>
        </w:tc>
        <w:tc>
          <w:tcPr>
            <w:tcW w:w="1260" w:type="dxa"/>
            <w:tcBorders>
              <w:top w:val="nil"/>
              <w:left w:val="nil"/>
              <w:bottom w:val="single" w:sz="4" w:space="0" w:color="auto"/>
              <w:right w:val="single" w:sz="4" w:space="0" w:color="auto"/>
            </w:tcBorders>
            <w:shd w:val="clear" w:color="auto" w:fill="auto"/>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300" w:type="dxa"/>
            <w:vMerge/>
            <w:tcBorders>
              <w:top w:val="single" w:sz="4" w:space="0" w:color="auto"/>
              <w:left w:val="single" w:sz="4" w:space="0" w:color="auto"/>
              <w:bottom w:val="single" w:sz="4" w:space="0" w:color="000000"/>
              <w:right w:val="single" w:sz="4" w:space="0" w:color="auto"/>
            </w:tcBorders>
            <w:vAlign w:val="center"/>
          </w:tcPr>
          <w:p w:rsidR="00A906A6" w:rsidRPr="0074345C" w:rsidRDefault="00A906A6" w:rsidP="00A906A6">
            <w:pPr>
              <w:pStyle w:val="NoteLevel11"/>
              <w:rPr>
                <w:rFonts w:eastAsia="Times New Roman" w:cs="Calibri"/>
                <w:b/>
                <w:bCs/>
                <w:color w:val="000000"/>
                <w:sz w:val="20"/>
                <w:szCs w:val="20"/>
                <w:lang w:val="en-GB" w:eastAsia="en-GB"/>
              </w:rPr>
            </w:pPr>
          </w:p>
        </w:tc>
        <w:tc>
          <w:tcPr>
            <w:tcW w:w="128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360" w:type="dxa"/>
            <w:tcBorders>
              <w:top w:val="nil"/>
              <w:left w:val="nil"/>
              <w:bottom w:val="single" w:sz="4" w:space="0" w:color="auto"/>
              <w:right w:val="single" w:sz="4" w:space="0" w:color="auto"/>
            </w:tcBorders>
            <w:shd w:val="clear" w:color="auto" w:fill="auto"/>
          </w:tcPr>
          <w:p w:rsidR="00A906A6" w:rsidRPr="0074345C" w:rsidRDefault="00A906A6" w:rsidP="00A906A6">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r>
      <w:tr w:rsidR="00A906A6" w:rsidRPr="0074345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SkCCL</w:t>
            </w:r>
          </w:p>
        </w:tc>
        <w:tc>
          <w:tcPr>
            <w:tcW w:w="12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0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8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A906A6" w:rsidRPr="0074345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12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0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28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A906A6" w:rsidRPr="0074345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12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0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u w:val="single"/>
                <w:lang w:val="en-GB" w:eastAsia="en-GB"/>
              </w:rPr>
            </w:pPr>
            <w:r w:rsidRPr="0074345C">
              <w:rPr>
                <w:rFonts w:eastAsia="Times New Roman" w:cs="Calibri"/>
                <w:color w:val="000000"/>
                <w:sz w:val="20"/>
                <w:szCs w:val="20"/>
                <w:u w:val="single"/>
                <w:lang w:val="en-GB" w:eastAsia="en-GB"/>
              </w:rPr>
              <w:t>+</w:t>
            </w:r>
          </w:p>
        </w:tc>
        <w:tc>
          <w:tcPr>
            <w:tcW w:w="128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r w:rsidR="00A906A6" w:rsidRPr="0074345C">
        <w:trPr>
          <w:trHeight w:val="300"/>
        </w:trPr>
        <w:tc>
          <w:tcPr>
            <w:tcW w:w="1420" w:type="dxa"/>
            <w:tcBorders>
              <w:top w:val="nil"/>
              <w:left w:val="single" w:sz="4" w:space="0" w:color="auto"/>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12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0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r w:rsidRPr="0074345C">
              <w:rPr>
                <w:rFonts w:eastAsia="Times New Roman" w:cs="Calibri"/>
                <w:color w:val="000000"/>
                <w:sz w:val="20"/>
                <w:szCs w:val="20"/>
                <w:vertAlign w:val="superscript"/>
                <w:lang w:val="en-GB" w:eastAsia="en-GB"/>
              </w:rPr>
              <w:t>*</w:t>
            </w:r>
          </w:p>
        </w:tc>
        <w:tc>
          <w:tcPr>
            <w:tcW w:w="128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360" w:type="dxa"/>
            <w:tcBorders>
              <w:top w:val="nil"/>
              <w:left w:val="nil"/>
              <w:bottom w:val="single" w:sz="4" w:space="0" w:color="auto"/>
              <w:right w:val="single" w:sz="4" w:space="0" w:color="auto"/>
            </w:tcBorders>
            <w:shd w:val="clear" w:color="auto" w:fill="auto"/>
            <w:vAlign w:val="center"/>
          </w:tcPr>
          <w:p w:rsidR="00A906A6" w:rsidRPr="0074345C" w:rsidRDefault="00A906A6" w:rsidP="00A906A6">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bl>
    <w:p w:rsidR="00297E5D" w:rsidRDefault="003C4DFB" w:rsidP="00A833E7">
      <w:pPr>
        <w:pStyle w:val="NoteLevel11"/>
        <w:rPr>
          <w:rFonts w:cs="Helvetica"/>
          <w:sz w:val="28"/>
          <w:szCs w:val="17"/>
        </w:rPr>
      </w:pPr>
      <w:r w:rsidRPr="00004E81">
        <w:rPr>
          <w:rFonts w:cs="Helvetica"/>
          <w:szCs w:val="17"/>
          <w:vertAlign w:val="superscript"/>
        </w:rPr>
        <w:t xml:space="preserve">* </w:t>
      </w:r>
      <w:r w:rsidRPr="00004E81">
        <w:rPr>
          <w:rFonts w:cs="Helvetica"/>
          <w:szCs w:val="17"/>
        </w:rPr>
        <w:t>= confirmed by sequencing.</w:t>
      </w:r>
    </w:p>
    <w:p w:rsidR="00297E5D" w:rsidRDefault="00297E5D" w:rsidP="001E0D6A">
      <w:pPr>
        <w:pStyle w:val="NoteLevel11"/>
        <w:rPr>
          <w:rFonts w:cs="Helvetica"/>
          <w:sz w:val="28"/>
          <w:szCs w:val="17"/>
        </w:rPr>
      </w:pPr>
    </w:p>
    <w:p w:rsidR="00C0363B" w:rsidRPr="00DE0EEE" w:rsidRDefault="000307D3" w:rsidP="001E0D6A">
      <w:pPr>
        <w:pStyle w:val="NoteLevel11"/>
        <w:rPr>
          <w:rFonts w:cs="Helvetica"/>
          <w:b/>
          <w:sz w:val="28"/>
          <w:szCs w:val="17"/>
        </w:rPr>
      </w:pPr>
      <w:r>
        <w:rPr>
          <w:rFonts w:cs="Helvetica"/>
          <w:b/>
          <w:sz w:val="28"/>
          <w:szCs w:val="17"/>
        </w:rPr>
        <w:t>Whole genome sequencing</w:t>
      </w:r>
      <w:r w:rsidR="00BB7280" w:rsidRPr="00BB7280">
        <w:rPr>
          <w:rFonts w:cs="Helvetica"/>
          <w:b/>
          <w:sz w:val="28"/>
          <w:szCs w:val="17"/>
        </w:rPr>
        <w:t xml:space="preserve"> (UoS)</w:t>
      </w:r>
    </w:p>
    <w:p w:rsidR="00AF738D" w:rsidRDefault="00B91D89">
      <w:pPr>
        <w:pStyle w:val="NoteLevel11"/>
        <w:rPr>
          <w:rFonts w:cs="Times"/>
          <w:szCs w:val="19"/>
        </w:rPr>
      </w:pPr>
      <w:r>
        <w:t>W</w:t>
      </w:r>
      <w:r w:rsidR="00BB7280" w:rsidRPr="00BB7280">
        <w:t xml:space="preserve">hole genome sequencing </w:t>
      </w:r>
      <w:r>
        <w:t xml:space="preserve">was performed at Genewiz </w:t>
      </w:r>
      <w:r w:rsidR="00BB7280" w:rsidRPr="00BB7280">
        <w:t xml:space="preserve">with their HiSeq™ X Ten platform. </w:t>
      </w:r>
      <w:r>
        <w:t>T</w:t>
      </w:r>
      <w:r w:rsidR="00BB7280" w:rsidRPr="00BB7280">
        <w:t xml:space="preserve">he reads </w:t>
      </w:r>
      <w:r w:rsidR="00BB7280" w:rsidRPr="00BB7280">
        <w:rPr>
          <w:rFonts w:cs="Times"/>
          <w:szCs w:val="19"/>
        </w:rPr>
        <w:t>w</w:t>
      </w:r>
      <w:r>
        <w:rPr>
          <w:rFonts w:cs="Times"/>
          <w:szCs w:val="19"/>
        </w:rPr>
        <w:t>ere</w:t>
      </w:r>
      <w:r w:rsidR="000307D3">
        <w:rPr>
          <w:rFonts w:cs="Times"/>
          <w:szCs w:val="19"/>
        </w:rPr>
        <w:t xml:space="preserve"> </w:t>
      </w:r>
      <w:r w:rsidR="00BB7280" w:rsidRPr="00BB7280">
        <w:rPr>
          <w:rFonts w:cs="Times"/>
          <w:szCs w:val="19"/>
        </w:rPr>
        <w:t xml:space="preserve">quality controlled and aligned to the </w:t>
      </w:r>
      <w:r w:rsidR="00BB7280" w:rsidRPr="00BB7280">
        <w:rPr>
          <w:rFonts w:cs="Times"/>
          <w:i/>
          <w:szCs w:val="19"/>
        </w:rPr>
        <w:t>M leprae</w:t>
      </w:r>
      <w:r w:rsidR="00BB7280" w:rsidRPr="00BB7280">
        <w:rPr>
          <w:rFonts w:cs="Times"/>
          <w:szCs w:val="19"/>
        </w:rPr>
        <w:t xml:space="preserve"> TN </w:t>
      </w:r>
      <w:r w:rsidR="00BB7280" w:rsidRPr="00267BE5">
        <w:rPr>
          <w:rFonts w:cs="Times"/>
          <w:szCs w:val="19"/>
        </w:rPr>
        <w:t>genome using Bowtie2</w:t>
      </w:r>
      <w:r w:rsidR="001127F8" w:rsidRPr="00267BE5">
        <w:rPr>
          <w:rFonts w:cs="Times"/>
          <w:szCs w:val="19"/>
        </w:rPr>
        <w:t xml:space="preserve"> [</w:t>
      </w:r>
      <w:r w:rsidR="00D131C2" w:rsidRPr="00267BE5">
        <w:rPr>
          <w:rFonts w:cs="Times"/>
          <w:szCs w:val="19"/>
        </w:rPr>
        <w:t>54</w:t>
      </w:r>
      <w:r w:rsidR="001127F8" w:rsidRPr="00267BE5">
        <w:rPr>
          <w:rFonts w:cs="Times"/>
          <w:szCs w:val="19"/>
        </w:rPr>
        <w:t>]</w:t>
      </w:r>
      <w:r w:rsidR="00BB7280" w:rsidRPr="00267BE5">
        <w:rPr>
          <w:rFonts w:cs="Times"/>
          <w:szCs w:val="19"/>
        </w:rPr>
        <w:t>. Duplicate reads w</w:t>
      </w:r>
      <w:r w:rsidRPr="00267BE5">
        <w:rPr>
          <w:rFonts w:cs="Times"/>
          <w:szCs w:val="19"/>
        </w:rPr>
        <w:t xml:space="preserve">ere </w:t>
      </w:r>
      <w:r w:rsidR="00BB7280" w:rsidRPr="00267BE5">
        <w:rPr>
          <w:rFonts w:cs="Times"/>
          <w:szCs w:val="19"/>
        </w:rPr>
        <w:t>remov</w:t>
      </w:r>
      <w:r w:rsidR="00B115C4" w:rsidRPr="00267BE5">
        <w:rPr>
          <w:rFonts w:cs="Times"/>
          <w:szCs w:val="19"/>
        </w:rPr>
        <w:t>ed with Mark- Duplicate</w:t>
      </w:r>
      <w:r w:rsidR="00B115C4">
        <w:rPr>
          <w:rFonts w:cs="Times"/>
          <w:szCs w:val="19"/>
        </w:rPr>
        <w:t xml:space="preserve"> script </w:t>
      </w:r>
      <w:r w:rsidR="00BB7280" w:rsidRPr="00BB7280">
        <w:rPr>
          <w:rFonts w:cs="Times"/>
          <w:szCs w:val="19"/>
        </w:rPr>
        <w:t>and SNPs assigned. The criteria for inclusion in the SNP/indel list w</w:t>
      </w:r>
      <w:r>
        <w:rPr>
          <w:rFonts w:cs="Times"/>
          <w:szCs w:val="19"/>
        </w:rPr>
        <w:t xml:space="preserve">as </w:t>
      </w:r>
      <w:r w:rsidR="00BB7280" w:rsidRPr="00BB7280">
        <w:rPr>
          <w:rFonts w:cs="Times"/>
          <w:szCs w:val="19"/>
        </w:rPr>
        <w:t>that polymorphs ha</w:t>
      </w:r>
      <w:r>
        <w:rPr>
          <w:rFonts w:cs="Times"/>
          <w:szCs w:val="19"/>
        </w:rPr>
        <w:t>d</w:t>
      </w:r>
      <w:r w:rsidR="00BB7280" w:rsidRPr="00BB7280">
        <w:rPr>
          <w:rFonts w:cs="Times"/>
          <w:szCs w:val="19"/>
        </w:rPr>
        <w:t xml:space="preserve"> to be outside of annotated repeat regions, to have a read depth of more than </w:t>
      </w:r>
      <w:r w:rsidR="004840BE">
        <w:rPr>
          <w:rFonts w:cs="Times"/>
          <w:szCs w:val="19"/>
        </w:rPr>
        <w:t>three</w:t>
      </w:r>
      <w:r w:rsidR="004840BE" w:rsidRPr="00BB7280">
        <w:rPr>
          <w:rFonts w:cs="Times"/>
          <w:szCs w:val="19"/>
        </w:rPr>
        <w:t xml:space="preserve"> </w:t>
      </w:r>
      <w:r w:rsidR="00BB7280" w:rsidRPr="00BB7280">
        <w:rPr>
          <w:rFonts w:cs="Times"/>
          <w:szCs w:val="19"/>
        </w:rPr>
        <w:t>reads in the sample</w:t>
      </w:r>
      <w:r w:rsidR="00F93B37">
        <w:rPr>
          <w:rFonts w:cs="Times"/>
          <w:szCs w:val="19"/>
        </w:rPr>
        <w:t xml:space="preserve"> but less than </w:t>
      </w:r>
      <w:r w:rsidR="004840BE">
        <w:rPr>
          <w:rFonts w:cs="Times"/>
          <w:szCs w:val="19"/>
        </w:rPr>
        <w:t>three</w:t>
      </w:r>
      <w:r w:rsidR="004840BE" w:rsidRPr="00BB7280">
        <w:rPr>
          <w:rFonts w:cs="Times"/>
          <w:szCs w:val="19"/>
        </w:rPr>
        <w:t xml:space="preserve"> </w:t>
      </w:r>
      <w:r w:rsidR="00BB7280" w:rsidRPr="00BB7280">
        <w:rPr>
          <w:rFonts w:cs="Times"/>
          <w:szCs w:val="19"/>
        </w:rPr>
        <w:t>reads in the control sample SkCCL,</w:t>
      </w:r>
      <w:r w:rsidR="005B706A">
        <w:rPr>
          <w:rFonts w:cs="Times"/>
          <w:szCs w:val="19"/>
        </w:rPr>
        <w:t xml:space="preserve"> to</w:t>
      </w:r>
      <w:r w:rsidR="00BB7280" w:rsidRPr="00BB7280">
        <w:rPr>
          <w:rFonts w:cs="Times"/>
          <w:szCs w:val="19"/>
        </w:rPr>
        <w:t xml:space="preserve"> have a QUAL score of &gt; =</w:t>
      </w:r>
      <w:r w:rsidR="004840BE">
        <w:rPr>
          <w:rFonts w:cs="Times"/>
          <w:szCs w:val="19"/>
        </w:rPr>
        <w:t>3</w:t>
      </w:r>
      <w:r w:rsidR="00BB7280" w:rsidRPr="00BB7280">
        <w:rPr>
          <w:rFonts w:cs="Times"/>
          <w:szCs w:val="19"/>
        </w:rPr>
        <w:t xml:space="preserve">0 (not required for longer indels) and appear in more than </w:t>
      </w:r>
      <w:r w:rsidR="004840BE">
        <w:rPr>
          <w:rFonts w:cs="Times"/>
          <w:szCs w:val="19"/>
        </w:rPr>
        <w:t xml:space="preserve">75 </w:t>
      </w:r>
      <w:r w:rsidR="00BB7280" w:rsidRPr="00BB7280">
        <w:rPr>
          <w:rFonts w:cs="Times"/>
          <w:szCs w:val="19"/>
        </w:rPr>
        <w:t>% of reads. Indels ha</w:t>
      </w:r>
      <w:r>
        <w:rPr>
          <w:rFonts w:cs="Times"/>
          <w:szCs w:val="19"/>
        </w:rPr>
        <w:t>d</w:t>
      </w:r>
      <w:r w:rsidR="00BB7280" w:rsidRPr="00BB7280">
        <w:rPr>
          <w:rFonts w:cs="Times"/>
          <w:szCs w:val="19"/>
        </w:rPr>
        <w:t xml:space="preserve"> an additional requiremen</w:t>
      </w:r>
      <w:r w:rsidR="00F93B37">
        <w:rPr>
          <w:rFonts w:cs="Times"/>
          <w:szCs w:val="19"/>
        </w:rPr>
        <w:t>t that all qualifying reads had</w:t>
      </w:r>
      <w:r w:rsidR="00BB7280" w:rsidRPr="00BB7280">
        <w:rPr>
          <w:rFonts w:cs="Times"/>
          <w:szCs w:val="19"/>
        </w:rPr>
        <w:t xml:space="preserve"> to span the indel.</w:t>
      </w:r>
      <w:r>
        <w:rPr>
          <w:rFonts w:cs="Times"/>
          <w:szCs w:val="19"/>
        </w:rPr>
        <w:t xml:space="preserve"> </w:t>
      </w:r>
    </w:p>
    <w:p w:rsidR="000307D3" w:rsidRDefault="000307D3">
      <w:pPr>
        <w:pStyle w:val="NoteLevel11"/>
        <w:rPr>
          <w:rFonts w:cs="Times"/>
          <w:szCs w:val="19"/>
        </w:rPr>
      </w:pPr>
    </w:p>
    <w:p w:rsidR="002002A8" w:rsidRPr="0061294C" w:rsidRDefault="00BB7280" w:rsidP="00AB77FD">
      <w:pPr>
        <w:pStyle w:val="NoteLevel11"/>
        <w:keepNext w:val="0"/>
        <w:widowControl w:val="0"/>
      </w:pPr>
      <w:r w:rsidRPr="0061294C">
        <w:t xml:space="preserve">Sequence data was obtained for </w:t>
      </w:r>
      <w:r w:rsidR="002002A8" w:rsidRPr="0061294C">
        <w:t xml:space="preserve">all three individuals </w:t>
      </w:r>
      <w:r w:rsidRPr="0061294C">
        <w:t>(</w:t>
      </w:r>
      <w:r w:rsidRPr="0061294C">
        <w:rPr>
          <w:highlight w:val="cyan"/>
        </w:rPr>
        <w:t xml:space="preserve">Table </w:t>
      </w:r>
      <w:r w:rsidR="00045658" w:rsidRPr="0061294C">
        <w:rPr>
          <w:highlight w:val="cyan"/>
        </w:rPr>
        <w:t>8</w:t>
      </w:r>
      <w:r w:rsidRPr="0061294C">
        <w:t xml:space="preserve">). </w:t>
      </w:r>
      <w:r w:rsidR="002002A8" w:rsidRPr="0061294C">
        <w:t xml:space="preserve">Read lengths were consistent with the data being derived from ancient DNA. The two leprous individuals, SkCXCV and SKCCXXX, had higher percentages of read aligning to the </w:t>
      </w:r>
      <w:r w:rsidR="002002A8" w:rsidRPr="0061294C">
        <w:rPr>
          <w:i/>
        </w:rPr>
        <w:t>M. leprae</w:t>
      </w:r>
      <w:r w:rsidR="002002A8" w:rsidRPr="0061294C">
        <w:t xml:space="preserve"> genome than the control, SkCCL, and lower rates of alignment to human genomes consistent with the results from the PCR typing. Unfortunately, due to the relatively small number of reads recovered from SkCXCV and SKCCXXX, coverage in the reconstructed genomes remained low and sporadic and so confirmation of the SNP, Indel and VNTR typing was not possible</w:t>
      </w:r>
      <w:r w:rsidR="00A32CA2" w:rsidRPr="0061294C">
        <w:t>.</w:t>
      </w:r>
      <w:r w:rsidR="002002A8" w:rsidRPr="0061294C">
        <w:t xml:space="preserve"> </w:t>
      </w:r>
    </w:p>
    <w:p w:rsidR="000307D3" w:rsidRPr="001A3046" w:rsidRDefault="000307D3" w:rsidP="001A3046">
      <w:pPr>
        <w:pStyle w:val="NoteLevel11"/>
      </w:pPr>
    </w:p>
    <w:p w:rsidR="000776C7" w:rsidRPr="0061294C" w:rsidRDefault="009155B0" w:rsidP="00AB77FD">
      <w:pPr>
        <w:pStyle w:val="NoteLevel11"/>
        <w:rPr>
          <w:rFonts w:cs="Times New Roman"/>
          <w:b/>
          <w:szCs w:val="20"/>
          <w:highlight w:val="green"/>
          <w:lang w:val="en-GB"/>
        </w:rPr>
      </w:pPr>
      <w:r w:rsidRPr="0061294C">
        <w:rPr>
          <w:rFonts w:cs="Times New Roman"/>
          <w:b/>
          <w:szCs w:val="20"/>
          <w:lang w:val="en-GB"/>
        </w:rPr>
        <w:t xml:space="preserve">Table </w:t>
      </w:r>
      <w:r w:rsidR="00045658" w:rsidRPr="0061294C">
        <w:rPr>
          <w:rFonts w:cs="Times New Roman"/>
          <w:b/>
          <w:szCs w:val="20"/>
          <w:lang w:val="en-GB"/>
        </w:rPr>
        <w:t>8</w:t>
      </w:r>
      <w:r w:rsidRPr="0061294C">
        <w:rPr>
          <w:rFonts w:cs="Times New Roman"/>
          <w:b/>
          <w:szCs w:val="20"/>
          <w:lang w:val="en-GB"/>
        </w:rPr>
        <w:t xml:space="preserve">. Sequence data obtained for the </w:t>
      </w:r>
      <w:r w:rsidR="000776C7" w:rsidRPr="0061294C">
        <w:rPr>
          <w:rFonts w:cs="Times New Roman"/>
          <w:b/>
          <w:szCs w:val="20"/>
          <w:lang w:val="en-GB"/>
        </w:rPr>
        <w:t>whole genome sequence</w:t>
      </w:r>
      <w:r w:rsidRPr="0061294C">
        <w:rPr>
          <w:rFonts w:cs="Times New Roman"/>
          <w:b/>
          <w:szCs w:val="20"/>
          <w:lang w:val="en-GB"/>
        </w:rPr>
        <w:t xml:space="preserve"> study.</w:t>
      </w:r>
    </w:p>
    <w:tbl>
      <w:tblPr>
        <w:tblW w:w="11068" w:type="dxa"/>
        <w:tblInd w:w="-867" w:type="dxa"/>
        <w:tblLook w:val="04A0" w:firstRow="1" w:lastRow="0" w:firstColumn="1" w:lastColumn="0" w:noHBand="0" w:noVBand="1"/>
      </w:tblPr>
      <w:tblGrid>
        <w:gridCol w:w="1359"/>
        <w:gridCol w:w="1781"/>
        <w:gridCol w:w="2038"/>
        <w:gridCol w:w="2099"/>
        <w:gridCol w:w="1973"/>
        <w:gridCol w:w="1818"/>
      </w:tblGrid>
      <w:tr w:rsidR="0061294C" w:rsidRPr="0061294C" w:rsidTr="00FF5086">
        <w:trPr>
          <w:trHeight w:val="102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3069C1" w:rsidRPr="0061294C" w:rsidRDefault="003069C1" w:rsidP="000776C7">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Individual</w:t>
            </w:r>
          </w:p>
        </w:tc>
        <w:tc>
          <w:tcPr>
            <w:tcW w:w="1800" w:type="dxa"/>
            <w:tcBorders>
              <w:top w:val="single" w:sz="4" w:space="0" w:color="auto"/>
              <w:left w:val="nil"/>
              <w:bottom w:val="single" w:sz="4" w:space="0" w:color="auto"/>
              <w:right w:val="single" w:sz="4" w:space="0" w:color="auto"/>
            </w:tcBorders>
            <w:shd w:val="clear" w:color="auto" w:fill="auto"/>
            <w:vAlign w:val="center"/>
          </w:tcPr>
          <w:p w:rsidR="003069C1" w:rsidRPr="0061294C" w:rsidRDefault="003069C1" w:rsidP="00DE3FE4">
            <w:pPr>
              <w:pStyle w:val="NoteLevel11"/>
              <w:numPr>
                <w:ilvl w:val="0"/>
                <w:numId w:val="0"/>
              </w:numPr>
              <w:rPr>
                <w:rFonts w:eastAsia="Times New Roman" w:cs="Calibri"/>
                <w:b/>
                <w:bCs/>
                <w:sz w:val="20"/>
                <w:szCs w:val="20"/>
                <w:lang w:val="en-GB" w:eastAsia="en-GB"/>
              </w:rPr>
            </w:pPr>
            <w:r w:rsidRPr="0061294C">
              <w:rPr>
                <w:rFonts w:eastAsia="Times New Roman" w:cs="Calibri"/>
                <w:b/>
                <w:bCs/>
                <w:sz w:val="20"/>
                <w:szCs w:val="20"/>
                <w:lang w:val="en-GB" w:eastAsia="en-GB"/>
              </w:rPr>
              <w:t>Total number of reads</w:t>
            </w:r>
          </w:p>
        </w:tc>
        <w:tc>
          <w:tcPr>
            <w:tcW w:w="2063" w:type="dxa"/>
            <w:tcBorders>
              <w:top w:val="single" w:sz="4" w:space="0" w:color="auto"/>
              <w:left w:val="nil"/>
              <w:bottom w:val="single" w:sz="4" w:space="0" w:color="auto"/>
              <w:right w:val="single" w:sz="4" w:space="0" w:color="auto"/>
            </w:tcBorders>
            <w:shd w:val="clear" w:color="auto" w:fill="auto"/>
            <w:vAlign w:val="center"/>
          </w:tcPr>
          <w:p w:rsidR="003069C1" w:rsidRPr="0061294C" w:rsidRDefault="003069C1" w:rsidP="00A32CA2">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 xml:space="preserve">Percentage of reads aligning to the </w:t>
            </w:r>
            <w:r w:rsidRPr="0061294C">
              <w:rPr>
                <w:rFonts w:eastAsia="Times New Roman" w:cs="Calibri"/>
                <w:b/>
                <w:bCs/>
                <w:i/>
                <w:iCs/>
                <w:sz w:val="20"/>
                <w:szCs w:val="20"/>
                <w:lang w:val="en-GB" w:eastAsia="en-GB"/>
              </w:rPr>
              <w:t>M. leprae</w:t>
            </w:r>
            <w:r w:rsidRPr="0061294C">
              <w:rPr>
                <w:rFonts w:eastAsia="Times New Roman" w:cs="Calibri"/>
                <w:b/>
                <w:bCs/>
                <w:sz w:val="20"/>
                <w:szCs w:val="20"/>
                <w:lang w:val="en-GB" w:eastAsia="en-GB"/>
              </w:rPr>
              <w:t xml:space="preserve"> TN genome</w:t>
            </w:r>
          </w:p>
        </w:tc>
        <w:tc>
          <w:tcPr>
            <w:tcW w:w="2127" w:type="dxa"/>
            <w:tcBorders>
              <w:top w:val="single" w:sz="4" w:space="0" w:color="auto"/>
              <w:left w:val="nil"/>
              <w:bottom w:val="single" w:sz="4" w:space="0" w:color="auto"/>
              <w:right w:val="single" w:sz="4" w:space="0" w:color="auto"/>
            </w:tcBorders>
            <w:shd w:val="clear" w:color="auto" w:fill="auto"/>
            <w:vAlign w:val="center"/>
          </w:tcPr>
          <w:p w:rsidR="003069C1" w:rsidRPr="0061294C" w:rsidRDefault="003069C1" w:rsidP="000776C7">
            <w:pPr>
              <w:pStyle w:val="NoteLevel11"/>
              <w:rPr>
                <w:rFonts w:eastAsia="Times New Roman" w:cs="Calibri"/>
                <w:b/>
                <w:bCs/>
                <w:sz w:val="20"/>
                <w:szCs w:val="20"/>
                <w:lang w:val="en-GB" w:eastAsia="en-GB"/>
              </w:rPr>
            </w:pPr>
            <w:r w:rsidRPr="0061294C">
              <w:rPr>
                <w:rFonts w:eastAsia="Times New Roman" w:cs="Calibri"/>
                <w:b/>
                <w:bCs/>
                <w:sz w:val="20"/>
                <w:szCs w:val="20"/>
                <w:lang w:val="en-GB" w:eastAsia="en-GB"/>
              </w:rPr>
              <w:t>Percentage of reads aligning to the human genome</w:t>
            </w:r>
          </w:p>
        </w:tc>
        <w:tc>
          <w:tcPr>
            <w:tcW w:w="1996" w:type="dxa"/>
            <w:tcBorders>
              <w:top w:val="single" w:sz="4" w:space="0" w:color="auto"/>
              <w:left w:val="nil"/>
              <w:bottom w:val="single" w:sz="4" w:space="0" w:color="auto"/>
              <w:right w:val="single" w:sz="4" w:space="0" w:color="auto"/>
            </w:tcBorders>
            <w:vAlign w:val="center"/>
          </w:tcPr>
          <w:p w:rsidR="003069C1" w:rsidRPr="0061294C" w:rsidRDefault="003069C1" w:rsidP="00A32CA2">
            <w:pPr>
              <w:pStyle w:val="NoteLevel11"/>
              <w:numPr>
                <w:ilvl w:val="0"/>
                <w:numId w:val="0"/>
              </w:numPr>
              <w:rPr>
                <w:rFonts w:eastAsia="Times New Roman" w:cs="Calibri"/>
                <w:b/>
                <w:bCs/>
                <w:sz w:val="20"/>
                <w:szCs w:val="20"/>
                <w:lang w:val="en-GB" w:eastAsia="en-GB"/>
              </w:rPr>
            </w:pPr>
            <w:r w:rsidRPr="0061294C">
              <w:rPr>
                <w:rFonts w:eastAsia="Times New Roman" w:cs="Calibri"/>
                <w:b/>
                <w:bCs/>
                <w:sz w:val="20"/>
                <w:szCs w:val="20"/>
                <w:lang w:val="en-GB" w:eastAsia="en-GB"/>
              </w:rPr>
              <w:t>Percentage Genome coverage *</w:t>
            </w:r>
          </w:p>
        </w:tc>
        <w:tc>
          <w:tcPr>
            <w:tcW w:w="1842" w:type="dxa"/>
            <w:tcBorders>
              <w:top w:val="single" w:sz="4" w:space="0" w:color="auto"/>
              <w:left w:val="nil"/>
              <w:bottom w:val="single" w:sz="4" w:space="0" w:color="auto"/>
              <w:right w:val="single" w:sz="4" w:space="0" w:color="auto"/>
            </w:tcBorders>
            <w:shd w:val="clear" w:color="auto" w:fill="auto"/>
            <w:vAlign w:val="center"/>
          </w:tcPr>
          <w:p w:rsidR="003069C1" w:rsidRPr="0061294C" w:rsidRDefault="00DE3FE4" w:rsidP="00DE3FE4">
            <w:pPr>
              <w:pStyle w:val="NoteLevel11"/>
              <w:numPr>
                <w:ilvl w:val="0"/>
                <w:numId w:val="0"/>
              </w:numPr>
              <w:rPr>
                <w:rFonts w:eastAsia="Times New Roman" w:cs="Calibri"/>
                <w:b/>
                <w:bCs/>
                <w:sz w:val="20"/>
                <w:szCs w:val="20"/>
                <w:lang w:val="en-GB" w:eastAsia="en-GB"/>
              </w:rPr>
            </w:pPr>
            <w:r w:rsidRPr="0061294C">
              <w:rPr>
                <w:rFonts w:eastAsia="Times New Roman" w:cs="Calibri"/>
                <w:b/>
                <w:bCs/>
                <w:sz w:val="20"/>
                <w:szCs w:val="20"/>
                <w:lang w:val="en-GB" w:eastAsia="en-GB"/>
              </w:rPr>
              <w:t>Mean length of aligned reads ± SD</w:t>
            </w:r>
          </w:p>
        </w:tc>
      </w:tr>
      <w:tr w:rsidR="0061294C" w:rsidRPr="0061294C" w:rsidTr="00FF508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SkCCL</w:t>
            </w:r>
          </w:p>
        </w:tc>
        <w:tc>
          <w:tcPr>
            <w:tcW w:w="1800"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37,038,101</w:t>
            </w:r>
          </w:p>
        </w:tc>
        <w:tc>
          <w:tcPr>
            <w:tcW w:w="2063"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0.3</w:t>
            </w:r>
          </w:p>
        </w:tc>
        <w:tc>
          <w:tcPr>
            <w:tcW w:w="2127"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48.9</w:t>
            </w:r>
          </w:p>
        </w:tc>
        <w:tc>
          <w:tcPr>
            <w:tcW w:w="1996" w:type="dxa"/>
            <w:tcBorders>
              <w:top w:val="nil"/>
              <w:left w:val="nil"/>
              <w:bottom w:val="single" w:sz="4" w:space="0" w:color="auto"/>
              <w:right w:val="single" w:sz="4" w:space="0" w:color="auto"/>
            </w:tcBorders>
            <w:vAlign w:val="bottom"/>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1.1</w:t>
            </w:r>
          </w:p>
        </w:tc>
        <w:tc>
          <w:tcPr>
            <w:tcW w:w="1842"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89.3</w:t>
            </w:r>
            <w:r w:rsidRPr="0061294C">
              <w:rPr>
                <w:rFonts w:eastAsia="Times New Roman" w:cs="Calibri"/>
                <w:bCs/>
                <w:sz w:val="20"/>
                <w:szCs w:val="20"/>
                <w:lang w:val="en-GB" w:eastAsia="en-GB"/>
              </w:rPr>
              <w:t>±13.3</w:t>
            </w:r>
          </w:p>
        </w:tc>
      </w:tr>
      <w:tr w:rsidR="0061294C" w:rsidRPr="0061294C" w:rsidTr="00FF508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SkCXCV</w:t>
            </w:r>
          </w:p>
        </w:tc>
        <w:tc>
          <w:tcPr>
            <w:tcW w:w="1800"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6,583,167</w:t>
            </w:r>
          </w:p>
        </w:tc>
        <w:tc>
          <w:tcPr>
            <w:tcW w:w="2063"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6.8</w:t>
            </w:r>
          </w:p>
        </w:tc>
        <w:tc>
          <w:tcPr>
            <w:tcW w:w="2127"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9.9</w:t>
            </w:r>
          </w:p>
        </w:tc>
        <w:tc>
          <w:tcPr>
            <w:tcW w:w="1996" w:type="dxa"/>
            <w:tcBorders>
              <w:top w:val="nil"/>
              <w:left w:val="nil"/>
              <w:bottom w:val="single" w:sz="4" w:space="0" w:color="auto"/>
              <w:right w:val="single" w:sz="4" w:space="0" w:color="auto"/>
            </w:tcBorders>
            <w:vAlign w:val="bottom"/>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1.0</w:t>
            </w:r>
          </w:p>
        </w:tc>
        <w:tc>
          <w:tcPr>
            <w:tcW w:w="1842"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91.6</w:t>
            </w:r>
            <w:r w:rsidRPr="0061294C">
              <w:rPr>
                <w:rFonts w:eastAsia="Times New Roman" w:cs="Calibri"/>
                <w:b/>
                <w:bCs/>
                <w:sz w:val="20"/>
                <w:szCs w:val="20"/>
                <w:lang w:val="en-GB" w:eastAsia="en-GB"/>
              </w:rPr>
              <w:t>±</w:t>
            </w:r>
            <w:r w:rsidRPr="0061294C">
              <w:rPr>
                <w:rFonts w:eastAsia="Times New Roman" w:cs="Calibri"/>
                <w:sz w:val="20"/>
                <w:szCs w:val="20"/>
                <w:lang w:val="en-GB" w:eastAsia="en-GB"/>
              </w:rPr>
              <w:t>13.2</w:t>
            </w:r>
          </w:p>
        </w:tc>
      </w:tr>
      <w:tr w:rsidR="0061294C" w:rsidRPr="0061294C" w:rsidTr="00FF508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SkCCXXX</w:t>
            </w:r>
          </w:p>
        </w:tc>
        <w:tc>
          <w:tcPr>
            <w:tcW w:w="1800"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193,108</w:t>
            </w:r>
          </w:p>
        </w:tc>
        <w:tc>
          <w:tcPr>
            <w:tcW w:w="2063"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9.3</w:t>
            </w:r>
          </w:p>
        </w:tc>
        <w:tc>
          <w:tcPr>
            <w:tcW w:w="2127"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5.1</w:t>
            </w:r>
          </w:p>
        </w:tc>
        <w:tc>
          <w:tcPr>
            <w:tcW w:w="1996" w:type="dxa"/>
            <w:tcBorders>
              <w:top w:val="nil"/>
              <w:left w:val="nil"/>
              <w:bottom w:val="single" w:sz="4" w:space="0" w:color="auto"/>
              <w:right w:val="single" w:sz="4" w:space="0" w:color="auto"/>
            </w:tcBorders>
            <w:vAlign w:val="bottom"/>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0.52</w:t>
            </w:r>
          </w:p>
        </w:tc>
        <w:tc>
          <w:tcPr>
            <w:tcW w:w="1842" w:type="dxa"/>
            <w:tcBorders>
              <w:top w:val="nil"/>
              <w:left w:val="nil"/>
              <w:bottom w:val="single" w:sz="4" w:space="0" w:color="auto"/>
              <w:right w:val="single" w:sz="4" w:space="0" w:color="auto"/>
            </w:tcBorders>
            <w:shd w:val="clear" w:color="auto" w:fill="auto"/>
            <w:vAlign w:val="center"/>
          </w:tcPr>
          <w:p w:rsidR="004840BE" w:rsidRPr="0061294C" w:rsidRDefault="004840BE" w:rsidP="004840BE">
            <w:pPr>
              <w:pStyle w:val="NoteLevel11"/>
              <w:rPr>
                <w:rFonts w:eastAsia="Times New Roman" w:cs="Calibri"/>
                <w:sz w:val="20"/>
                <w:szCs w:val="20"/>
                <w:lang w:val="en-GB" w:eastAsia="en-GB"/>
              </w:rPr>
            </w:pPr>
            <w:r w:rsidRPr="0061294C">
              <w:rPr>
                <w:rFonts w:eastAsia="Times New Roman" w:cs="Calibri"/>
                <w:sz w:val="20"/>
                <w:szCs w:val="20"/>
                <w:lang w:val="en-GB" w:eastAsia="en-GB"/>
              </w:rPr>
              <w:t>91.5</w:t>
            </w:r>
            <w:r w:rsidRPr="0061294C">
              <w:rPr>
                <w:rFonts w:eastAsia="Times New Roman" w:cs="Calibri"/>
                <w:b/>
                <w:bCs/>
                <w:sz w:val="20"/>
                <w:szCs w:val="20"/>
                <w:lang w:val="en-GB" w:eastAsia="en-GB"/>
              </w:rPr>
              <w:t>±</w:t>
            </w:r>
            <w:r w:rsidRPr="0061294C">
              <w:rPr>
                <w:rFonts w:eastAsia="Times New Roman" w:cs="Calibri"/>
                <w:sz w:val="20"/>
                <w:szCs w:val="20"/>
                <w:lang w:val="en-GB" w:eastAsia="en-GB"/>
              </w:rPr>
              <w:t>12.1</w:t>
            </w:r>
          </w:p>
        </w:tc>
      </w:tr>
    </w:tbl>
    <w:p w:rsidR="0077409D" w:rsidRPr="0061294C" w:rsidRDefault="003069C1" w:rsidP="003069C1">
      <w:pPr>
        <w:pStyle w:val="NoteLevel11"/>
      </w:pPr>
      <w:r w:rsidRPr="0061294C">
        <w:t>*Genome coverage requires s</w:t>
      </w:r>
      <w:r w:rsidR="00DB3ABC" w:rsidRPr="0061294C">
        <w:t xml:space="preserve">ites to have &gt;=3 reads, &gt;= 75 % </w:t>
      </w:r>
      <w:r w:rsidRPr="0061294C">
        <w:t>concurrence, and an MQ score &gt;=30. SD - Standard Deviation</w:t>
      </w:r>
      <w:r w:rsidR="0077409D" w:rsidRPr="0061294C">
        <w:t>.</w:t>
      </w:r>
    </w:p>
    <w:p w:rsidR="003069C1" w:rsidRPr="007C68BC" w:rsidRDefault="003069C1" w:rsidP="003069C1">
      <w:pPr>
        <w:pStyle w:val="NoteLevel11"/>
      </w:pPr>
    </w:p>
    <w:p w:rsidR="00661CDD" w:rsidRPr="00DE3FE4" w:rsidRDefault="00BB7280" w:rsidP="00DE3FE4">
      <w:pPr>
        <w:pStyle w:val="NoteLevel11"/>
        <w:rPr>
          <w:rFonts w:cs="Times New Roman"/>
          <w:szCs w:val="20"/>
          <w:lang w:val="en-GB"/>
        </w:rPr>
      </w:pPr>
      <w:r w:rsidRPr="00DE3FE4">
        <w:rPr>
          <w:b/>
          <w:bCs/>
          <w:sz w:val="28"/>
        </w:rPr>
        <w:t xml:space="preserve">Isotopic </w:t>
      </w:r>
      <w:r w:rsidR="0071290D" w:rsidRPr="00DE3FE4">
        <w:rPr>
          <w:b/>
          <w:bCs/>
          <w:sz w:val="28"/>
        </w:rPr>
        <w:t>a</w:t>
      </w:r>
      <w:r w:rsidRPr="00DE3FE4">
        <w:rPr>
          <w:b/>
          <w:bCs/>
          <w:sz w:val="28"/>
        </w:rPr>
        <w:t xml:space="preserve">nalyses </w:t>
      </w:r>
    </w:p>
    <w:p w:rsidR="003150B1" w:rsidRPr="00F93B37" w:rsidRDefault="00685C8F" w:rsidP="00AB77FD">
      <w:pPr>
        <w:pStyle w:val="NoteLevel11"/>
        <w:keepNext w:val="0"/>
        <w:widowControl w:val="0"/>
        <w:rPr>
          <w:color w:val="0000FF"/>
          <w:sz w:val="32"/>
        </w:rPr>
      </w:pPr>
      <w:r w:rsidRPr="00685C8F">
        <w:t>T</w:t>
      </w:r>
      <w:r w:rsidR="00FC7E48" w:rsidRPr="00685C8F">
        <w:t>he results of the strontium</w:t>
      </w:r>
      <w:r w:rsidR="005926E3" w:rsidRPr="00685C8F">
        <w:t xml:space="preserve"> isotopic analyses</w:t>
      </w:r>
      <w:r w:rsidRPr="00685C8F">
        <w:t xml:space="preserve"> are included in the </w:t>
      </w:r>
      <w:r w:rsidRPr="00685C8F">
        <w:rPr>
          <w:highlight w:val="yellow"/>
        </w:rPr>
        <w:t xml:space="preserve">Supporting </w:t>
      </w:r>
      <w:r w:rsidR="00E37236">
        <w:rPr>
          <w:highlight w:val="yellow"/>
        </w:rPr>
        <w:t>I</w:t>
      </w:r>
      <w:r w:rsidRPr="00685C8F">
        <w:rPr>
          <w:highlight w:val="yellow"/>
        </w:rPr>
        <w:t>nformation (S3)</w:t>
      </w:r>
      <w:r w:rsidR="005926E3">
        <w:t>. T</w:t>
      </w:r>
      <w:r w:rsidR="000307D3">
        <w:t>he results of the carbon</w:t>
      </w:r>
      <w:r w:rsidR="001E0D6A">
        <w:t xml:space="preserve"> </w:t>
      </w:r>
      <w:r w:rsidR="00F93B37">
        <w:t xml:space="preserve">and </w:t>
      </w:r>
      <w:r w:rsidR="000307D3">
        <w:t>nitrogen</w:t>
      </w:r>
      <w:r w:rsidR="00FF5086">
        <w:t xml:space="preserve"> </w:t>
      </w:r>
      <w:r w:rsidR="00BB7280" w:rsidRPr="00BB7280">
        <w:t>isotopic analyses</w:t>
      </w:r>
      <w:r w:rsidR="000307D3">
        <w:t xml:space="preserve"> are presented in </w:t>
      </w:r>
      <w:r w:rsidR="000307D3" w:rsidRPr="000776C7">
        <w:rPr>
          <w:highlight w:val="cyan"/>
        </w:rPr>
        <w:t xml:space="preserve">Table </w:t>
      </w:r>
      <w:r w:rsidR="000776C7" w:rsidRPr="000776C7">
        <w:rPr>
          <w:highlight w:val="cyan"/>
        </w:rPr>
        <w:t>9</w:t>
      </w:r>
      <w:r w:rsidR="000307D3" w:rsidRPr="000776C7">
        <w:rPr>
          <w:highlight w:val="cyan"/>
        </w:rPr>
        <w:t>,</w:t>
      </w:r>
      <w:r w:rsidR="000307D3">
        <w:t xml:space="preserve"> while </w:t>
      </w:r>
      <w:r w:rsidR="000307D3" w:rsidRPr="009513A3">
        <w:rPr>
          <w:highlight w:val="cyan"/>
        </w:rPr>
        <w:t>Table 1</w:t>
      </w:r>
      <w:r w:rsidR="009513A3" w:rsidRPr="009513A3">
        <w:rPr>
          <w:highlight w:val="cyan"/>
        </w:rPr>
        <w:t>0</w:t>
      </w:r>
      <w:r w:rsidR="000307D3">
        <w:t xml:space="preserve"> includes</w:t>
      </w:r>
      <w:r w:rsidR="00E85097">
        <w:t xml:space="preserve"> the results of </w:t>
      </w:r>
      <w:r w:rsidR="000307D3">
        <w:t>the oxygen isotope analyses</w:t>
      </w:r>
      <w:r w:rsidR="00E85097">
        <w:t>.</w:t>
      </w:r>
    </w:p>
    <w:p w:rsidR="009155B0" w:rsidRPr="00685C8F" w:rsidRDefault="009155B0" w:rsidP="00AB77FD">
      <w:pPr>
        <w:pStyle w:val="NoteLevel11"/>
        <w:keepNext w:val="0"/>
        <w:widowControl w:val="0"/>
        <w:rPr>
          <w:iCs/>
        </w:rPr>
      </w:pPr>
    </w:p>
    <w:p w:rsidR="005926E3" w:rsidRDefault="005926E3" w:rsidP="00AB77FD">
      <w:pPr>
        <w:pStyle w:val="NoteLevel11"/>
        <w:keepNext w:val="0"/>
        <w:widowControl w:val="0"/>
        <w:rPr>
          <w:b/>
          <w:iCs/>
          <w:highlight w:val="green"/>
        </w:rPr>
      </w:pPr>
    </w:p>
    <w:p w:rsidR="000776C7" w:rsidRPr="00DB3ABC" w:rsidRDefault="009155B0" w:rsidP="00AB77FD">
      <w:pPr>
        <w:pStyle w:val="NoteLevel11"/>
        <w:keepNext w:val="0"/>
        <w:widowControl w:val="0"/>
        <w:rPr>
          <w:b/>
          <w:iCs/>
        </w:rPr>
      </w:pPr>
      <w:r w:rsidRPr="009513A3">
        <w:rPr>
          <w:b/>
          <w:iCs/>
        </w:rPr>
        <w:t xml:space="preserve">Table </w:t>
      </w:r>
      <w:r w:rsidR="000776C7" w:rsidRPr="009513A3">
        <w:rPr>
          <w:b/>
          <w:iCs/>
        </w:rPr>
        <w:t>9</w:t>
      </w:r>
      <w:r w:rsidRPr="009513A3">
        <w:rPr>
          <w:b/>
          <w:iCs/>
        </w:rPr>
        <w:t xml:space="preserve">. </w:t>
      </w:r>
      <w:r w:rsidR="005926E3" w:rsidRPr="009513A3">
        <w:rPr>
          <w:b/>
          <w:iCs/>
        </w:rPr>
        <w:t>Results of the carbon and nitrogen</w:t>
      </w:r>
      <w:r w:rsidRPr="009513A3">
        <w:rPr>
          <w:b/>
          <w:iCs/>
        </w:rPr>
        <w:t xml:space="preserve"> isotopic analyses on ribs and</w:t>
      </w:r>
      <w:r w:rsidR="005926E3" w:rsidRPr="009513A3">
        <w:rPr>
          <w:b/>
          <w:iCs/>
        </w:rPr>
        <w:t xml:space="preserve"> long bones. </w:t>
      </w:r>
    </w:p>
    <w:tbl>
      <w:tblPr>
        <w:tblW w:w="8239" w:type="dxa"/>
        <w:tblInd w:w="-5" w:type="dxa"/>
        <w:tblLook w:val="04A0" w:firstRow="1" w:lastRow="0" w:firstColumn="1" w:lastColumn="0" w:noHBand="0" w:noVBand="1"/>
      </w:tblPr>
      <w:tblGrid>
        <w:gridCol w:w="1074"/>
        <w:gridCol w:w="1359"/>
        <w:gridCol w:w="984"/>
        <w:gridCol w:w="1134"/>
        <w:gridCol w:w="994"/>
        <w:gridCol w:w="984"/>
        <w:gridCol w:w="1003"/>
        <w:gridCol w:w="707"/>
      </w:tblGrid>
      <w:tr w:rsidR="00CD2568" w:rsidRPr="0074345C">
        <w:trPr>
          <w:trHeight w:val="300"/>
        </w:trPr>
        <w:tc>
          <w:tcPr>
            <w:tcW w:w="980" w:type="dxa"/>
            <w:tcBorders>
              <w:top w:val="single" w:sz="4" w:space="0" w:color="auto"/>
              <w:left w:val="single" w:sz="4" w:space="0" w:color="auto"/>
              <w:bottom w:val="nil"/>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Site</w:t>
            </w:r>
          </w:p>
        </w:tc>
        <w:tc>
          <w:tcPr>
            <w:tcW w:w="1166" w:type="dxa"/>
            <w:tcBorders>
              <w:top w:val="single" w:sz="4" w:space="0" w:color="auto"/>
              <w:left w:val="nil"/>
              <w:bottom w:val="nil"/>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Individual</w:t>
            </w:r>
          </w:p>
        </w:tc>
        <w:tc>
          <w:tcPr>
            <w:tcW w:w="3093" w:type="dxa"/>
            <w:gridSpan w:val="3"/>
            <w:tcBorders>
              <w:top w:val="single" w:sz="4" w:space="0" w:color="auto"/>
              <w:left w:val="nil"/>
              <w:bottom w:val="nil"/>
              <w:right w:val="single" w:sz="4" w:space="0" w:color="000000"/>
            </w:tcBorders>
            <w:shd w:val="clear" w:color="auto" w:fill="auto"/>
            <w:noWrap/>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Ribs</w:t>
            </w:r>
          </w:p>
        </w:tc>
        <w:tc>
          <w:tcPr>
            <w:tcW w:w="3000" w:type="dxa"/>
            <w:gridSpan w:val="3"/>
            <w:tcBorders>
              <w:top w:val="single" w:sz="4" w:space="0" w:color="auto"/>
              <w:left w:val="nil"/>
              <w:bottom w:val="nil"/>
              <w:right w:val="single" w:sz="4" w:space="0" w:color="000000"/>
            </w:tcBorders>
            <w:shd w:val="clear" w:color="auto" w:fill="auto"/>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Long bone cortex</w:t>
            </w:r>
          </w:p>
        </w:tc>
      </w:tr>
      <w:tr w:rsidR="00CD2568" w:rsidRPr="0074345C">
        <w:trPr>
          <w:trHeight w:val="315"/>
        </w:trPr>
        <w:tc>
          <w:tcPr>
            <w:tcW w:w="980" w:type="dxa"/>
            <w:tcBorders>
              <w:top w:val="nil"/>
              <w:left w:val="single" w:sz="4" w:space="0" w:color="auto"/>
              <w:bottom w:val="nil"/>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1166"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 </w:t>
            </w: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CD2568" w:rsidRPr="0074345C" w:rsidRDefault="0061294C"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61294C">
              <w:rPr>
                <w:rFonts w:eastAsia="Times New Roman" w:cs="Calibri"/>
                <w:b/>
                <w:bCs/>
                <w:color w:val="000000"/>
                <w:sz w:val="20"/>
                <w:szCs w:val="20"/>
                <w:vertAlign w:val="superscript"/>
                <w:lang w:val="en-GB" w:eastAsia="en-GB"/>
              </w:rPr>
              <w:t>15</w:t>
            </w:r>
            <w:r w:rsidR="00CD2568" w:rsidRPr="0074345C">
              <w:rPr>
                <w:rFonts w:eastAsia="Times New Roman" w:cs="Calibri"/>
                <w:b/>
                <w:bCs/>
                <w:color w:val="000000"/>
                <w:sz w:val="20"/>
                <w:szCs w:val="20"/>
                <w:lang w:val="en-GB" w:eastAsia="en-GB"/>
              </w:rPr>
              <w:t>N</w:t>
            </w:r>
            <w:r w:rsidR="00CD2568" w:rsidRPr="0074345C">
              <w:rPr>
                <w:rFonts w:eastAsia="Times New Roman" w:cs="Calibri"/>
                <w:b/>
                <w:bCs/>
                <w:color w:val="000000"/>
                <w:sz w:val="20"/>
                <w:szCs w:val="20"/>
                <w:vertAlign w:val="subscript"/>
                <w:lang w:val="en-GB" w:eastAsia="en-GB"/>
              </w:rPr>
              <w:t>AIR</w:t>
            </w:r>
            <w:r w:rsidR="00CD2568" w:rsidRPr="0074345C">
              <w:rPr>
                <w:rFonts w:eastAsia="Times New Roman" w:cs="Calibri"/>
                <w:b/>
                <w:bCs/>
                <w:color w:val="000000"/>
                <w:sz w:val="20"/>
                <w:szCs w:val="20"/>
                <w:lang w:val="en-GB" w:eastAsia="en-GB"/>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D2568" w:rsidRPr="0074345C" w:rsidRDefault="0061294C"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00CD2568" w:rsidRPr="0061294C">
              <w:rPr>
                <w:rFonts w:eastAsia="Times New Roman" w:cs="Calibri"/>
                <w:b/>
                <w:bCs/>
                <w:color w:val="000000"/>
                <w:sz w:val="20"/>
                <w:szCs w:val="20"/>
                <w:vertAlign w:val="superscript"/>
                <w:lang w:val="en-GB" w:eastAsia="en-GB"/>
              </w:rPr>
              <w:t>13</w:t>
            </w:r>
            <w:r w:rsidR="00CD2568" w:rsidRPr="0074345C">
              <w:rPr>
                <w:rFonts w:eastAsia="Times New Roman" w:cs="Calibri"/>
                <w:b/>
                <w:bCs/>
                <w:color w:val="000000"/>
                <w:sz w:val="20"/>
                <w:szCs w:val="20"/>
                <w:lang w:val="en-GB" w:eastAsia="en-GB"/>
              </w:rPr>
              <w:t>C</w:t>
            </w:r>
            <w:r w:rsidR="00CD2568" w:rsidRPr="0074345C">
              <w:rPr>
                <w:rFonts w:eastAsia="Times New Roman" w:cs="Calibri"/>
                <w:b/>
                <w:bCs/>
                <w:color w:val="000000"/>
                <w:sz w:val="20"/>
                <w:szCs w:val="20"/>
                <w:vertAlign w:val="subscript"/>
                <w:lang w:val="en-GB" w:eastAsia="en-GB"/>
              </w:rPr>
              <w:t>PDB</w:t>
            </w:r>
            <w:r w:rsidR="00CD2568" w:rsidRPr="0074345C">
              <w:rPr>
                <w:rFonts w:eastAsia="Times New Roman" w:cs="Calibri"/>
                <w:b/>
                <w:bCs/>
                <w:color w:val="000000"/>
                <w:sz w:val="20"/>
                <w:szCs w:val="20"/>
                <w:lang w:val="en-GB" w:eastAsia="en-GB"/>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C:N</w:t>
            </w:r>
          </w:p>
        </w:tc>
        <w:tc>
          <w:tcPr>
            <w:tcW w:w="969" w:type="dxa"/>
            <w:tcBorders>
              <w:top w:val="single" w:sz="4" w:space="0" w:color="auto"/>
              <w:left w:val="nil"/>
              <w:bottom w:val="single" w:sz="4" w:space="0" w:color="auto"/>
              <w:right w:val="single" w:sz="4" w:space="0" w:color="auto"/>
            </w:tcBorders>
            <w:shd w:val="clear" w:color="auto" w:fill="auto"/>
            <w:vAlign w:val="center"/>
          </w:tcPr>
          <w:p w:rsidR="00CD2568" w:rsidRPr="0074345C" w:rsidRDefault="0061294C"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00CD2568" w:rsidRPr="0061294C">
              <w:rPr>
                <w:rFonts w:eastAsia="Times New Roman" w:cs="Calibri"/>
                <w:b/>
                <w:bCs/>
                <w:color w:val="000000"/>
                <w:sz w:val="20"/>
                <w:szCs w:val="20"/>
                <w:vertAlign w:val="superscript"/>
                <w:lang w:val="en-GB" w:eastAsia="en-GB"/>
              </w:rPr>
              <w:t>15</w:t>
            </w:r>
            <w:r w:rsidR="00CD2568" w:rsidRPr="0074345C">
              <w:rPr>
                <w:rFonts w:eastAsia="Times New Roman" w:cs="Calibri"/>
                <w:b/>
                <w:bCs/>
                <w:color w:val="000000"/>
                <w:sz w:val="20"/>
                <w:szCs w:val="20"/>
                <w:lang w:val="en-GB" w:eastAsia="en-GB"/>
              </w:rPr>
              <w:t>N</w:t>
            </w:r>
            <w:r w:rsidR="00CD2568" w:rsidRPr="0074345C">
              <w:rPr>
                <w:rFonts w:eastAsia="Times New Roman" w:cs="Calibri"/>
                <w:b/>
                <w:bCs/>
                <w:color w:val="000000"/>
                <w:sz w:val="20"/>
                <w:szCs w:val="20"/>
                <w:vertAlign w:val="subscript"/>
                <w:lang w:val="en-GB" w:eastAsia="en-GB"/>
              </w:rPr>
              <w:t>AIR</w:t>
            </w:r>
            <w:r w:rsidR="00CD2568" w:rsidRPr="0074345C">
              <w:rPr>
                <w:rFonts w:eastAsia="Times New Roman" w:cs="Calibri"/>
                <w:b/>
                <w:bCs/>
                <w:color w:val="000000"/>
                <w:sz w:val="20"/>
                <w:szCs w:val="20"/>
                <w:lang w:val="en-GB" w:eastAsia="en-GB"/>
              </w:rPr>
              <w:t xml:space="preserve">  ‰</w:t>
            </w:r>
          </w:p>
        </w:tc>
        <w:tc>
          <w:tcPr>
            <w:tcW w:w="1094" w:type="dxa"/>
            <w:tcBorders>
              <w:top w:val="single" w:sz="4" w:space="0" w:color="auto"/>
              <w:left w:val="nil"/>
              <w:bottom w:val="single" w:sz="4" w:space="0" w:color="auto"/>
              <w:right w:val="single" w:sz="4" w:space="0" w:color="auto"/>
            </w:tcBorders>
            <w:shd w:val="clear" w:color="auto" w:fill="auto"/>
            <w:vAlign w:val="center"/>
          </w:tcPr>
          <w:p w:rsidR="00CD2568" w:rsidRPr="0074345C" w:rsidRDefault="0061294C"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00CD2568" w:rsidRPr="0061294C">
              <w:rPr>
                <w:rFonts w:eastAsia="Times New Roman" w:cs="Calibri"/>
                <w:b/>
                <w:bCs/>
                <w:color w:val="000000"/>
                <w:sz w:val="20"/>
                <w:szCs w:val="20"/>
                <w:vertAlign w:val="superscript"/>
                <w:lang w:val="en-GB" w:eastAsia="en-GB"/>
              </w:rPr>
              <w:t>13</w:t>
            </w:r>
            <w:r w:rsidR="00CD2568" w:rsidRPr="0074345C">
              <w:rPr>
                <w:rFonts w:eastAsia="Times New Roman" w:cs="Calibri"/>
                <w:b/>
                <w:bCs/>
                <w:color w:val="000000"/>
                <w:sz w:val="20"/>
                <w:szCs w:val="20"/>
                <w:lang w:val="en-GB" w:eastAsia="en-GB"/>
              </w:rPr>
              <w:t>C</w:t>
            </w:r>
            <w:r w:rsidR="00CD2568" w:rsidRPr="0074345C">
              <w:rPr>
                <w:rFonts w:eastAsia="Times New Roman" w:cs="Calibri"/>
                <w:b/>
                <w:bCs/>
                <w:color w:val="000000"/>
                <w:sz w:val="20"/>
                <w:szCs w:val="20"/>
                <w:vertAlign w:val="subscript"/>
                <w:lang w:val="en-GB" w:eastAsia="en-GB"/>
              </w:rPr>
              <w:t>PDB</w:t>
            </w:r>
            <w:r w:rsidR="00CD2568" w:rsidRPr="0074345C">
              <w:rPr>
                <w:rFonts w:eastAsia="Times New Roman" w:cs="Calibri"/>
                <w:b/>
                <w:bCs/>
                <w:color w:val="000000"/>
                <w:sz w:val="20"/>
                <w:szCs w:val="20"/>
                <w:lang w:val="en-GB" w:eastAsia="en-GB"/>
              </w:rPr>
              <w:t xml:space="preserve"> ‰</w:t>
            </w:r>
          </w:p>
        </w:tc>
        <w:tc>
          <w:tcPr>
            <w:tcW w:w="937" w:type="dxa"/>
            <w:tcBorders>
              <w:top w:val="single" w:sz="4" w:space="0" w:color="auto"/>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C:N</w:t>
            </w:r>
          </w:p>
        </w:tc>
      </w:tr>
      <w:tr w:rsidR="00CD2568" w:rsidRPr="0074345C">
        <w:trPr>
          <w:trHeight w:val="510"/>
        </w:trPr>
        <w:tc>
          <w:tcPr>
            <w:tcW w:w="980" w:type="dxa"/>
            <w:tcBorders>
              <w:top w:val="single" w:sz="4" w:space="0" w:color="auto"/>
              <w:left w:val="single" w:sz="4" w:space="0" w:color="auto"/>
              <w:bottom w:val="nil"/>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166"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965"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12.09</w:t>
            </w:r>
          </w:p>
        </w:tc>
        <w:tc>
          <w:tcPr>
            <w:tcW w:w="113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-19.21</w:t>
            </w:r>
          </w:p>
        </w:tc>
        <w:tc>
          <w:tcPr>
            <w:tcW w:w="99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3.27</w:t>
            </w:r>
          </w:p>
        </w:tc>
        <w:tc>
          <w:tcPr>
            <w:tcW w:w="969"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11.68</w:t>
            </w:r>
          </w:p>
        </w:tc>
        <w:tc>
          <w:tcPr>
            <w:tcW w:w="1094"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-19.12</w:t>
            </w:r>
          </w:p>
        </w:tc>
        <w:tc>
          <w:tcPr>
            <w:tcW w:w="937"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3.23</w:t>
            </w:r>
          </w:p>
        </w:tc>
      </w:tr>
      <w:tr w:rsidR="00CD2568" w:rsidRPr="0074345C">
        <w:trPr>
          <w:trHeight w:val="300"/>
        </w:trPr>
        <w:tc>
          <w:tcPr>
            <w:tcW w:w="980" w:type="dxa"/>
            <w:tcBorders>
              <w:top w:val="nil"/>
              <w:left w:val="single" w:sz="4" w:space="0" w:color="auto"/>
              <w:bottom w:val="nil"/>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166"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965"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12.86</w:t>
            </w:r>
          </w:p>
        </w:tc>
        <w:tc>
          <w:tcPr>
            <w:tcW w:w="113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-19.9</w:t>
            </w:r>
          </w:p>
        </w:tc>
        <w:tc>
          <w:tcPr>
            <w:tcW w:w="99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3.27</w:t>
            </w:r>
          </w:p>
        </w:tc>
        <w:tc>
          <w:tcPr>
            <w:tcW w:w="969"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9.68</w:t>
            </w:r>
          </w:p>
        </w:tc>
        <w:tc>
          <w:tcPr>
            <w:tcW w:w="1094"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-20.73</w:t>
            </w:r>
          </w:p>
        </w:tc>
        <w:tc>
          <w:tcPr>
            <w:tcW w:w="937"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3.26</w:t>
            </w:r>
          </w:p>
        </w:tc>
      </w:tr>
      <w:tr w:rsidR="00CD2568" w:rsidRPr="0074345C">
        <w:trPr>
          <w:trHeight w:val="300"/>
        </w:trPr>
        <w:tc>
          <w:tcPr>
            <w:tcW w:w="980" w:type="dxa"/>
            <w:tcBorders>
              <w:top w:val="nil"/>
              <w:left w:val="single" w:sz="4" w:space="0" w:color="auto"/>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166"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965"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11.12</w:t>
            </w:r>
          </w:p>
        </w:tc>
        <w:tc>
          <w:tcPr>
            <w:tcW w:w="113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-19.56</w:t>
            </w:r>
          </w:p>
        </w:tc>
        <w:tc>
          <w:tcPr>
            <w:tcW w:w="99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3.22</w:t>
            </w:r>
          </w:p>
        </w:tc>
        <w:tc>
          <w:tcPr>
            <w:tcW w:w="969"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10.82</w:t>
            </w:r>
          </w:p>
        </w:tc>
        <w:tc>
          <w:tcPr>
            <w:tcW w:w="1094"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-19.79</w:t>
            </w:r>
          </w:p>
        </w:tc>
        <w:tc>
          <w:tcPr>
            <w:tcW w:w="937"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3.23</w:t>
            </w:r>
          </w:p>
        </w:tc>
      </w:tr>
      <w:tr w:rsidR="00CD2568" w:rsidRPr="0074345C">
        <w:trPr>
          <w:trHeight w:val="300"/>
        </w:trPr>
        <w:tc>
          <w:tcPr>
            <w:tcW w:w="980" w:type="dxa"/>
            <w:tcBorders>
              <w:top w:val="nil"/>
              <w:left w:val="single" w:sz="4" w:space="0" w:color="auto"/>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Ardreigh</w:t>
            </w:r>
          </w:p>
        </w:tc>
        <w:tc>
          <w:tcPr>
            <w:tcW w:w="1166"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Sk1494</w:t>
            </w:r>
          </w:p>
        </w:tc>
        <w:tc>
          <w:tcPr>
            <w:tcW w:w="965"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12.67</w:t>
            </w:r>
          </w:p>
        </w:tc>
        <w:tc>
          <w:tcPr>
            <w:tcW w:w="113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-20.22</w:t>
            </w:r>
          </w:p>
        </w:tc>
        <w:tc>
          <w:tcPr>
            <w:tcW w:w="994" w:type="dxa"/>
            <w:tcBorders>
              <w:top w:val="nil"/>
              <w:left w:val="nil"/>
              <w:bottom w:val="single" w:sz="4" w:space="0" w:color="auto"/>
              <w:right w:val="single" w:sz="4" w:space="0" w:color="auto"/>
            </w:tcBorders>
            <w:shd w:val="clear" w:color="auto" w:fill="auto"/>
            <w:noWrap/>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3.22</w:t>
            </w:r>
          </w:p>
        </w:tc>
        <w:tc>
          <w:tcPr>
            <w:tcW w:w="969"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1094"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c>
          <w:tcPr>
            <w:tcW w:w="937" w:type="dxa"/>
            <w:tcBorders>
              <w:top w:val="nil"/>
              <w:left w:val="nil"/>
              <w:bottom w:val="single" w:sz="4" w:space="0" w:color="auto"/>
              <w:right w:val="single" w:sz="4" w:space="0" w:color="auto"/>
            </w:tcBorders>
            <w:shd w:val="clear" w:color="auto" w:fill="auto"/>
            <w:vAlign w:val="center"/>
          </w:tcPr>
          <w:p w:rsidR="00CD2568" w:rsidRPr="0074345C" w:rsidRDefault="00CD2568" w:rsidP="00AB77FD">
            <w:pPr>
              <w:pStyle w:val="NoteLevel11"/>
              <w:keepNext w:val="0"/>
              <w:widowControl w:val="0"/>
              <w:rPr>
                <w:rFonts w:eastAsia="Times New Roman" w:cs="Calibri"/>
                <w:color w:val="000000"/>
                <w:sz w:val="20"/>
                <w:szCs w:val="20"/>
                <w:lang w:val="en-GB" w:eastAsia="en-GB"/>
              </w:rPr>
            </w:pPr>
            <w:r w:rsidRPr="0074345C">
              <w:rPr>
                <w:rFonts w:eastAsia="Times New Roman" w:cs="Calibri"/>
                <w:color w:val="000000"/>
                <w:sz w:val="20"/>
                <w:szCs w:val="20"/>
                <w:lang w:val="en-GB" w:eastAsia="en-GB"/>
              </w:rPr>
              <w:t>-</w:t>
            </w:r>
          </w:p>
        </w:tc>
      </w:tr>
    </w:tbl>
    <w:p w:rsidR="009155B0" w:rsidRPr="009513A3" w:rsidRDefault="005926E3" w:rsidP="00AB77FD">
      <w:pPr>
        <w:pStyle w:val="NoteLevel11"/>
        <w:keepNext w:val="0"/>
        <w:widowControl w:val="0"/>
        <w:rPr>
          <w:iCs/>
        </w:rPr>
      </w:pPr>
      <w:r w:rsidRPr="009513A3">
        <w:rPr>
          <w:iCs/>
        </w:rPr>
        <w:t>The long bone fragment of Sk1494 from Ardreigh</w:t>
      </w:r>
      <w:r w:rsidR="009155B0" w:rsidRPr="009513A3">
        <w:rPr>
          <w:iCs/>
        </w:rPr>
        <w:t xml:space="preserve"> </w:t>
      </w:r>
      <w:r w:rsidRPr="009513A3">
        <w:rPr>
          <w:iCs/>
        </w:rPr>
        <w:t xml:space="preserve">was </w:t>
      </w:r>
      <w:r w:rsidR="009155B0" w:rsidRPr="009513A3">
        <w:rPr>
          <w:iCs/>
        </w:rPr>
        <w:t>not run</w:t>
      </w:r>
      <w:r w:rsidRPr="009513A3">
        <w:rPr>
          <w:iCs/>
        </w:rPr>
        <w:t xml:space="preserve"> due to poor</w:t>
      </w:r>
      <w:r w:rsidR="009513A3">
        <w:rPr>
          <w:iCs/>
        </w:rPr>
        <w:t xml:space="preserve"> </w:t>
      </w:r>
      <w:r w:rsidRPr="009513A3">
        <w:rPr>
          <w:iCs/>
        </w:rPr>
        <w:t>preservation</w:t>
      </w:r>
      <w:r w:rsidR="009155B0" w:rsidRPr="009513A3">
        <w:rPr>
          <w:iCs/>
        </w:rPr>
        <w:t>.</w:t>
      </w:r>
      <w:r w:rsidR="009155B0" w:rsidRPr="009513A3">
        <w:rPr>
          <w:i/>
          <w:iCs/>
        </w:rPr>
        <w:t xml:space="preserve">  </w:t>
      </w:r>
    </w:p>
    <w:p w:rsidR="00AB77FD" w:rsidRDefault="00AB77FD" w:rsidP="00AB77FD">
      <w:pPr>
        <w:pStyle w:val="NoteLevel11"/>
        <w:keepNext w:val="0"/>
        <w:widowControl w:val="0"/>
        <w:rPr>
          <w:i/>
          <w:iCs/>
        </w:rPr>
      </w:pPr>
    </w:p>
    <w:p w:rsidR="00AB77FD" w:rsidRDefault="00AB77FD" w:rsidP="00AB77FD">
      <w:pPr>
        <w:pStyle w:val="NoteLevel11"/>
        <w:keepNext w:val="0"/>
        <w:widowControl w:val="0"/>
        <w:numPr>
          <w:ilvl w:val="0"/>
          <w:numId w:val="0"/>
        </w:numPr>
        <w:rPr>
          <w:i/>
          <w:iCs/>
        </w:rPr>
      </w:pPr>
    </w:p>
    <w:p w:rsidR="00AB77FD" w:rsidRDefault="00AB77FD" w:rsidP="00AB77FD">
      <w:pPr>
        <w:pStyle w:val="NoteLevel11"/>
        <w:keepNext w:val="0"/>
        <w:widowControl w:val="0"/>
        <w:numPr>
          <w:ilvl w:val="0"/>
          <w:numId w:val="0"/>
        </w:numPr>
        <w:rPr>
          <w:i/>
          <w:iCs/>
        </w:rPr>
      </w:pPr>
    </w:p>
    <w:p w:rsidR="00AB77FD" w:rsidRDefault="00AB77FD" w:rsidP="00AB77FD">
      <w:pPr>
        <w:pStyle w:val="NoteLevel11"/>
        <w:keepNext w:val="0"/>
        <w:widowControl w:val="0"/>
        <w:numPr>
          <w:ilvl w:val="0"/>
          <w:numId w:val="0"/>
        </w:numPr>
        <w:rPr>
          <w:i/>
          <w:iCs/>
        </w:rPr>
      </w:pPr>
    </w:p>
    <w:p w:rsidR="00AB77FD" w:rsidRDefault="00AB77FD" w:rsidP="00AB77FD">
      <w:pPr>
        <w:pStyle w:val="NoteLevel11"/>
        <w:keepNext w:val="0"/>
        <w:widowControl w:val="0"/>
        <w:numPr>
          <w:ilvl w:val="0"/>
          <w:numId w:val="0"/>
        </w:numPr>
        <w:rPr>
          <w:i/>
          <w:iCs/>
        </w:rPr>
      </w:pPr>
    </w:p>
    <w:p w:rsidR="009513A3" w:rsidRPr="00AB77FD" w:rsidRDefault="00E85097" w:rsidP="00AB77FD">
      <w:pPr>
        <w:pStyle w:val="NoteLevel11"/>
        <w:numPr>
          <w:ilvl w:val="0"/>
          <w:numId w:val="0"/>
        </w:numPr>
        <w:rPr>
          <w:i/>
          <w:iCs/>
        </w:rPr>
      </w:pPr>
      <w:r w:rsidRPr="00AB77FD">
        <w:rPr>
          <w:b/>
          <w:iCs/>
        </w:rPr>
        <w:t>Table 1</w:t>
      </w:r>
      <w:r w:rsidR="009513A3" w:rsidRPr="00AB77FD">
        <w:rPr>
          <w:b/>
          <w:iCs/>
        </w:rPr>
        <w:t>0</w:t>
      </w:r>
      <w:r w:rsidR="005926E3" w:rsidRPr="00AB77FD">
        <w:rPr>
          <w:b/>
          <w:iCs/>
        </w:rPr>
        <w:t xml:space="preserve">. </w:t>
      </w:r>
      <w:bookmarkStart w:id="10" w:name="_Hlk516290669"/>
      <w:r w:rsidR="005926E3" w:rsidRPr="00AB77FD">
        <w:rPr>
          <w:b/>
          <w:iCs/>
        </w:rPr>
        <w:t>Carbon and o</w:t>
      </w:r>
      <w:r w:rsidRPr="00AB77FD">
        <w:rPr>
          <w:b/>
          <w:iCs/>
        </w:rPr>
        <w:t>xygen isotopes of structural carbonate (18Oc)</w:t>
      </w:r>
      <w:r w:rsidR="005926E3" w:rsidRPr="00AB77FD">
        <w:rPr>
          <w:b/>
          <w:iCs/>
        </w:rPr>
        <w:t xml:space="preserve"> </w:t>
      </w:r>
      <w:r w:rsidRPr="00AB77FD">
        <w:rPr>
          <w:b/>
          <w:iCs/>
        </w:rPr>
        <w:t>in the tooth enamel. For comparison this has been converted to phosphate equivalent values (18Op</w:t>
      </w:r>
      <w:r w:rsidR="005926E3" w:rsidRPr="00AB77FD">
        <w:rPr>
          <w:b/>
          <w:iCs/>
        </w:rPr>
        <w:t xml:space="preserve">) using Chenery </w:t>
      </w:r>
      <w:r w:rsidR="005926E3" w:rsidRPr="00AB77FD">
        <w:rPr>
          <w:b/>
          <w:i/>
          <w:iCs/>
        </w:rPr>
        <w:t>et al</w:t>
      </w:r>
      <w:r w:rsidR="005926E3" w:rsidRPr="00AB77FD">
        <w:rPr>
          <w:b/>
          <w:iCs/>
        </w:rPr>
        <w:t xml:space="preserve"> (2012)</w:t>
      </w:r>
      <w:r w:rsidR="009C057D" w:rsidRPr="00AB77FD">
        <w:rPr>
          <w:b/>
          <w:iCs/>
        </w:rPr>
        <w:t xml:space="preserve"> [</w:t>
      </w:r>
      <w:r w:rsidR="009C057D" w:rsidRPr="00AB77FD">
        <w:rPr>
          <w:iCs/>
        </w:rPr>
        <w:t>5</w:t>
      </w:r>
      <w:r w:rsidR="00D131C2" w:rsidRPr="00AB77FD">
        <w:rPr>
          <w:iCs/>
        </w:rPr>
        <w:t>2</w:t>
      </w:r>
      <w:r w:rsidR="009C057D" w:rsidRPr="00AB77FD">
        <w:rPr>
          <w:b/>
          <w:iCs/>
        </w:rPr>
        <w:t xml:space="preserve">] </w:t>
      </w:r>
      <w:r w:rsidRPr="00AB77FD">
        <w:rPr>
          <w:b/>
          <w:iCs/>
        </w:rPr>
        <w:t>from which drinking water (dw) equivalent va</w:t>
      </w:r>
      <w:r w:rsidR="001B2B09" w:rsidRPr="00AB77FD">
        <w:rPr>
          <w:b/>
          <w:iCs/>
        </w:rPr>
        <w:t>lues have been calculated accord</w:t>
      </w:r>
      <w:r w:rsidRPr="00AB77FD">
        <w:rPr>
          <w:b/>
          <w:iCs/>
        </w:rPr>
        <w:t xml:space="preserve">ing to Longinelli (1984) </w:t>
      </w:r>
      <w:r w:rsidR="009C057D" w:rsidRPr="00AB77FD">
        <w:rPr>
          <w:b/>
          <w:iCs/>
        </w:rPr>
        <w:t>[</w:t>
      </w:r>
      <w:r w:rsidR="009C057D" w:rsidRPr="00AB77FD">
        <w:rPr>
          <w:iCs/>
        </w:rPr>
        <w:t>5</w:t>
      </w:r>
      <w:r w:rsidR="00D131C2" w:rsidRPr="00AB77FD">
        <w:rPr>
          <w:iCs/>
        </w:rPr>
        <w:t>5</w:t>
      </w:r>
      <w:r w:rsidR="005926E3" w:rsidRPr="00AB77FD">
        <w:rPr>
          <w:b/>
          <w:iCs/>
        </w:rPr>
        <w:t xml:space="preserve">] and Daux </w:t>
      </w:r>
      <w:r w:rsidR="005926E3" w:rsidRPr="00AB77FD">
        <w:rPr>
          <w:b/>
          <w:i/>
          <w:iCs/>
        </w:rPr>
        <w:t>et al</w:t>
      </w:r>
      <w:r w:rsidR="009C057D" w:rsidRPr="00AB77FD">
        <w:rPr>
          <w:b/>
          <w:iCs/>
        </w:rPr>
        <w:t xml:space="preserve"> (2008) [</w:t>
      </w:r>
      <w:r w:rsidR="009C057D" w:rsidRPr="00AB77FD">
        <w:rPr>
          <w:iCs/>
        </w:rPr>
        <w:t>5</w:t>
      </w:r>
      <w:r w:rsidR="00D131C2" w:rsidRPr="00AB77FD">
        <w:rPr>
          <w:iCs/>
        </w:rPr>
        <w:t>1</w:t>
      </w:r>
      <w:r w:rsidR="009C057D" w:rsidRPr="00AB77FD">
        <w:rPr>
          <w:b/>
          <w:iCs/>
        </w:rPr>
        <w:t xml:space="preserve">]. </w:t>
      </w:r>
    </w:p>
    <w:tbl>
      <w:tblPr>
        <w:tblW w:w="8931" w:type="dxa"/>
        <w:tblInd w:w="-5" w:type="dxa"/>
        <w:tblLook w:val="04A0" w:firstRow="1" w:lastRow="0" w:firstColumn="1" w:lastColumn="0" w:noHBand="0" w:noVBand="1"/>
      </w:tblPr>
      <w:tblGrid>
        <w:gridCol w:w="1359"/>
        <w:gridCol w:w="1150"/>
        <w:gridCol w:w="1134"/>
        <w:gridCol w:w="1276"/>
        <w:gridCol w:w="1244"/>
        <w:gridCol w:w="1516"/>
        <w:gridCol w:w="1252"/>
      </w:tblGrid>
      <w:tr w:rsidR="003B056B" w:rsidRPr="0074345C">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10"/>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Individual</w:t>
            </w:r>
          </w:p>
        </w:tc>
        <w:tc>
          <w:tcPr>
            <w:tcW w:w="1150" w:type="dxa"/>
            <w:tcBorders>
              <w:top w:val="single" w:sz="4" w:space="0" w:color="auto"/>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13</w:t>
            </w:r>
            <w:r w:rsidRPr="0074345C">
              <w:rPr>
                <w:rFonts w:eastAsia="Times New Roman" w:cs="Calibri"/>
                <w:b/>
                <w:bCs/>
                <w:color w:val="000000"/>
                <w:sz w:val="20"/>
                <w:szCs w:val="20"/>
                <w:lang w:val="en-GB" w:eastAsia="en-GB"/>
              </w:rPr>
              <w:t>C</w:t>
            </w:r>
            <w:r w:rsidRPr="0074345C">
              <w:rPr>
                <w:rFonts w:eastAsia="Times New Roman" w:cs="Calibri"/>
                <w:b/>
                <w:bCs/>
                <w:color w:val="000000"/>
                <w:sz w:val="20"/>
                <w:szCs w:val="20"/>
                <w:vertAlign w:val="subscript"/>
                <w:lang w:val="en-GB" w:eastAsia="en-GB"/>
              </w:rPr>
              <w:t>c VPDB</w:t>
            </w:r>
            <w:r w:rsidRPr="0074345C">
              <w:rPr>
                <w:rFonts w:eastAsia="Times New Roman" w:cs="Calibri"/>
                <w:b/>
                <w:bCs/>
                <w:color w:val="000000"/>
                <w:sz w:val="20"/>
                <w:szCs w:val="20"/>
                <w:lang w:val="en-GB" w:eastAsia="en-GB"/>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18</w:t>
            </w:r>
            <w:r w:rsidRPr="0074345C">
              <w:rPr>
                <w:rFonts w:eastAsia="Times New Roman" w:cs="Calibri"/>
                <w:b/>
                <w:bCs/>
                <w:color w:val="000000"/>
                <w:sz w:val="20"/>
                <w:szCs w:val="20"/>
                <w:lang w:val="en-GB" w:eastAsia="en-GB"/>
              </w:rPr>
              <w:t>O</w:t>
            </w:r>
            <w:r w:rsidRPr="0074345C">
              <w:rPr>
                <w:rFonts w:eastAsia="Times New Roman" w:cs="Calibri"/>
                <w:b/>
                <w:bCs/>
                <w:color w:val="000000"/>
                <w:sz w:val="20"/>
                <w:szCs w:val="20"/>
                <w:vertAlign w:val="subscript"/>
                <w:lang w:val="en-GB" w:eastAsia="en-GB"/>
              </w:rPr>
              <w:t>c VPDB</w:t>
            </w:r>
            <w:r w:rsidRPr="0074345C">
              <w:rPr>
                <w:rFonts w:eastAsia="Times New Roman" w:cs="Calibri"/>
                <w:b/>
                <w:bCs/>
                <w:color w:val="000000"/>
                <w:sz w:val="20"/>
                <w:szCs w:val="20"/>
                <w:lang w:val="en-GB" w:eastAsia="en-GB"/>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18</w:t>
            </w:r>
            <w:r w:rsidRPr="0074345C">
              <w:rPr>
                <w:rFonts w:eastAsia="Times New Roman" w:cs="Calibri"/>
                <w:b/>
                <w:bCs/>
                <w:color w:val="000000"/>
                <w:sz w:val="20"/>
                <w:szCs w:val="20"/>
                <w:lang w:val="en-GB" w:eastAsia="en-GB"/>
              </w:rPr>
              <w:t>O</w:t>
            </w:r>
            <w:r w:rsidRPr="0074345C">
              <w:rPr>
                <w:rFonts w:eastAsia="Times New Roman" w:cs="Calibri"/>
                <w:b/>
                <w:bCs/>
                <w:color w:val="000000"/>
                <w:sz w:val="20"/>
                <w:szCs w:val="20"/>
                <w:vertAlign w:val="subscript"/>
                <w:lang w:val="en-GB" w:eastAsia="en-GB"/>
              </w:rPr>
              <w:t>c VSMOW</w:t>
            </w:r>
            <w:r w:rsidRPr="0074345C">
              <w:rPr>
                <w:rFonts w:eastAsia="Times New Roman" w:cs="Calibri"/>
                <w:b/>
                <w:bCs/>
                <w:color w:val="000000"/>
                <w:sz w:val="20"/>
                <w:szCs w:val="20"/>
                <w:lang w:val="en-GB" w:eastAsia="en-GB"/>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18</w:t>
            </w:r>
            <w:r w:rsidRPr="0074345C">
              <w:rPr>
                <w:rFonts w:eastAsia="Times New Roman" w:cs="Calibri"/>
                <w:b/>
                <w:bCs/>
                <w:color w:val="000000"/>
                <w:sz w:val="20"/>
                <w:szCs w:val="20"/>
                <w:lang w:val="en-GB" w:eastAsia="en-GB"/>
              </w:rPr>
              <w:t>O</w:t>
            </w:r>
            <w:r w:rsidRPr="0074345C">
              <w:rPr>
                <w:rFonts w:eastAsia="Times New Roman" w:cs="Calibri"/>
                <w:b/>
                <w:bCs/>
                <w:color w:val="000000"/>
                <w:sz w:val="20"/>
                <w:szCs w:val="20"/>
                <w:vertAlign w:val="subscript"/>
                <w:lang w:val="en-GB" w:eastAsia="en-GB"/>
              </w:rPr>
              <w:t>p VSMOW</w:t>
            </w:r>
            <w:r w:rsidRPr="0074345C">
              <w:rPr>
                <w:rFonts w:eastAsia="Times New Roman" w:cs="Calibri"/>
                <w:b/>
                <w:bCs/>
                <w:color w:val="000000"/>
                <w:sz w:val="20"/>
                <w:szCs w:val="20"/>
                <w:lang w:val="en-GB" w:eastAsia="en-GB"/>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18</w:t>
            </w:r>
            <w:r w:rsidRPr="0074345C">
              <w:rPr>
                <w:rFonts w:eastAsia="Times New Roman" w:cs="Calibri"/>
                <w:b/>
                <w:bCs/>
                <w:color w:val="000000"/>
                <w:sz w:val="20"/>
                <w:szCs w:val="20"/>
                <w:lang w:val="en-GB" w:eastAsia="en-GB"/>
              </w:rPr>
              <w:t>O</w:t>
            </w:r>
            <w:r w:rsidRPr="0074345C">
              <w:rPr>
                <w:rFonts w:eastAsia="Times New Roman" w:cs="Calibri"/>
                <w:b/>
                <w:bCs/>
                <w:color w:val="000000"/>
                <w:sz w:val="20"/>
                <w:szCs w:val="20"/>
                <w:vertAlign w:val="subscript"/>
                <w:lang w:val="en-GB" w:eastAsia="en-GB"/>
              </w:rPr>
              <w:t>dw long</w:t>
            </w:r>
          </w:p>
        </w:tc>
        <w:tc>
          <w:tcPr>
            <w:tcW w:w="1276" w:type="dxa"/>
            <w:tcBorders>
              <w:top w:val="single" w:sz="4" w:space="0" w:color="auto"/>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d</w:t>
            </w:r>
            <w:r w:rsidRPr="0074345C">
              <w:rPr>
                <w:rFonts w:eastAsia="Times New Roman" w:cs="Calibri"/>
                <w:b/>
                <w:bCs/>
                <w:color w:val="000000"/>
                <w:sz w:val="20"/>
                <w:szCs w:val="20"/>
                <w:vertAlign w:val="superscript"/>
                <w:lang w:val="en-GB" w:eastAsia="en-GB"/>
              </w:rPr>
              <w:t>18</w:t>
            </w:r>
            <w:r w:rsidRPr="0074345C">
              <w:rPr>
                <w:rFonts w:eastAsia="Times New Roman" w:cs="Calibri"/>
                <w:b/>
                <w:bCs/>
                <w:color w:val="000000"/>
                <w:sz w:val="20"/>
                <w:szCs w:val="20"/>
                <w:lang w:val="en-GB" w:eastAsia="en-GB"/>
              </w:rPr>
              <w:t>O</w:t>
            </w:r>
            <w:r w:rsidRPr="0074345C">
              <w:rPr>
                <w:rFonts w:eastAsia="Times New Roman" w:cs="Calibri"/>
                <w:b/>
                <w:bCs/>
                <w:color w:val="000000"/>
                <w:sz w:val="20"/>
                <w:szCs w:val="20"/>
                <w:vertAlign w:val="subscript"/>
                <w:lang w:val="en-GB" w:eastAsia="en-GB"/>
              </w:rPr>
              <w:t>dw daux</w:t>
            </w:r>
          </w:p>
        </w:tc>
      </w:tr>
      <w:tr w:rsidR="003B056B" w:rsidRPr="0074345C">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1150"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-14.11</w:t>
            </w:r>
          </w:p>
        </w:tc>
        <w:tc>
          <w:tcPr>
            <w:tcW w:w="1134"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-5.49</w:t>
            </w:r>
          </w:p>
        </w:tc>
        <w:tc>
          <w:tcPr>
            <w:tcW w:w="1276"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25.26</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16.39</w:t>
            </w:r>
          </w:p>
        </w:tc>
        <w:tc>
          <w:tcPr>
            <w:tcW w:w="1559"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-9.23</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-8.9</w:t>
            </w:r>
          </w:p>
        </w:tc>
      </w:tr>
      <w:tr w:rsidR="003B056B" w:rsidRPr="0074345C">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1150"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-14.03</w:t>
            </w:r>
          </w:p>
        </w:tc>
        <w:tc>
          <w:tcPr>
            <w:tcW w:w="1134"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-3.91</w:t>
            </w:r>
          </w:p>
        </w:tc>
        <w:tc>
          <w:tcPr>
            <w:tcW w:w="1276"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26.89</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18.07</w:t>
            </w:r>
          </w:p>
        </w:tc>
        <w:tc>
          <w:tcPr>
            <w:tcW w:w="1559"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-6.65</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-5.99</w:t>
            </w:r>
          </w:p>
        </w:tc>
      </w:tr>
      <w:tr w:rsidR="003B056B" w:rsidRPr="0074345C">
        <w:trPr>
          <w:trHeight w:val="300"/>
        </w:trPr>
        <w:tc>
          <w:tcPr>
            <w:tcW w:w="1260" w:type="dxa"/>
            <w:tcBorders>
              <w:top w:val="nil"/>
              <w:left w:val="single" w:sz="4" w:space="0" w:color="auto"/>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1150"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-13.59</w:t>
            </w:r>
          </w:p>
        </w:tc>
        <w:tc>
          <w:tcPr>
            <w:tcW w:w="1134"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-3.64</w:t>
            </w:r>
          </w:p>
        </w:tc>
        <w:tc>
          <w:tcPr>
            <w:tcW w:w="1276" w:type="dxa"/>
            <w:tcBorders>
              <w:top w:val="nil"/>
              <w:left w:val="nil"/>
              <w:bottom w:val="single" w:sz="4" w:space="0" w:color="auto"/>
              <w:right w:val="single" w:sz="4" w:space="0" w:color="auto"/>
            </w:tcBorders>
            <w:shd w:val="clear" w:color="auto" w:fill="auto"/>
            <w:noWrap/>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27.16</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18.35</w:t>
            </w:r>
          </w:p>
        </w:tc>
        <w:tc>
          <w:tcPr>
            <w:tcW w:w="1559"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-6.22</w:t>
            </w:r>
          </w:p>
        </w:tc>
        <w:tc>
          <w:tcPr>
            <w:tcW w:w="1276" w:type="dxa"/>
            <w:tcBorders>
              <w:top w:val="nil"/>
              <w:left w:val="nil"/>
              <w:bottom w:val="single" w:sz="4" w:space="0" w:color="auto"/>
              <w:right w:val="single" w:sz="4" w:space="0" w:color="auto"/>
            </w:tcBorders>
            <w:shd w:val="clear" w:color="auto" w:fill="auto"/>
            <w:vAlign w:val="center"/>
          </w:tcPr>
          <w:p w:rsidR="003B056B" w:rsidRPr="0074345C" w:rsidRDefault="003B056B" w:rsidP="003B056B">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-5.5</w:t>
            </w:r>
          </w:p>
        </w:tc>
      </w:tr>
    </w:tbl>
    <w:p w:rsidR="00E85097" w:rsidRPr="00EF3EC6" w:rsidRDefault="003B056B" w:rsidP="00E85097">
      <w:pPr>
        <w:pStyle w:val="NoteLevel11"/>
        <w:rPr>
          <w:iCs/>
        </w:rPr>
      </w:pPr>
      <w:r w:rsidRPr="003B056B">
        <w:rPr>
          <w:iCs/>
        </w:rPr>
        <w:t xml:space="preserve">NB - </w:t>
      </w:r>
      <w:r w:rsidR="00E85097" w:rsidRPr="003B056B">
        <w:rPr>
          <w:iCs/>
        </w:rPr>
        <w:t>Tooth en</w:t>
      </w:r>
      <w:r w:rsidR="00273530" w:rsidRPr="003B056B">
        <w:rPr>
          <w:iCs/>
        </w:rPr>
        <w:t>a</w:t>
      </w:r>
      <w:r w:rsidR="005432EA" w:rsidRPr="003B056B">
        <w:rPr>
          <w:iCs/>
        </w:rPr>
        <w:t>mel was not available for Sk1494</w:t>
      </w:r>
      <w:r w:rsidR="005926E3" w:rsidRPr="003B056B">
        <w:rPr>
          <w:iCs/>
        </w:rPr>
        <w:t xml:space="preserve"> from Ardreigh</w:t>
      </w:r>
      <w:r w:rsidR="00273530" w:rsidRPr="003B056B">
        <w:rPr>
          <w:iCs/>
        </w:rPr>
        <w:t>.</w:t>
      </w:r>
    </w:p>
    <w:p w:rsidR="00273530" w:rsidRDefault="00273530" w:rsidP="00004E81">
      <w:pPr>
        <w:pStyle w:val="NoteLevel11"/>
        <w:rPr>
          <w:rFonts w:cs="Helvetica"/>
          <w:b/>
          <w:sz w:val="28"/>
          <w:szCs w:val="17"/>
        </w:rPr>
      </w:pPr>
    </w:p>
    <w:p w:rsidR="00661CDD" w:rsidRPr="005926E3" w:rsidRDefault="005926E3" w:rsidP="00004E81">
      <w:pPr>
        <w:pStyle w:val="NoteLevel11"/>
        <w:rPr>
          <w:rFonts w:cs="Helvetica"/>
          <w:b/>
          <w:sz w:val="32"/>
          <w:szCs w:val="32"/>
        </w:rPr>
      </w:pPr>
      <w:r w:rsidRPr="00B526E2">
        <w:rPr>
          <w:rFonts w:cs="Helvetica"/>
          <w:b/>
          <w:sz w:val="32"/>
          <w:szCs w:val="32"/>
        </w:rPr>
        <w:t>Radiocarbon dating</w:t>
      </w:r>
    </w:p>
    <w:p w:rsidR="00754CA6" w:rsidRDefault="00AF31DB" w:rsidP="00AB77FD">
      <w:pPr>
        <w:pStyle w:val="NoteLevel11"/>
        <w:keepNext w:val="0"/>
        <w:widowControl w:val="0"/>
        <w:rPr>
          <w:rFonts w:cs="Helvetica"/>
          <w:szCs w:val="17"/>
        </w:rPr>
      </w:pPr>
      <w:r w:rsidRPr="001002C8">
        <w:rPr>
          <w:rFonts w:cs="Helvetica"/>
          <w:szCs w:val="17"/>
        </w:rPr>
        <w:t xml:space="preserve">The </w:t>
      </w:r>
      <w:r w:rsidR="005926E3">
        <w:rPr>
          <w:rFonts w:cs="Helvetica"/>
          <w:szCs w:val="17"/>
        </w:rPr>
        <w:t>carbon: nitrogen</w:t>
      </w:r>
      <w:r w:rsidR="006D38B6">
        <w:rPr>
          <w:rFonts w:cs="Helvetica"/>
          <w:szCs w:val="17"/>
        </w:rPr>
        <w:t xml:space="preserve"> </w:t>
      </w:r>
      <w:r w:rsidRPr="001002C8">
        <w:rPr>
          <w:rFonts w:cs="Helvetica"/>
          <w:szCs w:val="17"/>
        </w:rPr>
        <w:t xml:space="preserve">values for </w:t>
      </w:r>
      <w:r w:rsidR="006D38B6">
        <w:rPr>
          <w:rFonts w:cs="Helvetica"/>
          <w:szCs w:val="17"/>
        </w:rPr>
        <w:t>the Golden Lane samples (</w:t>
      </w:r>
      <w:r w:rsidR="006D38B6" w:rsidRPr="003B056B">
        <w:rPr>
          <w:rFonts w:cs="Helvetica"/>
          <w:szCs w:val="17"/>
          <w:highlight w:val="cyan"/>
        </w:rPr>
        <w:t>Table 1</w:t>
      </w:r>
      <w:r w:rsidR="003B056B" w:rsidRPr="003B056B">
        <w:rPr>
          <w:rFonts w:cs="Helvetica"/>
          <w:szCs w:val="17"/>
          <w:highlight w:val="cyan"/>
        </w:rPr>
        <w:t>1</w:t>
      </w:r>
      <w:r w:rsidRPr="001002C8">
        <w:rPr>
          <w:rFonts w:cs="Helvetica"/>
          <w:szCs w:val="17"/>
        </w:rPr>
        <w:t xml:space="preserve">) </w:t>
      </w:r>
      <w:r w:rsidR="005926E3">
        <w:rPr>
          <w:rFonts w:cs="Helvetica"/>
          <w:szCs w:val="17"/>
        </w:rPr>
        <w:t xml:space="preserve">all </w:t>
      </w:r>
      <w:r w:rsidRPr="001002C8">
        <w:rPr>
          <w:rFonts w:cs="Helvetica"/>
          <w:szCs w:val="17"/>
        </w:rPr>
        <w:t>fell within</w:t>
      </w:r>
      <w:r w:rsidR="006D38B6">
        <w:rPr>
          <w:rFonts w:cs="Helvetica"/>
          <w:szCs w:val="17"/>
        </w:rPr>
        <w:t xml:space="preserve"> the recommended values for </w:t>
      </w:r>
      <w:r w:rsidRPr="001002C8">
        <w:rPr>
          <w:rFonts w:cs="Helvetica"/>
          <w:szCs w:val="17"/>
        </w:rPr>
        <w:t xml:space="preserve">atomic values reported at the </w:t>
      </w:r>
      <w:r w:rsidR="005926E3">
        <w:rPr>
          <w:rFonts w:cs="Helvetica"/>
          <w:szCs w:val="17"/>
        </w:rPr>
        <w:t>14CHRONO C</w:t>
      </w:r>
      <w:r w:rsidRPr="001002C8">
        <w:rPr>
          <w:rFonts w:cs="Helvetica"/>
          <w:szCs w:val="17"/>
        </w:rPr>
        <w:t>entre (2.</w:t>
      </w:r>
      <w:r w:rsidR="00DB3ABC">
        <w:rPr>
          <w:rFonts w:cs="Helvetica"/>
          <w:szCs w:val="17"/>
        </w:rPr>
        <w:t>9-3.5).</w:t>
      </w:r>
      <w:r w:rsidR="006D38B6">
        <w:rPr>
          <w:rFonts w:cs="Helvetica"/>
          <w:szCs w:val="17"/>
        </w:rPr>
        <w:t xml:space="preserve"> </w:t>
      </w:r>
      <w:r w:rsidR="005926E3">
        <w:rPr>
          <w:rFonts w:cs="Helvetica"/>
          <w:szCs w:val="17"/>
        </w:rPr>
        <w:t>T</w:t>
      </w:r>
      <w:r w:rsidR="006D38B6">
        <w:rPr>
          <w:rFonts w:cs="Helvetica"/>
          <w:szCs w:val="17"/>
        </w:rPr>
        <w:t>he radiocarbon</w:t>
      </w:r>
      <w:r w:rsidR="003B056B">
        <w:rPr>
          <w:rFonts w:cs="Helvetica"/>
          <w:szCs w:val="17"/>
        </w:rPr>
        <w:t xml:space="preserve"> dates for all sites included in the study are included in </w:t>
      </w:r>
      <w:r w:rsidR="003B056B" w:rsidRPr="003B056B">
        <w:rPr>
          <w:rFonts w:cs="Helvetica"/>
          <w:szCs w:val="17"/>
          <w:highlight w:val="cyan"/>
        </w:rPr>
        <w:t>Table 11</w:t>
      </w:r>
      <w:r w:rsidR="00670BD0">
        <w:rPr>
          <w:rFonts w:cs="Helvetica"/>
          <w:szCs w:val="17"/>
        </w:rPr>
        <w:t xml:space="preserve"> and presented in the </w:t>
      </w:r>
      <w:r w:rsidR="00670BD0" w:rsidRPr="00670BD0">
        <w:rPr>
          <w:rFonts w:cs="Helvetica"/>
          <w:szCs w:val="17"/>
          <w:highlight w:val="yellow"/>
        </w:rPr>
        <w:t>Supporting Information S4</w:t>
      </w:r>
      <w:r w:rsidR="003B056B">
        <w:rPr>
          <w:rFonts w:cs="Helvetica"/>
          <w:szCs w:val="17"/>
        </w:rPr>
        <w:t>.</w:t>
      </w:r>
    </w:p>
    <w:p w:rsidR="009155B0" w:rsidRPr="00AB77FD" w:rsidRDefault="00E85097" w:rsidP="00AB77FD">
      <w:pPr>
        <w:pStyle w:val="NoteLevel11"/>
        <w:rPr>
          <w:rFonts w:cs="Helvetica"/>
          <w:sz w:val="28"/>
          <w:szCs w:val="17"/>
        </w:rPr>
      </w:pPr>
      <w:r w:rsidRPr="00AB77FD">
        <w:rPr>
          <w:b/>
          <w:lang w:val="en-GB"/>
        </w:rPr>
        <w:t>Table 1</w:t>
      </w:r>
      <w:r w:rsidR="003B056B" w:rsidRPr="00AB77FD">
        <w:rPr>
          <w:b/>
          <w:lang w:val="en-GB"/>
        </w:rPr>
        <w:t>1</w:t>
      </w:r>
      <w:r w:rsidR="009155B0" w:rsidRPr="00AB77FD">
        <w:rPr>
          <w:b/>
          <w:lang w:val="en-GB"/>
        </w:rPr>
        <w:t>.</w:t>
      </w:r>
      <w:r w:rsidR="005926E3" w:rsidRPr="00AB77FD">
        <w:rPr>
          <w:b/>
          <w:lang w:val="en-GB"/>
        </w:rPr>
        <w:t xml:space="preserve">  Radiocarbon dates derived from the </w:t>
      </w:r>
      <w:r w:rsidR="003B056B" w:rsidRPr="00AB77FD">
        <w:rPr>
          <w:b/>
          <w:lang w:val="en-GB"/>
        </w:rPr>
        <w:t>individuals included in the study</w:t>
      </w:r>
      <w:r w:rsidR="009155B0" w:rsidRPr="00AB77FD">
        <w:rPr>
          <w:b/>
          <w:lang w:val="en-GB"/>
        </w:rPr>
        <w:t>.</w:t>
      </w:r>
    </w:p>
    <w:tbl>
      <w:tblPr>
        <w:tblW w:w="9776" w:type="dxa"/>
        <w:tblInd w:w="113" w:type="dxa"/>
        <w:tblLook w:val="04A0" w:firstRow="1" w:lastRow="0" w:firstColumn="1" w:lastColumn="0" w:noHBand="0" w:noVBand="1"/>
      </w:tblPr>
      <w:tblGrid>
        <w:gridCol w:w="1555"/>
        <w:gridCol w:w="1417"/>
        <w:gridCol w:w="1359"/>
        <w:gridCol w:w="850"/>
        <w:gridCol w:w="1276"/>
        <w:gridCol w:w="1701"/>
        <w:gridCol w:w="1701"/>
      </w:tblGrid>
      <w:tr w:rsidR="00B045DF" w:rsidRPr="0074345C">
        <w:trPr>
          <w:trHeight w:val="300"/>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Lab code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Site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Individual</w:t>
            </w:r>
          </w:p>
        </w:tc>
        <w:tc>
          <w:tcPr>
            <w:tcW w:w="850" w:type="dxa"/>
            <w:tcBorders>
              <w:top w:val="single" w:sz="4" w:space="0" w:color="auto"/>
              <w:left w:val="nil"/>
              <w:bottom w:val="nil"/>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C:N</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vertAlign w:val="superscript"/>
                <w:lang w:val="en-GB" w:eastAsia="en-GB"/>
              </w:rPr>
              <w:t>14</w:t>
            </w:r>
            <w:r w:rsidRPr="0074345C">
              <w:rPr>
                <w:rFonts w:eastAsia="Times New Roman" w:cs="Calibri"/>
                <w:b/>
                <w:bCs/>
                <w:color w:val="000000"/>
                <w:sz w:val="20"/>
                <w:szCs w:val="20"/>
                <w:lang w:val="en-GB" w:eastAsia="en-GB"/>
              </w:rPr>
              <w:t>C Age BP</w:t>
            </w:r>
          </w:p>
        </w:tc>
        <w:tc>
          <w:tcPr>
            <w:tcW w:w="3402" w:type="dxa"/>
            <w:gridSpan w:val="2"/>
            <w:tcBorders>
              <w:top w:val="single" w:sz="4" w:space="0" w:color="auto"/>
              <w:left w:val="nil"/>
              <w:bottom w:val="nil"/>
              <w:right w:val="single" w:sz="4" w:space="0" w:color="000000"/>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Cal AD (probability)</w:t>
            </w:r>
          </w:p>
        </w:tc>
      </w:tr>
      <w:tr w:rsidR="00B045DF" w:rsidRPr="0074345C">
        <w:trPr>
          <w:trHeight w:val="300"/>
        </w:trPr>
        <w:tc>
          <w:tcPr>
            <w:tcW w:w="1555" w:type="dxa"/>
            <w:vMerge/>
            <w:tcBorders>
              <w:top w:val="single" w:sz="4" w:space="0" w:color="auto"/>
              <w:left w:val="single" w:sz="4" w:space="0" w:color="auto"/>
              <w:bottom w:val="single" w:sz="4" w:space="0" w:color="000000"/>
              <w:right w:val="single" w:sz="4" w:space="0" w:color="auto"/>
            </w:tcBorders>
            <w:vAlign w:val="center"/>
          </w:tcPr>
          <w:p w:rsidR="00B045DF" w:rsidRPr="0074345C" w:rsidRDefault="00B045DF" w:rsidP="00B045DF">
            <w:pPr>
              <w:pStyle w:val="NoteLevel11"/>
              <w:rPr>
                <w:rFonts w:eastAsia="Times New Roman" w:cs="Calibri"/>
                <w:b/>
                <w:bCs/>
                <w:color w:val="000000"/>
                <w:sz w:val="20"/>
                <w:szCs w:val="20"/>
                <w:lang w:val="en-GB" w:eastAsia="en-GB"/>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B045DF" w:rsidRPr="0074345C" w:rsidRDefault="00B045DF" w:rsidP="00B045DF">
            <w:pPr>
              <w:pStyle w:val="NoteLevel11"/>
              <w:rPr>
                <w:rFonts w:eastAsia="Times New Roman" w:cs="Calibri"/>
                <w:b/>
                <w:bCs/>
                <w:color w:val="000000"/>
                <w:sz w:val="20"/>
                <w:szCs w:val="20"/>
                <w:lang w:val="en-GB" w:eastAsia="en-GB"/>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B045DF" w:rsidRPr="0074345C" w:rsidRDefault="00B045DF" w:rsidP="00B045DF">
            <w:pPr>
              <w:pStyle w:val="NoteLevel11"/>
              <w:rPr>
                <w:rFonts w:eastAsia="Times New Roman" w:cs="Calibri"/>
                <w:b/>
                <w:bCs/>
                <w:color w:val="000000"/>
                <w:sz w:val="20"/>
                <w:szCs w:val="20"/>
                <w:lang w:val="en-GB" w:eastAsia="en-GB"/>
              </w:rPr>
            </w:pPr>
          </w:p>
        </w:tc>
        <w:tc>
          <w:tcPr>
            <w:tcW w:w="850" w:type="dxa"/>
            <w:tcBorders>
              <w:top w:val="nil"/>
              <w:left w:val="nil"/>
              <w:bottom w:val="single" w:sz="4" w:space="0" w:color="auto"/>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ratio</w:t>
            </w:r>
          </w:p>
        </w:tc>
        <w:tc>
          <w:tcPr>
            <w:tcW w:w="1276" w:type="dxa"/>
            <w:vMerge/>
            <w:tcBorders>
              <w:top w:val="single" w:sz="4" w:space="0" w:color="auto"/>
              <w:left w:val="single" w:sz="4" w:space="0" w:color="auto"/>
              <w:bottom w:val="single" w:sz="4" w:space="0" w:color="000000"/>
              <w:right w:val="single" w:sz="4" w:space="0" w:color="auto"/>
            </w:tcBorders>
            <w:vAlign w:val="center"/>
          </w:tcPr>
          <w:p w:rsidR="00B045DF" w:rsidRPr="0074345C" w:rsidRDefault="00B045DF" w:rsidP="00B045DF">
            <w:pPr>
              <w:pStyle w:val="NoteLevel11"/>
              <w:rPr>
                <w:rFonts w:eastAsia="Times New Roman" w:cs="Calibri"/>
                <w:b/>
                <w:bCs/>
                <w:color w:val="000000"/>
                <w:sz w:val="20"/>
                <w:szCs w:val="20"/>
                <w:lang w:val="en-GB" w:eastAsia="en-GB"/>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1 sigma (68.3)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5DF" w:rsidRPr="0074345C" w:rsidRDefault="00B045DF" w:rsidP="00B045DF">
            <w:pPr>
              <w:pStyle w:val="NoteLevel11"/>
              <w:rPr>
                <w:rFonts w:eastAsia="Times New Roman" w:cs="Calibri"/>
                <w:b/>
                <w:bCs/>
                <w:color w:val="000000"/>
                <w:sz w:val="20"/>
                <w:szCs w:val="20"/>
                <w:lang w:val="en-GB" w:eastAsia="en-GB"/>
              </w:rPr>
            </w:pPr>
            <w:r w:rsidRPr="0074345C">
              <w:rPr>
                <w:rFonts w:eastAsia="Times New Roman" w:cs="Calibri"/>
                <w:b/>
                <w:bCs/>
                <w:color w:val="000000"/>
                <w:sz w:val="20"/>
                <w:szCs w:val="20"/>
                <w:lang w:val="en-GB" w:eastAsia="en-GB"/>
              </w:rPr>
              <w:t>2 sigma (95.4)</w:t>
            </w:r>
          </w:p>
        </w:tc>
      </w:tr>
      <w:tr w:rsidR="00B045DF" w:rsidRPr="0074345C">
        <w:trPr>
          <w:trHeight w:val="300"/>
        </w:trPr>
        <w:tc>
          <w:tcPr>
            <w:tcW w:w="1555"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UBA-30811</w:t>
            </w:r>
          </w:p>
        </w:tc>
        <w:tc>
          <w:tcPr>
            <w:tcW w:w="1417"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SkCXLVIII</w:t>
            </w:r>
          </w:p>
        </w:tc>
        <w:tc>
          <w:tcPr>
            <w:tcW w:w="850"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3.15</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1052 </w:t>
            </w:r>
            <w:r w:rsidRPr="0074345C">
              <w:rPr>
                <w:rFonts w:eastAsia="Times New Roman" w:cs="Calibri"/>
                <w:color w:val="000000"/>
                <w:sz w:val="20"/>
                <w:szCs w:val="20"/>
                <w:u w:val="single"/>
                <w:lang w:val="en-GB" w:eastAsia="en-GB"/>
              </w:rPr>
              <w:t>+</w:t>
            </w:r>
            <w:r w:rsidRPr="0074345C">
              <w:rPr>
                <w:rFonts w:eastAsia="Times New Roman" w:cs="Calibri"/>
                <w:color w:val="000000"/>
                <w:sz w:val="20"/>
                <w:szCs w:val="20"/>
                <w:lang w:val="en-GB" w:eastAsia="en-GB"/>
              </w:rPr>
              <w:t xml:space="preserve"> 36</w:t>
            </w:r>
          </w:p>
        </w:tc>
        <w:tc>
          <w:tcPr>
            <w:tcW w:w="1701" w:type="dxa"/>
            <w:tcBorders>
              <w:top w:val="nil"/>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970-1022 (0.7)</w:t>
            </w:r>
          </w:p>
        </w:tc>
        <w:tc>
          <w:tcPr>
            <w:tcW w:w="1701"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939-1030 (0.8)</w:t>
            </w:r>
          </w:p>
        </w:tc>
      </w:tr>
      <w:tr w:rsidR="00B045DF" w:rsidRPr="0074345C">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UBA-30812</w:t>
            </w:r>
          </w:p>
        </w:tc>
        <w:tc>
          <w:tcPr>
            <w:tcW w:w="1417"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SkCXCV</w:t>
            </w:r>
          </w:p>
        </w:tc>
        <w:tc>
          <w:tcPr>
            <w:tcW w:w="850"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3.19</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  851 </w:t>
            </w:r>
            <w:r w:rsidRPr="0074345C">
              <w:rPr>
                <w:rFonts w:eastAsia="Times New Roman" w:cs="Calibri"/>
                <w:color w:val="000000"/>
                <w:sz w:val="20"/>
                <w:szCs w:val="20"/>
                <w:u w:val="single"/>
                <w:lang w:val="en-GB" w:eastAsia="en-GB"/>
              </w:rPr>
              <w:t>+</w:t>
            </w:r>
            <w:r w:rsidRPr="0074345C">
              <w:rPr>
                <w:rFonts w:eastAsia="Times New Roman" w:cs="Calibri"/>
                <w:color w:val="000000"/>
                <w:sz w:val="20"/>
                <w:szCs w:val="20"/>
                <w:lang w:val="en-GB" w:eastAsia="en-GB"/>
              </w:rPr>
              <w:t xml:space="preserve"> 30</w:t>
            </w:r>
          </w:p>
        </w:tc>
        <w:tc>
          <w:tcPr>
            <w:tcW w:w="1701" w:type="dxa"/>
            <w:tcBorders>
              <w:top w:val="single" w:sz="4" w:space="0" w:color="auto"/>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1163-1221 (0.7)</w:t>
            </w:r>
          </w:p>
        </w:tc>
        <w:tc>
          <w:tcPr>
            <w:tcW w:w="1701" w:type="dxa"/>
            <w:tcBorders>
              <w:top w:val="single" w:sz="4" w:space="0" w:color="auto"/>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1152-1260 (0.9)</w:t>
            </w:r>
          </w:p>
        </w:tc>
      </w:tr>
      <w:tr w:rsidR="00B045DF" w:rsidRPr="0074345C">
        <w:trPr>
          <w:trHeight w:val="300"/>
        </w:trPr>
        <w:tc>
          <w:tcPr>
            <w:tcW w:w="1555" w:type="dxa"/>
            <w:tcBorders>
              <w:top w:val="single" w:sz="4" w:space="0" w:color="auto"/>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UBA-30810</w:t>
            </w:r>
          </w:p>
        </w:tc>
        <w:tc>
          <w:tcPr>
            <w:tcW w:w="1417"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Golden Lane</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SkCCXXX</w:t>
            </w:r>
          </w:p>
        </w:tc>
        <w:tc>
          <w:tcPr>
            <w:tcW w:w="850"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3.16</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  888 </w:t>
            </w:r>
            <w:r w:rsidRPr="0074345C">
              <w:rPr>
                <w:rFonts w:eastAsia="Times New Roman" w:cs="Calibri"/>
                <w:color w:val="000000"/>
                <w:sz w:val="20"/>
                <w:szCs w:val="20"/>
                <w:u w:val="single"/>
                <w:lang w:val="en-GB" w:eastAsia="en-GB"/>
              </w:rPr>
              <w:t>+</w:t>
            </w:r>
            <w:r w:rsidRPr="0074345C">
              <w:rPr>
                <w:rFonts w:eastAsia="Times New Roman" w:cs="Calibri"/>
                <w:color w:val="000000"/>
                <w:sz w:val="20"/>
                <w:szCs w:val="20"/>
                <w:lang w:val="en-GB" w:eastAsia="en-GB"/>
              </w:rPr>
              <w:t xml:space="preserve"> 33</w:t>
            </w:r>
          </w:p>
        </w:tc>
        <w:tc>
          <w:tcPr>
            <w:tcW w:w="1701" w:type="dxa"/>
            <w:tcBorders>
              <w:top w:val="single" w:sz="4" w:space="0" w:color="auto"/>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1151-1208 (0.5)</w:t>
            </w:r>
          </w:p>
        </w:tc>
        <w:tc>
          <w:tcPr>
            <w:tcW w:w="1701" w:type="dxa"/>
            <w:tcBorders>
              <w:top w:val="single" w:sz="4" w:space="0" w:color="auto"/>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1039-1219 (1.0)</w:t>
            </w:r>
          </w:p>
        </w:tc>
      </w:tr>
      <w:tr w:rsidR="00B045DF" w:rsidRPr="0074345C">
        <w:trPr>
          <w:trHeight w:val="300"/>
        </w:trPr>
        <w:tc>
          <w:tcPr>
            <w:tcW w:w="1555"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417"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850"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01" w:type="dxa"/>
            <w:tcBorders>
              <w:top w:val="nil"/>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1050-1083 (0.2)</w:t>
            </w:r>
          </w:p>
        </w:tc>
        <w:tc>
          <w:tcPr>
            <w:tcW w:w="1701"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r w:rsidR="00B045DF" w:rsidRPr="0074345C">
        <w:trPr>
          <w:trHeight w:val="300"/>
        </w:trPr>
        <w:tc>
          <w:tcPr>
            <w:tcW w:w="1555"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417"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850"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01" w:type="dxa"/>
            <w:tcBorders>
              <w:top w:val="nil"/>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1126-1136 (0.1)</w:t>
            </w:r>
          </w:p>
        </w:tc>
        <w:tc>
          <w:tcPr>
            <w:tcW w:w="1701"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r w:rsidR="00B045DF" w:rsidRPr="0074345C">
        <w:trPr>
          <w:trHeight w:val="315"/>
        </w:trPr>
        <w:tc>
          <w:tcPr>
            <w:tcW w:w="1555" w:type="dxa"/>
            <w:tcBorders>
              <w:top w:val="single" w:sz="4" w:space="0" w:color="auto"/>
              <w:left w:val="single" w:sz="4" w:space="0" w:color="auto"/>
              <w:bottom w:val="nil"/>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SUERC-39778</w:t>
            </w:r>
          </w:p>
        </w:tc>
        <w:tc>
          <w:tcPr>
            <w:tcW w:w="1417"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Ardreigh</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Sk1494</w:t>
            </w:r>
          </w:p>
        </w:tc>
        <w:tc>
          <w:tcPr>
            <w:tcW w:w="850"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3.1</w:t>
            </w:r>
          </w:p>
        </w:tc>
        <w:tc>
          <w:tcPr>
            <w:tcW w:w="1276"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  685 </w:t>
            </w:r>
            <w:r w:rsidRPr="0074345C">
              <w:rPr>
                <w:rFonts w:eastAsia="Times New Roman" w:cs="Calibri"/>
                <w:color w:val="000000"/>
                <w:sz w:val="20"/>
                <w:szCs w:val="20"/>
                <w:u w:val="single"/>
                <w:lang w:val="en-GB" w:eastAsia="en-GB"/>
              </w:rPr>
              <w:t>+</w:t>
            </w:r>
            <w:r w:rsidRPr="0074345C">
              <w:rPr>
                <w:rFonts w:eastAsia="Times New Roman" w:cs="Calibri"/>
                <w:color w:val="000000"/>
                <w:sz w:val="20"/>
                <w:szCs w:val="20"/>
                <w:lang w:val="en-GB" w:eastAsia="en-GB"/>
              </w:rPr>
              <w:t xml:space="preserve"> 35</w:t>
            </w:r>
          </w:p>
        </w:tc>
        <w:tc>
          <w:tcPr>
            <w:tcW w:w="1701" w:type="dxa"/>
            <w:tcBorders>
              <w:top w:val="single" w:sz="4" w:space="0" w:color="auto"/>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1275-1303 (0.5)</w:t>
            </w:r>
          </w:p>
        </w:tc>
        <w:tc>
          <w:tcPr>
            <w:tcW w:w="1701" w:type="dxa"/>
            <w:tcBorders>
              <w:top w:val="single" w:sz="4" w:space="0" w:color="auto"/>
              <w:left w:val="nil"/>
              <w:bottom w:val="nil"/>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1264–1319 (0.6)</w:t>
            </w:r>
          </w:p>
        </w:tc>
      </w:tr>
      <w:tr w:rsidR="00B045DF" w:rsidRPr="0074345C">
        <w:trPr>
          <w:trHeight w:val="315"/>
        </w:trPr>
        <w:tc>
          <w:tcPr>
            <w:tcW w:w="1555" w:type="dxa"/>
            <w:tcBorders>
              <w:top w:val="nil"/>
              <w:left w:val="single" w:sz="4" w:space="0" w:color="auto"/>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417" w:type="dxa"/>
            <w:tcBorders>
              <w:top w:val="nil"/>
              <w:left w:val="nil"/>
              <w:bottom w:val="single" w:sz="4" w:space="0" w:color="auto"/>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single" w:sz="4" w:space="0" w:color="auto"/>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850" w:type="dxa"/>
            <w:tcBorders>
              <w:top w:val="nil"/>
              <w:left w:val="nil"/>
              <w:bottom w:val="single" w:sz="4" w:space="0" w:color="auto"/>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276" w:type="dxa"/>
            <w:tcBorders>
              <w:top w:val="nil"/>
              <w:left w:val="nil"/>
              <w:bottom w:val="single" w:sz="4" w:space="0" w:color="auto"/>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c>
          <w:tcPr>
            <w:tcW w:w="1701" w:type="dxa"/>
            <w:tcBorders>
              <w:top w:val="nil"/>
              <w:left w:val="nil"/>
              <w:bottom w:val="single" w:sz="4" w:space="0" w:color="auto"/>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1366-1383 (0.3)</w:t>
            </w:r>
          </w:p>
        </w:tc>
        <w:tc>
          <w:tcPr>
            <w:tcW w:w="1701" w:type="dxa"/>
            <w:tcBorders>
              <w:top w:val="nil"/>
              <w:left w:val="nil"/>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w:t>
            </w:r>
          </w:p>
        </w:tc>
      </w:tr>
      <w:tr w:rsidR="00B045DF" w:rsidRPr="0074345C">
        <w:trPr>
          <w:trHeight w:val="300"/>
        </w:trPr>
        <w:tc>
          <w:tcPr>
            <w:tcW w:w="1555"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GRA-11985</w:t>
            </w:r>
          </w:p>
        </w:tc>
        <w:tc>
          <w:tcPr>
            <w:tcW w:w="1417"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Armoy</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Sk171</w:t>
            </w:r>
          </w:p>
        </w:tc>
        <w:tc>
          <w:tcPr>
            <w:tcW w:w="850" w:type="dxa"/>
            <w:tcBorders>
              <w:top w:val="nil"/>
              <w:left w:val="nil"/>
              <w:bottom w:val="nil"/>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w:t>
            </w:r>
          </w:p>
        </w:tc>
        <w:tc>
          <w:tcPr>
            <w:tcW w:w="1276" w:type="dxa"/>
            <w:tcBorders>
              <w:top w:val="nil"/>
              <w:left w:val="nil"/>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 xml:space="preserve">  370 </w:t>
            </w:r>
            <w:r w:rsidRPr="0074345C">
              <w:rPr>
                <w:rFonts w:eastAsia="Times New Roman" w:cs="Calibri"/>
                <w:color w:val="000000"/>
                <w:sz w:val="20"/>
                <w:szCs w:val="20"/>
                <w:u w:val="single"/>
                <w:lang w:val="en-GB" w:eastAsia="en-GB"/>
              </w:rPr>
              <w:t>+</w:t>
            </w:r>
            <w:r w:rsidRPr="0074345C">
              <w:rPr>
                <w:rFonts w:eastAsia="Times New Roman" w:cs="Calibri"/>
                <w:color w:val="000000"/>
                <w:sz w:val="20"/>
                <w:szCs w:val="20"/>
                <w:lang w:val="en-GB" w:eastAsia="en-GB"/>
              </w:rPr>
              <w:t xml:space="preserve"> 50</w:t>
            </w:r>
          </w:p>
        </w:tc>
        <w:tc>
          <w:tcPr>
            <w:tcW w:w="1701" w:type="dxa"/>
            <w:tcBorders>
              <w:top w:val="nil"/>
              <w:left w:val="nil"/>
              <w:bottom w:val="nil"/>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1453-1522 (0.4)</w:t>
            </w:r>
          </w:p>
        </w:tc>
        <w:tc>
          <w:tcPr>
            <w:tcW w:w="1701" w:type="dxa"/>
            <w:tcBorders>
              <w:top w:val="nil"/>
              <w:left w:val="single" w:sz="4" w:space="0" w:color="auto"/>
              <w:bottom w:val="nil"/>
              <w:right w:val="single" w:sz="4" w:space="0" w:color="auto"/>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1445-1637 (1.0)</w:t>
            </w:r>
          </w:p>
        </w:tc>
      </w:tr>
      <w:tr w:rsidR="00B045DF" w:rsidRPr="0074345C">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1417" w:type="dxa"/>
            <w:tcBorders>
              <w:top w:val="nil"/>
              <w:left w:val="nil"/>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850" w:type="dxa"/>
            <w:tcBorders>
              <w:top w:val="nil"/>
              <w:left w:val="nil"/>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1276" w:type="dxa"/>
            <w:tcBorders>
              <w:top w:val="nil"/>
              <w:left w:val="nil"/>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c>
          <w:tcPr>
            <w:tcW w:w="1701" w:type="dxa"/>
            <w:tcBorders>
              <w:top w:val="nil"/>
              <w:left w:val="nil"/>
              <w:bottom w:val="single" w:sz="4" w:space="0" w:color="auto"/>
              <w:right w:val="nil"/>
            </w:tcBorders>
            <w:shd w:val="clear" w:color="auto" w:fill="auto"/>
            <w:noWrap/>
            <w:vAlign w:val="center"/>
          </w:tcPr>
          <w:p w:rsidR="00B045DF" w:rsidRPr="0074345C" w:rsidRDefault="00B045DF" w:rsidP="00B045DF">
            <w:pPr>
              <w:pStyle w:val="NoteLevel11"/>
              <w:rPr>
                <w:rFonts w:eastAsia="Times New Roman" w:cs="Calibri"/>
                <w:color w:val="000000"/>
                <w:sz w:val="20"/>
                <w:szCs w:val="20"/>
                <w:lang w:val="en-GB" w:eastAsia="en-GB"/>
              </w:rPr>
            </w:pPr>
            <w:r w:rsidRPr="0074345C">
              <w:rPr>
                <w:rFonts w:eastAsia="Times New Roman" w:cs="Calibri"/>
                <w:color w:val="000000"/>
                <w:sz w:val="20"/>
                <w:szCs w:val="20"/>
                <w:lang w:val="en-GB" w:eastAsia="en-GB"/>
              </w:rPr>
              <w:t>1575-1625 (0.3)</w:t>
            </w: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B045DF" w:rsidRPr="0074345C" w:rsidRDefault="00B045DF" w:rsidP="00B045DF">
            <w:pPr>
              <w:pStyle w:val="NoteLevel11"/>
              <w:rPr>
                <w:rFonts w:eastAsia="Times New Roman" w:cs="Calibri"/>
                <w:color w:val="000000"/>
                <w:sz w:val="22"/>
                <w:szCs w:val="22"/>
                <w:lang w:val="en-GB" w:eastAsia="en-GB"/>
              </w:rPr>
            </w:pPr>
            <w:r w:rsidRPr="0074345C">
              <w:rPr>
                <w:rFonts w:eastAsia="Times New Roman" w:cs="Calibri"/>
                <w:color w:val="000000"/>
                <w:sz w:val="22"/>
                <w:szCs w:val="22"/>
                <w:lang w:val="en-GB" w:eastAsia="en-GB"/>
              </w:rPr>
              <w:t> </w:t>
            </w:r>
          </w:p>
        </w:tc>
      </w:tr>
    </w:tbl>
    <w:p w:rsidR="009155B0" w:rsidRDefault="009155B0">
      <w:pPr>
        <w:pStyle w:val="NoteLevel11"/>
        <w:rPr>
          <w:rFonts w:cs="Helvetica"/>
          <w:sz w:val="28"/>
          <w:szCs w:val="17"/>
        </w:rPr>
      </w:pPr>
    </w:p>
    <w:p w:rsidR="005E5D3D" w:rsidRDefault="005E5D3D">
      <w:pPr>
        <w:pStyle w:val="NoteLevel11"/>
        <w:rPr>
          <w:lang w:val="en-GB"/>
        </w:rPr>
      </w:pPr>
    </w:p>
    <w:p w:rsidR="004031E8" w:rsidRPr="004031E8" w:rsidRDefault="004031E8" w:rsidP="00A364F3">
      <w:pPr>
        <w:pStyle w:val="NoteLevel11"/>
        <w:rPr>
          <w:b/>
          <w:sz w:val="36"/>
          <w:szCs w:val="36"/>
          <w:lang w:val="en-GB"/>
        </w:rPr>
      </w:pPr>
      <w:r w:rsidRPr="004031E8">
        <w:rPr>
          <w:b/>
          <w:sz w:val="36"/>
          <w:szCs w:val="36"/>
          <w:lang w:val="en-GB"/>
        </w:rPr>
        <w:t>Discussion</w:t>
      </w:r>
    </w:p>
    <w:p w:rsidR="006D63EC" w:rsidRDefault="00E0282C" w:rsidP="00A364F3">
      <w:pPr>
        <w:pStyle w:val="NoteLevel11"/>
        <w:rPr>
          <w:lang w:val="en-GB"/>
        </w:rPr>
      </w:pPr>
      <w:r>
        <w:rPr>
          <w:lang w:val="en-GB"/>
        </w:rPr>
        <w:t xml:space="preserve">We </w:t>
      </w:r>
      <w:r w:rsidR="004B34DA">
        <w:rPr>
          <w:lang w:val="en-GB"/>
        </w:rPr>
        <w:t xml:space="preserve">examined five human </w:t>
      </w:r>
      <w:r w:rsidR="003446C8">
        <w:rPr>
          <w:lang w:val="en-GB"/>
        </w:rPr>
        <w:t>skeletons derived</w:t>
      </w:r>
      <w:r w:rsidR="004B34DA">
        <w:rPr>
          <w:lang w:val="en-GB"/>
        </w:rPr>
        <w:t xml:space="preserve"> </w:t>
      </w:r>
      <w:r w:rsidR="00B17430">
        <w:rPr>
          <w:lang w:val="en-GB"/>
        </w:rPr>
        <w:t>from</w:t>
      </w:r>
      <w:r w:rsidR="003446C8">
        <w:rPr>
          <w:lang w:val="en-GB"/>
        </w:rPr>
        <w:t xml:space="preserve"> inhumation burials</w:t>
      </w:r>
      <w:r w:rsidR="00B17430">
        <w:rPr>
          <w:lang w:val="en-GB"/>
        </w:rPr>
        <w:t xml:space="preserve"> </w:t>
      </w:r>
      <w:r w:rsidR="003446C8">
        <w:rPr>
          <w:lang w:val="en-GB"/>
        </w:rPr>
        <w:t>from</w:t>
      </w:r>
      <w:r w:rsidR="00D1670A">
        <w:rPr>
          <w:lang w:val="en-GB"/>
        </w:rPr>
        <w:t xml:space="preserve"> </w:t>
      </w:r>
      <w:r w:rsidR="00B17430">
        <w:rPr>
          <w:lang w:val="en-GB"/>
        </w:rPr>
        <w:t>Ireland</w:t>
      </w:r>
      <w:r w:rsidR="005A2E41">
        <w:rPr>
          <w:lang w:val="en-GB"/>
        </w:rPr>
        <w:t>,</w:t>
      </w:r>
      <w:r w:rsidR="00B17430">
        <w:rPr>
          <w:lang w:val="en-GB"/>
        </w:rPr>
        <w:t xml:space="preserve"> </w:t>
      </w:r>
      <w:r w:rsidR="004B34DA">
        <w:rPr>
          <w:lang w:val="en-GB"/>
        </w:rPr>
        <w:t xml:space="preserve">with lesions indicative of </w:t>
      </w:r>
      <w:r w:rsidR="00A364F3">
        <w:rPr>
          <w:lang w:val="en-GB"/>
        </w:rPr>
        <w:t xml:space="preserve">leprosy. Two of these provided strong </w:t>
      </w:r>
      <w:r w:rsidR="006D38B6">
        <w:rPr>
          <w:lang w:val="en-GB"/>
        </w:rPr>
        <w:t xml:space="preserve">biomolecular </w:t>
      </w:r>
      <w:r w:rsidR="004B34DA">
        <w:rPr>
          <w:lang w:val="en-GB"/>
        </w:rPr>
        <w:t xml:space="preserve">evidence for the causative pathogen, </w:t>
      </w:r>
      <w:r w:rsidR="004B34DA" w:rsidRPr="00B17430">
        <w:rPr>
          <w:i/>
          <w:lang w:val="en-GB"/>
        </w:rPr>
        <w:t>Mycobacterium leprae</w:t>
      </w:r>
      <w:r w:rsidR="004031E8">
        <w:rPr>
          <w:lang w:val="en-GB"/>
        </w:rPr>
        <w:t>. A third skeleton</w:t>
      </w:r>
      <w:r w:rsidR="004B34DA">
        <w:rPr>
          <w:lang w:val="en-GB"/>
        </w:rPr>
        <w:t xml:space="preserve">, SkCXLVIII, </w:t>
      </w:r>
      <w:r w:rsidR="00B17430">
        <w:rPr>
          <w:lang w:val="en-GB"/>
        </w:rPr>
        <w:t xml:space="preserve">the remains of </w:t>
      </w:r>
      <w:r w:rsidR="004B34DA">
        <w:rPr>
          <w:lang w:val="en-GB"/>
        </w:rPr>
        <w:t xml:space="preserve">an adolescent individual from the same site at Golden Lane, Dublin, was weakly positive in one of two extracts prepared </w:t>
      </w:r>
      <w:r w:rsidR="00B17430">
        <w:rPr>
          <w:lang w:val="en-GB"/>
        </w:rPr>
        <w:t xml:space="preserve">from </w:t>
      </w:r>
      <w:r w:rsidR="004031E8">
        <w:rPr>
          <w:lang w:val="en-GB"/>
        </w:rPr>
        <w:t xml:space="preserve">a </w:t>
      </w:r>
      <w:r w:rsidR="00B17430">
        <w:rPr>
          <w:lang w:val="en-GB"/>
        </w:rPr>
        <w:t xml:space="preserve">sample taken from a fibula. </w:t>
      </w:r>
      <w:r w:rsidR="005A2E41">
        <w:rPr>
          <w:lang w:val="en-GB"/>
        </w:rPr>
        <w:t xml:space="preserve">Due to the poor DNA preservation in this skeleton, </w:t>
      </w:r>
      <w:r w:rsidR="004031E8">
        <w:rPr>
          <w:lang w:val="en-GB"/>
        </w:rPr>
        <w:t xml:space="preserve">however, </w:t>
      </w:r>
      <w:r w:rsidR="005A2E41">
        <w:rPr>
          <w:lang w:val="en-GB"/>
        </w:rPr>
        <w:t>i</w:t>
      </w:r>
      <w:r w:rsidR="00B17430">
        <w:rPr>
          <w:lang w:val="en-GB"/>
        </w:rPr>
        <w:t>t was not possible to take this observation further.</w:t>
      </w:r>
    </w:p>
    <w:p w:rsidR="004031E8" w:rsidRDefault="004031E8" w:rsidP="00A833E7">
      <w:pPr>
        <w:pStyle w:val="NoteLevel11"/>
        <w:rPr>
          <w:lang w:val="en-GB"/>
        </w:rPr>
      </w:pPr>
    </w:p>
    <w:p w:rsidR="003446C8" w:rsidRDefault="005506B5" w:rsidP="00A833E7">
      <w:pPr>
        <w:pStyle w:val="NoteLevel11"/>
        <w:rPr>
          <w:lang w:val="en-GB"/>
        </w:rPr>
      </w:pPr>
      <w:r>
        <w:rPr>
          <w:lang w:val="en-GB"/>
        </w:rPr>
        <w:t>In contrast, t</w:t>
      </w:r>
      <w:r w:rsidR="00B17430">
        <w:rPr>
          <w:lang w:val="en-GB"/>
        </w:rPr>
        <w:t>he</w:t>
      </w:r>
      <w:r w:rsidR="006D38B6">
        <w:rPr>
          <w:lang w:val="en-GB"/>
        </w:rPr>
        <w:t xml:space="preserve"> preservation of DNA in the other</w:t>
      </w:r>
      <w:r w:rsidR="00B17430">
        <w:rPr>
          <w:lang w:val="en-GB"/>
        </w:rPr>
        <w:t xml:space="preserve"> two</w:t>
      </w:r>
      <w:r>
        <w:rPr>
          <w:lang w:val="en-GB"/>
        </w:rPr>
        <w:t xml:space="preserve"> Golden Lane</w:t>
      </w:r>
      <w:r w:rsidR="00B17430">
        <w:rPr>
          <w:lang w:val="en-GB"/>
        </w:rPr>
        <w:t xml:space="preserve"> individuals, SkCXCV and SkCCXXX, was sufficient to allow detailed </w:t>
      </w:r>
      <w:r w:rsidR="00B17430" w:rsidRPr="0061294C">
        <w:rPr>
          <w:lang w:val="en-GB"/>
        </w:rPr>
        <w:t xml:space="preserve">genotyping of the strains by conventional SNP </w:t>
      </w:r>
      <w:r w:rsidR="00CC4E47" w:rsidRPr="0061294C">
        <w:rPr>
          <w:lang w:val="en-GB"/>
        </w:rPr>
        <w:t xml:space="preserve">and VNTR </w:t>
      </w:r>
      <w:r w:rsidR="00B17430" w:rsidRPr="0061294C">
        <w:rPr>
          <w:lang w:val="en-GB"/>
        </w:rPr>
        <w:t xml:space="preserve">analysis of </w:t>
      </w:r>
      <w:r w:rsidR="00B17430">
        <w:rPr>
          <w:lang w:val="en-GB"/>
        </w:rPr>
        <w:t>informative loci. Interestingly, the</w:t>
      </w:r>
      <w:r>
        <w:rPr>
          <w:lang w:val="en-GB"/>
        </w:rPr>
        <w:t>se</w:t>
      </w:r>
      <w:r w:rsidR="00B17430">
        <w:rPr>
          <w:lang w:val="en-GB"/>
        </w:rPr>
        <w:t xml:space="preserve"> tw</w:t>
      </w:r>
      <w:r w:rsidR="00F93B37">
        <w:rPr>
          <w:lang w:val="en-GB"/>
        </w:rPr>
        <w:t xml:space="preserve">o cases were found to belong on </w:t>
      </w:r>
      <w:r w:rsidR="00B17430">
        <w:rPr>
          <w:lang w:val="en-GB"/>
        </w:rPr>
        <w:t xml:space="preserve">separate branches of the </w:t>
      </w:r>
      <w:r w:rsidR="00B17430" w:rsidRPr="00B17430">
        <w:rPr>
          <w:i/>
          <w:lang w:val="en-GB"/>
        </w:rPr>
        <w:t>M.</w:t>
      </w:r>
      <w:r w:rsidR="00334306">
        <w:rPr>
          <w:i/>
          <w:lang w:val="en-GB"/>
        </w:rPr>
        <w:t xml:space="preserve"> </w:t>
      </w:r>
      <w:r w:rsidR="00B17430" w:rsidRPr="00B17430">
        <w:rPr>
          <w:i/>
          <w:lang w:val="en-GB"/>
        </w:rPr>
        <w:t>leprae</w:t>
      </w:r>
      <w:r w:rsidR="00B17430">
        <w:rPr>
          <w:lang w:val="en-GB"/>
        </w:rPr>
        <w:t xml:space="preserve"> phylogenetic tree. </w:t>
      </w:r>
      <w:r w:rsidR="00CC4E47">
        <w:rPr>
          <w:lang w:val="en-GB"/>
        </w:rPr>
        <w:t xml:space="preserve"> </w:t>
      </w:r>
      <w:r w:rsidR="003446C8">
        <w:rPr>
          <w:lang w:val="en-GB"/>
        </w:rPr>
        <w:t>The radiocarbon dates derived from these two individuals are suggestive that they were broadly contemporary</w:t>
      </w:r>
      <w:r w:rsidR="00B42D8D">
        <w:rPr>
          <w:lang w:val="en-GB"/>
        </w:rPr>
        <w:t>,</w:t>
      </w:r>
      <w:r w:rsidR="003446C8">
        <w:rPr>
          <w:lang w:val="en-GB"/>
        </w:rPr>
        <w:t xml:space="preserve"> thereby suggesting that the two strains co-existed in Dublin during the 12</w:t>
      </w:r>
      <w:r w:rsidR="003446C8" w:rsidRPr="00B61739">
        <w:rPr>
          <w:vertAlign w:val="superscript"/>
          <w:lang w:val="en-GB"/>
        </w:rPr>
        <w:t>th</w:t>
      </w:r>
      <w:r w:rsidR="003446C8">
        <w:rPr>
          <w:lang w:val="en-GB"/>
        </w:rPr>
        <w:t xml:space="preserve"> to mid-13</w:t>
      </w:r>
      <w:r w:rsidR="003446C8" w:rsidRPr="00B61739">
        <w:rPr>
          <w:vertAlign w:val="superscript"/>
          <w:lang w:val="en-GB"/>
        </w:rPr>
        <w:t>th</w:t>
      </w:r>
      <w:r w:rsidR="003446C8">
        <w:rPr>
          <w:lang w:val="en-GB"/>
        </w:rPr>
        <w:t xml:space="preserve"> centuries. </w:t>
      </w:r>
    </w:p>
    <w:p w:rsidR="003446C8" w:rsidRDefault="003446C8" w:rsidP="00A833E7">
      <w:pPr>
        <w:pStyle w:val="NoteLevel11"/>
        <w:rPr>
          <w:lang w:val="en-GB"/>
        </w:rPr>
      </w:pPr>
    </w:p>
    <w:p w:rsidR="004031E8" w:rsidRDefault="00B17430" w:rsidP="00A833E7">
      <w:pPr>
        <w:pStyle w:val="NoteLevel11"/>
        <w:rPr>
          <w:rFonts w:cs="Times"/>
          <w:szCs w:val="20"/>
        </w:rPr>
      </w:pPr>
      <w:r>
        <w:rPr>
          <w:lang w:val="en-GB"/>
        </w:rPr>
        <w:t>Burial SkCXCV was a type 3I-1 strain, a lineage found in several ancie</w:t>
      </w:r>
      <w:r w:rsidR="005A2E41">
        <w:rPr>
          <w:lang w:val="en-GB"/>
        </w:rPr>
        <w:t xml:space="preserve">nt cases </w:t>
      </w:r>
      <w:r w:rsidR="005A2E41" w:rsidRPr="00267BE5">
        <w:rPr>
          <w:lang w:val="en-GB"/>
        </w:rPr>
        <w:t>which have been excavated</w:t>
      </w:r>
      <w:r w:rsidRPr="00267BE5">
        <w:rPr>
          <w:lang w:val="en-GB"/>
        </w:rPr>
        <w:t xml:space="preserve"> from archaeolog</w:t>
      </w:r>
      <w:r w:rsidR="004031E8" w:rsidRPr="00267BE5">
        <w:rPr>
          <w:lang w:val="en-GB"/>
        </w:rPr>
        <w:t xml:space="preserve">ical sites in </w:t>
      </w:r>
      <w:r w:rsidR="005A2E41" w:rsidRPr="00267BE5">
        <w:rPr>
          <w:lang w:val="en-GB"/>
        </w:rPr>
        <w:t xml:space="preserve">Britain </w:t>
      </w:r>
      <w:r w:rsidR="001127F8" w:rsidRPr="00267BE5">
        <w:rPr>
          <w:lang w:val="en-GB"/>
        </w:rPr>
        <w:t>[20,21</w:t>
      </w:r>
      <w:r w:rsidR="00267BE5" w:rsidRPr="00267BE5">
        <w:rPr>
          <w:lang w:val="en-GB"/>
        </w:rPr>
        <w:t xml:space="preserve">] </w:t>
      </w:r>
      <w:r w:rsidR="004B02CD" w:rsidRPr="00267BE5">
        <w:rPr>
          <w:lang w:val="en-GB"/>
        </w:rPr>
        <w:t>and Europe [Denmark and Sweden</w:t>
      </w:r>
      <w:r w:rsidR="004C4A44" w:rsidRPr="00267BE5">
        <w:rPr>
          <w:rFonts w:cs="Times"/>
          <w:szCs w:val="20"/>
        </w:rPr>
        <w:t xml:space="preserve">] </w:t>
      </w:r>
      <w:r w:rsidR="001127F8" w:rsidRPr="00267BE5">
        <w:rPr>
          <w:rFonts w:cs="Times"/>
          <w:szCs w:val="20"/>
        </w:rPr>
        <w:t>[5</w:t>
      </w:r>
      <w:r w:rsidR="00ED5E82" w:rsidRPr="00267BE5">
        <w:rPr>
          <w:rFonts w:cs="Times"/>
          <w:szCs w:val="20"/>
        </w:rPr>
        <w:t>6</w:t>
      </w:r>
      <w:r w:rsidR="00267BE5" w:rsidRPr="00267BE5">
        <w:rPr>
          <w:rFonts w:cs="Times"/>
          <w:szCs w:val="20"/>
        </w:rPr>
        <w:t>]</w:t>
      </w:r>
      <w:r w:rsidR="004C4A44" w:rsidRPr="00267BE5">
        <w:rPr>
          <w:rFonts w:cs="Times"/>
          <w:szCs w:val="20"/>
        </w:rPr>
        <w:t>.</w:t>
      </w:r>
      <w:r w:rsidR="005A2E41" w:rsidRPr="00267BE5">
        <w:rPr>
          <w:rFonts w:cs="Times"/>
          <w:szCs w:val="20"/>
        </w:rPr>
        <w:t xml:space="preserve"> </w:t>
      </w:r>
      <w:r w:rsidR="00927136" w:rsidRPr="00267BE5">
        <w:rPr>
          <w:rFonts w:cs="Times"/>
          <w:szCs w:val="20"/>
        </w:rPr>
        <w:t>A Scandinavian source for this lineage is</w:t>
      </w:r>
      <w:r w:rsidR="00927136" w:rsidRPr="00CC3F73">
        <w:rPr>
          <w:rFonts w:cs="Times"/>
          <w:szCs w:val="20"/>
        </w:rPr>
        <w:t xml:space="preserve"> therefore one possibility</w:t>
      </w:r>
      <w:r w:rsidR="005506B5">
        <w:rPr>
          <w:rFonts w:cs="Times"/>
          <w:szCs w:val="20"/>
        </w:rPr>
        <w:t xml:space="preserve">. </w:t>
      </w:r>
    </w:p>
    <w:p w:rsidR="005506B5" w:rsidRDefault="00927136" w:rsidP="00A833E7">
      <w:pPr>
        <w:pStyle w:val="NoteLevel11"/>
        <w:rPr>
          <w:rFonts w:cs="Times"/>
          <w:szCs w:val="20"/>
        </w:rPr>
      </w:pPr>
      <w:r w:rsidRPr="00CC3F73">
        <w:rPr>
          <w:rFonts w:cs="Times"/>
          <w:szCs w:val="20"/>
        </w:rPr>
        <w:t xml:space="preserve"> </w:t>
      </w:r>
    </w:p>
    <w:p w:rsidR="00DD0E72" w:rsidRPr="00267BE5" w:rsidRDefault="00BD431F" w:rsidP="00A833E7">
      <w:pPr>
        <w:pStyle w:val="NoteLevel11"/>
        <w:rPr>
          <w:rFonts w:cs="Times"/>
          <w:szCs w:val="20"/>
        </w:rPr>
      </w:pPr>
      <w:r>
        <w:rPr>
          <w:rFonts w:cs="Times"/>
          <w:szCs w:val="20"/>
        </w:rPr>
        <w:t>The earliest genotyped case in Britain, dating to the early 5</w:t>
      </w:r>
      <w:r w:rsidRPr="00BD431F">
        <w:rPr>
          <w:rFonts w:cs="Times"/>
          <w:szCs w:val="20"/>
          <w:vertAlign w:val="superscript"/>
        </w:rPr>
        <w:t>th</w:t>
      </w:r>
      <w:r>
        <w:rPr>
          <w:rFonts w:cs="Times"/>
          <w:szCs w:val="20"/>
        </w:rPr>
        <w:t xml:space="preserve"> century from Great </w:t>
      </w:r>
      <w:r w:rsidRPr="00267BE5">
        <w:rPr>
          <w:rFonts w:cs="Times"/>
          <w:szCs w:val="20"/>
        </w:rPr>
        <w:t>Chesterford</w:t>
      </w:r>
      <w:r w:rsidR="003C7544" w:rsidRPr="00267BE5">
        <w:rPr>
          <w:rFonts w:cs="Times"/>
          <w:szCs w:val="20"/>
        </w:rPr>
        <w:t>, Essex</w:t>
      </w:r>
      <w:r w:rsidRPr="00267BE5">
        <w:rPr>
          <w:rFonts w:cs="Times"/>
          <w:szCs w:val="20"/>
        </w:rPr>
        <w:t xml:space="preserve"> </w:t>
      </w:r>
      <w:r w:rsidR="001127F8" w:rsidRPr="00267BE5">
        <w:rPr>
          <w:rFonts w:cs="Times"/>
          <w:szCs w:val="20"/>
        </w:rPr>
        <w:t>[6</w:t>
      </w:r>
      <w:r w:rsidR="00267BE5" w:rsidRPr="00267BE5">
        <w:rPr>
          <w:rFonts w:cs="Times"/>
          <w:szCs w:val="20"/>
        </w:rPr>
        <w:t>]</w:t>
      </w:r>
      <w:r w:rsidR="004031E8" w:rsidRPr="00267BE5">
        <w:rPr>
          <w:rFonts w:cs="Times"/>
          <w:szCs w:val="20"/>
        </w:rPr>
        <w:t>,</w:t>
      </w:r>
      <w:r w:rsidRPr="00267BE5">
        <w:rPr>
          <w:rFonts w:cs="Times"/>
          <w:szCs w:val="20"/>
        </w:rPr>
        <w:t xml:space="preserve"> is </w:t>
      </w:r>
      <w:r w:rsidR="005506B5" w:rsidRPr="00267BE5">
        <w:rPr>
          <w:rFonts w:cs="Times"/>
          <w:szCs w:val="20"/>
        </w:rPr>
        <w:t xml:space="preserve">also </w:t>
      </w:r>
      <w:r w:rsidRPr="00267BE5">
        <w:rPr>
          <w:rFonts w:cs="Times"/>
          <w:szCs w:val="20"/>
        </w:rPr>
        <w:t xml:space="preserve">an early type 3I. </w:t>
      </w:r>
      <w:r w:rsidR="00CC3F73" w:rsidRPr="00267BE5">
        <w:rPr>
          <w:rFonts w:cs="Times"/>
          <w:szCs w:val="20"/>
        </w:rPr>
        <w:t xml:space="preserve">The strain </w:t>
      </w:r>
      <w:r w:rsidR="005A2E41" w:rsidRPr="00267BE5">
        <w:rPr>
          <w:rFonts w:cs="Times"/>
          <w:szCs w:val="20"/>
        </w:rPr>
        <w:t>persisted in Britain from the Anglo-Saxon period right up to the 16</w:t>
      </w:r>
      <w:r w:rsidR="005A2E41" w:rsidRPr="00267BE5">
        <w:rPr>
          <w:rFonts w:cs="Times"/>
          <w:szCs w:val="20"/>
          <w:vertAlign w:val="superscript"/>
        </w:rPr>
        <w:t>th</w:t>
      </w:r>
      <w:r w:rsidR="004B02CD" w:rsidRPr="00267BE5">
        <w:rPr>
          <w:rFonts w:cs="Times"/>
          <w:szCs w:val="20"/>
        </w:rPr>
        <w:t xml:space="preserve"> century</w:t>
      </w:r>
      <w:r w:rsidR="001127F8" w:rsidRPr="00267BE5">
        <w:rPr>
          <w:rFonts w:cs="Times"/>
          <w:szCs w:val="20"/>
        </w:rPr>
        <w:t xml:space="preserve"> [21]</w:t>
      </w:r>
      <w:r w:rsidR="005A2E41" w:rsidRPr="00267BE5">
        <w:rPr>
          <w:rFonts w:cs="Times"/>
          <w:szCs w:val="20"/>
        </w:rPr>
        <w:t xml:space="preserve"> and </w:t>
      </w:r>
      <w:r w:rsidR="00CC3F73" w:rsidRPr="00267BE5">
        <w:rPr>
          <w:rFonts w:cs="Times"/>
          <w:szCs w:val="20"/>
        </w:rPr>
        <w:t>was likely carried to the New World by early colonists</w:t>
      </w:r>
      <w:r w:rsidR="005A2E41" w:rsidRPr="00267BE5">
        <w:rPr>
          <w:rFonts w:cs="Times"/>
          <w:szCs w:val="20"/>
        </w:rPr>
        <w:t xml:space="preserve">. </w:t>
      </w:r>
      <w:r w:rsidR="00B24493" w:rsidRPr="00267BE5">
        <w:rPr>
          <w:rFonts w:cs="Times"/>
          <w:szCs w:val="20"/>
        </w:rPr>
        <w:t xml:space="preserve">Strains descended from this </w:t>
      </w:r>
      <w:r w:rsidR="00886232" w:rsidRPr="00267BE5">
        <w:rPr>
          <w:rFonts w:cs="Times"/>
          <w:szCs w:val="20"/>
        </w:rPr>
        <w:t>li</w:t>
      </w:r>
      <w:r w:rsidR="00EE7FA1" w:rsidRPr="00267BE5">
        <w:rPr>
          <w:rFonts w:cs="Times"/>
          <w:szCs w:val="20"/>
        </w:rPr>
        <w:t xml:space="preserve">neage (3I-2-v1) are still present </w:t>
      </w:r>
      <w:r w:rsidR="00886232" w:rsidRPr="00267BE5">
        <w:rPr>
          <w:rFonts w:cs="Times"/>
          <w:szCs w:val="20"/>
        </w:rPr>
        <w:t xml:space="preserve">in </w:t>
      </w:r>
      <w:r w:rsidR="004031E8" w:rsidRPr="00267BE5">
        <w:rPr>
          <w:rFonts w:cs="Times"/>
          <w:szCs w:val="20"/>
        </w:rPr>
        <w:t xml:space="preserve">the </w:t>
      </w:r>
      <w:r w:rsidR="00886232" w:rsidRPr="00267BE5">
        <w:rPr>
          <w:rFonts w:cs="Times"/>
          <w:szCs w:val="20"/>
        </w:rPr>
        <w:t xml:space="preserve">southern United States, </w:t>
      </w:r>
      <w:r w:rsidR="004031E8" w:rsidRPr="00267BE5">
        <w:rPr>
          <w:rFonts w:cs="Times"/>
          <w:szCs w:val="20"/>
        </w:rPr>
        <w:t xml:space="preserve">in states </w:t>
      </w:r>
      <w:r w:rsidR="00886232" w:rsidRPr="00267BE5">
        <w:rPr>
          <w:rFonts w:cs="Times"/>
          <w:szCs w:val="20"/>
        </w:rPr>
        <w:t>such</w:t>
      </w:r>
      <w:r w:rsidR="005A2E41" w:rsidRPr="00267BE5">
        <w:rPr>
          <w:rFonts w:cs="Times"/>
          <w:szCs w:val="20"/>
        </w:rPr>
        <w:t xml:space="preserve"> as Louisiana and Texas, in</w:t>
      </w:r>
      <w:r w:rsidR="00886232" w:rsidRPr="00267BE5">
        <w:rPr>
          <w:rFonts w:cs="Times"/>
          <w:szCs w:val="20"/>
        </w:rPr>
        <w:t xml:space="preserve"> </w:t>
      </w:r>
      <w:r w:rsidR="004031E8" w:rsidRPr="00267BE5">
        <w:rPr>
          <w:rFonts w:cs="Times"/>
          <w:szCs w:val="20"/>
        </w:rPr>
        <w:t xml:space="preserve">both </w:t>
      </w:r>
      <w:r w:rsidR="00886232" w:rsidRPr="00267BE5">
        <w:rPr>
          <w:rFonts w:cs="Times"/>
          <w:szCs w:val="20"/>
        </w:rPr>
        <w:t>infected humans and</w:t>
      </w:r>
      <w:r w:rsidR="005A2E41" w:rsidRPr="00267BE5">
        <w:rPr>
          <w:rFonts w:cs="Times"/>
          <w:szCs w:val="20"/>
        </w:rPr>
        <w:t xml:space="preserve"> armadillos </w:t>
      </w:r>
      <w:r w:rsidR="008B266D" w:rsidRPr="00267BE5">
        <w:rPr>
          <w:rFonts w:cs="Times"/>
          <w:szCs w:val="20"/>
        </w:rPr>
        <w:t>[5</w:t>
      </w:r>
      <w:r w:rsidR="00C50DC4" w:rsidRPr="00267BE5">
        <w:rPr>
          <w:rFonts w:cs="Times"/>
          <w:szCs w:val="20"/>
        </w:rPr>
        <w:t>7</w:t>
      </w:r>
      <w:r w:rsidR="00267BE5" w:rsidRPr="00267BE5">
        <w:rPr>
          <w:rFonts w:cs="Times"/>
          <w:szCs w:val="20"/>
        </w:rPr>
        <w:t>]</w:t>
      </w:r>
      <w:r w:rsidR="00886232" w:rsidRPr="00267BE5">
        <w:rPr>
          <w:rFonts w:cs="Times"/>
          <w:szCs w:val="20"/>
        </w:rPr>
        <w:t xml:space="preserve">. </w:t>
      </w:r>
    </w:p>
    <w:p w:rsidR="004031E8" w:rsidRDefault="004031E8" w:rsidP="00A833E7">
      <w:pPr>
        <w:pStyle w:val="NoteLevel11"/>
        <w:rPr>
          <w:rFonts w:cs="Times"/>
          <w:szCs w:val="20"/>
        </w:rPr>
      </w:pPr>
    </w:p>
    <w:p w:rsidR="00795E10" w:rsidRPr="001A3046" w:rsidRDefault="00795E10" w:rsidP="00A833E7">
      <w:pPr>
        <w:pStyle w:val="NoteLevel11"/>
        <w:rPr>
          <w:rFonts w:cs="Times"/>
          <w:szCs w:val="20"/>
        </w:rPr>
      </w:pPr>
      <w:r>
        <w:rPr>
          <w:rFonts w:cs="Times"/>
          <w:szCs w:val="20"/>
        </w:rPr>
        <w:t>T</w:t>
      </w:r>
      <w:r w:rsidR="00DD0E72">
        <w:rPr>
          <w:rFonts w:cs="Times"/>
          <w:szCs w:val="20"/>
        </w:rPr>
        <w:t>he similarity in distribution of leprosy</w:t>
      </w:r>
      <w:r w:rsidR="004031E8">
        <w:rPr>
          <w:rFonts w:cs="Times"/>
          <w:szCs w:val="20"/>
        </w:rPr>
        <w:t xml:space="preserve"> genotypes between Britain and north</w:t>
      </w:r>
      <w:r w:rsidR="00DD0E72">
        <w:rPr>
          <w:rFonts w:cs="Times"/>
          <w:szCs w:val="20"/>
        </w:rPr>
        <w:t>west</w:t>
      </w:r>
      <w:r w:rsidR="004031E8">
        <w:rPr>
          <w:rFonts w:cs="Times"/>
          <w:szCs w:val="20"/>
        </w:rPr>
        <w:t>ern</w:t>
      </w:r>
      <w:r w:rsidR="00DD0E72">
        <w:rPr>
          <w:rFonts w:cs="Times"/>
          <w:szCs w:val="20"/>
        </w:rPr>
        <w:t xml:space="preserve"> Europe, compared to those known in central Europe</w:t>
      </w:r>
      <w:r>
        <w:rPr>
          <w:rFonts w:cs="Times"/>
          <w:szCs w:val="20"/>
        </w:rPr>
        <w:t>,</w:t>
      </w:r>
      <w:r w:rsidR="00DD0E72">
        <w:rPr>
          <w:rFonts w:cs="Times"/>
          <w:szCs w:val="20"/>
        </w:rPr>
        <w:t xml:space="preserve"> </w:t>
      </w:r>
      <w:r w:rsidR="004031E8">
        <w:rPr>
          <w:rFonts w:cs="Times"/>
          <w:szCs w:val="20"/>
        </w:rPr>
        <w:t xml:space="preserve">is evident in </w:t>
      </w:r>
      <w:r w:rsidR="005506B5">
        <w:rPr>
          <w:rFonts w:cs="Times"/>
          <w:szCs w:val="20"/>
        </w:rPr>
        <w:t xml:space="preserve">the map plot shown in </w:t>
      </w:r>
      <w:bookmarkStart w:id="11" w:name="_Hlk514766265"/>
      <w:r w:rsidR="005506B5" w:rsidRPr="00583796">
        <w:rPr>
          <w:rFonts w:cs="Times"/>
          <w:szCs w:val="20"/>
          <w:highlight w:val="magenta"/>
        </w:rPr>
        <w:t xml:space="preserve">Figure </w:t>
      </w:r>
      <w:r w:rsidR="00980F2F">
        <w:rPr>
          <w:rFonts w:cs="Times"/>
          <w:szCs w:val="20"/>
          <w:highlight w:val="magenta"/>
        </w:rPr>
        <w:t>5</w:t>
      </w:r>
      <w:r w:rsidR="00B408CB">
        <w:rPr>
          <w:rFonts w:cs="Times"/>
          <w:szCs w:val="20"/>
        </w:rPr>
        <w:t>.  This summariz</w:t>
      </w:r>
      <w:r>
        <w:rPr>
          <w:rFonts w:cs="Times"/>
          <w:szCs w:val="20"/>
        </w:rPr>
        <w:t>es</w:t>
      </w:r>
      <w:r w:rsidR="00DD0E72">
        <w:rPr>
          <w:rFonts w:cs="Times"/>
          <w:szCs w:val="20"/>
        </w:rPr>
        <w:t xml:space="preserve"> data </w:t>
      </w:r>
      <w:r>
        <w:rPr>
          <w:rFonts w:cs="Times"/>
          <w:szCs w:val="20"/>
        </w:rPr>
        <w:t>from approximately 40 archaeological cases studied by conventional genotyping</w:t>
      </w:r>
      <w:r w:rsidR="004031E8">
        <w:rPr>
          <w:rFonts w:cs="Times"/>
          <w:szCs w:val="20"/>
        </w:rPr>
        <w:t xml:space="preserve"> or whole genome sequencing and </w:t>
      </w:r>
      <w:r>
        <w:rPr>
          <w:rFonts w:cs="Times"/>
          <w:szCs w:val="20"/>
        </w:rPr>
        <w:t xml:space="preserve">includes data </w:t>
      </w:r>
      <w:r w:rsidR="003444EE">
        <w:rPr>
          <w:rFonts w:cs="Times"/>
          <w:szCs w:val="20"/>
        </w:rPr>
        <w:t xml:space="preserve">derived from 10 </w:t>
      </w:r>
      <w:r w:rsidR="00DD0E72">
        <w:rPr>
          <w:rFonts w:cs="Times"/>
          <w:szCs w:val="20"/>
        </w:rPr>
        <w:t xml:space="preserve">cases </w:t>
      </w:r>
      <w:r w:rsidR="005506B5">
        <w:rPr>
          <w:rFonts w:cs="Times"/>
          <w:szCs w:val="20"/>
        </w:rPr>
        <w:t xml:space="preserve">recently </w:t>
      </w:r>
      <w:r w:rsidR="00DD0E72">
        <w:rPr>
          <w:rFonts w:cs="Times"/>
          <w:szCs w:val="20"/>
        </w:rPr>
        <w:t>examine</w:t>
      </w:r>
      <w:r w:rsidR="004031E8">
        <w:rPr>
          <w:rFonts w:cs="Times"/>
          <w:szCs w:val="20"/>
        </w:rPr>
        <w:t xml:space="preserve">d by </w:t>
      </w:r>
      <w:r w:rsidR="004031E8" w:rsidRPr="00267BE5">
        <w:rPr>
          <w:rFonts w:cs="Times"/>
          <w:szCs w:val="20"/>
        </w:rPr>
        <w:t>Schuenneman and colleagues</w:t>
      </w:r>
      <w:r w:rsidR="00F11CDA" w:rsidRPr="00267BE5">
        <w:rPr>
          <w:rFonts w:cs="Times"/>
          <w:szCs w:val="20"/>
        </w:rPr>
        <w:t xml:space="preserve"> </w:t>
      </w:r>
      <w:bookmarkEnd w:id="11"/>
      <w:r w:rsidR="00985F22" w:rsidRPr="00267BE5">
        <w:rPr>
          <w:rFonts w:cs="Times"/>
          <w:szCs w:val="20"/>
        </w:rPr>
        <w:t>[</w:t>
      </w:r>
      <w:r w:rsidR="00081085" w:rsidRPr="00267BE5">
        <w:rPr>
          <w:rFonts w:cs="Times"/>
          <w:szCs w:val="20"/>
        </w:rPr>
        <w:t>22</w:t>
      </w:r>
      <w:r w:rsidR="007632A0" w:rsidRPr="00267BE5">
        <w:rPr>
          <w:rFonts w:cs="Times"/>
          <w:szCs w:val="20"/>
        </w:rPr>
        <w:t>]</w:t>
      </w:r>
      <w:r w:rsidR="004031E8" w:rsidRPr="00267BE5">
        <w:rPr>
          <w:rFonts w:cs="Times"/>
          <w:szCs w:val="20"/>
        </w:rPr>
        <w:t>.</w:t>
      </w:r>
      <w:r w:rsidR="00DD0E72" w:rsidRPr="00267BE5">
        <w:rPr>
          <w:rFonts w:cs="Times"/>
          <w:szCs w:val="20"/>
        </w:rPr>
        <w:t xml:space="preserve"> </w:t>
      </w:r>
      <w:r w:rsidR="003444EE" w:rsidRPr="00267BE5">
        <w:rPr>
          <w:rFonts w:cs="Times"/>
          <w:szCs w:val="20"/>
        </w:rPr>
        <w:t>These latest additions confirm</w:t>
      </w:r>
      <w:r w:rsidR="00DD0E72" w:rsidRPr="00267BE5">
        <w:rPr>
          <w:rFonts w:cs="Times"/>
          <w:szCs w:val="20"/>
        </w:rPr>
        <w:t xml:space="preserve"> the general</w:t>
      </w:r>
      <w:r w:rsidR="00DD0E72">
        <w:rPr>
          <w:rFonts w:cs="Times"/>
          <w:szCs w:val="20"/>
        </w:rPr>
        <w:t xml:space="preserve"> preponderance</w:t>
      </w:r>
      <w:r w:rsidR="004031E8">
        <w:rPr>
          <w:rFonts w:cs="Times"/>
          <w:szCs w:val="20"/>
        </w:rPr>
        <w:t xml:space="preserve"> of 3I and 2F </w:t>
      </w:r>
      <w:r w:rsidR="004031E8" w:rsidRPr="001A3046">
        <w:rPr>
          <w:rFonts w:cs="Times"/>
          <w:szCs w:val="20"/>
        </w:rPr>
        <w:t>genotypes in northw</w:t>
      </w:r>
      <w:r w:rsidR="005506B5" w:rsidRPr="001A3046">
        <w:rPr>
          <w:rFonts w:cs="Times"/>
          <w:szCs w:val="20"/>
        </w:rPr>
        <w:t>est</w:t>
      </w:r>
      <w:r w:rsidR="004031E8" w:rsidRPr="001A3046">
        <w:rPr>
          <w:rFonts w:cs="Times"/>
          <w:szCs w:val="20"/>
        </w:rPr>
        <w:t>ern</w:t>
      </w:r>
      <w:r w:rsidR="005506B5" w:rsidRPr="001A3046">
        <w:rPr>
          <w:rFonts w:cs="Times"/>
          <w:szCs w:val="20"/>
        </w:rPr>
        <w:t xml:space="preserve"> Europe, but also indicate</w:t>
      </w:r>
      <w:r w:rsidR="00DD0E72" w:rsidRPr="001A3046">
        <w:rPr>
          <w:rFonts w:cs="Times"/>
          <w:szCs w:val="20"/>
        </w:rPr>
        <w:t xml:space="preserve"> occasional additional genotypes. For example, a type 3K (or Branch 0) </w:t>
      </w:r>
      <w:r w:rsidRPr="001A3046">
        <w:rPr>
          <w:rFonts w:cs="Times"/>
          <w:szCs w:val="20"/>
        </w:rPr>
        <w:t xml:space="preserve">from </w:t>
      </w:r>
      <w:r w:rsidR="003444EE" w:rsidRPr="001A3046">
        <w:rPr>
          <w:rFonts w:cs="Times"/>
          <w:szCs w:val="20"/>
        </w:rPr>
        <w:t xml:space="preserve">the </w:t>
      </w:r>
      <w:r w:rsidR="004031E8" w:rsidRPr="001A3046">
        <w:rPr>
          <w:rFonts w:cs="Times"/>
          <w:szCs w:val="20"/>
        </w:rPr>
        <w:t>St</w:t>
      </w:r>
      <w:r w:rsidR="00DD0E72" w:rsidRPr="001A3046">
        <w:rPr>
          <w:rFonts w:cs="Times"/>
          <w:szCs w:val="20"/>
        </w:rPr>
        <w:t xml:space="preserve"> Jørgen cemetery in Odense, Denmark</w:t>
      </w:r>
      <w:r w:rsidR="004031E8" w:rsidRPr="001A3046">
        <w:rPr>
          <w:rFonts w:cs="Times"/>
          <w:szCs w:val="20"/>
        </w:rPr>
        <w:t>,</w:t>
      </w:r>
      <w:r w:rsidR="00DD0E72" w:rsidRPr="001A3046">
        <w:rPr>
          <w:rFonts w:cs="Times"/>
          <w:szCs w:val="20"/>
        </w:rPr>
        <w:t xml:space="preserve"> and a type 2F from the </w:t>
      </w:r>
      <w:r w:rsidR="004031E8" w:rsidRPr="001A3046">
        <w:rPr>
          <w:rFonts w:cs="Times"/>
          <w:szCs w:val="20"/>
        </w:rPr>
        <w:t>6</w:t>
      </w:r>
      <w:r w:rsidR="004031E8" w:rsidRPr="001A3046">
        <w:rPr>
          <w:rFonts w:cs="Times"/>
          <w:szCs w:val="20"/>
          <w:vertAlign w:val="superscript"/>
        </w:rPr>
        <w:t>th</w:t>
      </w:r>
      <w:r w:rsidR="004031E8" w:rsidRPr="001A3046">
        <w:rPr>
          <w:rFonts w:cs="Times"/>
          <w:szCs w:val="20"/>
        </w:rPr>
        <w:t>-8</w:t>
      </w:r>
      <w:r w:rsidR="004031E8" w:rsidRPr="001A3046">
        <w:rPr>
          <w:rFonts w:cs="Times"/>
          <w:szCs w:val="20"/>
          <w:vertAlign w:val="superscript"/>
        </w:rPr>
        <w:t>th</w:t>
      </w:r>
      <w:r w:rsidR="004031E8" w:rsidRPr="001A3046">
        <w:rPr>
          <w:rFonts w:cs="Times"/>
          <w:szCs w:val="20"/>
        </w:rPr>
        <w:t xml:space="preserve">-century </w:t>
      </w:r>
      <w:r w:rsidR="00DD0E72" w:rsidRPr="001A3046">
        <w:rPr>
          <w:rFonts w:cs="Times"/>
          <w:szCs w:val="20"/>
        </w:rPr>
        <w:t>Vicenne-Campochiaro necropolis in Molise, central Italy.</w:t>
      </w:r>
    </w:p>
    <w:p w:rsidR="00DD0E72" w:rsidRPr="001A3046" w:rsidRDefault="00DD0E72" w:rsidP="00A833E7">
      <w:pPr>
        <w:pStyle w:val="NoteLevel11"/>
        <w:rPr>
          <w:rFonts w:cs="Times"/>
          <w:szCs w:val="20"/>
        </w:rPr>
      </w:pPr>
    </w:p>
    <w:p w:rsidR="00765BA5" w:rsidRPr="0061294C" w:rsidRDefault="00AF2B4E" w:rsidP="00765BA5">
      <w:pPr>
        <w:pStyle w:val="NoteLevel11"/>
        <w:rPr>
          <w:rFonts w:eastAsia="Calibri" w:cs="Times New Roman"/>
          <w:b/>
        </w:rPr>
      </w:pPr>
      <w:r w:rsidRPr="001A3046">
        <w:rPr>
          <w:rFonts w:cs="Times"/>
          <w:b/>
        </w:rPr>
        <w:t xml:space="preserve">Figure 5. </w:t>
      </w:r>
      <w:r w:rsidRPr="001A3046">
        <w:rPr>
          <w:rFonts w:eastAsia="Calibri" w:cs="Times New Roman"/>
          <w:b/>
        </w:rPr>
        <w:t>Map summarising data derived from approximately 40 archaeological cases studied by conventional genotyp</w:t>
      </w:r>
      <w:r w:rsidR="00081085" w:rsidRPr="001A3046">
        <w:rPr>
          <w:rFonts w:eastAsia="Calibri" w:cs="Times New Roman"/>
          <w:b/>
        </w:rPr>
        <w:t xml:space="preserve">ing or whole </w:t>
      </w:r>
      <w:r w:rsidR="00081085" w:rsidRPr="0061294C">
        <w:rPr>
          <w:rFonts w:eastAsia="Calibri" w:cs="Times New Roman"/>
          <w:b/>
        </w:rPr>
        <w:t>genome sequencing</w:t>
      </w:r>
      <w:r w:rsidR="001C7177" w:rsidRPr="0061294C">
        <w:rPr>
          <w:rFonts w:eastAsia="Calibri" w:cs="Times New Roman"/>
          <w:b/>
        </w:rPr>
        <w:t>.</w:t>
      </w:r>
      <w:r w:rsidR="00001B66" w:rsidRPr="0061294C">
        <w:t xml:space="preserve"> </w:t>
      </w:r>
      <w:r w:rsidR="00765BA5" w:rsidRPr="0061294C">
        <w:rPr>
          <w:rFonts w:eastAsia="Calibri" w:cs="Times New Roman"/>
          <w:b/>
        </w:rPr>
        <w:t xml:space="preserve">(Supporting Information S5). </w:t>
      </w:r>
      <w:r w:rsidR="00765BA5" w:rsidRPr="0061294C">
        <w:rPr>
          <w:b/>
        </w:rPr>
        <w:t>The Figure was modified from a blank map of Europe obtained from:</w:t>
      </w:r>
      <w:r w:rsidR="00765BA5" w:rsidRPr="0061294C">
        <w:t xml:space="preserve"> </w:t>
      </w:r>
      <w:hyperlink r:id="rId9" w:history="1">
        <w:r w:rsidR="00765BA5" w:rsidRPr="0061294C">
          <w:rPr>
            <w:rStyle w:val="Hyperlink"/>
            <w:b/>
            <w:color w:val="auto"/>
          </w:rPr>
          <w:t>https://upload.wikimedia.org/wikipedia/commons/3/37/BlankMap-Europe-v3.png</w:t>
        </w:r>
      </w:hyperlink>
      <w:r w:rsidR="00765BA5" w:rsidRPr="0061294C">
        <w:rPr>
          <w:b/>
        </w:rPr>
        <w:t xml:space="preserve">  Attribution: </w:t>
      </w:r>
      <w:r w:rsidR="00765BA5" w:rsidRPr="0061294C">
        <w:rPr>
          <w:b/>
          <w:szCs w:val="20"/>
        </w:rPr>
        <w:t>ShareAlike 3.0 Unported (CC BY-SA 3.0).</w:t>
      </w:r>
      <w:r w:rsidR="00DC18A9" w:rsidRPr="0061294C">
        <w:rPr>
          <w:b/>
          <w:szCs w:val="20"/>
        </w:rPr>
        <w:t xml:space="preserve"> </w:t>
      </w:r>
      <w:hyperlink r:id="rId10" w:tgtFrame="_blank" w:history="1">
        <w:r w:rsidR="00DC18A9" w:rsidRPr="0061294C">
          <w:rPr>
            <w:rStyle w:val="Hyperlink"/>
            <w:b/>
            <w:color w:val="auto"/>
          </w:rPr>
          <w:t>Author</w:t>
        </w:r>
      </w:hyperlink>
      <w:r w:rsidR="00DC18A9" w:rsidRPr="0061294C">
        <w:rPr>
          <w:b/>
        </w:rPr>
        <w:t>:User:Roke-Commonswiki.</w:t>
      </w:r>
    </w:p>
    <w:p w:rsidR="00AF2B4E" w:rsidRPr="0061294C" w:rsidRDefault="00AF2B4E" w:rsidP="00DB3ABC">
      <w:pPr>
        <w:pStyle w:val="NoteLevel11"/>
        <w:rPr>
          <w:lang w:val="en-GB"/>
        </w:rPr>
      </w:pPr>
    </w:p>
    <w:p w:rsidR="00CB7DB1" w:rsidRPr="001A3046" w:rsidRDefault="00097759" w:rsidP="00A833E7">
      <w:pPr>
        <w:pStyle w:val="NoteLevel11"/>
        <w:rPr>
          <w:rFonts w:cs="Times"/>
          <w:szCs w:val="16"/>
        </w:rPr>
      </w:pPr>
      <w:r w:rsidRPr="001A3046">
        <w:rPr>
          <w:rFonts w:cs="Times"/>
          <w:szCs w:val="20"/>
        </w:rPr>
        <w:t>Since the present</w:t>
      </w:r>
      <w:r w:rsidR="008B4D4A" w:rsidRPr="001A3046">
        <w:rPr>
          <w:rFonts w:cs="Times"/>
          <w:szCs w:val="20"/>
        </w:rPr>
        <w:t xml:space="preserve"> study of Irish leprosy was begun, the 3I lineage of </w:t>
      </w:r>
      <w:r w:rsidR="008B4D4A" w:rsidRPr="001A3046">
        <w:rPr>
          <w:rFonts w:cs="Times"/>
          <w:i/>
          <w:szCs w:val="20"/>
        </w:rPr>
        <w:t>M.</w:t>
      </w:r>
      <w:r w:rsidR="00334306" w:rsidRPr="001A3046">
        <w:rPr>
          <w:rFonts w:cs="Times"/>
          <w:i/>
          <w:szCs w:val="20"/>
        </w:rPr>
        <w:t xml:space="preserve"> </w:t>
      </w:r>
      <w:r w:rsidR="008B4D4A" w:rsidRPr="001A3046">
        <w:rPr>
          <w:rFonts w:cs="Times"/>
          <w:i/>
          <w:szCs w:val="20"/>
        </w:rPr>
        <w:t>leprae</w:t>
      </w:r>
      <w:r w:rsidR="008B4D4A" w:rsidRPr="001A3046">
        <w:rPr>
          <w:rFonts w:cs="Times"/>
          <w:szCs w:val="20"/>
        </w:rPr>
        <w:t xml:space="preserve"> has </w:t>
      </w:r>
      <w:r w:rsidR="005A2E41" w:rsidRPr="001A3046">
        <w:rPr>
          <w:rFonts w:cs="Times"/>
          <w:szCs w:val="20"/>
        </w:rPr>
        <w:t xml:space="preserve">also </w:t>
      </w:r>
      <w:r w:rsidR="008B4D4A" w:rsidRPr="001A3046">
        <w:rPr>
          <w:rFonts w:cs="Times"/>
          <w:szCs w:val="20"/>
        </w:rPr>
        <w:t>been found in the Brownsea Island</w:t>
      </w:r>
      <w:r w:rsidR="004031E8" w:rsidRPr="001A3046">
        <w:rPr>
          <w:rFonts w:cs="Times"/>
          <w:szCs w:val="20"/>
        </w:rPr>
        <w:t>,</w:t>
      </w:r>
      <w:r w:rsidR="008B4D4A" w:rsidRPr="001A3046">
        <w:rPr>
          <w:rFonts w:cs="Times"/>
          <w:szCs w:val="20"/>
        </w:rPr>
        <w:t xml:space="preserve"> </w:t>
      </w:r>
      <w:r w:rsidR="003D2BEF" w:rsidRPr="001A3046">
        <w:rPr>
          <w:rFonts w:cs="Times"/>
          <w:szCs w:val="20"/>
        </w:rPr>
        <w:t>England,</w:t>
      </w:r>
      <w:r w:rsidR="00D1670A" w:rsidRPr="001A3046">
        <w:rPr>
          <w:rFonts w:cs="Times"/>
          <w:szCs w:val="20"/>
        </w:rPr>
        <w:t xml:space="preserve"> </w:t>
      </w:r>
      <w:r w:rsidR="008B4D4A" w:rsidRPr="001A3046">
        <w:rPr>
          <w:rFonts w:cs="Times"/>
          <w:szCs w:val="20"/>
        </w:rPr>
        <w:t>population of red squirrels (</w:t>
      </w:r>
      <w:r w:rsidR="008B4D4A" w:rsidRPr="001A3046">
        <w:rPr>
          <w:rFonts w:cs="Times"/>
          <w:i/>
          <w:szCs w:val="20"/>
        </w:rPr>
        <w:t>Sciurus vulgaris</w:t>
      </w:r>
      <w:r w:rsidR="00660031" w:rsidRPr="001A3046">
        <w:rPr>
          <w:rFonts w:cs="Times"/>
          <w:szCs w:val="20"/>
        </w:rPr>
        <w:t xml:space="preserve">) </w:t>
      </w:r>
      <w:r w:rsidR="008B266D" w:rsidRPr="001A3046">
        <w:rPr>
          <w:rFonts w:cs="Times"/>
          <w:szCs w:val="20"/>
        </w:rPr>
        <w:t>[2</w:t>
      </w:r>
      <w:r w:rsidR="00081085" w:rsidRPr="001A3046">
        <w:rPr>
          <w:rFonts w:cs="Times"/>
          <w:szCs w:val="20"/>
        </w:rPr>
        <w:t>4</w:t>
      </w:r>
      <w:r w:rsidR="00267BE5" w:rsidRPr="001A3046">
        <w:rPr>
          <w:rFonts w:cs="Times"/>
          <w:szCs w:val="20"/>
        </w:rPr>
        <w:t>]</w:t>
      </w:r>
      <w:r w:rsidR="00660031" w:rsidRPr="001A3046">
        <w:rPr>
          <w:rFonts w:cs="Times"/>
          <w:szCs w:val="20"/>
        </w:rPr>
        <w:t xml:space="preserve">. </w:t>
      </w:r>
      <w:r w:rsidR="008B4D4A" w:rsidRPr="001A3046">
        <w:rPr>
          <w:rFonts w:cs="Times"/>
          <w:szCs w:val="20"/>
        </w:rPr>
        <w:t xml:space="preserve">This intriguing observation shows that </w:t>
      </w:r>
      <w:r w:rsidR="007D0F39" w:rsidRPr="001A3046">
        <w:rPr>
          <w:rFonts w:cs="Times"/>
          <w:szCs w:val="20"/>
        </w:rPr>
        <w:t>the pathogen can now cause d</w:t>
      </w:r>
      <w:r w:rsidR="005A2E41" w:rsidRPr="001A3046">
        <w:rPr>
          <w:rFonts w:cs="Times"/>
          <w:szCs w:val="20"/>
        </w:rPr>
        <w:t>isease in a third species, opening</w:t>
      </w:r>
      <w:r w:rsidR="007D0F39" w:rsidRPr="001A3046">
        <w:rPr>
          <w:rFonts w:cs="Times"/>
          <w:szCs w:val="20"/>
        </w:rPr>
        <w:t xml:space="preserve"> up the possibility of </w:t>
      </w:r>
      <w:r w:rsidR="005A2E41" w:rsidRPr="001A3046">
        <w:rPr>
          <w:rFonts w:cs="Times"/>
          <w:szCs w:val="20"/>
        </w:rPr>
        <w:t xml:space="preserve">a </w:t>
      </w:r>
      <w:r w:rsidR="007D0F39" w:rsidRPr="001A3046">
        <w:rPr>
          <w:rFonts w:cs="Times"/>
          <w:szCs w:val="20"/>
        </w:rPr>
        <w:t>zoonotic spread from squirrels to humans</w:t>
      </w:r>
      <w:r w:rsidR="00B24493" w:rsidRPr="001A3046">
        <w:rPr>
          <w:rFonts w:cs="Times"/>
          <w:szCs w:val="20"/>
        </w:rPr>
        <w:t xml:space="preserve"> (or vice-versa)</w:t>
      </w:r>
      <w:r w:rsidR="007D0F39" w:rsidRPr="001A3046">
        <w:rPr>
          <w:rFonts w:cs="Times"/>
          <w:szCs w:val="20"/>
        </w:rPr>
        <w:t xml:space="preserve"> in past and present populations</w:t>
      </w:r>
      <w:r w:rsidR="00BD4473" w:rsidRPr="001A3046">
        <w:rPr>
          <w:rFonts w:cs="Times"/>
          <w:szCs w:val="20"/>
        </w:rPr>
        <w:t>.</w:t>
      </w:r>
      <w:r w:rsidR="00CB7399" w:rsidRPr="001A3046">
        <w:rPr>
          <w:rFonts w:cs="Times"/>
          <w:szCs w:val="16"/>
        </w:rPr>
        <w:t xml:space="preserve"> </w:t>
      </w:r>
      <w:r w:rsidR="005B23F7" w:rsidRPr="001A3046">
        <w:rPr>
          <w:rFonts w:cs="Times"/>
          <w:szCs w:val="16"/>
        </w:rPr>
        <w:t>It is possible to envisage this happenin</w:t>
      </w:r>
      <w:r w:rsidR="004031E8" w:rsidRPr="001A3046">
        <w:rPr>
          <w:rFonts w:cs="Times"/>
          <w:szCs w:val="16"/>
        </w:rPr>
        <w:t>g in the days when red squirrel</w:t>
      </w:r>
      <w:r w:rsidR="005B23F7" w:rsidRPr="001A3046">
        <w:rPr>
          <w:rFonts w:cs="Times"/>
          <w:szCs w:val="16"/>
        </w:rPr>
        <w:t xml:space="preserve"> skins were an important export from Ireland in the heyday of the fur trade </w:t>
      </w:r>
      <w:r w:rsidR="008B266D" w:rsidRPr="001A3046">
        <w:rPr>
          <w:rFonts w:cs="Times"/>
          <w:szCs w:val="16"/>
        </w:rPr>
        <w:t>[</w:t>
      </w:r>
      <w:r w:rsidR="00081085" w:rsidRPr="001A3046">
        <w:rPr>
          <w:rFonts w:cs="Times"/>
          <w:szCs w:val="16"/>
        </w:rPr>
        <w:t>5</w:t>
      </w:r>
      <w:r w:rsidR="00C50DC4" w:rsidRPr="001A3046">
        <w:rPr>
          <w:rFonts w:cs="Times"/>
          <w:szCs w:val="16"/>
        </w:rPr>
        <w:t>8</w:t>
      </w:r>
      <w:r w:rsidR="00267BE5" w:rsidRPr="001A3046">
        <w:rPr>
          <w:rFonts w:cs="Times"/>
          <w:szCs w:val="16"/>
        </w:rPr>
        <w:t>]</w:t>
      </w:r>
      <w:r w:rsidR="005B23F7" w:rsidRPr="001A3046">
        <w:rPr>
          <w:rFonts w:cs="Times"/>
          <w:szCs w:val="16"/>
        </w:rPr>
        <w:t>.</w:t>
      </w:r>
    </w:p>
    <w:p w:rsidR="00CB7DB1" w:rsidRPr="001A3046" w:rsidRDefault="00CB7DB1" w:rsidP="00A833E7">
      <w:pPr>
        <w:pStyle w:val="NoteLevel11"/>
        <w:rPr>
          <w:rFonts w:cs="Times"/>
          <w:szCs w:val="16"/>
        </w:rPr>
      </w:pPr>
    </w:p>
    <w:p w:rsidR="003444EE" w:rsidRPr="001A3046" w:rsidRDefault="00CB7DB1" w:rsidP="00A833E7">
      <w:pPr>
        <w:pStyle w:val="NoteLevel11"/>
        <w:rPr>
          <w:rFonts w:cs="Times"/>
          <w:szCs w:val="20"/>
        </w:rPr>
      </w:pPr>
      <w:r w:rsidRPr="001A3046">
        <w:rPr>
          <w:rFonts w:cs="Times"/>
          <w:szCs w:val="16"/>
        </w:rPr>
        <w:t>The second stra</w:t>
      </w:r>
      <w:r w:rsidR="00250889" w:rsidRPr="001A3046">
        <w:rPr>
          <w:rFonts w:cs="Times"/>
          <w:szCs w:val="16"/>
        </w:rPr>
        <w:t>in to be found, in SkCCXXX</w:t>
      </w:r>
      <w:r w:rsidR="00FC33D2" w:rsidRPr="001A3046">
        <w:rPr>
          <w:rFonts w:cs="Times"/>
          <w:szCs w:val="16"/>
        </w:rPr>
        <w:t xml:space="preserve"> from Golden Lane, </w:t>
      </w:r>
      <w:r w:rsidRPr="001A3046">
        <w:rPr>
          <w:rFonts w:cs="Times"/>
          <w:szCs w:val="16"/>
        </w:rPr>
        <w:t xml:space="preserve">was a </w:t>
      </w:r>
      <w:r w:rsidR="00FC33D2" w:rsidRPr="001A3046">
        <w:rPr>
          <w:rFonts w:cs="Times"/>
          <w:szCs w:val="16"/>
        </w:rPr>
        <w:t xml:space="preserve">type </w:t>
      </w:r>
      <w:r w:rsidRPr="001A3046">
        <w:rPr>
          <w:rFonts w:cs="Times"/>
          <w:szCs w:val="16"/>
        </w:rPr>
        <w:t xml:space="preserve">2F isolate. </w:t>
      </w:r>
      <w:r w:rsidRPr="001A3046">
        <w:rPr>
          <w:rFonts w:cs="Helvetica"/>
          <w:szCs w:val="17"/>
        </w:rPr>
        <w:t>Previous</w:t>
      </w:r>
      <w:r w:rsidR="004031E8" w:rsidRPr="001A3046">
        <w:rPr>
          <w:rFonts w:cs="Helvetica"/>
          <w:szCs w:val="17"/>
        </w:rPr>
        <w:t>ly, type 2</w:t>
      </w:r>
      <w:r w:rsidR="00FC33D2" w:rsidRPr="001A3046">
        <w:rPr>
          <w:rFonts w:cs="Helvetica"/>
          <w:szCs w:val="17"/>
        </w:rPr>
        <w:t xml:space="preserve">s have been identified </w:t>
      </w:r>
      <w:r w:rsidRPr="001A3046">
        <w:rPr>
          <w:rFonts w:cs="Helvetica"/>
          <w:szCs w:val="17"/>
        </w:rPr>
        <w:t xml:space="preserve">as </w:t>
      </w:r>
      <w:r w:rsidR="00FC33D2" w:rsidRPr="001A3046">
        <w:rPr>
          <w:rFonts w:cs="Helvetica"/>
          <w:szCs w:val="17"/>
        </w:rPr>
        <w:t>a likely</w:t>
      </w:r>
      <w:r w:rsidRPr="001A3046">
        <w:rPr>
          <w:rFonts w:cs="Helvetica"/>
          <w:szCs w:val="17"/>
        </w:rPr>
        <w:t xml:space="preserve"> precursor strain that migrated from the Middle East to India and South-East Asia, subsequently evolving to type 1 strains. </w:t>
      </w:r>
      <w:r w:rsidR="002D174D" w:rsidRPr="001A3046">
        <w:rPr>
          <w:rFonts w:cs="Helvetica"/>
          <w:szCs w:val="17"/>
        </w:rPr>
        <w:t xml:space="preserve"> Present-day locations of this genotype include Turkey and Iran. </w:t>
      </w:r>
      <w:r w:rsidR="004031E8" w:rsidRPr="001A3046">
        <w:rPr>
          <w:rFonts w:cs="Helvetica"/>
          <w:szCs w:val="17"/>
        </w:rPr>
        <w:t>T</w:t>
      </w:r>
      <w:r w:rsidR="00FC33D2" w:rsidRPr="001A3046">
        <w:rPr>
          <w:rFonts w:cs="Helvetica"/>
          <w:szCs w:val="17"/>
        </w:rPr>
        <w:t xml:space="preserve">his lineage </w:t>
      </w:r>
      <w:r w:rsidR="004031E8" w:rsidRPr="001A3046">
        <w:rPr>
          <w:rFonts w:cs="Helvetica"/>
          <w:szCs w:val="17"/>
        </w:rPr>
        <w:t xml:space="preserve">has also been identified </w:t>
      </w:r>
      <w:r w:rsidR="00FC33D2" w:rsidRPr="001A3046">
        <w:rPr>
          <w:rFonts w:cs="Helvetica"/>
          <w:szCs w:val="17"/>
        </w:rPr>
        <w:t xml:space="preserve">in </w:t>
      </w:r>
      <w:r w:rsidR="004031E8" w:rsidRPr="001A3046">
        <w:rPr>
          <w:rFonts w:cs="Helvetica"/>
          <w:szCs w:val="17"/>
        </w:rPr>
        <w:t>two individuals, Sk8 (early 11</w:t>
      </w:r>
      <w:r w:rsidR="004031E8" w:rsidRPr="001A3046">
        <w:rPr>
          <w:rFonts w:cs="Helvetica"/>
          <w:szCs w:val="17"/>
          <w:vertAlign w:val="superscript"/>
        </w:rPr>
        <w:t>th</w:t>
      </w:r>
      <w:r w:rsidR="004031E8" w:rsidRPr="001A3046">
        <w:rPr>
          <w:rFonts w:cs="Helvetica"/>
          <w:szCs w:val="17"/>
        </w:rPr>
        <w:t>-12</w:t>
      </w:r>
      <w:r w:rsidR="004031E8" w:rsidRPr="001A3046">
        <w:rPr>
          <w:rFonts w:cs="Helvetica"/>
          <w:szCs w:val="17"/>
          <w:vertAlign w:val="superscript"/>
        </w:rPr>
        <w:t>th</w:t>
      </w:r>
      <w:r w:rsidR="00267BE5" w:rsidRPr="001A3046">
        <w:rPr>
          <w:rFonts w:cs="Helvetica"/>
          <w:szCs w:val="17"/>
        </w:rPr>
        <w:t xml:space="preserve"> century) and Sk14 (mid-</w:t>
      </w:r>
      <w:r w:rsidR="004031E8" w:rsidRPr="001A3046">
        <w:rPr>
          <w:rFonts w:cs="Helvetica"/>
          <w:szCs w:val="17"/>
        </w:rPr>
        <w:t>10</w:t>
      </w:r>
      <w:r w:rsidR="004031E8" w:rsidRPr="001A3046">
        <w:rPr>
          <w:rFonts w:cs="Helvetica"/>
          <w:szCs w:val="17"/>
          <w:vertAlign w:val="superscript"/>
        </w:rPr>
        <w:t>th</w:t>
      </w:r>
      <w:r w:rsidR="004031E8" w:rsidRPr="001A3046">
        <w:rPr>
          <w:rFonts w:cs="Helvetica"/>
          <w:szCs w:val="17"/>
        </w:rPr>
        <w:t>-11</w:t>
      </w:r>
      <w:r w:rsidR="004031E8" w:rsidRPr="001A3046">
        <w:rPr>
          <w:rFonts w:cs="Helvetica"/>
          <w:szCs w:val="17"/>
          <w:vertAlign w:val="superscript"/>
        </w:rPr>
        <w:t>th</w:t>
      </w:r>
      <w:r w:rsidR="004031E8" w:rsidRPr="001A3046">
        <w:rPr>
          <w:rFonts w:cs="Helvetica"/>
          <w:szCs w:val="17"/>
        </w:rPr>
        <w:t xml:space="preserve"> century), from </w:t>
      </w:r>
      <w:r w:rsidR="00FC33D2" w:rsidRPr="001A3046">
        <w:rPr>
          <w:rFonts w:cs="Helvetica"/>
          <w:szCs w:val="17"/>
        </w:rPr>
        <w:t xml:space="preserve">the </w:t>
      </w:r>
      <w:r w:rsidR="00FC33D2" w:rsidRPr="001A3046">
        <w:rPr>
          <w:rFonts w:cs="Helvetica"/>
          <w:i/>
          <w:szCs w:val="17"/>
        </w:rPr>
        <w:t>leprosarium</w:t>
      </w:r>
      <w:r w:rsidR="004031E8" w:rsidRPr="001A3046">
        <w:rPr>
          <w:rFonts w:cs="Helvetica"/>
          <w:szCs w:val="17"/>
        </w:rPr>
        <w:t xml:space="preserve"> of St</w:t>
      </w:r>
      <w:r w:rsidR="00FC33D2" w:rsidRPr="001A3046">
        <w:rPr>
          <w:rFonts w:cs="Helvetica"/>
          <w:szCs w:val="17"/>
        </w:rPr>
        <w:t xml:space="preserve"> Mary Magdalene</w:t>
      </w:r>
      <w:r w:rsidR="004031E8" w:rsidRPr="001A3046">
        <w:rPr>
          <w:rFonts w:cs="Helvetica"/>
          <w:szCs w:val="17"/>
        </w:rPr>
        <w:t>, Winchester</w:t>
      </w:r>
      <w:r w:rsidR="00FC33D2" w:rsidRPr="001A3046">
        <w:rPr>
          <w:rFonts w:cs="Helvetica"/>
          <w:szCs w:val="17"/>
        </w:rPr>
        <w:t xml:space="preserve">. </w:t>
      </w:r>
      <w:r w:rsidR="0003793C" w:rsidRPr="001A3046">
        <w:rPr>
          <w:rFonts w:cs="Helvetica"/>
          <w:szCs w:val="17"/>
        </w:rPr>
        <w:t xml:space="preserve"> Economou and colleagues </w:t>
      </w:r>
      <w:r w:rsidR="00A3506B" w:rsidRPr="001A3046">
        <w:rPr>
          <w:rFonts w:cs="Helvetica"/>
          <w:szCs w:val="17"/>
        </w:rPr>
        <w:t>[5</w:t>
      </w:r>
      <w:r w:rsidR="00C50DC4" w:rsidRPr="001A3046">
        <w:rPr>
          <w:rFonts w:cs="Helvetica"/>
          <w:szCs w:val="17"/>
        </w:rPr>
        <w:t>6</w:t>
      </w:r>
      <w:r w:rsidR="00A3506B" w:rsidRPr="001A3046">
        <w:rPr>
          <w:rFonts w:cs="Helvetica"/>
          <w:szCs w:val="17"/>
        </w:rPr>
        <w:t xml:space="preserve">] </w:t>
      </w:r>
      <w:r w:rsidR="0003793C" w:rsidRPr="001A3046">
        <w:rPr>
          <w:rFonts w:cs="Helvetica"/>
          <w:szCs w:val="17"/>
        </w:rPr>
        <w:t>also r</w:t>
      </w:r>
      <w:r w:rsidR="003444EE" w:rsidRPr="001A3046">
        <w:rPr>
          <w:rFonts w:cs="Helvetica"/>
          <w:szCs w:val="17"/>
        </w:rPr>
        <w:t>e</w:t>
      </w:r>
      <w:r w:rsidR="00B01474" w:rsidRPr="001A3046">
        <w:rPr>
          <w:rFonts w:cs="Helvetica"/>
          <w:szCs w:val="17"/>
        </w:rPr>
        <w:t>ported lineage 2</w:t>
      </w:r>
      <w:r w:rsidR="0003793C" w:rsidRPr="001A3046">
        <w:rPr>
          <w:rFonts w:cs="Helvetica"/>
          <w:szCs w:val="17"/>
        </w:rPr>
        <w:t xml:space="preserve"> strains in medieval S</w:t>
      </w:r>
      <w:r w:rsidR="00E85097" w:rsidRPr="001A3046">
        <w:rPr>
          <w:rFonts w:cs="Helvetica"/>
          <w:szCs w:val="17"/>
        </w:rPr>
        <w:t>c</w:t>
      </w:r>
      <w:r w:rsidR="0003793C" w:rsidRPr="001A3046">
        <w:rPr>
          <w:rFonts w:cs="Helvetica"/>
          <w:szCs w:val="17"/>
        </w:rPr>
        <w:t xml:space="preserve">andinavia. </w:t>
      </w:r>
      <w:r w:rsidR="004C4A44" w:rsidRPr="001A3046">
        <w:rPr>
          <w:rFonts w:cs="Helvetica"/>
          <w:szCs w:val="17"/>
        </w:rPr>
        <w:t xml:space="preserve"> </w:t>
      </w:r>
      <w:r w:rsidR="004031E8" w:rsidRPr="001A3046">
        <w:rPr>
          <w:rFonts w:cs="Helvetica"/>
          <w:szCs w:val="17"/>
        </w:rPr>
        <w:t>The presence of a</w:t>
      </w:r>
      <w:r w:rsidR="00FC33D2" w:rsidRPr="001A3046">
        <w:rPr>
          <w:rFonts w:cs="Helvetica"/>
          <w:szCs w:val="17"/>
        </w:rPr>
        <w:t xml:space="preserve"> second lineage at </w:t>
      </w:r>
      <w:r w:rsidR="004031E8" w:rsidRPr="001A3046">
        <w:rPr>
          <w:rFonts w:cs="Helvetica"/>
          <w:szCs w:val="17"/>
        </w:rPr>
        <w:t xml:space="preserve">the </w:t>
      </w:r>
      <w:r w:rsidR="00FC33D2" w:rsidRPr="001A3046">
        <w:rPr>
          <w:rFonts w:cs="Helvetica"/>
          <w:szCs w:val="17"/>
        </w:rPr>
        <w:t xml:space="preserve">Golden Lane cemetery may indicate a separate </w:t>
      </w:r>
      <w:r w:rsidR="005019BC" w:rsidRPr="001A3046">
        <w:rPr>
          <w:rFonts w:cs="Helvetica"/>
          <w:szCs w:val="17"/>
        </w:rPr>
        <w:t>incursion of leprosy, probably</w:t>
      </w:r>
      <w:r w:rsidR="00B4155B" w:rsidRPr="001A3046">
        <w:rPr>
          <w:rFonts w:cs="Helvetica"/>
          <w:szCs w:val="17"/>
        </w:rPr>
        <w:t xml:space="preserve"> </w:t>
      </w:r>
      <w:r w:rsidR="00097759" w:rsidRPr="001A3046">
        <w:rPr>
          <w:rFonts w:cs="Helvetica"/>
          <w:szCs w:val="17"/>
        </w:rPr>
        <w:t xml:space="preserve">originally </w:t>
      </w:r>
      <w:r w:rsidR="00B4155B" w:rsidRPr="001A3046">
        <w:rPr>
          <w:rFonts w:cs="Helvetica"/>
          <w:szCs w:val="17"/>
        </w:rPr>
        <w:t>from a</w:t>
      </w:r>
      <w:r w:rsidR="0088053B" w:rsidRPr="001A3046">
        <w:rPr>
          <w:rFonts w:cs="Helvetica"/>
          <w:szCs w:val="17"/>
        </w:rPr>
        <w:t xml:space="preserve"> different geographical origin.</w:t>
      </w:r>
      <w:r w:rsidR="00FB27A1" w:rsidRPr="001A3046">
        <w:rPr>
          <w:rFonts w:cs="Helvetica"/>
          <w:szCs w:val="17"/>
        </w:rPr>
        <w:t xml:space="preserve"> Whilst 2F subtypes of </w:t>
      </w:r>
      <w:r w:rsidR="00FB27A1" w:rsidRPr="001A3046">
        <w:rPr>
          <w:rFonts w:cs="Helvetica"/>
          <w:i/>
          <w:szCs w:val="17"/>
        </w:rPr>
        <w:t>M.</w:t>
      </w:r>
      <w:r w:rsidR="00334306" w:rsidRPr="001A3046">
        <w:rPr>
          <w:rFonts w:cs="Helvetica"/>
          <w:i/>
          <w:szCs w:val="17"/>
        </w:rPr>
        <w:t xml:space="preserve"> </w:t>
      </w:r>
      <w:r w:rsidR="00FB27A1" w:rsidRPr="001A3046">
        <w:rPr>
          <w:rFonts w:cs="Helvetica"/>
          <w:i/>
          <w:szCs w:val="17"/>
        </w:rPr>
        <w:t>leprae</w:t>
      </w:r>
      <w:r w:rsidR="00FB27A1" w:rsidRPr="001A3046">
        <w:rPr>
          <w:rFonts w:cs="Helvetica"/>
          <w:szCs w:val="17"/>
        </w:rPr>
        <w:t xml:space="preserve"> are</w:t>
      </w:r>
      <w:r w:rsidR="004C4A44" w:rsidRPr="001A3046">
        <w:rPr>
          <w:rFonts w:cs="Helvetica"/>
          <w:szCs w:val="17"/>
        </w:rPr>
        <w:t xml:space="preserve"> </w:t>
      </w:r>
      <w:r w:rsidR="00B344E0" w:rsidRPr="001A3046">
        <w:rPr>
          <w:rFonts w:cs="Helvetica"/>
          <w:szCs w:val="17"/>
        </w:rPr>
        <w:t>relatively rare</w:t>
      </w:r>
      <w:r w:rsidR="004C4A44" w:rsidRPr="001A3046">
        <w:rPr>
          <w:rFonts w:cs="Helvetica"/>
          <w:szCs w:val="17"/>
        </w:rPr>
        <w:t>ly</w:t>
      </w:r>
      <w:r w:rsidR="00B344E0" w:rsidRPr="001A3046">
        <w:rPr>
          <w:rFonts w:cs="Helvetica"/>
          <w:szCs w:val="17"/>
        </w:rPr>
        <w:t xml:space="preserve"> found amongst extant strains</w:t>
      </w:r>
      <w:r w:rsidR="00FB27A1" w:rsidRPr="001A3046">
        <w:rPr>
          <w:rFonts w:cs="Helvetica"/>
          <w:szCs w:val="17"/>
        </w:rPr>
        <w:t>, they are emerging as one of two mor</w:t>
      </w:r>
      <w:r w:rsidR="0088053B" w:rsidRPr="001A3046">
        <w:rPr>
          <w:rFonts w:cs="Helvetica"/>
          <w:szCs w:val="17"/>
        </w:rPr>
        <w:t>e commonly encountered</w:t>
      </w:r>
      <w:r w:rsidR="00FB27A1" w:rsidRPr="001A3046">
        <w:rPr>
          <w:rFonts w:cs="Helvetica"/>
          <w:szCs w:val="17"/>
        </w:rPr>
        <w:t xml:space="preserve"> isolates in archaeological material, although admittedly, the numbers stu</w:t>
      </w:r>
      <w:r w:rsidR="00FE31F5" w:rsidRPr="001A3046">
        <w:rPr>
          <w:rFonts w:cs="Helvetica"/>
          <w:szCs w:val="17"/>
        </w:rPr>
        <w:t xml:space="preserve">died by aDNA analyses </w:t>
      </w:r>
      <w:r w:rsidR="003C7544" w:rsidRPr="001A3046">
        <w:rPr>
          <w:rFonts w:cs="Helvetica"/>
          <w:szCs w:val="17"/>
        </w:rPr>
        <w:t xml:space="preserve">remain </w:t>
      </w:r>
      <w:r w:rsidR="00AC1F80" w:rsidRPr="001A3046">
        <w:rPr>
          <w:rFonts w:cs="Helvetica"/>
          <w:szCs w:val="17"/>
        </w:rPr>
        <w:t xml:space="preserve">relatively </w:t>
      </w:r>
      <w:r w:rsidR="003444EE" w:rsidRPr="001A3046">
        <w:rPr>
          <w:rFonts w:cs="Helvetica"/>
          <w:szCs w:val="17"/>
        </w:rPr>
        <w:t>small</w:t>
      </w:r>
      <w:r w:rsidR="00663297" w:rsidRPr="001A3046">
        <w:rPr>
          <w:rFonts w:cs="Helvetica"/>
          <w:szCs w:val="17"/>
        </w:rPr>
        <w:t>.</w:t>
      </w:r>
      <w:r w:rsidR="00781D63" w:rsidRPr="001A3046">
        <w:rPr>
          <w:rFonts w:cs="Helvetica"/>
          <w:szCs w:val="17"/>
        </w:rPr>
        <w:t xml:space="preserve"> </w:t>
      </w:r>
      <w:r w:rsidR="003444EE" w:rsidRPr="001A3046">
        <w:rPr>
          <w:rFonts w:cs="Helvetica"/>
          <w:szCs w:val="17"/>
        </w:rPr>
        <w:t>A</w:t>
      </w:r>
      <w:r w:rsidR="005019BC" w:rsidRPr="001A3046">
        <w:rPr>
          <w:rFonts w:cs="Helvetica"/>
          <w:szCs w:val="17"/>
        </w:rPr>
        <w:t>s</w:t>
      </w:r>
      <w:r w:rsidR="003444EE" w:rsidRPr="001A3046">
        <w:rPr>
          <w:rFonts w:cs="Times"/>
          <w:szCs w:val="20"/>
        </w:rPr>
        <w:t xml:space="preserve"> </w:t>
      </w:r>
      <w:r w:rsidR="005019BC" w:rsidRPr="001A3046">
        <w:rPr>
          <w:rFonts w:cs="Times"/>
          <w:szCs w:val="20"/>
        </w:rPr>
        <w:t xml:space="preserve">already mentioned, a </w:t>
      </w:r>
      <w:r w:rsidR="003444EE" w:rsidRPr="001A3046">
        <w:rPr>
          <w:rFonts w:cs="Times"/>
          <w:szCs w:val="20"/>
        </w:rPr>
        <w:t xml:space="preserve">type 2F </w:t>
      </w:r>
      <w:r w:rsidR="00A3506B" w:rsidRPr="001A3046">
        <w:rPr>
          <w:rFonts w:cs="Times"/>
          <w:szCs w:val="20"/>
        </w:rPr>
        <w:t xml:space="preserve">was amongst isolates </w:t>
      </w:r>
      <w:r w:rsidR="00267BE5" w:rsidRPr="001A3046">
        <w:rPr>
          <w:rFonts w:cs="Times"/>
          <w:szCs w:val="20"/>
        </w:rPr>
        <w:t xml:space="preserve">recently described </w:t>
      </w:r>
      <w:r w:rsidR="000761F1" w:rsidRPr="001A3046">
        <w:rPr>
          <w:rFonts w:cs="Times"/>
          <w:szCs w:val="20"/>
        </w:rPr>
        <w:t>[22</w:t>
      </w:r>
      <w:r w:rsidR="003D03EF" w:rsidRPr="001A3046">
        <w:rPr>
          <w:rFonts w:cs="Times"/>
          <w:szCs w:val="20"/>
        </w:rPr>
        <w:t xml:space="preserve">] </w:t>
      </w:r>
      <w:r w:rsidR="003444EE" w:rsidRPr="001A3046">
        <w:rPr>
          <w:rFonts w:cs="Times"/>
          <w:szCs w:val="20"/>
        </w:rPr>
        <w:t>from body T18, from the Vicenne-Campochiaro necropolis in Molise, central Italy</w:t>
      </w:r>
      <w:r w:rsidR="0088053B" w:rsidRPr="001A3046">
        <w:rPr>
          <w:rFonts w:cs="Times"/>
          <w:szCs w:val="20"/>
        </w:rPr>
        <w:t>, thereby</w:t>
      </w:r>
      <w:r w:rsidR="003444EE" w:rsidRPr="001A3046">
        <w:rPr>
          <w:rFonts w:cs="Times"/>
          <w:szCs w:val="20"/>
        </w:rPr>
        <w:t xml:space="preserve"> extending the</w:t>
      </w:r>
      <w:r w:rsidR="0088053B" w:rsidRPr="001A3046">
        <w:rPr>
          <w:rFonts w:cs="Times"/>
          <w:szCs w:val="20"/>
        </w:rPr>
        <w:t xml:space="preserve"> known range of this genotype to </w:t>
      </w:r>
      <w:r w:rsidR="003444EE" w:rsidRPr="001A3046">
        <w:rPr>
          <w:rFonts w:cs="Times"/>
          <w:szCs w:val="20"/>
        </w:rPr>
        <w:t>6</w:t>
      </w:r>
      <w:r w:rsidR="003444EE" w:rsidRPr="001A3046">
        <w:rPr>
          <w:rFonts w:cs="Times"/>
          <w:szCs w:val="20"/>
          <w:vertAlign w:val="superscript"/>
        </w:rPr>
        <w:t>th</w:t>
      </w:r>
      <w:r w:rsidR="0088053B" w:rsidRPr="001A3046">
        <w:rPr>
          <w:rFonts w:cs="Times"/>
          <w:szCs w:val="20"/>
        </w:rPr>
        <w:t>–</w:t>
      </w:r>
      <w:r w:rsidR="003444EE" w:rsidRPr="001A3046">
        <w:rPr>
          <w:rFonts w:cs="Times"/>
          <w:szCs w:val="20"/>
        </w:rPr>
        <w:t>8</w:t>
      </w:r>
      <w:r w:rsidR="003444EE" w:rsidRPr="001A3046">
        <w:rPr>
          <w:rFonts w:cs="Times"/>
          <w:szCs w:val="20"/>
          <w:vertAlign w:val="superscript"/>
        </w:rPr>
        <w:t>th</w:t>
      </w:r>
      <w:r w:rsidR="0088053B" w:rsidRPr="001A3046">
        <w:rPr>
          <w:rFonts w:cs="Times"/>
          <w:szCs w:val="20"/>
        </w:rPr>
        <w:t>-century</w:t>
      </w:r>
      <w:r w:rsidR="00A833E7" w:rsidRPr="001A3046">
        <w:rPr>
          <w:rFonts w:cs="Times"/>
          <w:szCs w:val="20"/>
        </w:rPr>
        <w:t xml:space="preserve"> </w:t>
      </w:r>
      <w:r w:rsidR="003444EE" w:rsidRPr="001A3046">
        <w:rPr>
          <w:rFonts w:cs="Times"/>
          <w:szCs w:val="20"/>
        </w:rPr>
        <w:t>Europe.</w:t>
      </w:r>
      <w:r w:rsidR="005019BC" w:rsidRPr="001A3046">
        <w:rPr>
          <w:rFonts w:cs="Times"/>
          <w:szCs w:val="20"/>
        </w:rPr>
        <w:t xml:space="preserve">  </w:t>
      </w:r>
    </w:p>
    <w:p w:rsidR="0088053B" w:rsidRPr="001A3046" w:rsidRDefault="0088053B" w:rsidP="00A833E7">
      <w:pPr>
        <w:pStyle w:val="NoteLevel11"/>
        <w:rPr>
          <w:rFonts w:cs="Helvetica"/>
          <w:szCs w:val="17"/>
        </w:rPr>
      </w:pPr>
    </w:p>
    <w:p w:rsidR="00F82636" w:rsidRPr="001A3046" w:rsidRDefault="00AA5E5B" w:rsidP="00A833E7">
      <w:pPr>
        <w:pStyle w:val="NoteLevel11"/>
        <w:rPr>
          <w:rFonts w:cs="Helvetica"/>
          <w:szCs w:val="17"/>
        </w:rPr>
      </w:pPr>
      <w:r w:rsidRPr="001A3046">
        <w:rPr>
          <w:rFonts w:cs="Helvetica"/>
          <w:szCs w:val="17"/>
        </w:rPr>
        <w:t xml:space="preserve">Radiocarbon dating </w:t>
      </w:r>
      <w:r w:rsidR="005019BC" w:rsidRPr="001A3046">
        <w:rPr>
          <w:rFonts w:cs="Helvetica"/>
          <w:szCs w:val="17"/>
        </w:rPr>
        <w:t>from the present study</w:t>
      </w:r>
      <w:r w:rsidR="002E0F88" w:rsidRPr="001A3046">
        <w:rPr>
          <w:rFonts w:cs="Helvetica"/>
          <w:szCs w:val="17"/>
        </w:rPr>
        <w:t xml:space="preserve"> </w:t>
      </w:r>
      <w:r w:rsidR="005019BC" w:rsidRPr="001A3046">
        <w:rPr>
          <w:rFonts w:cs="Helvetica"/>
          <w:szCs w:val="17"/>
        </w:rPr>
        <w:t>(</w:t>
      </w:r>
      <w:r w:rsidR="002E0F88" w:rsidRPr="001A3046">
        <w:rPr>
          <w:rFonts w:cs="Helvetica"/>
          <w:szCs w:val="17"/>
        </w:rPr>
        <w:t xml:space="preserve">and </w:t>
      </w:r>
      <w:r w:rsidR="0088053B" w:rsidRPr="001A3046">
        <w:rPr>
          <w:rFonts w:cs="Helvetica"/>
          <w:szCs w:val="17"/>
        </w:rPr>
        <w:t xml:space="preserve">the </w:t>
      </w:r>
      <w:r w:rsidR="00663297" w:rsidRPr="001A3046">
        <w:rPr>
          <w:rFonts w:cs="Helvetica"/>
          <w:szCs w:val="17"/>
        </w:rPr>
        <w:t xml:space="preserve">references </w:t>
      </w:r>
      <w:r w:rsidR="002E0F88" w:rsidRPr="001A3046">
        <w:rPr>
          <w:rFonts w:cs="Helvetica"/>
          <w:szCs w:val="17"/>
        </w:rPr>
        <w:t>cited above</w:t>
      </w:r>
      <w:r w:rsidR="005019BC" w:rsidRPr="001A3046">
        <w:rPr>
          <w:rFonts w:cs="Helvetica"/>
          <w:szCs w:val="17"/>
        </w:rPr>
        <w:t>)</w:t>
      </w:r>
      <w:r w:rsidR="002E0F88" w:rsidRPr="001A3046">
        <w:rPr>
          <w:rFonts w:cs="Helvetica"/>
          <w:szCs w:val="17"/>
        </w:rPr>
        <w:t xml:space="preserve"> </w:t>
      </w:r>
      <w:r w:rsidR="0088053B" w:rsidRPr="001A3046">
        <w:rPr>
          <w:rFonts w:cs="Helvetica"/>
          <w:szCs w:val="17"/>
        </w:rPr>
        <w:t>demonstrates</w:t>
      </w:r>
      <w:r w:rsidRPr="001A3046">
        <w:rPr>
          <w:rFonts w:cs="Helvetica"/>
          <w:szCs w:val="17"/>
        </w:rPr>
        <w:t xml:space="preserve"> that both strains were contemporaneous, </w:t>
      </w:r>
      <w:r w:rsidR="002E0F88" w:rsidRPr="001A3046">
        <w:rPr>
          <w:rFonts w:cs="Helvetica"/>
          <w:szCs w:val="17"/>
        </w:rPr>
        <w:t>but information on how long each</w:t>
      </w:r>
      <w:r w:rsidR="0088053B" w:rsidRPr="001A3046">
        <w:rPr>
          <w:rFonts w:cs="Helvetica"/>
          <w:szCs w:val="17"/>
        </w:rPr>
        <w:t xml:space="preserve"> persisted into the later M</w:t>
      </w:r>
      <w:r w:rsidRPr="001A3046">
        <w:rPr>
          <w:rFonts w:cs="Helvetica"/>
          <w:szCs w:val="17"/>
        </w:rPr>
        <w:t>edieval period is</w:t>
      </w:r>
      <w:r w:rsidR="0088053B" w:rsidRPr="001A3046">
        <w:rPr>
          <w:rFonts w:cs="Helvetica"/>
          <w:szCs w:val="17"/>
        </w:rPr>
        <w:t xml:space="preserve"> still</w:t>
      </w:r>
      <w:r w:rsidRPr="001A3046">
        <w:rPr>
          <w:rFonts w:cs="Helvetica"/>
          <w:szCs w:val="17"/>
        </w:rPr>
        <w:t xml:space="preserve"> lacking. </w:t>
      </w:r>
    </w:p>
    <w:p w:rsidR="0088053B" w:rsidRPr="001A3046" w:rsidRDefault="0088053B" w:rsidP="00876AE7">
      <w:pPr>
        <w:pStyle w:val="NoteLevel11"/>
        <w:rPr>
          <w:rFonts w:cs="Helvetica"/>
          <w:szCs w:val="17"/>
        </w:rPr>
      </w:pPr>
    </w:p>
    <w:p w:rsidR="00B24493" w:rsidRPr="001A3046" w:rsidRDefault="00781D63" w:rsidP="00876AE7">
      <w:pPr>
        <w:pStyle w:val="NoteLevel11"/>
        <w:rPr>
          <w:rFonts w:cs="Times"/>
          <w:szCs w:val="16"/>
        </w:rPr>
      </w:pPr>
      <w:r w:rsidRPr="001A3046">
        <w:rPr>
          <w:rFonts w:cs="Helvetica"/>
          <w:szCs w:val="17"/>
        </w:rPr>
        <w:t xml:space="preserve">The other two </w:t>
      </w:r>
      <w:r w:rsidR="0088053B" w:rsidRPr="001A3046">
        <w:rPr>
          <w:rFonts w:cs="Helvetica"/>
          <w:szCs w:val="17"/>
        </w:rPr>
        <w:t xml:space="preserve">osteological cases of leprosy, those from Ardreigh and Armoy, </w:t>
      </w:r>
      <w:r w:rsidRPr="001A3046">
        <w:rPr>
          <w:rFonts w:cs="Helvetica"/>
          <w:szCs w:val="17"/>
        </w:rPr>
        <w:t xml:space="preserve">were both negative for </w:t>
      </w:r>
      <w:r w:rsidRPr="001A3046">
        <w:rPr>
          <w:rFonts w:cs="Helvetica"/>
          <w:i/>
          <w:szCs w:val="17"/>
        </w:rPr>
        <w:t>M.</w:t>
      </w:r>
      <w:r w:rsidR="00334306" w:rsidRPr="001A3046">
        <w:rPr>
          <w:rFonts w:cs="Helvetica"/>
          <w:i/>
          <w:szCs w:val="17"/>
        </w:rPr>
        <w:t xml:space="preserve"> </w:t>
      </w:r>
      <w:r w:rsidRPr="001A3046">
        <w:rPr>
          <w:rFonts w:cs="Helvetica"/>
          <w:i/>
          <w:szCs w:val="17"/>
        </w:rPr>
        <w:t>leprae</w:t>
      </w:r>
      <w:r w:rsidR="0088053B" w:rsidRPr="001A3046">
        <w:rPr>
          <w:rFonts w:cs="Helvetica"/>
          <w:szCs w:val="17"/>
        </w:rPr>
        <w:t xml:space="preserve"> DNA.</w:t>
      </w:r>
      <w:r w:rsidR="00E27A6E" w:rsidRPr="001A3046">
        <w:rPr>
          <w:rFonts w:cs="Helvetica"/>
          <w:szCs w:val="17"/>
        </w:rPr>
        <w:t xml:space="preserve"> They were also negative for the second possible pathogenic agent of leprosy, </w:t>
      </w:r>
      <w:r w:rsidR="00BB7280" w:rsidRPr="001A3046">
        <w:rPr>
          <w:rFonts w:cs="Helvetica"/>
          <w:i/>
          <w:szCs w:val="17"/>
        </w:rPr>
        <w:t>M.</w:t>
      </w:r>
      <w:r w:rsidR="00334306" w:rsidRPr="001A3046">
        <w:rPr>
          <w:rFonts w:cs="Helvetica"/>
          <w:i/>
          <w:szCs w:val="17"/>
        </w:rPr>
        <w:t xml:space="preserve"> </w:t>
      </w:r>
      <w:r w:rsidR="00BB7280" w:rsidRPr="001A3046">
        <w:rPr>
          <w:rFonts w:cs="Helvetica"/>
          <w:i/>
          <w:szCs w:val="17"/>
        </w:rPr>
        <w:t>lepromatosis</w:t>
      </w:r>
      <w:r w:rsidR="00E27A6E" w:rsidRPr="001A3046">
        <w:rPr>
          <w:rFonts w:cs="Helvetica"/>
          <w:szCs w:val="17"/>
        </w:rPr>
        <w:t xml:space="preserve">. </w:t>
      </w:r>
      <w:r w:rsidRPr="001A3046">
        <w:rPr>
          <w:rFonts w:cs="Helvetica"/>
          <w:szCs w:val="17"/>
        </w:rPr>
        <w:t xml:space="preserve">In the case of the Armoy remains, this could be due to </w:t>
      </w:r>
      <w:r w:rsidR="00990597" w:rsidRPr="001A3046">
        <w:rPr>
          <w:rFonts w:cs="Helvetica"/>
          <w:szCs w:val="17"/>
        </w:rPr>
        <w:t xml:space="preserve">a </w:t>
      </w:r>
      <w:r w:rsidRPr="001A3046">
        <w:rPr>
          <w:rFonts w:cs="Helvetica"/>
          <w:szCs w:val="17"/>
        </w:rPr>
        <w:t xml:space="preserve">lack of </w:t>
      </w:r>
      <w:r w:rsidR="002B6B6E" w:rsidRPr="001A3046">
        <w:rPr>
          <w:rFonts w:cs="Helvetica"/>
          <w:szCs w:val="17"/>
        </w:rPr>
        <w:t xml:space="preserve">any </w:t>
      </w:r>
      <w:r w:rsidRPr="001A3046">
        <w:rPr>
          <w:rFonts w:cs="Helvetica"/>
          <w:szCs w:val="17"/>
        </w:rPr>
        <w:t xml:space="preserve">DNA survival as no human mtDNA could be detected either. </w:t>
      </w:r>
      <w:r w:rsidR="002B6B6E" w:rsidRPr="001A3046">
        <w:rPr>
          <w:rFonts w:cs="Helvetica"/>
          <w:szCs w:val="17"/>
        </w:rPr>
        <w:t xml:space="preserve"> Mitochondrial DNA was</w:t>
      </w:r>
      <w:r w:rsidR="0088053B" w:rsidRPr="001A3046">
        <w:rPr>
          <w:rFonts w:cs="Helvetica"/>
          <w:szCs w:val="17"/>
        </w:rPr>
        <w:t xml:space="preserve"> present in the Ardreigh skeleton</w:t>
      </w:r>
      <w:r w:rsidR="002B6B6E" w:rsidRPr="001A3046">
        <w:rPr>
          <w:rFonts w:cs="Helvetica"/>
          <w:szCs w:val="17"/>
        </w:rPr>
        <w:t xml:space="preserve">, </w:t>
      </w:r>
      <w:r w:rsidR="003D2BEF" w:rsidRPr="001A3046">
        <w:rPr>
          <w:rFonts w:cs="Helvetica"/>
          <w:szCs w:val="17"/>
        </w:rPr>
        <w:t xml:space="preserve">however, thereby </w:t>
      </w:r>
      <w:r w:rsidR="002B6B6E" w:rsidRPr="001A3046">
        <w:rPr>
          <w:rFonts w:cs="Helvetica"/>
          <w:szCs w:val="17"/>
        </w:rPr>
        <w:t xml:space="preserve">indicating that </w:t>
      </w:r>
      <w:r w:rsidR="0088053B" w:rsidRPr="001A3046">
        <w:rPr>
          <w:rFonts w:cs="Helvetica"/>
          <w:szCs w:val="17"/>
        </w:rPr>
        <w:t>DNA from either pathogen</w:t>
      </w:r>
      <w:r w:rsidR="002B6B6E" w:rsidRPr="001A3046">
        <w:rPr>
          <w:rFonts w:cs="Helvetica"/>
          <w:szCs w:val="17"/>
        </w:rPr>
        <w:t xml:space="preserve"> should have been found if it had been present. It has often been observed than </w:t>
      </w:r>
      <w:r w:rsidR="00334306" w:rsidRPr="001A3046">
        <w:rPr>
          <w:rFonts w:cs="Helvetica"/>
          <w:szCs w:val="17"/>
        </w:rPr>
        <w:t>m</w:t>
      </w:r>
      <w:r w:rsidR="002B6B6E" w:rsidRPr="001A3046">
        <w:rPr>
          <w:rFonts w:cs="Helvetica"/>
          <w:szCs w:val="17"/>
        </w:rPr>
        <w:t>ycobacterial DNA persists even when</w:t>
      </w:r>
      <w:r w:rsidR="00F82636" w:rsidRPr="001A3046">
        <w:rPr>
          <w:rFonts w:cs="Helvetica"/>
          <w:szCs w:val="17"/>
        </w:rPr>
        <w:t xml:space="preserve"> human DNA has degraded</w:t>
      </w:r>
      <w:r w:rsidR="00AA5E5B" w:rsidRPr="001A3046">
        <w:rPr>
          <w:rFonts w:cs="Helvetica"/>
          <w:szCs w:val="17"/>
        </w:rPr>
        <w:t xml:space="preserve">, </w:t>
      </w:r>
      <w:r w:rsidR="0088053B" w:rsidRPr="001A3046">
        <w:rPr>
          <w:rFonts w:cs="Helvetica"/>
          <w:szCs w:val="17"/>
        </w:rPr>
        <w:t>and this was seen in the current</w:t>
      </w:r>
      <w:r w:rsidR="002B6B6E" w:rsidRPr="001A3046">
        <w:rPr>
          <w:rFonts w:cs="Helvetica"/>
          <w:szCs w:val="17"/>
        </w:rPr>
        <w:t xml:space="preserve"> project with SkCCXXX</w:t>
      </w:r>
      <w:r w:rsidR="0003793C" w:rsidRPr="001A3046">
        <w:rPr>
          <w:rFonts w:cs="Helvetica"/>
          <w:szCs w:val="17"/>
        </w:rPr>
        <w:t>.</w:t>
      </w:r>
      <w:r w:rsidR="00BF2F4B" w:rsidRPr="001A3046">
        <w:rPr>
          <w:rFonts w:cs="Helvetica"/>
          <w:szCs w:val="17"/>
        </w:rPr>
        <w:t xml:space="preserve"> It is possible that the disease had run its course in the individual and that the leprosy bacteria were no longer present in the body of the individual, or at least in the bones sampled. Alternatively, the individual may not have suffered from the disease. The lesions are osteologically convincing for leprosy but </w:t>
      </w:r>
      <w:r w:rsidR="007138FA" w:rsidRPr="001A3046">
        <w:rPr>
          <w:rFonts w:cs="Helvetica"/>
          <w:szCs w:val="17"/>
        </w:rPr>
        <w:t>other conditions, including sarcoidosis and advanced rheumatoid arthritis</w:t>
      </w:r>
      <w:r w:rsidR="00BF2F4B" w:rsidRPr="001A3046">
        <w:rPr>
          <w:rFonts w:cs="Helvetica"/>
          <w:szCs w:val="17"/>
        </w:rPr>
        <w:t>, can resu</w:t>
      </w:r>
      <w:r w:rsidR="007138FA" w:rsidRPr="001A3046">
        <w:rPr>
          <w:rFonts w:cs="Helvetica"/>
          <w:szCs w:val="17"/>
        </w:rPr>
        <w:t>lt in similar lesions in the hands and feet</w:t>
      </w:r>
      <w:r w:rsidR="00BF2F4B" w:rsidRPr="001A3046">
        <w:rPr>
          <w:rFonts w:cs="Helvetica"/>
          <w:szCs w:val="17"/>
        </w:rPr>
        <w:t xml:space="preserve">. </w:t>
      </w:r>
      <w:r w:rsidR="007138FA" w:rsidRPr="001A3046">
        <w:rPr>
          <w:rFonts w:cs="Helvetica"/>
          <w:szCs w:val="17"/>
        </w:rPr>
        <w:t>The paucity of primary osteoarthritic lesions in the remains of the individual make rheumatoid arthritis unl</w:t>
      </w:r>
      <w:r w:rsidR="00A4607B" w:rsidRPr="001A3046">
        <w:rPr>
          <w:rFonts w:cs="Helvetica"/>
          <w:szCs w:val="17"/>
        </w:rPr>
        <w:t xml:space="preserve">ikely </w:t>
      </w:r>
      <w:r w:rsidR="00B42D8D" w:rsidRPr="001A3046">
        <w:rPr>
          <w:rFonts w:cs="Helvetica"/>
          <w:szCs w:val="17"/>
        </w:rPr>
        <w:t>[</w:t>
      </w:r>
      <w:r w:rsidR="00C50DC4" w:rsidRPr="001A3046">
        <w:rPr>
          <w:rFonts w:cs="Helvetica"/>
          <w:szCs w:val="17"/>
        </w:rPr>
        <w:t>59</w:t>
      </w:r>
      <w:r w:rsidR="00B42D8D" w:rsidRPr="001A3046">
        <w:rPr>
          <w:rFonts w:cs="Helvetica"/>
          <w:szCs w:val="17"/>
        </w:rPr>
        <w:t>]</w:t>
      </w:r>
      <w:r w:rsidR="007138FA" w:rsidRPr="001A3046">
        <w:rPr>
          <w:rFonts w:cs="Helvetica"/>
          <w:szCs w:val="17"/>
        </w:rPr>
        <w:t xml:space="preserve">. </w:t>
      </w:r>
      <w:r w:rsidR="00FF3B41" w:rsidRPr="001A3046">
        <w:rPr>
          <w:rFonts w:cs="Helvetica"/>
          <w:szCs w:val="17"/>
        </w:rPr>
        <w:t>In sar</w:t>
      </w:r>
      <w:r w:rsidR="00EF4F32" w:rsidRPr="001A3046">
        <w:rPr>
          <w:rFonts w:cs="Helvetica"/>
          <w:szCs w:val="17"/>
        </w:rPr>
        <w:t>coidosis one would al</w:t>
      </w:r>
      <w:r w:rsidR="00FF3B41" w:rsidRPr="001A3046">
        <w:rPr>
          <w:rFonts w:cs="Helvetica"/>
          <w:szCs w:val="17"/>
        </w:rPr>
        <w:t>s</w:t>
      </w:r>
      <w:r w:rsidR="00EF4F32" w:rsidRPr="001A3046">
        <w:rPr>
          <w:rFonts w:cs="Helvetica"/>
          <w:szCs w:val="17"/>
        </w:rPr>
        <w:t>o</w:t>
      </w:r>
      <w:r w:rsidR="00FF3B41" w:rsidRPr="001A3046">
        <w:rPr>
          <w:rFonts w:cs="Helvetica"/>
          <w:szCs w:val="17"/>
        </w:rPr>
        <w:t xml:space="preserve"> expect cyst-like lesions and </w:t>
      </w:r>
      <w:r w:rsidR="00EF4F32" w:rsidRPr="001A3046">
        <w:rPr>
          <w:rFonts w:cs="Helvetica"/>
          <w:szCs w:val="17"/>
        </w:rPr>
        <w:t>a honeycomb pattern at the ends of the phalanges in addition to other lesions throughout the skeleton</w:t>
      </w:r>
      <w:r w:rsidR="00B42D8D" w:rsidRPr="001A3046">
        <w:rPr>
          <w:rFonts w:cs="Helvetica"/>
          <w:szCs w:val="17"/>
        </w:rPr>
        <w:t xml:space="preserve"> </w:t>
      </w:r>
      <w:r w:rsidR="00C50DC4" w:rsidRPr="001A3046">
        <w:rPr>
          <w:rFonts w:cs="Helvetica"/>
          <w:szCs w:val="17"/>
        </w:rPr>
        <w:t>[60</w:t>
      </w:r>
      <w:r w:rsidR="00B42D8D" w:rsidRPr="001A3046">
        <w:rPr>
          <w:rFonts w:cs="Helvetica"/>
          <w:szCs w:val="17"/>
        </w:rPr>
        <w:t>]</w:t>
      </w:r>
      <w:r w:rsidR="00EF4F32" w:rsidRPr="001A3046">
        <w:rPr>
          <w:rFonts w:cs="Helvetica"/>
          <w:szCs w:val="17"/>
        </w:rPr>
        <w:t xml:space="preserve">, none of which was evident in the Ardreigh individual. </w:t>
      </w:r>
      <w:r w:rsidR="00A4607B" w:rsidRPr="001A3046">
        <w:rPr>
          <w:rFonts w:cs="Helvetica"/>
          <w:szCs w:val="17"/>
        </w:rPr>
        <w:t xml:space="preserve">Another potential differential diagnosis </w:t>
      </w:r>
      <w:r w:rsidR="002942DD" w:rsidRPr="001A3046">
        <w:rPr>
          <w:rFonts w:cs="Helvetica"/>
          <w:szCs w:val="17"/>
        </w:rPr>
        <w:t>is diabetes mellitus in which neuropathic osteoarthropathy of the feet is very common but typically involves the medial side earlier and more frequently than the lateral aspect</w:t>
      </w:r>
      <w:r w:rsidR="00B42D8D" w:rsidRPr="001A3046">
        <w:rPr>
          <w:rFonts w:cs="Helvetica"/>
          <w:szCs w:val="17"/>
        </w:rPr>
        <w:t xml:space="preserve"> [</w:t>
      </w:r>
      <w:r w:rsidR="00C50DC4" w:rsidRPr="001A3046">
        <w:rPr>
          <w:rFonts w:cs="Helvetica"/>
          <w:szCs w:val="17"/>
        </w:rPr>
        <w:t>61</w:t>
      </w:r>
      <w:r w:rsidR="00B42D8D" w:rsidRPr="001A3046">
        <w:rPr>
          <w:rFonts w:cs="Helvetica"/>
          <w:szCs w:val="17"/>
        </w:rPr>
        <w:t>]</w:t>
      </w:r>
      <w:r w:rsidR="002942DD" w:rsidRPr="001A3046">
        <w:rPr>
          <w:rFonts w:cs="Helvetica"/>
          <w:szCs w:val="17"/>
        </w:rPr>
        <w:t xml:space="preserve">. This is not the pattern in the Ardreigh individual in which only the lateral aspects of the feet were affected. </w:t>
      </w:r>
      <w:r w:rsidR="00BF2F4B" w:rsidRPr="001A3046">
        <w:rPr>
          <w:rFonts w:cs="Helvetica"/>
          <w:szCs w:val="17"/>
        </w:rPr>
        <w:t>It is unfortunate that the cranium of the in</w:t>
      </w:r>
      <w:r w:rsidR="00FA3360" w:rsidRPr="001A3046">
        <w:rPr>
          <w:rFonts w:cs="Helvetica"/>
          <w:szCs w:val="17"/>
        </w:rPr>
        <w:t>dividual had not been preserved since this might have helped resolve the situation.</w:t>
      </w:r>
    </w:p>
    <w:p w:rsidR="00743E91" w:rsidRPr="001A3046" w:rsidRDefault="00743E91" w:rsidP="00743E91">
      <w:pPr>
        <w:pStyle w:val="NoteLevel11"/>
      </w:pPr>
    </w:p>
    <w:p w:rsidR="00743E91" w:rsidRPr="001A3046" w:rsidRDefault="00743E91" w:rsidP="00AB77FD">
      <w:pPr>
        <w:pStyle w:val="NoteLevel11"/>
        <w:keepNext w:val="0"/>
        <w:widowControl w:val="0"/>
        <w:rPr>
          <w:color w:val="0000FF"/>
          <w:sz w:val="32"/>
        </w:rPr>
      </w:pPr>
      <w:r w:rsidRPr="001A3046">
        <w:t xml:space="preserve">The sampling of ribs and long bones (femora and humeri) allows an assessment of diet from different times in an individual’s life. Collagen in long bones represent the diet integrated over the last 10-20 years of life, and the ribs around five years. </w:t>
      </w:r>
      <w:bookmarkStart w:id="12" w:name="_Hlk514765564"/>
      <w:r w:rsidRPr="001A3046">
        <w:rPr>
          <w:highlight w:val="magenta"/>
        </w:rPr>
        <w:t xml:space="preserve">Figure </w:t>
      </w:r>
      <w:r w:rsidR="00980F2F" w:rsidRPr="001A3046">
        <w:rPr>
          <w:highlight w:val="magenta"/>
        </w:rPr>
        <w:t>6</w:t>
      </w:r>
      <w:r w:rsidRPr="001A3046">
        <w:t xml:space="preserve"> shows the carbon and nitrogen isotopic data plotted as rib-long bone pairs, with additional data from the leprosy hospital of St Mary Magdalene</w:t>
      </w:r>
      <w:r w:rsidR="00F41DA8" w:rsidRPr="001A3046">
        <w:t>, Chichester, England,</w:t>
      </w:r>
      <w:r w:rsidRPr="001A3046">
        <w:t xml:space="preserve"> for comparison. </w:t>
      </w:r>
      <w:bookmarkEnd w:id="12"/>
    </w:p>
    <w:p w:rsidR="00743E91" w:rsidRPr="001A3046" w:rsidRDefault="00743E91" w:rsidP="00AB77FD">
      <w:pPr>
        <w:pStyle w:val="NoteLevel11"/>
        <w:keepNext w:val="0"/>
        <w:widowControl w:val="0"/>
        <w:rPr>
          <w:rFonts w:cs="Helvetica"/>
          <w:color w:val="0000FF"/>
        </w:rPr>
      </w:pPr>
    </w:p>
    <w:p w:rsidR="00AB77FD" w:rsidRPr="00AB77FD" w:rsidRDefault="00AB77FD" w:rsidP="00AB77FD">
      <w:pPr>
        <w:pStyle w:val="NoteLevel11"/>
        <w:keepNext w:val="0"/>
        <w:widowControl w:val="0"/>
        <w:rPr>
          <w:rFonts w:eastAsia="Cambria" w:cs="Times New Roman"/>
          <w:b/>
        </w:rPr>
      </w:pPr>
    </w:p>
    <w:p w:rsidR="00AB77FD" w:rsidRPr="00AB77FD" w:rsidRDefault="00AB77FD" w:rsidP="00AB77FD">
      <w:pPr>
        <w:pStyle w:val="NoteLevel11"/>
        <w:keepNext w:val="0"/>
        <w:widowControl w:val="0"/>
        <w:rPr>
          <w:rFonts w:eastAsia="Cambria" w:cs="Times New Roman"/>
          <w:b/>
        </w:rPr>
      </w:pPr>
    </w:p>
    <w:p w:rsidR="00AB77FD" w:rsidRDefault="00AB77FD" w:rsidP="00AB77FD">
      <w:pPr>
        <w:pStyle w:val="NoteLevel11"/>
        <w:keepNext w:val="0"/>
        <w:widowControl w:val="0"/>
        <w:rPr>
          <w:rFonts w:eastAsia="Cambria" w:cs="Times New Roman"/>
          <w:b/>
        </w:rPr>
      </w:pPr>
    </w:p>
    <w:p w:rsidR="001B0FA1" w:rsidRPr="00AB77FD" w:rsidRDefault="001B0FA1" w:rsidP="00AB77FD">
      <w:pPr>
        <w:pStyle w:val="NoteLevel11"/>
        <w:rPr>
          <w:rFonts w:eastAsia="Cambria" w:cs="Times New Roman"/>
          <w:b/>
        </w:rPr>
      </w:pPr>
      <w:r w:rsidRPr="00AB77FD">
        <w:rPr>
          <w:rFonts w:cs="Helvetica"/>
          <w:b/>
        </w:rPr>
        <w:t xml:space="preserve">Figure 6. </w:t>
      </w:r>
      <w:r w:rsidRPr="00AB77FD">
        <w:rPr>
          <w:rFonts w:eastAsia="Cambria" w:cs="Times New Roman"/>
          <w:b/>
        </w:rPr>
        <w:t>Carbon and nitrogen isotopic data plotted as rib-long bone pairs (closed symbols), with additional data from the leprosy hospital of St Mary Magdalene</w:t>
      </w:r>
      <w:r w:rsidR="00F41DA8" w:rsidRPr="00AB77FD">
        <w:rPr>
          <w:rFonts w:eastAsia="Cambria" w:cs="Times New Roman"/>
          <w:b/>
        </w:rPr>
        <w:t>, Chichester, England,</w:t>
      </w:r>
      <w:r w:rsidRPr="00AB77FD">
        <w:rPr>
          <w:rFonts w:eastAsia="Cambria" w:cs="Times New Roman"/>
          <w:b/>
        </w:rPr>
        <w:t xml:space="preserve"> for comparative purposes (open symbols).</w:t>
      </w:r>
    </w:p>
    <w:p w:rsidR="00743E91" w:rsidRPr="001A3046" w:rsidRDefault="00743E91" w:rsidP="00743E91">
      <w:pPr>
        <w:pStyle w:val="NoteLevel11"/>
      </w:pPr>
    </w:p>
    <w:p w:rsidR="00393F33" w:rsidRPr="001A3046" w:rsidRDefault="00743E91" w:rsidP="00743E91">
      <w:pPr>
        <w:pStyle w:val="NoteLevel11"/>
        <w:rPr>
          <w:rFonts w:cs="Helvetica"/>
          <w:sz w:val="28"/>
          <w:szCs w:val="17"/>
        </w:rPr>
      </w:pPr>
      <w:r w:rsidRPr="001A3046">
        <w:t>The pattern is broadly similar for the two datasets with the ribs more enriched in carbon and nitrogen compared to the long bones. An enrichment of carbon and nitrogen isotopes is usually associated with an increased consumption of marine resources or, for moderate enrichment (</w:t>
      </w:r>
      <w:r w:rsidRPr="001A3046">
        <w:sym w:font="Symbol" w:char="F064"/>
      </w:r>
      <w:r w:rsidRPr="001A3046">
        <w:rPr>
          <w:vertAlign w:val="superscript"/>
        </w:rPr>
        <w:t>13</w:t>
      </w:r>
      <w:r w:rsidRPr="001A3046">
        <w:t xml:space="preserve">C&lt;1‰, </w:t>
      </w:r>
      <w:r w:rsidRPr="001A3046">
        <w:sym w:font="Symbol" w:char="F064"/>
      </w:r>
      <w:r w:rsidRPr="001A3046">
        <w:rPr>
          <w:vertAlign w:val="superscript"/>
        </w:rPr>
        <w:t>15</w:t>
      </w:r>
      <w:r w:rsidRPr="001A3046">
        <w:t>N&lt;4‰), access to greater amounts of terrestrial meat protein.</w:t>
      </w:r>
      <w:r w:rsidRPr="001A3046">
        <w:rPr>
          <w:rFonts w:cs="Helvetica"/>
          <w:sz w:val="28"/>
          <w:szCs w:val="17"/>
        </w:rPr>
        <w:t xml:space="preserve"> </w:t>
      </w:r>
      <w:r w:rsidR="00BB7280" w:rsidRPr="001A3046">
        <w:t xml:space="preserve">A comparison with published values for pigs from Viking Dublin </w:t>
      </w:r>
      <w:r w:rsidR="00C50DC4" w:rsidRPr="001A3046">
        <w:t>[62</w:t>
      </w:r>
      <w:r w:rsidR="00267BE5" w:rsidRPr="001A3046">
        <w:t>]</w:t>
      </w:r>
      <w:r w:rsidR="00BB7280" w:rsidRPr="001A3046">
        <w:t xml:space="preserve"> shows a maximum isotopic enrichment of the ribs over </w:t>
      </w:r>
      <w:r w:rsidRPr="001A3046">
        <w:t>the mean of the pigs of +6‰ in nitrogen and nearly +2‰ in carbon, which is too great to represent a trophic level effect due to the consumption of</w:t>
      </w:r>
      <w:r w:rsidR="00BB7280" w:rsidRPr="001A3046">
        <w:t xml:space="preserve"> terrestrial animals. Furthermore</w:t>
      </w:r>
      <w:r w:rsidRPr="001A3046">
        <w:t>,</w:t>
      </w:r>
      <w:r w:rsidR="00BB7280" w:rsidRPr="001A3046">
        <w:t xml:space="preserve"> pigs are l</w:t>
      </w:r>
      <w:r w:rsidRPr="001A3046">
        <w:t>ikely to have eaten</w:t>
      </w:r>
      <w:r w:rsidR="00BB7280" w:rsidRPr="001A3046">
        <w:t xml:space="preserve"> some domestic waste</w:t>
      </w:r>
      <w:r w:rsidRPr="001A3046">
        <w:t xml:space="preserve"> and are therefore probably enriched compared to</w:t>
      </w:r>
      <w:r w:rsidR="00BB7280" w:rsidRPr="001A3046">
        <w:t xml:space="preserve"> terrestrial herbivo</w:t>
      </w:r>
      <w:r w:rsidRPr="001A3046">
        <w:t xml:space="preserve">res such as cattle and sheep. As such, it seems probable the diet involved the consumption of a component of </w:t>
      </w:r>
      <w:r w:rsidR="00BB7280" w:rsidRPr="001A3046">
        <w:t>mari</w:t>
      </w:r>
      <w:r w:rsidRPr="001A3046">
        <w:t>ne protein</w:t>
      </w:r>
      <w:r w:rsidR="00BB7280" w:rsidRPr="001A3046">
        <w:t>. The isotopic enr</w:t>
      </w:r>
      <w:r w:rsidRPr="001A3046">
        <w:t>ichment in the ribs indicates that it</w:t>
      </w:r>
      <w:r w:rsidR="00BB7280" w:rsidRPr="001A3046">
        <w:t xml:space="preserve"> has occurred later in life, perhaps as the result of care for leprosy sufferers, and the increased marine consumption may </w:t>
      </w:r>
      <w:r w:rsidR="009F47BD" w:rsidRPr="001A3046">
        <w:t xml:space="preserve">perhaps </w:t>
      </w:r>
      <w:r w:rsidR="00BB7280" w:rsidRPr="001A3046">
        <w:t>be due to religious traditions of substituting fish for meat on certain days.</w:t>
      </w:r>
    </w:p>
    <w:p w:rsidR="00393F33" w:rsidRPr="001A3046" w:rsidRDefault="00393F33" w:rsidP="00876AE7">
      <w:pPr>
        <w:pStyle w:val="NoteLevel11"/>
      </w:pPr>
    </w:p>
    <w:p w:rsidR="00743E91" w:rsidRDefault="00BB7280" w:rsidP="001048DE">
      <w:pPr>
        <w:pStyle w:val="NoteLevel11"/>
      </w:pPr>
      <w:r w:rsidRPr="001A3046">
        <w:t>The thr</w:t>
      </w:r>
      <w:r w:rsidR="00743E91" w:rsidRPr="001A3046">
        <w:t>ee individuals have different strontium</w:t>
      </w:r>
      <w:r w:rsidRPr="001A3046">
        <w:t xml:space="preserve"> isotope values in the teeth, with means (integrated along the profile) of 0.7092, 0.7140 and 0.7112 for </w:t>
      </w:r>
      <w:r w:rsidR="002B5C9A" w:rsidRPr="001A3046">
        <w:t>Sk</w:t>
      </w:r>
      <w:r w:rsidRPr="001A3046">
        <w:t>CXLVIII,</w:t>
      </w:r>
      <w:r w:rsidR="008D7327" w:rsidRPr="001A3046">
        <w:t xml:space="preserve"> </w:t>
      </w:r>
      <w:r w:rsidR="002B5C9A" w:rsidRPr="001A3046">
        <w:t>Sk</w:t>
      </w:r>
      <w:r w:rsidR="008D7327" w:rsidRPr="001A3046">
        <w:t>CXCV</w:t>
      </w:r>
      <w:r w:rsidRPr="001A3046">
        <w:t xml:space="preserve"> and </w:t>
      </w:r>
      <w:r w:rsidR="002B5C9A" w:rsidRPr="001A3046">
        <w:t>Sk</w:t>
      </w:r>
      <w:r w:rsidR="008D7327" w:rsidRPr="001A3046">
        <w:t>CCXXX</w:t>
      </w:r>
      <w:r w:rsidRPr="001A3046">
        <w:t xml:space="preserve"> respectively. The ‘local’ range for Dublin can be estimated from published values of humans and fauna. Knudson </w:t>
      </w:r>
      <w:r w:rsidRPr="001A3046">
        <w:rPr>
          <w:i/>
        </w:rPr>
        <w:t>et al</w:t>
      </w:r>
      <w:r w:rsidRPr="001A3046">
        <w:t>. (</w:t>
      </w:r>
      <w:r w:rsidR="00B42D8D" w:rsidRPr="001A3046">
        <w:t>6</w:t>
      </w:r>
      <w:r w:rsidR="00C50DC4" w:rsidRPr="001A3046">
        <w:t>2</w:t>
      </w:r>
      <w:r w:rsidRPr="001A3046">
        <w:t>) found the radiogeni</w:t>
      </w:r>
      <w:r w:rsidR="00743E91" w:rsidRPr="001A3046">
        <w:t>c strontium isotope values of 22 Viking individuals</w:t>
      </w:r>
      <w:r w:rsidRPr="001A3046">
        <w:t xml:space="preserve"> in Dublin (</w:t>
      </w:r>
      <w:r w:rsidR="00743E91" w:rsidRPr="001A3046">
        <w:t>AD 800-1200</w:t>
      </w:r>
      <w:r w:rsidRPr="001A3046">
        <w:t>) to range from 0.70824 to 0.71099</w:t>
      </w:r>
      <w:r w:rsidR="00743E91" w:rsidRPr="001A3046">
        <w:t>,</w:t>
      </w:r>
      <w:r w:rsidRPr="001A3046">
        <w:t xml:space="preserve"> with a mean of 0.70975 ± 0.00139 (2</w:t>
      </w:r>
      <w:r w:rsidRPr="001A3046">
        <w:sym w:font="Symbol" w:char="F073"/>
      </w:r>
      <w:r w:rsidRPr="001A3046">
        <w:t>). While this may also include immigrants, the value was similar to the mean of 11 (presumably</w:t>
      </w:r>
      <w:r w:rsidRPr="00BB7280">
        <w:t xml:space="preserve"> less mobile) pigs with </w:t>
      </w:r>
      <w:r w:rsidRPr="00BB7280">
        <w:rPr>
          <w:vertAlign w:val="superscript"/>
        </w:rPr>
        <w:t>87</w:t>
      </w:r>
      <w:r w:rsidRPr="00BB7280">
        <w:t>Sr/</w:t>
      </w:r>
      <w:r w:rsidRPr="00BB7280">
        <w:rPr>
          <w:vertAlign w:val="superscript"/>
        </w:rPr>
        <w:t>86</w:t>
      </w:r>
      <w:r w:rsidRPr="00BB7280">
        <w:t>Sr</w:t>
      </w:r>
      <w:r w:rsidR="00743E91">
        <w:t xml:space="preserve"> </w:t>
      </w:r>
      <w:r w:rsidRPr="00BB7280">
        <w:t xml:space="preserve">= 0.70943 ± 0.00144. Using these </w:t>
      </w:r>
      <w:r w:rsidRPr="00267BE5">
        <w:t xml:space="preserve">values, and published values for other fauna, Knudson </w:t>
      </w:r>
      <w:r w:rsidRPr="00267BE5">
        <w:rPr>
          <w:i/>
        </w:rPr>
        <w:t>et al</w:t>
      </w:r>
      <w:r w:rsidRPr="00267BE5">
        <w:t xml:space="preserve">. </w:t>
      </w:r>
      <w:r w:rsidR="00A3506B" w:rsidRPr="00267BE5">
        <w:t>[</w:t>
      </w:r>
      <w:r w:rsidR="00B42D8D" w:rsidRPr="00267BE5">
        <w:t>6</w:t>
      </w:r>
      <w:r w:rsidR="00C50DC4" w:rsidRPr="00267BE5">
        <w:t>2</w:t>
      </w:r>
      <w:r w:rsidR="00A3506B" w:rsidRPr="00267BE5">
        <w:t>]</w:t>
      </w:r>
      <w:r w:rsidR="00EE7FA1" w:rsidRPr="00267BE5">
        <w:t xml:space="preserve"> </w:t>
      </w:r>
      <w:r w:rsidR="00743E91" w:rsidRPr="00267BE5">
        <w:t>estimate the</w:t>
      </w:r>
      <w:r w:rsidR="00743E91">
        <w:t xml:space="preserve"> strontium</w:t>
      </w:r>
      <w:r w:rsidRPr="00BB7280">
        <w:t xml:space="preserve"> isotopic ‘local range’ for Dublin to be 0.7084–0.7106.</w:t>
      </w:r>
      <w:r w:rsidR="008D7327" w:rsidRPr="00EE7FA1">
        <w:t xml:space="preserve"> </w:t>
      </w:r>
      <w:r w:rsidR="00743E91">
        <w:t>The strontium</w:t>
      </w:r>
      <w:r w:rsidRPr="00BB7280">
        <w:t xml:space="preserve"> value of </w:t>
      </w:r>
      <w:r w:rsidR="002B5C9A" w:rsidRPr="00EE7FA1">
        <w:t>Sk</w:t>
      </w:r>
      <w:r w:rsidRPr="00BB7280">
        <w:t>CXLVIII falls within this range and is consistent with a local origin for this individual. The other two ind</w:t>
      </w:r>
      <w:r w:rsidR="00743E91">
        <w:t>ividuals have more radiogenic strontium values, however, but i</w:t>
      </w:r>
      <w:r w:rsidRPr="00BB7280">
        <w:t xml:space="preserve">t is difficult to pinpoint the precise origin of an individual because </w:t>
      </w:r>
      <w:r w:rsidR="00743E91">
        <w:t>the geologies that define the strontium</w:t>
      </w:r>
      <w:r w:rsidRPr="00BB7280">
        <w:t xml:space="preserve"> isotope ratio are rarely unique to a single region. </w:t>
      </w:r>
    </w:p>
    <w:p w:rsidR="00743E91" w:rsidRDefault="00743E91" w:rsidP="001048DE">
      <w:pPr>
        <w:pStyle w:val="NoteLevel11"/>
      </w:pPr>
    </w:p>
    <w:p w:rsidR="001048DE" w:rsidRDefault="008D7327" w:rsidP="001048DE">
      <w:pPr>
        <w:pStyle w:val="NoteLevel11"/>
      </w:pPr>
      <w:bookmarkStart w:id="13" w:name="_Hlk514768359"/>
      <w:r w:rsidRPr="00EE7FA1">
        <w:t xml:space="preserve">Individual </w:t>
      </w:r>
      <w:r w:rsidR="002B5C9A" w:rsidRPr="00EE7FA1">
        <w:t>Sk</w:t>
      </w:r>
      <w:r w:rsidR="00BB7280" w:rsidRPr="00BB7280">
        <w:t xml:space="preserve">CCXXX </w:t>
      </w:r>
      <w:r w:rsidR="00743E91">
        <w:t>has strontium</w:t>
      </w:r>
      <w:r w:rsidR="00BB7280" w:rsidRPr="00BB7280">
        <w:t xml:space="preserve"> isotope values that match bioavailable values for parts of Northern Ireland, Eastern Wales and the British Midlands (see </w:t>
      </w:r>
      <w:r w:rsidR="00AC2102" w:rsidRPr="00AC2102">
        <w:rPr>
          <w:highlight w:val="yellow"/>
        </w:rPr>
        <w:t>S</w:t>
      </w:r>
      <w:r w:rsidR="00AC2102">
        <w:rPr>
          <w:highlight w:val="yellow"/>
        </w:rPr>
        <w:t>upp</w:t>
      </w:r>
      <w:r w:rsidR="001C7177">
        <w:rPr>
          <w:highlight w:val="yellow"/>
        </w:rPr>
        <w:t>orting Information S3</w:t>
      </w:r>
      <w:r w:rsidR="009E2391">
        <w:rPr>
          <w:highlight w:val="yellow"/>
        </w:rPr>
        <w:t>, Figures A3-C3</w:t>
      </w:r>
      <w:r w:rsidR="00BB7280" w:rsidRPr="00BB7280">
        <w:t xml:space="preserve">), </w:t>
      </w:r>
      <w:bookmarkEnd w:id="13"/>
      <w:r w:rsidR="00BB7280" w:rsidRPr="00BB7280">
        <w:t xml:space="preserve">so need not have an origin at a great </w:t>
      </w:r>
      <w:r w:rsidR="00AC2102">
        <w:t>distance from Dublin. The strontium</w:t>
      </w:r>
      <w:r w:rsidR="00BB7280" w:rsidRPr="00BB7280">
        <w:t xml:space="preserve"> value of </w:t>
      </w:r>
      <w:r w:rsidR="002B5C9A" w:rsidRPr="00EE7FA1">
        <w:t>Sk</w:t>
      </w:r>
      <w:r w:rsidR="00BB7280" w:rsidRPr="00BB7280">
        <w:t>CX</w:t>
      </w:r>
      <w:r w:rsidR="00BE764D">
        <w:t>CV</w:t>
      </w:r>
      <w:r w:rsidR="00AC2102">
        <w:t>, however,</w:t>
      </w:r>
      <w:r w:rsidR="00BB7280" w:rsidRPr="00BB7280">
        <w:t xml:space="preserve"> is unusually radiogenic (0.7140). While </w:t>
      </w:r>
      <w:r w:rsidR="00BB7280" w:rsidRPr="00BB7280">
        <w:rPr>
          <w:vertAlign w:val="superscript"/>
        </w:rPr>
        <w:t>87</w:t>
      </w:r>
      <w:r w:rsidR="00BB7280" w:rsidRPr="00BB7280">
        <w:t>Sr/</w:t>
      </w:r>
      <w:r w:rsidR="00BB7280" w:rsidRPr="00BB7280">
        <w:rPr>
          <w:vertAlign w:val="superscript"/>
        </w:rPr>
        <w:t>88</w:t>
      </w:r>
      <w:r w:rsidR="00BB7280" w:rsidRPr="00BB7280">
        <w:t xml:space="preserve">Sr values of up to 0.7222 are reported for small areas in </w:t>
      </w:r>
      <w:r w:rsidR="00AC2102">
        <w:t>the survey of the strontium b</w:t>
      </w:r>
      <w:r w:rsidR="00AC2102" w:rsidRPr="00BB7280">
        <w:t xml:space="preserve">iosphere of Britain </w:t>
      </w:r>
      <w:r w:rsidR="00AC2102">
        <w:t xml:space="preserve">undertaken by </w:t>
      </w:r>
      <w:r w:rsidR="00267BE5" w:rsidRPr="00267BE5">
        <w:t>Evans and colleagues</w:t>
      </w:r>
      <w:r w:rsidR="00BB7280" w:rsidRPr="00267BE5">
        <w:t xml:space="preserve"> </w:t>
      </w:r>
      <w:r w:rsidR="00152ECE" w:rsidRPr="00267BE5">
        <w:t>[</w:t>
      </w:r>
      <w:r w:rsidR="00B42D8D" w:rsidRPr="00267BE5">
        <w:t>6</w:t>
      </w:r>
      <w:r w:rsidR="00C50DC4" w:rsidRPr="00267BE5">
        <w:t>3</w:t>
      </w:r>
      <w:r w:rsidR="00152ECE" w:rsidRPr="00267BE5">
        <w:t>]</w:t>
      </w:r>
      <w:r w:rsidR="00BB7280" w:rsidRPr="00267BE5">
        <w:t>, values of c. 0.7140 are not reported</w:t>
      </w:r>
      <w:r w:rsidR="00267BE5" w:rsidRPr="00267BE5">
        <w:t>; this is also the case for a recent</w:t>
      </w:r>
      <w:r w:rsidR="00AC2102" w:rsidRPr="00267BE5">
        <w:t xml:space="preserve"> survey of </w:t>
      </w:r>
      <w:r w:rsidR="00267BE5" w:rsidRPr="00267BE5">
        <w:t xml:space="preserve">strontium values in Ireland </w:t>
      </w:r>
      <w:r w:rsidR="00A3506B" w:rsidRPr="00267BE5">
        <w:t>[</w:t>
      </w:r>
      <w:r w:rsidR="00B42D8D" w:rsidRPr="00267BE5">
        <w:t>6</w:t>
      </w:r>
      <w:r w:rsidR="00C50DC4" w:rsidRPr="00267BE5">
        <w:t>2</w:t>
      </w:r>
      <w:r w:rsidR="00A3506B" w:rsidRPr="00267BE5">
        <w:t xml:space="preserve">]. </w:t>
      </w:r>
      <w:r w:rsidR="00BB7280" w:rsidRPr="00267BE5">
        <w:t>Highly radiogenic</w:t>
      </w:r>
      <w:r w:rsidR="00BB7280" w:rsidRPr="00BB7280">
        <w:t xml:space="preserve"> values (&gt;0.713) are also rare in continental Europe, but are reported in the Rhin</w:t>
      </w:r>
      <w:r w:rsidR="00AC2102">
        <w:t>e Massif, the ore mountains of southern</w:t>
      </w:r>
      <w:r w:rsidR="00BB7280" w:rsidRPr="00BB7280">
        <w:t xml:space="preserve"> Poland and the Carpathians, Norway and </w:t>
      </w:r>
      <w:r w:rsidR="00BB7280" w:rsidRPr="00267BE5">
        <w:t xml:space="preserve">Sweden </w:t>
      </w:r>
      <w:r w:rsidR="003D03EF" w:rsidRPr="00267BE5">
        <w:t>[6</w:t>
      </w:r>
      <w:r w:rsidR="00C50DC4" w:rsidRPr="00267BE5">
        <w:t>4,65</w:t>
      </w:r>
      <w:r w:rsidR="002C5E77" w:rsidRPr="00267BE5">
        <w:t>]</w:t>
      </w:r>
      <w:r w:rsidR="00BB7280" w:rsidRPr="00267BE5">
        <w:t>. While we cannot rule out a central Europe</w:t>
      </w:r>
      <w:r w:rsidR="00AC2102" w:rsidRPr="00267BE5">
        <w:t>an origin, the links</w:t>
      </w:r>
      <w:r w:rsidR="00AC2102">
        <w:t xml:space="preserve"> between</w:t>
      </w:r>
      <w:r w:rsidR="00BB7280" w:rsidRPr="00BB7280">
        <w:t xml:space="preserve"> Medieval Dublin and the Norse world would make it reasonable</w:t>
      </w:r>
      <w:r w:rsidR="00E85097">
        <w:t>,</w:t>
      </w:r>
      <w:r w:rsidR="00BB7280" w:rsidRPr="00BB7280">
        <w:t xml:space="preserve"> </w:t>
      </w:r>
      <w:r w:rsidR="00AC2102">
        <w:t>on the basis of the strontium</w:t>
      </w:r>
      <w:r w:rsidR="00E85097">
        <w:t xml:space="preserve"> isotopes, </w:t>
      </w:r>
      <w:r w:rsidR="00BB7280" w:rsidRPr="00BB7280">
        <w:t xml:space="preserve">that individual </w:t>
      </w:r>
      <w:r w:rsidR="002B5C9A" w:rsidRPr="00EE7FA1">
        <w:t>Sk</w:t>
      </w:r>
      <w:r w:rsidR="00A912C4">
        <w:t>CXCV</w:t>
      </w:r>
      <w:r w:rsidR="00BB7280" w:rsidRPr="00BB7280">
        <w:t xml:space="preserve"> is of Scandinavian origin. </w:t>
      </w:r>
    </w:p>
    <w:p w:rsidR="00AC2102" w:rsidRDefault="00AC2102" w:rsidP="001048DE">
      <w:pPr>
        <w:pStyle w:val="NoteLevel11"/>
        <w:rPr>
          <w:color w:val="0000FF"/>
        </w:rPr>
      </w:pPr>
    </w:p>
    <w:p w:rsidR="001048DE" w:rsidRPr="00AC2102" w:rsidRDefault="001048DE" w:rsidP="001048DE">
      <w:pPr>
        <w:pStyle w:val="NoteLevel11"/>
      </w:pPr>
      <w:r w:rsidRPr="00AC2102">
        <w:t xml:space="preserve">The combination of oxygen with strontium isotopes is often used to narrow down possible origins. </w:t>
      </w:r>
      <w:bookmarkStart w:id="14" w:name="_Hlk516290791"/>
      <w:bookmarkStart w:id="15" w:name="_Hlk514768764"/>
      <w:r w:rsidRPr="00AC2102">
        <w:t>The ‘map’ of oxygen isotopes in moder</w:t>
      </w:r>
      <w:r w:rsidR="00AC2102" w:rsidRPr="00AC2102">
        <w:t xml:space="preserve">n spring and well waters </w:t>
      </w:r>
      <w:bookmarkEnd w:id="14"/>
      <w:r w:rsidR="00AC2102" w:rsidRPr="00AC2102">
        <w:t>(</w:t>
      </w:r>
      <w:r w:rsidR="00AC2102" w:rsidRPr="00AC2102">
        <w:rPr>
          <w:highlight w:val="yellow"/>
        </w:rPr>
        <w:t>see Sup</w:t>
      </w:r>
      <w:r w:rsidR="001C7177">
        <w:rPr>
          <w:highlight w:val="yellow"/>
        </w:rPr>
        <w:t>porting Information S3</w:t>
      </w:r>
      <w:r w:rsidR="009E2391">
        <w:rPr>
          <w:highlight w:val="yellow"/>
        </w:rPr>
        <w:t>, Figure D3</w:t>
      </w:r>
      <w:r w:rsidRPr="00AC2102">
        <w:t xml:space="preserve">) shows values in Ireland </w:t>
      </w:r>
      <w:bookmarkEnd w:id="15"/>
      <w:r w:rsidRPr="00AC2102">
        <w:t>of between -4 and -8‰, which is consist</w:t>
      </w:r>
      <w:r w:rsidR="009C057D" w:rsidRPr="00AC2102">
        <w:t xml:space="preserve">ent with </w:t>
      </w:r>
      <w:r w:rsidR="00AC2102" w:rsidRPr="00AC2102">
        <w:t xml:space="preserve">the </w:t>
      </w:r>
      <w:r w:rsidR="009C057D" w:rsidRPr="00AC2102">
        <w:t>measured values fo</w:t>
      </w:r>
      <w:r w:rsidR="00A912C4" w:rsidRPr="00AC2102">
        <w:t xml:space="preserve">r SkCXCV and SkCCXXX. </w:t>
      </w:r>
      <w:r w:rsidR="00B45723" w:rsidRPr="00AC2102">
        <w:t xml:space="preserve"> </w:t>
      </w:r>
      <w:r w:rsidR="00AC2102" w:rsidRPr="00AC2102">
        <w:t>SkCXLVIII</w:t>
      </w:r>
      <w:r w:rsidR="009C057D" w:rsidRPr="00AC2102">
        <w:t xml:space="preserve"> </w:t>
      </w:r>
      <w:r w:rsidR="00AC2102" w:rsidRPr="00AC2102">
        <w:t>which had strontium isotope values</w:t>
      </w:r>
      <w:r w:rsidRPr="00AC2102">
        <w:t xml:space="preserve"> consistent with a local origin</w:t>
      </w:r>
      <w:r w:rsidR="00AC2102" w:rsidRPr="00AC2102">
        <w:t>, however,</w:t>
      </w:r>
      <w:r w:rsidRPr="00AC2102">
        <w:t xml:space="preserve"> has drinking water equivalent values more depleted (c. -9‰) than those found in Ireland which suggest an origin </w:t>
      </w:r>
      <w:r w:rsidR="00AC2102" w:rsidRPr="00AC2102">
        <w:t>further east. Areas with both strontium</w:t>
      </w:r>
      <w:r w:rsidRPr="00AC2102">
        <w:t xml:space="preserve"> in the range 0.7090-0.7095 and oxygen of </w:t>
      </w:r>
      <w:r w:rsidR="00AC2102" w:rsidRPr="00AC2102">
        <w:t>around -9‰ are found in the val</w:t>
      </w:r>
      <w:r w:rsidRPr="00AC2102">
        <w:t xml:space="preserve">e of York, central Europe, Denmark and southern Sweden, again raising the possibility that this individual may be of Scandinavian origin. </w:t>
      </w:r>
      <w:r w:rsidR="00AC2102" w:rsidRPr="00AC2102">
        <w:t>As discussed above, the radiogenic strontium</w:t>
      </w:r>
      <w:r w:rsidR="009C057D" w:rsidRPr="00AC2102">
        <w:t xml:space="preserve"> values for SkCXCV</w:t>
      </w:r>
      <w:r w:rsidRPr="00AC2102">
        <w:t xml:space="preserve">, are also consistent with a Scandinavian origin (and certainly exclude an Irish origin), </w:t>
      </w:r>
      <w:r w:rsidR="00AC2102" w:rsidRPr="00AC2102">
        <w:t>al</w:t>
      </w:r>
      <w:r w:rsidRPr="00AC2102">
        <w:t xml:space="preserve">though the oxygen isotope value </w:t>
      </w:r>
      <w:r w:rsidR="00AC2102" w:rsidRPr="00AC2102">
        <w:t xml:space="preserve">for this individual </w:t>
      </w:r>
      <w:r w:rsidRPr="00AC2102">
        <w:t>is less clear cut. Typically</w:t>
      </w:r>
      <w:r w:rsidR="00AC2102" w:rsidRPr="00AC2102">
        <w:t>,</w:t>
      </w:r>
      <w:r w:rsidRPr="00AC2102">
        <w:t xml:space="preserve"> drinking water equivalent values fo</w:t>
      </w:r>
      <w:r w:rsidR="00AC2102" w:rsidRPr="00AC2102">
        <w:t>r southern Scandinavia would be -7 to -10‰. A</w:t>
      </w:r>
      <w:r w:rsidR="00A912C4" w:rsidRPr="00AC2102">
        <w:t xml:space="preserve">ccording to </w:t>
      </w:r>
      <w:r w:rsidR="00A912C4" w:rsidRPr="00267BE5">
        <w:t>Lécolle’s survey</w:t>
      </w:r>
      <w:r w:rsidR="00267BE5" w:rsidRPr="00267BE5">
        <w:t xml:space="preserve"> </w:t>
      </w:r>
      <w:r w:rsidR="00A778C2" w:rsidRPr="00267BE5">
        <w:t>[6</w:t>
      </w:r>
      <w:r w:rsidR="00C50DC4" w:rsidRPr="00267BE5">
        <w:t>6</w:t>
      </w:r>
      <w:r w:rsidR="00985F22" w:rsidRPr="00267BE5">
        <w:t>]</w:t>
      </w:r>
      <w:r w:rsidR="00AC2102" w:rsidRPr="00267BE5">
        <w:t>, however,</w:t>
      </w:r>
      <w:r w:rsidRPr="00267BE5">
        <w:t xml:space="preserve"> co</w:t>
      </w:r>
      <w:r w:rsidR="00AC2102" w:rsidRPr="00267BE5">
        <w:t>astal southern Norway has oxygen values less</w:t>
      </w:r>
      <w:r w:rsidR="00AC2102" w:rsidRPr="00AC2102">
        <w:t xml:space="preserve"> than </w:t>
      </w:r>
      <w:r w:rsidRPr="00AC2102">
        <w:t>-7‰ which makes this a possible location of origin</w:t>
      </w:r>
      <w:r w:rsidR="00AC2102" w:rsidRPr="00AC2102">
        <w:t xml:space="preserve"> for SkCXCV</w:t>
      </w:r>
      <w:r w:rsidRPr="00AC2102">
        <w:t>.</w:t>
      </w:r>
    </w:p>
    <w:p w:rsidR="00AF738D" w:rsidRDefault="00AF738D">
      <w:pPr>
        <w:pStyle w:val="NoteLevel11"/>
      </w:pPr>
    </w:p>
    <w:p w:rsidR="009D77F6" w:rsidRPr="00267BE5" w:rsidRDefault="00E52569" w:rsidP="00E52569">
      <w:pPr>
        <w:pStyle w:val="NoteLevel11"/>
        <w:rPr>
          <w:lang w:val="en-GB"/>
        </w:rPr>
      </w:pPr>
      <w:r w:rsidRPr="00CF19B2">
        <w:rPr>
          <w:lang w:val="en-GB"/>
        </w:rPr>
        <w:t>Radiocarbon dating of the Golden Lane individuals re</w:t>
      </w:r>
      <w:r w:rsidR="00413AB4" w:rsidRPr="00CF19B2">
        <w:rPr>
          <w:lang w:val="en-GB"/>
        </w:rPr>
        <w:t>vealed that SkCXLVIII is of early 10</w:t>
      </w:r>
      <w:r w:rsidRPr="00CF19B2">
        <w:rPr>
          <w:vertAlign w:val="superscript"/>
          <w:lang w:val="en-GB"/>
        </w:rPr>
        <w:t>th</w:t>
      </w:r>
      <w:r w:rsidRPr="00CF19B2">
        <w:rPr>
          <w:lang w:val="en-GB"/>
        </w:rPr>
        <w:t>/early 11</w:t>
      </w:r>
      <w:r w:rsidRPr="00CF19B2">
        <w:rPr>
          <w:vertAlign w:val="superscript"/>
          <w:lang w:val="en-GB"/>
        </w:rPr>
        <w:t>th</w:t>
      </w:r>
      <w:r w:rsidRPr="00CF19B2">
        <w:rPr>
          <w:lang w:val="en-GB"/>
        </w:rPr>
        <w:t xml:space="preserve"> century date and predated the other two individuals with the disease from the burial ground, </w:t>
      </w:r>
      <w:r w:rsidR="00413AB4" w:rsidRPr="00CF19B2">
        <w:rPr>
          <w:lang w:val="en-GB"/>
        </w:rPr>
        <w:t>one of whom dated to the early 11</w:t>
      </w:r>
      <w:r w:rsidR="00413AB4" w:rsidRPr="00CF19B2">
        <w:rPr>
          <w:vertAlign w:val="superscript"/>
          <w:lang w:val="en-GB"/>
        </w:rPr>
        <w:t>th</w:t>
      </w:r>
      <w:r w:rsidR="00413AB4" w:rsidRPr="00CF19B2">
        <w:rPr>
          <w:lang w:val="en-GB"/>
        </w:rPr>
        <w:t xml:space="preserve"> to early 13</w:t>
      </w:r>
      <w:r w:rsidR="00413AB4" w:rsidRPr="00CF19B2">
        <w:rPr>
          <w:vertAlign w:val="superscript"/>
          <w:lang w:val="en-GB"/>
        </w:rPr>
        <w:t>th</w:t>
      </w:r>
      <w:r w:rsidR="00413AB4" w:rsidRPr="00CF19B2">
        <w:rPr>
          <w:lang w:val="en-GB"/>
        </w:rPr>
        <w:t xml:space="preserve"> centuries (SkCCXXX), while SkCXCV was of mid-12</w:t>
      </w:r>
      <w:r w:rsidR="00413AB4" w:rsidRPr="00CF19B2">
        <w:rPr>
          <w:vertAlign w:val="superscript"/>
          <w:lang w:val="en-GB"/>
        </w:rPr>
        <w:t>th</w:t>
      </w:r>
      <w:r w:rsidR="00413AB4" w:rsidRPr="00CF19B2">
        <w:rPr>
          <w:lang w:val="en-GB"/>
        </w:rPr>
        <w:t xml:space="preserve"> to mid-13</w:t>
      </w:r>
      <w:r w:rsidR="00413AB4" w:rsidRPr="00CF19B2">
        <w:rPr>
          <w:vertAlign w:val="superscript"/>
          <w:lang w:val="en-GB"/>
        </w:rPr>
        <w:t>th</w:t>
      </w:r>
      <w:r w:rsidR="00413AB4" w:rsidRPr="00CF19B2">
        <w:rPr>
          <w:lang w:val="en-GB"/>
        </w:rPr>
        <w:t xml:space="preserve"> century in date</w:t>
      </w:r>
      <w:r w:rsidRPr="00CF19B2">
        <w:rPr>
          <w:lang w:val="en-GB"/>
        </w:rPr>
        <w:t xml:space="preserve">. </w:t>
      </w:r>
      <w:r w:rsidR="00B1193F" w:rsidRPr="00CF19B2">
        <w:rPr>
          <w:lang w:val="en-GB"/>
        </w:rPr>
        <w:t xml:space="preserve">As such, </w:t>
      </w:r>
      <w:r w:rsidRPr="00CF19B2">
        <w:rPr>
          <w:lang w:val="en-GB"/>
        </w:rPr>
        <w:t>SkCXLVIII would have post-dated the arrival of the Vikings in Dublin in</w:t>
      </w:r>
      <w:r w:rsidR="00B1193F" w:rsidRPr="00CF19B2">
        <w:rPr>
          <w:lang w:val="en-GB"/>
        </w:rPr>
        <w:t xml:space="preserve"> the AD </w:t>
      </w:r>
      <w:r w:rsidRPr="00CF19B2">
        <w:rPr>
          <w:lang w:val="en-GB"/>
        </w:rPr>
        <w:t xml:space="preserve">840s and would have lived in a Hiberno-Norse world. St Michael’s church (later to have the le Pole suffix added in reference to its proximity to ‘the pool’) was founded around AD 1000 and is thought to have </w:t>
      </w:r>
      <w:r w:rsidRPr="00267BE5">
        <w:rPr>
          <w:lang w:val="en-GB"/>
        </w:rPr>
        <w:t xml:space="preserve">started </w:t>
      </w:r>
      <w:r w:rsidR="00267BE5" w:rsidRPr="00267BE5">
        <w:rPr>
          <w:lang w:val="en-GB"/>
        </w:rPr>
        <w:t xml:space="preserve">as a proprietary church </w:t>
      </w:r>
      <w:r w:rsidR="00C50DC4" w:rsidRPr="00267BE5">
        <w:rPr>
          <w:lang w:val="en-GB"/>
        </w:rPr>
        <w:t>[25].</w:t>
      </w:r>
      <w:r w:rsidRPr="00267BE5">
        <w:rPr>
          <w:lang w:val="en-GB"/>
        </w:rPr>
        <w:t xml:space="preserve"> </w:t>
      </w:r>
      <w:r w:rsidR="009D77F6" w:rsidRPr="00267BE5">
        <w:rPr>
          <w:lang w:val="en-GB"/>
        </w:rPr>
        <w:t>The interments at the site generally</w:t>
      </w:r>
      <w:r w:rsidR="009D77F6">
        <w:rPr>
          <w:lang w:val="en-GB"/>
        </w:rPr>
        <w:t xml:space="preserve"> followed standard Christian burial practices, with the body extended and supine with the head to the west. This was the case for both SkCXCV and SkCCXXX</w:t>
      </w:r>
      <w:r w:rsidR="00497B0E">
        <w:rPr>
          <w:lang w:val="en-GB"/>
        </w:rPr>
        <w:t xml:space="preserve"> and is suggestive that those who buried the </w:t>
      </w:r>
      <w:r w:rsidR="009D77F6">
        <w:rPr>
          <w:lang w:val="en-GB"/>
        </w:rPr>
        <w:t xml:space="preserve">individuals </w:t>
      </w:r>
      <w:r w:rsidR="009D77F6" w:rsidRPr="00D374C1">
        <w:rPr>
          <w:lang w:val="en-GB"/>
        </w:rPr>
        <w:t>f</w:t>
      </w:r>
      <w:r w:rsidR="00497B0E" w:rsidRPr="00D374C1">
        <w:rPr>
          <w:lang w:val="en-GB"/>
        </w:rPr>
        <w:t xml:space="preserve">ollowed Irish cultural norms </w:t>
      </w:r>
      <w:r w:rsidR="00D374C1" w:rsidRPr="00267BE5">
        <w:rPr>
          <w:lang w:val="en-GB"/>
        </w:rPr>
        <w:t>[11]</w:t>
      </w:r>
      <w:r w:rsidR="009D77F6" w:rsidRPr="00267BE5">
        <w:rPr>
          <w:lang w:val="en-GB"/>
        </w:rPr>
        <w:t>. This is particularly interesting for SkCXCV, for whom the isotopes suggest a</w:t>
      </w:r>
      <w:r w:rsidR="009D77F6">
        <w:rPr>
          <w:lang w:val="en-GB"/>
        </w:rPr>
        <w:t xml:space="preserve"> Scandinavian origin, and may be the first definitive </w:t>
      </w:r>
      <w:r w:rsidR="00921B06">
        <w:rPr>
          <w:lang w:val="en-GB"/>
        </w:rPr>
        <w:t>identification</w:t>
      </w:r>
      <w:r w:rsidR="009D77F6">
        <w:rPr>
          <w:lang w:val="en-GB"/>
        </w:rPr>
        <w:t xml:space="preserve"> of a Hiberno-Norse</w:t>
      </w:r>
      <w:r w:rsidR="00921B06">
        <w:rPr>
          <w:lang w:val="en-GB"/>
        </w:rPr>
        <w:t xml:space="preserve"> individual. The burial practice for the earlier SkCXLVIII was atypical and the adolescent was buried in a semi-flexed position with the head to the west. It is possible this </w:t>
      </w:r>
      <w:r w:rsidR="00497B0E">
        <w:rPr>
          <w:lang w:val="en-GB"/>
        </w:rPr>
        <w:t xml:space="preserve">position was related to the age and/or potential physical </w:t>
      </w:r>
      <w:r w:rsidR="00497B0E" w:rsidRPr="00267BE5">
        <w:rPr>
          <w:lang w:val="en-GB"/>
        </w:rPr>
        <w:t xml:space="preserve">impairments suffered by the individual as a result of his disease status </w:t>
      </w:r>
      <w:r w:rsidR="00267BE5" w:rsidRPr="00267BE5">
        <w:rPr>
          <w:lang w:val="en-GB"/>
        </w:rPr>
        <w:t>[67]</w:t>
      </w:r>
      <w:r w:rsidR="00497B0E" w:rsidRPr="00267BE5">
        <w:rPr>
          <w:lang w:val="en-GB"/>
        </w:rPr>
        <w:t>.</w:t>
      </w:r>
    </w:p>
    <w:p w:rsidR="009D77F6" w:rsidRDefault="009D77F6" w:rsidP="00E52569">
      <w:pPr>
        <w:pStyle w:val="NoteLevel11"/>
        <w:rPr>
          <w:lang w:val="en-GB"/>
        </w:rPr>
      </w:pPr>
    </w:p>
    <w:p w:rsidR="00B1193F" w:rsidRPr="00CF19B2" w:rsidRDefault="00E52569" w:rsidP="00E52569">
      <w:pPr>
        <w:pStyle w:val="NoteLevel11"/>
        <w:rPr>
          <w:lang w:val="en-GB"/>
        </w:rPr>
      </w:pPr>
      <w:r w:rsidRPr="00CF19B2">
        <w:rPr>
          <w:lang w:val="en-GB"/>
        </w:rPr>
        <w:t xml:space="preserve">It may have been a chance event that led to the burial of leprosy sufferer SkCXLVIII in the burial ground but the later deposition of two further individuals with the disease seems too much of a coincidence. The earliest reference to the foundation of St Stephen’s leprosarium occurs in the Dublin </w:t>
      </w:r>
      <w:r w:rsidR="007F66E0">
        <w:rPr>
          <w:lang w:val="en-GB"/>
        </w:rPr>
        <w:t xml:space="preserve">Corporation Records </w:t>
      </w:r>
      <w:r w:rsidR="007F66E0" w:rsidRPr="00267BE5">
        <w:rPr>
          <w:lang w:val="en-GB"/>
        </w:rPr>
        <w:t>for AD 1230</w:t>
      </w:r>
      <w:r w:rsidR="00EC086F" w:rsidRPr="00267BE5">
        <w:rPr>
          <w:lang w:val="en-GB"/>
        </w:rPr>
        <w:t xml:space="preserve"> [9]</w:t>
      </w:r>
      <w:r w:rsidRPr="00267BE5">
        <w:rPr>
          <w:lang w:val="en-GB"/>
        </w:rPr>
        <w:t xml:space="preserve"> although </w:t>
      </w:r>
      <w:r w:rsidR="00267BE5" w:rsidRPr="00267BE5">
        <w:rPr>
          <w:lang w:val="en-GB"/>
        </w:rPr>
        <w:t xml:space="preserve">it has been suggested </w:t>
      </w:r>
      <w:r w:rsidRPr="00267BE5">
        <w:rPr>
          <w:lang w:val="en-GB"/>
        </w:rPr>
        <w:t>it may have been founded by AD</w:t>
      </w:r>
      <w:r w:rsidRPr="00CF19B2">
        <w:rPr>
          <w:lang w:val="en-GB"/>
        </w:rPr>
        <w:t xml:space="preserve"> 1192</w:t>
      </w:r>
      <w:r w:rsidR="00267BE5">
        <w:rPr>
          <w:lang w:val="en-GB"/>
        </w:rPr>
        <w:t xml:space="preserve"> [25]</w:t>
      </w:r>
      <w:r w:rsidRPr="00CF19B2">
        <w:rPr>
          <w:lang w:val="en-GB"/>
        </w:rPr>
        <w:t xml:space="preserve">. This site is located only some 300 </w:t>
      </w:r>
      <w:r w:rsidR="00B1193F" w:rsidRPr="00CF19B2">
        <w:rPr>
          <w:lang w:val="en-GB"/>
        </w:rPr>
        <w:t xml:space="preserve">m from the Golden Lane site and, </w:t>
      </w:r>
      <w:r w:rsidRPr="00CF19B2">
        <w:rPr>
          <w:lang w:val="en-GB"/>
        </w:rPr>
        <w:t>given their dates</w:t>
      </w:r>
      <w:r w:rsidR="00B1193F" w:rsidRPr="00CF19B2">
        <w:rPr>
          <w:lang w:val="en-GB"/>
        </w:rPr>
        <w:t>,</w:t>
      </w:r>
      <w:r w:rsidRPr="00CF19B2">
        <w:rPr>
          <w:lang w:val="en-GB"/>
        </w:rPr>
        <w:t xml:space="preserve"> it is possible that SkCXCV and SkCCXXX would have been alive after it had been founded. </w:t>
      </w:r>
    </w:p>
    <w:p w:rsidR="00B1193F" w:rsidRPr="00CF19B2" w:rsidRDefault="00B1193F" w:rsidP="00E52569">
      <w:pPr>
        <w:pStyle w:val="NoteLevel11"/>
        <w:rPr>
          <w:lang w:val="en-GB"/>
        </w:rPr>
      </w:pPr>
    </w:p>
    <w:p w:rsidR="00E52569" w:rsidRPr="00267BE5" w:rsidRDefault="00E52569" w:rsidP="00E52569">
      <w:pPr>
        <w:pStyle w:val="NoteLevel11"/>
        <w:rPr>
          <w:lang w:val="en-GB"/>
        </w:rPr>
      </w:pPr>
      <w:r w:rsidRPr="00CF19B2">
        <w:rPr>
          <w:lang w:val="en-GB"/>
        </w:rPr>
        <w:t>Both the church of St Michael and the hospital of St Stephen lie outside the Medieval town walls in a rural environment near St Kevin’s Gate</w:t>
      </w:r>
      <w:r w:rsidR="00E028FF" w:rsidRPr="00CF19B2">
        <w:rPr>
          <w:lang w:val="en-GB"/>
        </w:rPr>
        <w:t xml:space="preserve"> (see Fig</w:t>
      </w:r>
      <w:r w:rsidRPr="00CF19B2">
        <w:rPr>
          <w:lang w:val="en-GB"/>
        </w:rPr>
        <w:t xml:space="preserve"> 1). It is tempting to suggest that from po</w:t>
      </w:r>
      <w:r w:rsidR="00256176" w:rsidRPr="00CF19B2">
        <w:rPr>
          <w:lang w:val="en-GB"/>
        </w:rPr>
        <w:t>tentially as early as the early 10</w:t>
      </w:r>
      <w:r w:rsidR="00256176" w:rsidRPr="00CF19B2">
        <w:rPr>
          <w:vertAlign w:val="superscript"/>
          <w:lang w:val="en-GB"/>
        </w:rPr>
        <w:t>th</w:t>
      </w:r>
      <w:r w:rsidRPr="00CF19B2">
        <w:rPr>
          <w:lang w:val="en-GB"/>
        </w:rPr>
        <w:t xml:space="preserve"> century the area had some association with leprosy which was later formalised through the establishment of the hospital of St Stephen. The content of the Dublin Corporation Records of AD 1230 in relation to St Stephen record an agreement in the king’s court between the master and inmates of the hospital with Geoffrey and Sara Tyrel related to a land conveyance which then became known as </w:t>
      </w:r>
      <w:r w:rsidRPr="00CF19B2">
        <w:rPr>
          <w:i/>
          <w:lang w:val="en-GB"/>
        </w:rPr>
        <w:t>Baile na Lobhar</w:t>
      </w:r>
      <w:r w:rsidRPr="00CF19B2">
        <w:rPr>
          <w:lang w:val="en-GB"/>
        </w:rPr>
        <w:t xml:space="preserve"> or Leperstown. The people of Dublin are considered to have founded </w:t>
      </w:r>
      <w:r w:rsidRPr="00267BE5">
        <w:rPr>
          <w:lang w:val="en-GB"/>
        </w:rPr>
        <w:t xml:space="preserve">the hospital which was </w:t>
      </w:r>
      <w:r w:rsidR="00B1193F" w:rsidRPr="00267BE5">
        <w:rPr>
          <w:lang w:val="en-GB"/>
        </w:rPr>
        <w:t xml:space="preserve">then </w:t>
      </w:r>
      <w:r w:rsidRPr="00267BE5">
        <w:rPr>
          <w:lang w:val="en-GB"/>
        </w:rPr>
        <w:t xml:space="preserve">run as a civic institution </w:t>
      </w:r>
      <w:r w:rsidR="00267BE5" w:rsidRPr="00267BE5">
        <w:rPr>
          <w:lang w:val="en-GB"/>
        </w:rPr>
        <w:t>[9]</w:t>
      </w:r>
      <w:r w:rsidRPr="00267BE5">
        <w:rPr>
          <w:lang w:val="en-GB"/>
        </w:rPr>
        <w:t>. The isotopic</w:t>
      </w:r>
      <w:r w:rsidRPr="00CF19B2">
        <w:rPr>
          <w:lang w:val="en-GB"/>
        </w:rPr>
        <w:t xml:space="preserve"> information is suggestive </w:t>
      </w:r>
      <w:bookmarkStart w:id="16" w:name="_Hlk516382232"/>
      <w:r w:rsidRPr="00CF19B2">
        <w:rPr>
          <w:lang w:val="en-GB"/>
        </w:rPr>
        <w:t xml:space="preserve">that </w:t>
      </w:r>
      <w:r w:rsidRPr="00CF19B2">
        <w:t xml:space="preserve">SkCXLVIII was of Viking decent, while the later </w:t>
      </w:r>
      <w:r w:rsidRPr="00CF19B2">
        <w:rPr>
          <w:iCs/>
        </w:rPr>
        <w:t>SkCXCV may also have had Scandinavia</w:t>
      </w:r>
      <w:r w:rsidR="0061367B">
        <w:rPr>
          <w:iCs/>
        </w:rPr>
        <w:t>n roots and SkCCXXX was unlikely to have been</w:t>
      </w:r>
      <w:r w:rsidRPr="00CF19B2">
        <w:rPr>
          <w:iCs/>
        </w:rPr>
        <w:t xml:space="preserve"> native to Dublin, perhaps having originated in the north of Ireland or </w:t>
      </w:r>
      <w:r w:rsidR="005D3F3B" w:rsidRPr="00CF19B2">
        <w:rPr>
          <w:iCs/>
        </w:rPr>
        <w:t xml:space="preserve">central </w:t>
      </w:r>
      <w:r w:rsidRPr="00CF19B2">
        <w:rPr>
          <w:iCs/>
        </w:rPr>
        <w:t xml:space="preserve">Britain. </w:t>
      </w:r>
      <w:bookmarkEnd w:id="16"/>
      <w:r w:rsidRPr="00CF19B2">
        <w:rPr>
          <w:iCs/>
        </w:rPr>
        <w:t>It is possible there was a longstanding presence of leprosy in the vicinity of St M</w:t>
      </w:r>
      <w:r w:rsidR="00B1193F" w:rsidRPr="00CF19B2">
        <w:rPr>
          <w:iCs/>
        </w:rPr>
        <w:t>ichael le Pole that eventually led to</w:t>
      </w:r>
      <w:r w:rsidRPr="00CF19B2">
        <w:rPr>
          <w:iCs/>
        </w:rPr>
        <w:t xml:space="preserve"> the foundation of St Stephen’s hospital, although there is also the possibility these individuals chose to be buried at St Michael le Pole, or indeed were excluded from St Stephen’s, for cultural reasons. The records are suggestive that St Stephen’s was an Anglo-</w:t>
      </w:r>
      <w:r w:rsidRPr="00267BE5">
        <w:rPr>
          <w:iCs/>
        </w:rPr>
        <w:t xml:space="preserve">Norman foundation that operated under their regulations </w:t>
      </w:r>
      <w:r w:rsidR="00A621B5" w:rsidRPr="00267BE5">
        <w:rPr>
          <w:iCs/>
        </w:rPr>
        <w:t>[9]</w:t>
      </w:r>
      <w:r w:rsidRPr="00267BE5">
        <w:rPr>
          <w:iCs/>
        </w:rPr>
        <w:t xml:space="preserve">. </w:t>
      </w:r>
      <w:r w:rsidR="00B1193F" w:rsidRPr="00267BE5">
        <w:rPr>
          <w:iCs/>
        </w:rPr>
        <w:t>As potential non-</w:t>
      </w:r>
      <w:r w:rsidR="00B1193F" w:rsidRPr="00CF19B2">
        <w:rPr>
          <w:iCs/>
        </w:rPr>
        <w:t>locals it may have been the case that</w:t>
      </w:r>
      <w:r w:rsidRPr="00CF19B2">
        <w:rPr>
          <w:iCs/>
        </w:rPr>
        <w:t xml:space="preserve"> they </w:t>
      </w:r>
      <w:r w:rsidR="00B1193F" w:rsidRPr="00CF19B2">
        <w:rPr>
          <w:iCs/>
        </w:rPr>
        <w:t xml:space="preserve">were </w:t>
      </w:r>
      <w:r w:rsidRPr="00CF19B2">
        <w:rPr>
          <w:iCs/>
        </w:rPr>
        <w:t xml:space="preserve">excluded by the hospital master and </w:t>
      </w:r>
      <w:r w:rsidR="00B1193F" w:rsidRPr="00CF19B2">
        <w:rPr>
          <w:iCs/>
        </w:rPr>
        <w:t>inmates or indeed had greater</w:t>
      </w:r>
      <w:r w:rsidRPr="00CF19B2">
        <w:rPr>
          <w:iCs/>
        </w:rPr>
        <w:t xml:space="preserve"> cultural affinity with the older Hiberno-Norse foundation</w:t>
      </w:r>
      <w:r w:rsidR="00B1193F" w:rsidRPr="00CF19B2">
        <w:rPr>
          <w:iCs/>
        </w:rPr>
        <w:t>.</w:t>
      </w:r>
      <w:r w:rsidRPr="00CF19B2">
        <w:rPr>
          <w:iCs/>
        </w:rPr>
        <w:t xml:space="preserve"> A</w:t>
      </w:r>
      <w:r w:rsidR="00B1193F" w:rsidRPr="00CF19B2">
        <w:rPr>
          <w:iCs/>
        </w:rPr>
        <w:t>lternatively, perhaps an arrangement had been</w:t>
      </w:r>
      <w:r w:rsidRPr="00CF19B2">
        <w:rPr>
          <w:iCs/>
        </w:rPr>
        <w:t xml:space="preserve"> in existence between those managing the two institutions </w:t>
      </w:r>
      <w:r w:rsidR="00B1193F" w:rsidRPr="00CF19B2">
        <w:rPr>
          <w:iCs/>
        </w:rPr>
        <w:t xml:space="preserve">that resulted in the utilization of the St Michael le Pole burial ground </w:t>
      </w:r>
      <w:r w:rsidRPr="00CF19B2">
        <w:rPr>
          <w:iCs/>
        </w:rPr>
        <w:t xml:space="preserve">and indeed it is perhaps significant that excavations in the vicinity of St Stephen have not yet revealed any osteological </w:t>
      </w:r>
      <w:r w:rsidRPr="00267BE5">
        <w:rPr>
          <w:iCs/>
        </w:rPr>
        <w:t>evidence for leprosy</w:t>
      </w:r>
      <w:r w:rsidR="00B73C3A" w:rsidRPr="00267BE5">
        <w:rPr>
          <w:iCs/>
        </w:rPr>
        <w:t xml:space="preserve"> </w:t>
      </w:r>
      <w:r w:rsidR="00F16B50" w:rsidRPr="00267BE5">
        <w:rPr>
          <w:iCs/>
        </w:rPr>
        <w:t>[68</w:t>
      </w:r>
      <w:r w:rsidR="00B73C3A" w:rsidRPr="00267BE5">
        <w:rPr>
          <w:iCs/>
        </w:rPr>
        <w:t>]</w:t>
      </w:r>
      <w:r w:rsidRPr="00267BE5">
        <w:rPr>
          <w:iCs/>
        </w:rPr>
        <w:t>.</w:t>
      </w:r>
      <w:r w:rsidR="00B1193F" w:rsidRPr="00267BE5">
        <w:rPr>
          <w:iCs/>
        </w:rPr>
        <w:t xml:space="preserve"> </w:t>
      </w:r>
    </w:p>
    <w:p w:rsidR="00B1193F" w:rsidRPr="00CF19B2" w:rsidRDefault="00B1193F" w:rsidP="00E52569">
      <w:pPr>
        <w:pStyle w:val="NoteLevel11"/>
        <w:rPr>
          <w:iCs/>
        </w:rPr>
      </w:pPr>
    </w:p>
    <w:p w:rsidR="00B1193F" w:rsidRDefault="00B1193F" w:rsidP="00E52569">
      <w:pPr>
        <w:pStyle w:val="NoteLevel11"/>
        <w:rPr>
          <w:lang w:val="en-GB"/>
        </w:rPr>
      </w:pPr>
      <w:r w:rsidRPr="00CF19B2">
        <w:rPr>
          <w:iCs/>
        </w:rPr>
        <w:t xml:space="preserve">Unfortunately, it was not possible to obtain information about the childhood origins of the individuals from Armoy and Ardreigh </w:t>
      </w:r>
      <w:r w:rsidR="00095C25" w:rsidRPr="00CF19B2">
        <w:rPr>
          <w:iCs/>
        </w:rPr>
        <w:t xml:space="preserve">due to a lack of dentition. The individual from Ardreigh dated to the </w:t>
      </w:r>
      <w:r w:rsidRPr="00CF19B2">
        <w:rPr>
          <w:iCs/>
        </w:rPr>
        <w:t>mid-13</w:t>
      </w:r>
      <w:r w:rsidRPr="00CF19B2">
        <w:rPr>
          <w:iCs/>
          <w:vertAlign w:val="superscript"/>
        </w:rPr>
        <w:t>th</w:t>
      </w:r>
      <w:r w:rsidRPr="00CF19B2">
        <w:rPr>
          <w:iCs/>
        </w:rPr>
        <w:t xml:space="preserve"> to early 14</w:t>
      </w:r>
      <w:r w:rsidRPr="00CF19B2">
        <w:rPr>
          <w:iCs/>
          <w:vertAlign w:val="superscript"/>
        </w:rPr>
        <w:t>th</w:t>
      </w:r>
      <w:r w:rsidRPr="00CF19B2">
        <w:rPr>
          <w:iCs/>
        </w:rPr>
        <w:t xml:space="preserve"> </w:t>
      </w:r>
      <w:r w:rsidR="00095C25" w:rsidRPr="00CF19B2">
        <w:rPr>
          <w:iCs/>
        </w:rPr>
        <w:t>century, while that from Armoy was of mid-15</w:t>
      </w:r>
      <w:r w:rsidR="00095C25" w:rsidRPr="00CF19B2">
        <w:rPr>
          <w:iCs/>
          <w:vertAlign w:val="superscript"/>
        </w:rPr>
        <w:t>th</w:t>
      </w:r>
      <w:r w:rsidR="00256176" w:rsidRPr="00CF19B2">
        <w:rPr>
          <w:iCs/>
        </w:rPr>
        <w:t xml:space="preserve"> to early </w:t>
      </w:r>
      <w:r w:rsidR="00095C25" w:rsidRPr="00CF19B2">
        <w:rPr>
          <w:iCs/>
        </w:rPr>
        <w:t>17</w:t>
      </w:r>
      <w:r w:rsidR="00095C25" w:rsidRPr="00CF19B2">
        <w:rPr>
          <w:iCs/>
          <w:vertAlign w:val="superscript"/>
        </w:rPr>
        <w:t>th</w:t>
      </w:r>
      <w:r w:rsidR="00095C25" w:rsidRPr="00CF19B2">
        <w:rPr>
          <w:iCs/>
        </w:rPr>
        <w:t xml:space="preserve"> century in date. As such, it is difficult to be precise about the geographical source of infection from which these individuals caught the disease since so many scenarios are possible due to the high levels of connectivity of Ireland with the rest of the world during these centuries.</w:t>
      </w:r>
    </w:p>
    <w:p w:rsidR="00E52569" w:rsidRPr="00E52569" w:rsidRDefault="00E52569">
      <w:pPr>
        <w:pStyle w:val="NoteLevel11"/>
        <w:rPr>
          <w:lang w:val="en-GB"/>
        </w:rPr>
      </w:pPr>
    </w:p>
    <w:p w:rsidR="00B72CDA" w:rsidRPr="00726391" w:rsidRDefault="00726391">
      <w:pPr>
        <w:pStyle w:val="NoteLevel11"/>
        <w:rPr>
          <w:b/>
          <w:iCs/>
          <w:sz w:val="36"/>
          <w:szCs w:val="36"/>
        </w:rPr>
      </w:pPr>
      <w:r w:rsidRPr="00726391">
        <w:rPr>
          <w:b/>
          <w:iCs/>
          <w:sz w:val="36"/>
          <w:szCs w:val="36"/>
        </w:rPr>
        <w:t>Conclusions</w:t>
      </w:r>
    </w:p>
    <w:p w:rsidR="00726391" w:rsidRPr="00CF19B2" w:rsidRDefault="00577543" w:rsidP="00726391">
      <w:pPr>
        <w:pStyle w:val="NoteLevel11"/>
      </w:pPr>
      <w:r w:rsidRPr="00726391">
        <w:rPr>
          <w:iCs/>
        </w:rPr>
        <w:t>Three out of five probable c</w:t>
      </w:r>
      <w:r w:rsidR="00B72CDA" w:rsidRPr="00726391">
        <w:rPr>
          <w:iCs/>
        </w:rPr>
        <w:t xml:space="preserve">ases of </w:t>
      </w:r>
      <w:r w:rsidR="00726391">
        <w:rPr>
          <w:iCs/>
        </w:rPr>
        <w:t>M</w:t>
      </w:r>
      <w:r w:rsidRPr="00726391">
        <w:rPr>
          <w:iCs/>
        </w:rPr>
        <w:t xml:space="preserve">edieval Irish leprosy </w:t>
      </w:r>
      <w:r w:rsidR="00B72CDA" w:rsidRPr="00726391">
        <w:rPr>
          <w:iCs/>
        </w:rPr>
        <w:t xml:space="preserve">were found to contain DNA from the pathogen </w:t>
      </w:r>
      <w:r w:rsidR="00B72CDA" w:rsidRPr="00726391">
        <w:rPr>
          <w:i/>
          <w:iCs/>
        </w:rPr>
        <w:t>M. leprae</w:t>
      </w:r>
      <w:r w:rsidR="00B72CDA" w:rsidRPr="00726391">
        <w:rPr>
          <w:iCs/>
        </w:rPr>
        <w:t>. In two of these it was possible to obtain both main genotype</w:t>
      </w:r>
      <w:r w:rsidR="005A161C" w:rsidRPr="00726391">
        <w:rPr>
          <w:iCs/>
        </w:rPr>
        <w:t xml:space="preserve"> and subtype.  The strains were identified as types 2F and 3I,</w:t>
      </w:r>
      <w:r w:rsidR="00B72CDA" w:rsidRPr="00726391">
        <w:rPr>
          <w:iCs/>
        </w:rPr>
        <w:t xml:space="preserve"> lineages identical to those seen previously in so</w:t>
      </w:r>
      <w:r w:rsidR="00BC6C93">
        <w:rPr>
          <w:iCs/>
        </w:rPr>
        <w:t>uthern Britain and Scandinavia.</w:t>
      </w:r>
      <w:r w:rsidR="00CC4E47">
        <w:rPr>
          <w:iCs/>
        </w:rPr>
        <w:t xml:space="preserve"> </w:t>
      </w:r>
      <w:r w:rsidR="00B72CDA" w:rsidRPr="00726391">
        <w:rPr>
          <w:iCs/>
        </w:rPr>
        <w:t xml:space="preserve">Isotopic analysis </w:t>
      </w:r>
      <w:r w:rsidR="00B45723" w:rsidRPr="00726391">
        <w:rPr>
          <w:iCs/>
        </w:rPr>
        <w:t xml:space="preserve">excluded an Irish origin for </w:t>
      </w:r>
      <w:r w:rsidR="00B72CDA" w:rsidRPr="00726391">
        <w:rPr>
          <w:iCs/>
        </w:rPr>
        <w:t xml:space="preserve">individual SkCXCV (strain 3I) </w:t>
      </w:r>
      <w:r w:rsidR="00726391">
        <w:rPr>
          <w:iCs/>
        </w:rPr>
        <w:t>who lived during</w:t>
      </w:r>
      <w:r w:rsidR="00B45723" w:rsidRPr="00726391">
        <w:rPr>
          <w:iCs/>
        </w:rPr>
        <w:t xml:space="preserve"> the 12</w:t>
      </w:r>
      <w:r w:rsidR="00B45723" w:rsidRPr="00726391">
        <w:rPr>
          <w:iCs/>
          <w:vertAlign w:val="superscript"/>
        </w:rPr>
        <w:t>th</w:t>
      </w:r>
      <w:r w:rsidR="00726391">
        <w:rPr>
          <w:iCs/>
        </w:rPr>
        <w:t>–</w:t>
      </w:r>
      <w:r w:rsidR="00B45723" w:rsidRPr="00726391">
        <w:rPr>
          <w:iCs/>
        </w:rPr>
        <w:t>13</w:t>
      </w:r>
      <w:r w:rsidR="00B45723" w:rsidRPr="00726391">
        <w:rPr>
          <w:iCs/>
          <w:vertAlign w:val="superscript"/>
        </w:rPr>
        <w:t>th</w:t>
      </w:r>
      <w:r w:rsidR="00B45723" w:rsidRPr="00726391">
        <w:rPr>
          <w:iCs/>
        </w:rPr>
        <w:t xml:space="preserve"> centuries </w:t>
      </w:r>
      <w:r w:rsidR="00726391">
        <w:rPr>
          <w:iCs/>
        </w:rPr>
        <w:t xml:space="preserve">and </w:t>
      </w:r>
      <w:r w:rsidR="00B72CDA" w:rsidRPr="00726391">
        <w:rPr>
          <w:iCs/>
        </w:rPr>
        <w:t>may well have spent his formative years in Scandinavia, possibly</w:t>
      </w:r>
      <w:r w:rsidR="00726391">
        <w:rPr>
          <w:iCs/>
        </w:rPr>
        <w:t xml:space="preserve"> in</w:t>
      </w:r>
      <w:r w:rsidR="00B72CDA" w:rsidRPr="00726391">
        <w:rPr>
          <w:iCs/>
        </w:rPr>
        <w:t xml:space="preserve"> southern Norway</w:t>
      </w:r>
      <w:r w:rsidRPr="00726391">
        <w:rPr>
          <w:iCs/>
        </w:rPr>
        <w:t xml:space="preserve">. </w:t>
      </w:r>
      <w:r w:rsidR="0061367B">
        <w:rPr>
          <w:iCs/>
        </w:rPr>
        <w:t xml:space="preserve">The fact that this individual was interred following the norms for Irish Christian burial is suggestive that he was a genuine Hiberno-Norse individual – a Scandinavian who had adopted Irish cultural practices. </w:t>
      </w:r>
      <w:r w:rsidR="00B45723" w:rsidRPr="00726391">
        <w:rPr>
          <w:iCs/>
        </w:rPr>
        <w:t>Individual SkCCXXX (strain 2F)</w:t>
      </w:r>
      <w:r w:rsidRPr="00726391">
        <w:rPr>
          <w:iCs/>
        </w:rPr>
        <w:t xml:space="preserve">, </w:t>
      </w:r>
      <w:r w:rsidR="0061367B">
        <w:rPr>
          <w:iCs/>
        </w:rPr>
        <w:t xml:space="preserve">was </w:t>
      </w:r>
      <w:r w:rsidRPr="00726391">
        <w:rPr>
          <w:iCs/>
        </w:rPr>
        <w:t>radiocarbon dated to</w:t>
      </w:r>
      <w:r w:rsidR="00726391">
        <w:rPr>
          <w:iCs/>
        </w:rPr>
        <w:t xml:space="preserve"> the</w:t>
      </w:r>
      <w:r w:rsidRPr="00726391">
        <w:rPr>
          <w:iCs/>
        </w:rPr>
        <w:t xml:space="preserve"> 11</w:t>
      </w:r>
      <w:r w:rsidRPr="00726391">
        <w:rPr>
          <w:iCs/>
          <w:vertAlign w:val="superscript"/>
        </w:rPr>
        <w:t>th</w:t>
      </w:r>
      <w:r w:rsidR="00726391">
        <w:rPr>
          <w:iCs/>
        </w:rPr>
        <w:t>–</w:t>
      </w:r>
      <w:r w:rsidR="00885743">
        <w:rPr>
          <w:iCs/>
        </w:rPr>
        <w:t>13</w:t>
      </w:r>
      <w:r w:rsidRPr="00726391">
        <w:rPr>
          <w:iCs/>
          <w:vertAlign w:val="superscript"/>
        </w:rPr>
        <w:t>th</w:t>
      </w:r>
      <w:r w:rsidR="00726391">
        <w:rPr>
          <w:iCs/>
        </w:rPr>
        <w:t xml:space="preserve"> centuries and, </w:t>
      </w:r>
      <w:r w:rsidRPr="00726391">
        <w:rPr>
          <w:iCs/>
        </w:rPr>
        <w:t>whilst not local to Dublin</w:t>
      </w:r>
      <w:r w:rsidR="00B45723" w:rsidRPr="00726391">
        <w:rPr>
          <w:iCs/>
        </w:rPr>
        <w:t xml:space="preserve"> may have originated in Northern Ireland, Eastern Wales or </w:t>
      </w:r>
      <w:r w:rsidRPr="00726391">
        <w:rPr>
          <w:iCs/>
        </w:rPr>
        <w:t xml:space="preserve">the </w:t>
      </w:r>
      <w:r w:rsidR="00B45723" w:rsidRPr="00726391">
        <w:rPr>
          <w:iCs/>
        </w:rPr>
        <w:t>central midlands of Britain.</w:t>
      </w:r>
      <w:r w:rsidR="00726391">
        <w:rPr>
          <w:iCs/>
        </w:rPr>
        <w:t xml:space="preserve"> </w:t>
      </w:r>
      <w:r w:rsidR="00726391" w:rsidRPr="00E048AD">
        <w:rPr>
          <w:i/>
          <w:iCs/>
        </w:rPr>
        <w:t>M. Leprae</w:t>
      </w:r>
      <w:r w:rsidR="00726391">
        <w:rPr>
          <w:iCs/>
        </w:rPr>
        <w:t xml:space="preserve"> DNA was also identified in </w:t>
      </w:r>
      <w:r w:rsidR="00726391" w:rsidRPr="00AC2102">
        <w:t>SkCXLVIII</w:t>
      </w:r>
      <w:r w:rsidR="0061367B">
        <w:t xml:space="preserve">, an individual </w:t>
      </w:r>
      <w:r w:rsidR="00726391">
        <w:t xml:space="preserve">with </w:t>
      </w:r>
      <w:r w:rsidR="00726391" w:rsidRPr="00AC2102">
        <w:t>strontium isotope values consistent with a local origin</w:t>
      </w:r>
      <w:r w:rsidR="00726391">
        <w:t xml:space="preserve"> but </w:t>
      </w:r>
      <w:r w:rsidR="00726391" w:rsidRPr="00AC2102">
        <w:t xml:space="preserve">drinking water equivalent values </w:t>
      </w:r>
      <w:r w:rsidR="00726391">
        <w:t>that correspond to the</w:t>
      </w:r>
      <w:r w:rsidR="00726391" w:rsidRPr="00AC2102">
        <w:t xml:space="preserve"> vale of York, central Europe, Denmark and southern Sweden, again raising the possibility that this individual</w:t>
      </w:r>
      <w:r w:rsidR="00726391">
        <w:t xml:space="preserve"> may be of Scandinavian origin. The three cases from Golden Lane provide a tantalizing glimpse into the cosmopolitan nature of Dublin in Medieval times – none of the three men appear to have been local to Dublin and</w:t>
      </w:r>
      <w:r w:rsidR="00D374C1">
        <w:t>,</w:t>
      </w:r>
      <w:r w:rsidR="00726391">
        <w:t xml:space="preserve"> while one may have been </w:t>
      </w:r>
      <w:r w:rsidR="00726391" w:rsidRPr="00CF19B2">
        <w:t>British or Irish, one and perhaps t</w:t>
      </w:r>
      <w:r w:rsidR="00E52569" w:rsidRPr="00CF19B2">
        <w:t>wo were of Scandinavian origin. The radi</w:t>
      </w:r>
      <w:r w:rsidR="00256176" w:rsidRPr="00CF19B2">
        <w:t>ocarbon date for SkCXLVIII (early</w:t>
      </w:r>
      <w:r w:rsidR="00CF19B2" w:rsidRPr="00CF19B2">
        <w:t xml:space="preserve"> 10</w:t>
      </w:r>
      <w:r w:rsidR="00E52569" w:rsidRPr="00CF19B2">
        <w:rPr>
          <w:vertAlign w:val="superscript"/>
        </w:rPr>
        <w:t>th</w:t>
      </w:r>
      <w:r w:rsidR="00E52569" w:rsidRPr="00CF19B2">
        <w:t xml:space="preserve"> – early 11</w:t>
      </w:r>
      <w:r w:rsidR="00E52569" w:rsidRPr="00CF19B2">
        <w:rPr>
          <w:vertAlign w:val="superscript"/>
        </w:rPr>
        <w:t xml:space="preserve">th </w:t>
      </w:r>
      <w:r w:rsidR="00E52569" w:rsidRPr="00CF19B2">
        <w:t xml:space="preserve">century) is suggestive that the area to the south-east of the Medieval town may have had longer associations with leprosy than previously </w:t>
      </w:r>
      <w:r w:rsidR="00E028FF" w:rsidRPr="00CF19B2">
        <w:t>thought and that it had</w:t>
      </w:r>
      <w:r w:rsidR="00E52569" w:rsidRPr="00CF19B2">
        <w:t xml:space="preserve"> Hiberno-Norse roots.</w:t>
      </w:r>
    </w:p>
    <w:p w:rsidR="00EC4B65" w:rsidRPr="00CF19B2" w:rsidRDefault="00EC4B65" w:rsidP="00726391">
      <w:pPr>
        <w:pStyle w:val="NoteLevel11"/>
        <w:rPr>
          <w:iCs/>
        </w:rPr>
      </w:pPr>
    </w:p>
    <w:p w:rsidR="00095C25" w:rsidRDefault="005A161C" w:rsidP="00726391">
      <w:pPr>
        <w:pStyle w:val="NoteLevel11"/>
        <w:rPr>
          <w:iCs/>
        </w:rPr>
      </w:pPr>
      <w:r w:rsidRPr="00CF19B2">
        <w:rPr>
          <w:iCs/>
        </w:rPr>
        <w:t>A multidisciplinary approach, combin</w:t>
      </w:r>
      <w:r w:rsidR="00E52569" w:rsidRPr="00CF19B2">
        <w:rPr>
          <w:iCs/>
        </w:rPr>
        <w:t xml:space="preserve">ing pathogen aDNA analysis with </w:t>
      </w:r>
      <w:r w:rsidRPr="00CF19B2">
        <w:rPr>
          <w:iCs/>
        </w:rPr>
        <w:t xml:space="preserve">geochemical stable isotopes </w:t>
      </w:r>
      <w:r w:rsidR="00B874BA" w:rsidRPr="00CF19B2">
        <w:rPr>
          <w:iCs/>
        </w:rPr>
        <w:t xml:space="preserve">on archaeological individuals with skeletal indicators of leprosy </w:t>
      </w:r>
      <w:r w:rsidRPr="00CF19B2">
        <w:rPr>
          <w:iCs/>
        </w:rPr>
        <w:t xml:space="preserve">is an instructive way for understanding the global spread of leprosy in antiquity. </w:t>
      </w:r>
      <w:r w:rsidR="00B874BA" w:rsidRPr="00CF19B2">
        <w:rPr>
          <w:iCs/>
        </w:rPr>
        <w:t>This study has revealed that despite its location on the western extremity of Europe Ireland and, certainly, Dublin was not isolated from the rest of the world during Medieval times. Multiple strands of archaeological evidence indicate i</w:t>
      </w:r>
      <w:r w:rsidR="00E52569" w:rsidRPr="00CF19B2">
        <w:rPr>
          <w:iCs/>
        </w:rPr>
        <w:t>t was a vibrant port town throughout</w:t>
      </w:r>
      <w:r w:rsidR="00B874BA" w:rsidRPr="00CF19B2">
        <w:rPr>
          <w:iCs/>
        </w:rPr>
        <w:t xml:space="preserve"> this era, a situation that brought the benefits of wealth but also facilitated the spread of infe</w:t>
      </w:r>
      <w:r w:rsidR="00095C25" w:rsidRPr="00CF19B2">
        <w:rPr>
          <w:iCs/>
        </w:rPr>
        <w:t>ctious diseases</w:t>
      </w:r>
      <w:r w:rsidR="00B874BA" w:rsidRPr="00CF19B2">
        <w:rPr>
          <w:iCs/>
        </w:rPr>
        <w:t xml:space="preserve">. </w:t>
      </w:r>
      <w:r w:rsidR="00095C25" w:rsidRPr="00CF19B2">
        <w:rPr>
          <w:iCs/>
        </w:rPr>
        <w:t>Indeed, the results of this study are suggestive that a previously overlooked aspect of the Viking legacy was the introduction of leprosy to Ireland.</w:t>
      </w:r>
    </w:p>
    <w:p w:rsidR="00095C25" w:rsidRDefault="00095C25" w:rsidP="005019BC">
      <w:pPr>
        <w:pStyle w:val="NoteLevel11"/>
        <w:rPr>
          <w:iCs/>
        </w:rPr>
      </w:pPr>
    </w:p>
    <w:p w:rsidR="00B874BA" w:rsidRPr="00B874BA" w:rsidRDefault="00B874BA" w:rsidP="005019BC">
      <w:pPr>
        <w:pStyle w:val="NoteLevel11"/>
        <w:rPr>
          <w:b/>
          <w:sz w:val="36"/>
          <w:szCs w:val="36"/>
        </w:rPr>
      </w:pPr>
      <w:r w:rsidRPr="00B874BA">
        <w:rPr>
          <w:b/>
          <w:sz w:val="36"/>
          <w:szCs w:val="36"/>
        </w:rPr>
        <w:t>Acknowledgements</w:t>
      </w:r>
    </w:p>
    <w:p w:rsidR="00885743" w:rsidRPr="004F2813" w:rsidRDefault="003150B1" w:rsidP="005019BC">
      <w:pPr>
        <w:pStyle w:val="NoteLevel11"/>
      </w:pPr>
      <w:r w:rsidRPr="003150B1">
        <w:t xml:space="preserve">We are grateful to Nessa O’Connor and Eamonn McLoughlin of the National Museum of Ireland (NMI) for facilitating the applications for the export and destructive analysis of the samples used in this study. We also appreciate the help of Judith Finlay, of the </w:t>
      </w:r>
      <w:r w:rsidR="002A29B1">
        <w:t>NMI</w:t>
      </w:r>
      <w:r w:rsidRPr="003150B1">
        <w:t>, for providing access to the Golden Lane and Ardreigh skeletal collections at the NMI Research Facility in Swords. Thanks are</w:t>
      </w:r>
      <w:r w:rsidR="002A29B1">
        <w:t xml:space="preserve"> </w:t>
      </w:r>
      <w:r w:rsidRPr="003150B1">
        <w:t xml:space="preserve">due to Sheila Dooley of the Dublinia Museum and Paul Mullarky of the NMI for enabling samples of SkCCXXX from Golden Lane to be </w:t>
      </w:r>
      <w:r w:rsidRPr="005019BC">
        <w:t>taken</w:t>
      </w:r>
      <w:r w:rsidR="00B874BA">
        <w:t xml:space="preserve">. </w:t>
      </w:r>
      <w:r w:rsidR="002A29B1">
        <w:t>We are also grateful to Dr Cormac McSparron, Queen’s University Belfast (QUB), for creating the OxCal plot of the radiocarbo</w:t>
      </w:r>
      <w:r w:rsidR="00885743">
        <w:t>n dates and to Libby Mulqueeny (QUB)</w:t>
      </w:r>
      <w:r w:rsidR="002A29B1">
        <w:t xml:space="preserve"> for preparing the map and the photograph montages.</w:t>
      </w:r>
      <w:r w:rsidR="00562198">
        <w:t xml:space="preserve"> </w:t>
      </w:r>
      <w:r w:rsidR="005420D4">
        <w:t xml:space="preserve">Professor Seán </w:t>
      </w:r>
      <w:r w:rsidR="00562198">
        <w:t>Duffy</w:t>
      </w:r>
      <w:r w:rsidR="005420D4">
        <w:t>, Trinity College Dublin,</w:t>
      </w:r>
      <w:r w:rsidR="00562198">
        <w:t xml:space="preserve"> kindly addressed our historical queries.</w:t>
      </w:r>
    </w:p>
    <w:p w:rsidR="00885743" w:rsidRPr="00A364F3" w:rsidRDefault="00885743" w:rsidP="005019BC">
      <w:pPr>
        <w:pStyle w:val="NoteLevel11"/>
        <w:rPr>
          <w:color w:val="0000FF"/>
        </w:rPr>
      </w:pPr>
    </w:p>
    <w:p w:rsidR="00876AE7" w:rsidRPr="001A3046" w:rsidRDefault="00BB0984" w:rsidP="003150B1">
      <w:pPr>
        <w:pStyle w:val="NoteLevel11"/>
        <w:rPr>
          <w:b/>
          <w:sz w:val="36"/>
          <w:szCs w:val="36"/>
          <w:lang w:val="en-GB"/>
        </w:rPr>
      </w:pPr>
      <w:r w:rsidRPr="001A3046">
        <w:rPr>
          <w:b/>
          <w:sz w:val="36"/>
          <w:szCs w:val="36"/>
          <w:lang w:val="en-GB"/>
        </w:rPr>
        <w:t>References</w:t>
      </w:r>
    </w:p>
    <w:p w:rsidR="00242AF9" w:rsidRPr="001A3046" w:rsidRDefault="00242AF9" w:rsidP="00876AE7">
      <w:pPr>
        <w:pStyle w:val="NoteLevel11"/>
        <w:rPr>
          <w:rFonts w:cs="Helvetica Neue"/>
          <w:szCs w:val="22"/>
        </w:rPr>
      </w:pPr>
    </w:p>
    <w:p w:rsidR="00593A38" w:rsidRPr="001A3046" w:rsidRDefault="00267BE5" w:rsidP="00876AE7">
      <w:pPr>
        <w:pStyle w:val="NoteLevel11"/>
        <w:rPr>
          <w:rFonts w:cs="Helvetica Neue"/>
          <w:szCs w:val="22"/>
        </w:rPr>
      </w:pPr>
      <w:r w:rsidRPr="001A3046">
        <w:rPr>
          <w:rFonts w:cs="Helvetica Neue"/>
          <w:szCs w:val="22"/>
        </w:rPr>
        <w:t>1</w:t>
      </w:r>
      <w:r w:rsidR="00593A38" w:rsidRPr="001A3046">
        <w:rPr>
          <w:rFonts w:cs="Helvetica Neue"/>
          <w:szCs w:val="22"/>
        </w:rPr>
        <w:t xml:space="preserve">. </w:t>
      </w:r>
      <w:r w:rsidR="00BB7280" w:rsidRPr="001A3046">
        <w:rPr>
          <w:rFonts w:cs="Helvetica Neue"/>
          <w:szCs w:val="22"/>
        </w:rPr>
        <w:t>H</w:t>
      </w:r>
      <w:r w:rsidR="00593A38" w:rsidRPr="001A3046">
        <w:rPr>
          <w:rFonts w:cs="Helvetica Neue"/>
          <w:szCs w:val="22"/>
        </w:rPr>
        <w:t xml:space="preserve">an X, Seo Y-H, Sizer KC, Schoberle T, May GS, </w:t>
      </w:r>
      <w:r w:rsidR="003C01BD" w:rsidRPr="001A3046">
        <w:rPr>
          <w:rFonts w:cs="Helvetica Neue"/>
          <w:szCs w:val="22"/>
        </w:rPr>
        <w:t xml:space="preserve">Spencer JS, </w:t>
      </w:r>
      <w:r w:rsidR="00593A38" w:rsidRPr="001A3046">
        <w:rPr>
          <w:rFonts w:cs="Helvetica Neue"/>
          <w:szCs w:val="22"/>
        </w:rPr>
        <w:t>et al.</w:t>
      </w:r>
      <w:r w:rsidR="00793DB6" w:rsidRPr="001A3046">
        <w:rPr>
          <w:rFonts w:cs="Helvetica Neue"/>
          <w:szCs w:val="22"/>
        </w:rPr>
        <w:t xml:space="preserve"> A new M</w:t>
      </w:r>
      <w:r w:rsidR="00BB7280" w:rsidRPr="001A3046">
        <w:rPr>
          <w:rFonts w:cs="Helvetica Neue"/>
          <w:szCs w:val="22"/>
        </w:rPr>
        <w:t xml:space="preserve">ycobacterium species causing diffuse lepromatous leprosy. </w:t>
      </w:r>
      <w:r w:rsidR="00593A38" w:rsidRPr="001A3046">
        <w:rPr>
          <w:rFonts w:cs="Helvetica Neue"/>
          <w:szCs w:val="22"/>
        </w:rPr>
        <w:t xml:space="preserve"> </w:t>
      </w:r>
      <w:r w:rsidR="00BB7280" w:rsidRPr="001A3046">
        <w:rPr>
          <w:rFonts w:cs="Helvetica Neue"/>
          <w:szCs w:val="22"/>
        </w:rPr>
        <w:t>Am J Clin</w:t>
      </w:r>
      <w:r w:rsidR="00D757B1" w:rsidRPr="001A3046">
        <w:rPr>
          <w:rFonts w:cs="Helvetica Neue"/>
          <w:szCs w:val="22"/>
        </w:rPr>
        <w:t xml:space="preserve"> </w:t>
      </w:r>
      <w:r w:rsidR="003C01BD" w:rsidRPr="001A3046">
        <w:rPr>
          <w:rFonts w:cs="Helvetica Neue"/>
          <w:szCs w:val="22"/>
        </w:rPr>
        <w:t>Pathol</w:t>
      </w:r>
      <w:r w:rsidR="00BB7280" w:rsidRPr="001A3046">
        <w:rPr>
          <w:rFonts w:cs="Helvetica Neue"/>
          <w:szCs w:val="22"/>
        </w:rPr>
        <w:t xml:space="preserve"> </w:t>
      </w:r>
      <w:r w:rsidR="007E2EE8" w:rsidRPr="001A3046">
        <w:rPr>
          <w:rFonts w:cs="Helvetica Neue"/>
          <w:szCs w:val="22"/>
        </w:rPr>
        <w:t>2008;</w:t>
      </w:r>
      <w:r w:rsidR="00593A38" w:rsidRPr="001A3046">
        <w:rPr>
          <w:rFonts w:cs="Helvetica Neue"/>
          <w:szCs w:val="22"/>
        </w:rPr>
        <w:t>130</w:t>
      </w:r>
      <w:r w:rsidR="00D757B1" w:rsidRPr="001A3046">
        <w:rPr>
          <w:rFonts w:cs="Helvetica Neue"/>
          <w:szCs w:val="22"/>
        </w:rPr>
        <w:t xml:space="preserve">: </w:t>
      </w:r>
      <w:r w:rsidR="00BB7280" w:rsidRPr="001A3046">
        <w:rPr>
          <w:rFonts w:cs="Helvetica Neue"/>
          <w:szCs w:val="22"/>
        </w:rPr>
        <w:t>856-864.</w:t>
      </w:r>
    </w:p>
    <w:p w:rsidR="007A4A51" w:rsidRPr="001A3046" w:rsidRDefault="007A4A51" w:rsidP="00876AE7">
      <w:pPr>
        <w:pStyle w:val="NoteLevel11"/>
        <w:rPr>
          <w:rFonts w:cs="Helvetica"/>
          <w:szCs w:val="13"/>
        </w:rPr>
      </w:pPr>
    </w:p>
    <w:p w:rsidR="001368C1" w:rsidRPr="001A3046" w:rsidRDefault="00267BE5" w:rsidP="00876AE7">
      <w:pPr>
        <w:pStyle w:val="NoteLevel11"/>
      </w:pPr>
      <w:r w:rsidRPr="001A3046">
        <w:rPr>
          <w:rFonts w:cs="Helvetica"/>
          <w:szCs w:val="13"/>
        </w:rPr>
        <w:t>2</w:t>
      </w:r>
      <w:r w:rsidR="001368C1" w:rsidRPr="001A3046">
        <w:rPr>
          <w:rFonts w:cs="Helvetica"/>
          <w:szCs w:val="13"/>
        </w:rPr>
        <w:t xml:space="preserve">. </w:t>
      </w:r>
      <w:r w:rsidR="00BB7280" w:rsidRPr="001A3046">
        <w:rPr>
          <w:rFonts w:cs="Helvetica"/>
          <w:szCs w:val="13"/>
        </w:rPr>
        <w:t>WHO website. Available: (</w:t>
      </w:r>
      <w:hyperlink r:id="rId11" w:history="1">
        <w:r w:rsidR="00BB7280" w:rsidRPr="001A3046">
          <w:rPr>
            <w:rStyle w:val="Hyperlink"/>
            <w:rFonts w:cs="Helvetica"/>
            <w:color w:val="auto"/>
            <w:szCs w:val="13"/>
          </w:rPr>
          <w:t>http://www.who.int/lep/mdt/regimens/en/</w:t>
        </w:r>
      </w:hyperlink>
      <w:r w:rsidR="00BB7280" w:rsidRPr="001A3046">
        <w:rPr>
          <w:rFonts w:cs="Helvetica"/>
          <w:szCs w:val="13"/>
        </w:rPr>
        <w:t>. Accessed 11.01.2018.</w:t>
      </w:r>
    </w:p>
    <w:p w:rsidR="00593A38" w:rsidRPr="001A3046" w:rsidRDefault="00593A38" w:rsidP="00876AE7">
      <w:pPr>
        <w:pStyle w:val="NoteLevel11"/>
        <w:rPr>
          <w:rFonts w:cs="Helvetica Neue"/>
          <w:szCs w:val="22"/>
        </w:rPr>
      </w:pPr>
    </w:p>
    <w:p w:rsidR="00593A38" w:rsidRPr="001A3046" w:rsidRDefault="00267BE5" w:rsidP="00876AE7">
      <w:pPr>
        <w:pStyle w:val="NoteLevel11"/>
        <w:rPr>
          <w:rFonts w:cs="Helvetica"/>
          <w:szCs w:val="20"/>
        </w:rPr>
      </w:pPr>
      <w:r w:rsidRPr="001A3046">
        <w:rPr>
          <w:rFonts w:cs="Helvetica"/>
          <w:szCs w:val="20"/>
        </w:rPr>
        <w:t>3</w:t>
      </w:r>
      <w:r w:rsidR="005A73C1" w:rsidRPr="001A3046">
        <w:rPr>
          <w:rFonts w:cs="Helvetica"/>
          <w:szCs w:val="20"/>
        </w:rPr>
        <w:t>. M</w:t>
      </w:r>
      <w:r w:rsidR="007A4A51" w:rsidRPr="001A3046">
        <w:rPr>
          <w:rFonts w:cs="Helvetica"/>
          <w:sz w:val="22"/>
          <w:szCs w:val="20"/>
        </w:rPr>
        <w:t>ø</w:t>
      </w:r>
      <w:r w:rsidR="00593A38" w:rsidRPr="001A3046">
        <w:rPr>
          <w:rFonts w:cs="Helvetica"/>
          <w:szCs w:val="20"/>
        </w:rPr>
        <w:t xml:space="preserve">ller-Christensen V. Bone changes in leprosy. </w:t>
      </w:r>
      <w:r w:rsidR="007A4A51" w:rsidRPr="001A3046">
        <w:rPr>
          <w:rFonts w:cs="Helvetica"/>
          <w:szCs w:val="20"/>
        </w:rPr>
        <w:t>Copenhagen: Munksgaard;</w:t>
      </w:r>
      <w:r w:rsidR="0040562D" w:rsidRPr="001A3046">
        <w:rPr>
          <w:rFonts w:cs="Helvetica"/>
          <w:szCs w:val="20"/>
        </w:rPr>
        <w:t xml:space="preserve"> 1961.</w:t>
      </w:r>
    </w:p>
    <w:p w:rsidR="0015738C" w:rsidRPr="001A3046" w:rsidRDefault="0015738C" w:rsidP="002B6E62">
      <w:pPr>
        <w:pStyle w:val="NoteLevel11"/>
        <w:rPr>
          <w:caps/>
          <w:lang w:val="en-GB"/>
        </w:rPr>
      </w:pPr>
    </w:p>
    <w:p w:rsidR="002B6E62" w:rsidRPr="001A3046" w:rsidRDefault="00267BE5" w:rsidP="002B6E62">
      <w:pPr>
        <w:pStyle w:val="NoteLevel11"/>
        <w:rPr>
          <w:rFonts w:cs="Helvetica"/>
          <w:color w:val="FF0000"/>
        </w:rPr>
      </w:pPr>
      <w:r w:rsidRPr="001A3046">
        <w:rPr>
          <w:caps/>
          <w:lang w:val="en-GB"/>
        </w:rPr>
        <w:t>4</w:t>
      </w:r>
      <w:r w:rsidR="002B6E62" w:rsidRPr="001A3046">
        <w:rPr>
          <w:caps/>
          <w:lang w:val="en-GB"/>
        </w:rPr>
        <w:t>.</w:t>
      </w:r>
      <w:r w:rsidR="002B6E62" w:rsidRPr="001A3046">
        <w:rPr>
          <w:rFonts w:cs="Helvetica"/>
        </w:rPr>
        <w:t xml:space="preserve"> Ortner D. Skele</w:t>
      </w:r>
      <w:r w:rsidR="007A4A51" w:rsidRPr="001A3046">
        <w:rPr>
          <w:rFonts w:cs="Helvetica"/>
        </w:rPr>
        <w:t>tal manifestations of leprosy. I</w:t>
      </w:r>
      <w:r w:rsidR="002B6E62" w:rsidRPr="001A3046">
        <w:rPr>
          <w:rFonts w:cs="Helvetica"/>
        </w:rPr>
        <w:t>n</w:t>
      </w:r>
      <w:r w:rsidR="007A4A51" w:rsidRPr="001A3046">
        <w:rPr>
          <w:rFonts w:cs="Helvetica"/>
        </w:rPr>
        <w:t>:</w:t>
      </w:r>
      <w:r w:rsidR="0015738C" w:rsidRPr="001A3046">
        <w:rPr>
          <w:rFonts w:cs="Helvetica"/>
        </w:rPr>
        <w:t xml:space="preserve"> Magilton</w:t>
      </w:r>
      <w:r w:rsidR="002B6E62" w:rsidRPr="001A3046">
        <w:rPr>
          <w:rFonts w:cs="Helvetica"/>
        </w:rPr>
        <w:t xml:space="preserve"> J</w:t>
      </w:r>
      <w:r w:rsidR="0015738C" w:rsidRPr="001A3046">
        <w:rPr>
          <w:rFonts w:cs="Helvetica"/>
        </w:rPr>
        <w:t xml:space="preserve">, Lee F, Boylston </w:t>
      </w:r>
      <w:r w:rsidR="007A4A51" w:rsidRPr="001A3046">
        <w:rPr>
          <w:rFonts w:cs="Helvetica"/>
        </w:rPr>
        <w:t>A, editors.</w:t>
      </w:r>
      <w:r w:rsidR="002B6E62" w:rsidRPr="001A3046">
        <w:rPr>
          <w:rFonts w:cs="Helvetica"/>
        </w:rPr>
        <w:t xml:space="preserve"> ‘Lepers Outside</w:t>
      </w:r>
      <w:r w:rsidR="007A4A51" w:rsidRPr="001A3046">
        <w:rPr>
          <w:rFonts w:cs="Helvetica"/>
        </w:rPr>
        <w:t xml:space="preserve"> the Gate’: Excavations at the c</w:t>
      </w:r>
      <w:r w:rsidR="002B6E62" w:rsidRPr="001A3046">
        <w:rPr>
          <w:rFonts w:cs="Helvetica"/>
        </w:rPr>
        <w:t>emetery of the Hospital of St James and St Mary Magdalene, Chichester, 1986-7 and 1993 (CBA Research Report 158)</w:t>
      </w:r>
      <w:r w:rsidR="007A4A51" w:rsidRPr="001A3046">
        <w:rPr>
          <w:rFonts w:cs="Helvetica"/>
        </w:rPr>
        <w:t xml:space="preserve">. York: Council for British Archaeology; 2008. </w:t>
      </w:r>
      <w:r w:rsidR="0015738C" w:rsidRPr="001A3046">
        <w:rPr>
          <w:rFonts w:cs="Helvetica"/>
        </w:rPr>
        <w:t>p</w:t>
      </w:r>
      <w:r w:rsidR="002B6E62" w:rsidRPr="001A3046">
        <w:rPr>
          <w:rFonts w:cs="Helvetica"/>
        </w:rPr>
        <w:t>p</w:t>
      </w:r>
      <w:r w:rsidR="007A4A51" w:rsidRPr="001A3046">
        <w:rPr>
          <w:rFonts w:cs="Helvetica"/>
        </w:rPr>
        <w:t xml:space="preserve">. </w:t>
      </w:r>
      <w:r w:rsidR="0015738C" w:rsidRPr="001A3046">
        <w:rPr>
          <w:rFonts w:cs="Helvetica"/>
        </w:rPr>
        <w:t>198-207.</w:t>
      </w:r>
    </w:p>
    <w:p w:rsidR="0015738C" w:rsidRPr="001A3046" w:rsidRDefault="0015738C" w:rsidP="00876AE7">
      <w:pPr>
        <w:pStyle w:val="NoteLevel11"/>
        <w:rPr>
          <w:rFonts w:cs="Arial"/>
          <w:color w:val="333333"/>
          <w:sz w:val="19"/>
          <w:szCs w:val="19"/>
        </w:rPr>
      </w:pPr>
    </w:p>
    <w:p w:rsidR="001368C1" w:rsidRPr="001A3046" w:rsidRDefault="00267BE5" w:rsidP="00876AE7">
      <w:pPr>
        <w:pStyle w:val="NoteLevel11"/>
        <w:rPr>
          <w:rFonts w:cs="Helvetica"/>
          <w:szCs w:val="20"/>
        </w:rPr>
      </w:pPr>
      <w:r w:rsidRPr="001A3046">
        <w:rPr>
          <w:rFonts w:cs="Helvetica"/>
          <w:szCs w:val="20"/>
        </w:rPr>
        <w:t>5</w:t>
      </w:r>
      <w:r w:rsidR="001368C1" w:rsidRPr="001A3046">
        <w:rPr>
          <w:rFonts w:cs="Helvetica"/>
          <w:szCs w:val="20"/>
        </w:rPr>
        <w:t>. Reader R. New evidence for the antiquity of leprosy in early Britain.</w:t>
      </w:r>
      <w:r w:rsidR="00D757B1" w:rsidRPr="001A3046">
        <w:rPr>
          <w:rFonts w:cs="Helvetica"/>
          <w:szCs w:val="20"/>
        </w:rPr>
        <w:t xml:space="preserve"> </w:t>
      </w:r>
      <w:r w:rsidR="001368C1" w:rsidRPr="001A3046">
        <w:rPr>
          <w:rFonts w:cs="Helvetica"/>
          <w:szCs w:val="20"/>
        </w:rPr>
        <w:t>J</w:t>
      </w:r>
      <w:r w:rsidR="00D757B1" w:rsidRPr="001A3046">
        <w:rPr>
          <w:rFonts w:cs="Helvetica"/>
          <w:szCs w:val="20"/>
        </w:rPr>
        <w:t xml:space="preserve"> </w:t>
      </w:r>
      <w:r w:rsidR="00045D2D" w:rsidRPr="001A3046">
        <w:rPr>
          <w:rFonts w:cs="Helvetica"/>
          <w:szCs w:val="20"/>
        </w:rPr>
        <w:t>Archaeol Sci</w:t>
      </w:r>
      <w:r w:rsidR="007E2EE8" w:rsidRPr="001A3046">
        <w:rPr>
          <w:rFonts w:cs="Helvetica"/>
          <w:szCs w:val="20"/>
        </w:rPr>
        <w:t xml:space="preserve"> 1974;</w:t>
      </w:r>
      <w:r w:rsidR="001368C1" w:rsidRPr="001A3046">
        <w:rPr>
          <w:rFonts w:cs="Helvetica"/>
          <w:szCs w:val="20"/>
        </w:rPr>
        <w:t>1</w:t>
      </w:r>
      <w:r w:rsidR="00D757B1" w:rsidRPr="001A3046">
        <w:rPr>
          <w:rFonts w:cs="Helvetica"/>
          <w:szCs w:val="20"/>
        </w:rPr>
        <w:t>:</w:t>
      </w:r>
      <w:r w:rsidR="001368C1" w:rsidRPr="001A3046">
        <w:rPr>
          <w:rFonts w:cs="Helvetica"/>
          <w:szCs w:val="20"/>
        </w:rPr>
        <w:t xml:space="preserve"> 205</w:t>
      </w:r>
      <w:r w:rsidR="0015738C" w:rsidRPr="001A3046">
        <w:rPr>
          <w:rFonts w:cs="Helvetica"/>
          <w:szCs w:val="20"/>
        </w:rPr>
        <w:t>-207</w:t>
      </w:r>
      <w:r w:rsidR="001368C1" w:rsidRPr="001A3046">
        <w:rPr>
          <w:rFonts w:cs="Helvetica"/>
          <w:szCs w:val="20"/>
        </w:rPr>
        <w:t xml:space="preserve">. </w:t>
      </w:r>
    </w:p>
    <w:p w:rsidR="0015738C" w:rsidRPr="001A3046" w:rsidRDefault="0015738C" w:rsidP="00876AE7">
      <w:pPr>
        <w:pStyle w:val="NoteLevel11"/>
      </w:pPr>
    </w:p>
    <w:p w:rsidR="001368C1" w:rsidRPr="001A3046" w:rsidRDefault="00267BE5" w:rsidP="00876AE7">
      <w:pPr>
        <w:pStyle w:val="NoteLevel11"/>
      </w:pPr>
      <w:r w:rsidRPr="001A3046">
        <w:t>6</w:t>
      </w:r>
      <w:r w:rsidR="001368C1" w:rsidRPr="001A3046">
        <w:t>. Inskip SA, Taylor GM, Zakrewski S, Mays SA,</w:t>
      </w:r>
      <w:r w:rsidR="009155B0" w:rsidRPr="001A3046">
        <w:t xml:space="preserve"> Pike AWG, Llewellyn G,</w:t>
      </w:r>
      <w:r w:rsidR="001368C1" w:rsidRPr="001A3046">
        <w:t xml:space="preserve"> et al. Osteological, biomolecular and geochemical analysis of an early </w:t>
      </w:r>
      <w:r w:rsidR="0040562D" w:rsidRPr="001A3046">
        <w:t>A</w:t>
      </w:r>
      <w:r w:rsidR="001368C1" w:rsidRPr="001A3046">
        <w:t>nglo-</w:t>
      </w:r>
      <w:r w:rsidR="0040562D" w:rsidRPr="001A3046">
        <w:t>S</w:t>
      </w:r>
      <w:r w:rsidR="001368C1" w:rsidRPr="001A3046">
        <w:t xml:space="preserve">axon case of lepromatous leprosy. PLOS One </w:t>
      </w:r>
      <w:r w:rsidR="007E2EE8" w:rsidRPr="001A3046">
        <w:t>2015;</w:t>
      </w:r>
      <w:r w:rsidR="001368C1" w:rsidRPr="001A3046">
        <w:t>10(5): e0124282.</w:t>
      </w:r>
    </w:p>
    <w:p w:rsidR="001368C1" w:rsidRPr="001A3046" w:rsidRDefault="001368C1" w:rsidP="00876AE7">
      <w:pPr>
        <w:pStyle w:val="NoteLevel11"/>
      </w:pPr>
    </w:p>
    <w:p w:rsidR="001368C1" w:rsidRPr="001A3046" w:rsidRDefault="00267BE5" w:rsidP="00876AE7">
      <w:pPr>
        <w:pStyle w:val="NoteLevel11"/>
      </w:pPr>
      <w:r w:rsidRPr="001A3046">
        <w:t>7</w:t>
      </w:r>
      <w:r w:rsidR="001368C1" w:rsidRPr="001A3046">
        <w:t xml:space="preserve">. Inskip SA, Taylor GM, Anderson S, Stewart GR. </w:t>
      </w:r>
      <w:r w:rsidR="0015738C" w:rsidRPr="001A3046">
        <w:t>Leprosy in Pre-Norman Suffolk: b</w:t>
      </w:r>
      <w:r w:rsidR="001368C1" w:rsidRPr="001A3046">
        <w:t xml:space="preserve">iomolecular and geochemical analysis of the woman from Hoxne. J Med Microbiol </w:t>
      </w:r>
      <w:r w:rsidR="007E2EE8" w:rsidRPr="001A3046">
        <w:t>2017;</w:t>
      </w:r>
      <w:r w:rsidR="001368C1" w:rsidRPr="001A3046">
        <w:t>6</w:t>
      </w:r>
      <w:r w:rsidR="008C4E9C" w:rsidRPr="001A3046">
        <w:t>:</w:t>
      </w:r>
      <w:r w:rsidR="001368C1" w:rsidRPr="001A3046">
        <w:t xml:space="preserve"> 1640-1649</w:t>
      </w:r>
      <w:r w:rsidR="00D757B1" w:rsidRPr="001A3046">
        <w:t>.</w:t>
      </w:r>
      <w:r w:rsidR="001368C1" w:rsidRPr="001A3046">
        <w:t xml:space="preserve"> </w:t>
      </w:r>
      <w:r w:rsidR="009155B0" w:rsidRPr="001A3046">
        <w:t xml:space="preserve"> </w:t>
      </w:r>
      <w:r w:rsidR="001368C1" w:rsidRPr="001A3046">
        <w:t>doi: 10.1099/jmm.0.000606</w:t>
      </w:r>
      <w:r w:rsidR="00D757B1" w:rsidRPr="001A3046">
        <w:t>.</w:t>
      </w:r>
    </w:p>
    <w:p w:rsidR="001368C1" w:rsidRPr="001A3046" w:rsidRDefault="001368C1" w:rsidP="00876AE7">
      <w:pPr>
        <w:pStyle w:val="NoteLevel11"/>
        <w:rPr>
          <w:b/>
          <w:caps/>
          <w:sz w:val="28"/>
          <w:lang w:val="en-GB"/>
        </w:rPr>
      </w:pPr>
    </w:p>
    <w:p w:rsidR="001368C1" w:rsidRPr="001A3046" w:rsidRDefault="00267BE5" w:rsidP="00876AE7">
      <w:pPr>
        <w:pStyle w:val="NoteLevel11"/>
      </w:pPr>
      <w:r w:rsidRPr="001A3046">
        <w:t>8</w:t>
      </w:r>
      <w:r w:rsidR="001368C1" w:rsidRPr="001A3046">
        <w:t>. Magilton, J. Lepro</w:t>
      </w:r>
      <w:r w:rsidR="0015738C" w:rsidRPr="001A3046">
        <w:t>sy, lepers and their hospitals. In: Magilton J, Lee F, Boylston A</w:t>
      </w:r>
      <w:r w:rsidR="001368C1" w:rsidRPr="001A3046">
        <w:t>, ‘Lepers Outside</w:t>
      </w:r>
      <w:r w:rsidR="0015738C" w:rsidRPr="001A3046">
        <w:t xml:space="preserve"> the Gate’: Excavations at the c</w:t>
      </w:r>
      <w:r w:rsidR="001368C1" w:rsidRPr="001A3046">
        <w:t xml:space="preserve">emetery of the Hospital of St James and St Mary Magdalene, Chichester, 1986-7 and 1993 (CBA Research Report 158). </w:t>
      </w:r>
      <w:r w:rsidR="0015738C" w:rsidRPr="001A3046">
        <w:t xml:space="preserve">York: Council for British Archaeology; </w:t>
      </w:r>
      <w:r w:rsidR="0040562D" w:rsidRPr="001A3046">
        <w:t>2008.</w:t>
      </w:r>
      <w:r w:rsidR="0015738C" w:rsidRPr="001A3046">
        <w:t xml:space="preserve"> pp. 9-26.</w:t>
      </w:r>
    </w:p>
    <w:p w:rsidR="001368C1" w:rsidRPr="001A3046" w:rsidRDefault="001368C1" w:rsidP="00876AE7">
      <w:pPr>
        <w:pStyle w:val="NoteLevel11"/>
        <w:rPr>
          <w:lang w:val="en-GB"/>
        </w:rPr>
      </w:pPr>
    </w:p>
    <w:p w:rsidR="001368C1" w:rsidRPr="001A3046" w:rsidRDefault="00267BE5" w:rsidP="00876AE7">
      <w:pPr>
        <w:pStyle w:val="NoteLevel11"/>
        <w:rPr>
          <w:rFonts w:cs="Helvetica"/>
          <w:szCs w:val="15"/>
        </w:rPr>
      </w:pPr>
      <w:r w:rsidRPr="001A3046">
        <w:t>9</w:t>
      </w:r>
      <w:r w:rsidR="00D757B1" w:rsidRPr="001A3046">
        <w:t xml:space="preserve">. </w:t>
      </w:r>
      <w:r w:rsidR="0015738C" w:rsidRPr="001A3046">
        <w:t>Lee GA. Leper h</w:t>
      </w:r>
      <w:r w:rsidR="001368C1" w:rsidRPr="001A3046">
        <w:t>ospitals in Medieval Ireland. Dublin: Four Courts Press</w:t>
      </w:r>
      <w:r w:rsidR="0015738C" w:rsidRPr="001A3046">
        <w:t>;</w:t>
      </w:r>
      <w:r w:rsidR="0040562D" w:rsidRPr="001A3046">
        <w:t xml:space="preserve"> 1996.</w:t>
      </w:r>
    </w:p>
    <w:p w:rsidR="00782139" w:rsidRPr="001A3046" w:rsidRDefault="00782139" w:rsidP="00876AE7">
      <w:pPr>
        <w:pStyle w:val="NoteLevel11"/>
        <w:rPr>
          <w:rFonts w:cs="Helvetica"/>
          <w:szCs w:val="15"/>
        </w:rPr>
      </w:pPr>
    </w:p>
    <w:p w:rsidR="001368C1" w:rsidRPr="001A3046" w:rsidRDefault="00267BE5" w:rsidP="00876AE7">
      <w:pPr>
        <w:pStyle w:val="NoteLevel11"/>
        <w:rPr>
          <w:rFonts w:cs="Helvetica"/>
          <w:szCs w:val="20"/>
        </w:rPr>
      </w:pPr>
      <w:r w:rsidRPr="001A3046">
        <w:rPr>
          <w:rFonts w:cs="Helvetica"/>
          <w:szCs w:val="20"/>
        </w:rPr>
        <w:t>10</w:t>
      </w:r>
      <w:r w:rsidR="001368C1" w:rsidRPr="001A3046">
        <w:rPr>
          <w:rFonts w:cs="Helvetica"/>
          <w:szCs w:val="20"/>
        </w:rPr>
        <w:t xml:space="preserve">. Murphy EM, Manchester K. </w:t>
      </w:r>
      <w:r w:rsidR="001368C1" w:rsidRPr="001A3046">
        <w:rPr>
          <w:rFonts w:cs="Helvetica"/>
          <w:szCs w:val="15"/>
        </w:rPr>
        <w:t>Evidence for leprosy in Medieval Ireland. In: Roberts CA, Lewis ME, Manchester K, editors. The past and present of leprosy. Archaeological, historical, palaeopathological and clinical approaches</w:t>
      </w:r>
      <w:r w:rsidR="0015738C" w:rsidRPr="001A3046">
        <w:rPr>
          <w:rFonts w:cs="Helvetica"/>
          <w:szCs w:val="20"/>
        </w:rPr>
        <w:t xml:space="preserve"> (BAR 1054 International Series)</w:t>
      </w:r>
      <w:r w:rsidR="001368C1" w:rsidRPr="001A3046">
        <w:rPr>
          <w:rFonts w:cs="Helvetica"/>
          <w:szCs w:val="15"/>
        </w:rPr>
        <w:t>. Oxford: Archaeo</w:t>
      </w:r>
      <w:r w:rsidR="0015738C" w:rsidRPr="001A3046">
        <w:rPr>
          <w:rFonts w:cs="Helvetica"/>
          <w:szCs w:val="15"/>
        </w:rPr>
        <w:t>press;</w:t>
      </w:r>
      <w:r w:rsidR="001368C1" w:rsidRPr="001A3046">
        <w:rPr>
          <w:rFonts w:cs="Helvetica"/>
          <w:szCs w:val="15"/>
        </w:rPr>
        <w:t xml:space="preserve"> </w:t>
      </w:r>
      <w:r w:rsidR="00045D2D" w:rsidRPr="001A3046">
        <w:rPr>
          <w:rFonts w:cs="Helvetica"/>
          <w:szCs w:val="15"/>
        </w:rPr>
        <w:t>2002;</w:t>
      </w:r>
      <w:r w:rsidR="0015738C" w:rsidRPr="001A3046">
        <w:rPr>
          <w:rFonts w:cs="Helvetica"/>
          <w:szCs w:val="15"/>
        </w:rPr>
        <w:t xml:space="preserve"> </w:t>
      </w:r>
      <w:r w:rsidR="00045D2D" w:rsidRPr="001A3046">
        <w:rPr>
          <w:rFonts w:cs="Helvetica"/>
          <w:szCs w:val="15"/>
        </w:rPr>
        <w:t xml:space="preserve">pp. </w:t>
      </w:r>
      <w:r w:rsidR="0015738C" w:rsidRPr="001A3046">
        <w:rPr>
          <w:rFonts w:cs="Helvetica"/>
          <w:szCs w:val="15"/>
        </w:rPr>
        <w:t>193-200</w:t>
      </w:r>
      <w:r w:rsidR="001368C1" w:rsidRPr="001A3046">
        <w:rPr>
          <w:rFonts w:cs="Helvetica"/>
          <w:szCs w:val="20"/>
        </w:rPr>
        <w:t xml:space="preserve">. </w:t>
      </w:r>
    </w:p>
    <w:p w:rsidR="00584A54" w:rsidRPr="001A3046" w:rsidRDefault="00584A54" w:rsidP="00876AE7">
      <w:pPr>
        <w:pStyle w:val="NoteLevel11"/>
        <w:rPr>
          <w:rFonts w:cs="Helvetica"/>
          <w:szCs w:val="20"/>
        </w:rPr>
      </w:pPr>
    </w:p>
    <w:p w:rsidR="00584A54" w:rsidRPr="001A3046" w:rsidRDefault="00267BE5" w:rsidP="004941DA">
      <w:pPr>
        <w:pStyle w:val="NoteLevel11"/>
        <w:keepNext w:val="0"/>
        <w:widowControl w:val="0"/>
        <w:rPr>
          <w:rFonts w:cs="Helvetica"/>
          <w:szCs w:val="20"/>
        </w:rPr>
      </w:pPr>
      <w:r w:rsidRPr="001A3046">
        <w:rPr>
          <w:rFonts w:cs="Helvetica"/>
          <w:szCs w:val="20"/>
        </w:rPr>
        <w:t>11</w:t>
      </w:r>
      <w:r w:rsidR="00584A54" w:rsidRPr="001A3046">
        <w:rPr>
          <w:rFonts w:cs="Helvetica"/>
          <w:szCs w:val="20"/>
        </w:rPr>
        <w:t xml:space="preserve">. </w:t>
      </w:r>
      <w:r w:rsidR="0083160F" w:rsidRPr="001A3046">
        <w:rPr>
          <w:rFonts w:cs="Helvetica"/>
          <w:szCs w:val="20"/>
        </w:rPr>
        <w:t xml:space="preserve">O’Donovan E. </w:t>
      </w:r>
      <w:r w:rsidR="00584A54" w:rsidRPr="001A3046">
        <w:rPr>
          <w:rFonts w:cs="Helvetica"/>
          <w:szCs w:val="20"/>
        </w:rPr>
        <w:t xml:space="preserve"> The Irish, the Vikings and the English: new archaeological evidence from excavations at Golden Lane, Dublin</w:t>
      </w:r>
      <w:r w:rsidR="0040562D" w:rsidRPr="001A3046">
        <w:rPr>
          <w:rFonts w:cs="Helvetica"/>
          <w:szCs w:val="20"/>
        </w:rPr>
        <w:t xml:space="preserve">. </w:t>
      </w:r>
      <w:r w:rsidR="0015738C" w:rsidRPr="001A3046">
        <w:rPr>
          <w:rFonts w:cs="Helvetica"/>
          <w:szCs w:val="20"/>
        </w:rPr>
        <w:t>In</w:t>
      </w:r>
      <w:r w:rsidR="002004BD" w:rsidRPr="001A3046">
        <w:rPr>
          <w:rFonts w:cs="Helvetica"/>
          <w:szCs w:val="20"/>
        </w:rPr>
        <w:t>:</w:t>
      </w:r>
      <w:r w:rsidR="0015738C" w:rsidRPr="001A3046">
        <w:rPr>
          <w:rFonts w:cs="Helvetica"/>
          <w:szCs w:val="20"/>
        </w:rPr>
        <w:t xml:space="preserve"> Duffy, S, editor. Medieval Dublin VIII: p</w:t>
      </w:r>
      <w:r w:rsidR="00584A54" w:rsidRPr="001A3046">
        <w:rPr>
          <w:rFonts w:cs="Helvetica"/>
          <w:szCs w:val="20"/>
        </w:rPr>
        <w:t xml:space="preserve">roceedings of </w:t>
      </w:r>
      <w:r w:rsidR="0015738C" w:rsidRPr="001A3046">
        <w:rPr>
          <w:rFonts w:cs="Helvetica"/>
          <w:szCs w:val="20"/>
        </w:rPr>
        <w:t>the Friends of</w:t>
      </w:r>
      <w:r w:rsidR="004941DA">
        <w:rPr>
          <w:rFonts w:cs="Helvetica"/>
          <w:szCs w:val="20"/>
        </w:rPr>
        <w:t xml:space="preserve"> </w:t>
      </w:r>
      <w:r w:rsidR="0015738C" w:rsidRPr="001A3046">
        <w:rPr>
          <w:rFonts w:cs="Helvetica"/>
          <w:szCs w:val="20"/>
        </w:rPr>
        <w:t>Medieval Dublin s</w:t>
      </w:r>
      <w:r w:rsidR="00584A54" w:rsidRPr="001A3046">
        <w:rPr>
          <w:rFonts w:cs="Helvetica"/>
          <w:szCs w:val="20"/>
        </w:rPr>
        <w:t>ymposium 2006. Dublin: Four Courts Press</w:t>
      </w:r>
      <w:r w:rsidR="0015738C" w:rsidRPr="001A3046">
        <w:rPr>
          <w:rFonts w:cs="Helvetica"/>
          <w:szCs w:val="20"/>
        </w:rPr>
        <w:t xml:space="preserve">; 2008. </w:t>
      </w:r>
      <w:r w:rsidR="0040562D" w:rsidRPr="001A3046">
        <w:rPr>
          <w:rFonts w:cs="Helvetica"/>
          <w:szCs w:val="20"/>
        </w:rPr>
        <w:t>pp</w:t>
      </w:r>
      <w:r w:rsidR="00045D2D" w:rsidRPr="001A3046">
        <w:rPr>
          <w:rFonts w:cs="Helvetica"/>
          <w:szCs w:val="20"/>
        </w:rPr>
        <w:t>.</w:t>
      </w:r>
      <w:r w:rsidR="0015738C" w:rsidRPr="001A3046">
        <w:rPr>
          <w:rFonts w:cs="Helvetica"/>
          <w:szCs w:val="20"/>
        </w:rPr>
        <w:t xml:space="preserve"> </w:t>
      </w:r>
      <w:r w:rsidR="0040562D" w:rsidRPr="001A3046">
        <w:rPr>
          <w:rFonts w:cs="Helvetica"/>
          <w:szCs w:val="20"/>
        </w:rPr>
        <w:t>36-130.</w:t>
      </w:r>
    </w:p>
    <w:p w:rsidR="00584A54" w:rsidRPr="004941DA" w:rsidRDefault="00267BE5" w:rsidP="004941DA">
      <w:pPr>
        <w:pStyle w:val="NoteLevel11"/>
        <w:rPr>
          <w:b/>
          <w:caps/>
          <w:sz w:val="28"/>
          <w:lang w:val="en-GB"/>
        </w:rPr>
      </w:pPr>
      <w:r w:rsidRPr="004941DA">
        <w:rPr>
          <w:rFonts w:cs="Helvetica"/>
          <w:szCs w:val="20"/>
        </w:rPr>
        <w:t>12</w:t>
      </w:r>
      <w:r w:rsidR="00584A54" w:rsidRPr="004941DA">
        <w:rPr>
          <w:rFonts w:cs="Helvetica"/>
          <w:szCs w:val="20"/>
        </w:rPr>
        <w:t xml:space="preserve">. </w:t>
      </w:r>
      <w:r w:rsidR="00BB7280" w:rsidRPr="004941DA">
        <w:rPr>
          <w:rFonts w:cs="Helvetica"/>
          <w:szCs w:val="20"/>
        </w:rPr>
        <w:t xml:space="preserve">Buckley </w:t>
      </w:r>
      <w:r w:rsidR="0040562D" w:rsidRPr="004941DA">
        <w:rPr>
          <w:rFonts w:cs="Helvetica"/>
          <w:szCs w:val="20"/>
        </w:rPr>
        <w:t xml:space="preserve">L. </w:t>
      </w:r>
      <w:r w:rsidR="00BB7280" w:rsidRPr="004941DA">
        <w:rPr>
          <w:rFonts w:cs="Helvetica"/>
          <w:szCs w:val="20"/>
        </w:rPr>
        <w:t>Outcasts, or ca</w:t>
      </w:r>
      <w:r w:rsidR="0015738C" w:rsidRPr="004941DA">
        <w:rPr>
          <w:rFonts w:cs="Helvetica"/>
          <w:szCs w:val="20"/>
        </w:rPr>
        <w:t>re in the community? Archaeol Ire.</w:t>
      </w:r>
      <w:r w:rsidR="00BB7280" w:rsidRPr="004941DA">
        <w:rPr>
          <w:rFonts w:cs="Helvetica"/>
          <w:szCs w:val="20"/>
        </w:rPr>
        <w:t xml:space="preserve"> </w:t>
      </w:r>
      <w:r w:rsidR="008C4E9C" w:rsidRPr="004941DA">
        <w:rPr>
          <w:rFonts w:cs="Helvetica"/>
          <w:szCs w:val="20"/>
        </w:rPr>
        <w:t>2008;</w:t>
      </w:r>
      <w:r w:rsidR="00BB7280" w:rsidRPr="004941DA">
        <w:rPr>
          <w:rFonts w:cs="Helvetica"/>
          <w:szCs w:val="20"/>
        </w:rPr>
        <w:t>22</w:t>
      </w:r>
      <w:r w:rsidR="008C4E9C" w:rsidRPr="004941DA">
        <w:rPr>
          <w:rFonts w:cs="Helvetica"/>
          <w:szCs w:val="20"/>
        </w:rPr>
        <w:t>:</w:t>
      </w:r>
      <w:r w:rsidR="0015738C" w:rsidRPr="004941DA">
        <w:rPr>
          <w:rFonts w:cs="Helvetica"/>
          <w:szCs w:val="20"/>
        </w:rPr>
        <w:t xml:space="preserve"> </w:t>
      </w:r>
      <w:r w:rsidR="00BB7280" w:rsidRPr="004941DA">
        <w:rPr>
          <w:rFonts w:cs="Helvetica"/>
          <w:szCs w:val="20"/>
        </w:rPr>
        <w:t>26-31.</w:t>
      </w:r>
    </w:p>
    <w:p w:rsidR="00584A54" w:rsidRPr="001A3046" w:rsidRDefault="00584A54" w:rsidP="00876AE7">
      <w:pPr>
        <w:pStyle w:val="NoteLevel11"/>
        <w:rPr>
          <w:b/>
          <w:caps/>
          <w:sz w:val="28"/>
          <w:lang w:val="en-GB"/>
        </w:rPr>
      </w:pPr>
    </w:p>
    <w:p w:rsidR="00584A54" w:rsidRPr="001A3046" w:rsidRDefault="00267BE5" w:rsidP="00876AE7">
      <w:pPr>
        <w:pStyle w:val="NoteLevel11"/>
        <w:rPr>
          <w:rFonts w:cs="Helvetica"/>
          <w:szCs w:val="20"/>
        </w:rPr>
      </w:pPr>
      <w:r w:rsidRPr="001A3046">
        <w:rPr>
          <w:rFonts w:cs="Helvetica"/>
          <w:szCs w:val="20"/>
        </w:rPr>
        <w:t>13</w:t>
      </w:r>
      <w:r w:rsidR="00782139" w:rsidRPr="001A3046">
        <w:rPr>
          <w:rFonts w:cs="Helvetica"/>
          <w:szCs w:val="20"/>
        </w:rPr>
        <w:t>. Troy</w:t>
      </w:r>
      <w:r w:rsidR="00584A54" w:rsidRPr="001A3046">
        <w:rPr>
          <w:rFonts w:cs="Helvetica"/>
          <w:szCs w:val="20"/>
        </w:rPr>
        <w:t xml:space="preserve"> C. Final Report on the Human Remains from Ardreigh, Co. Kildare. Volume 1: Report. Unpublished report prepared for Headland Archaeology Ltd.</w:t>
      </w:r>
      <w:r w:rsidR="0040562D" w:rsidRPr="001A3046">
        <w:rPr>
          <w:rFonts w:cs="Helvetica"/>
          <w:szCs w:val="20"/>
        </w:rPr>
        <w:t>, 2010.</w:t>
      </w:r>
    </w:p>
    <w:p w:rsidR="0042585D" w:rsidRPr="001A3046" w:rsidRDefault="0042585D" w:rsidP="00876AE7">
      <w:pPr>
        <w:pStyle w:val="NoteLevel11"/>
        <w:rPr>
          <w:rFonts w:cs="Helvetica"/>
          <w:szCs w:val="20"/>
        </w:rPr>
      </w:pPr>
    </w:p>
    <w:p w:rsidR="00B77670" w:rsidRPr="001A3046" w:rsidRDefault="00267BE5" w:rsidP="00876AE7">
      <w:pPr>
        <w:pStyle w:val="NoteLevel11"/>
        <w:rPr>
          <w:rFonts w:cs="Helvetica"/>
          <w:szCs w:val="20"/>
        </w:rPr>
      </w:pPr>
      <w:r w:rsidRPr="001A3046">
        <w:rPr>
          <w:rFonts w:cs="Helvetica"/>
          <w:szCs w:val="20"/>
        </w:rPr>
        <w:t>14</w:t>
      </w:r>
      <w:r w:rsidR="00782139" w:rsidRPr="001A3046">
        <w:rPr>
          <w:rFonts w:cs="Helvetica"/>
          <w:szCs w:val="20"/>
        </w:rPr>
        <w:t>. O’Brien</w:t>
      </w:r>
      <w:r w:rsidR="00B77670" w:rsidRPr="001A3046">
        <w:rPr>
          <w:rFonts w:cs="Helvetica"/>
          <w:szCs w:val="20"/>
        </w:rPr>
        <w:t xml:space="preserve"> E. Contacts between Ireland and Anglo-Saxon Eng</w:t>
      </w:r>
      <w:r w:rsidR="00782139" w:rsidRPr="001A3046">
        <w:rPr>
          <w:rFonts w:cs="Helvetica"/>
          <w:szCs w:val="20"/>
        </w:rPr>
        <w:t>l</w:t>
      </w:r>
      <w:r w:rsidR="00B77670" w:rsidRPr="001A3046">
        <w:rPr>
          <w:rFonts w:cs="Helvetica"/>
          <w:szCs w:val="20"/>
        </w:rPr>
        <w:t>and in the seventh century. An</w:t>
      </w:r>
      <w:r w:rsidR="00782139" w:rsidRPr="001A3046">
        <w:rPr>
          <w:rFonts w:cs="Helvetica"/>
          <w:szCs w:val="20"/>
        </w:rPr>
        <w:t>glo-Saxon Stud Archaeol and Hist</w:t>
      </w:r>
      <w:r w:rsidR="00B77670" w:rsidRPr="001A3046">
        <w:rPr>
          <w:rFonts w:cs="Helvetica"/>
          <w:szCs w:val="20"/>
        </w:rPr>
        <w:t xml:space="preserve"> </w:t>
      </w:r>
      <w:r w:rsidR="00920019" w:rsidRPr="001A3046">
        <w:rPr>
          <w:rFonts w:cs="Helvetica"/>
          <w:szCs w:val="20"/>
        </w:rPr>
        <w:t>1993;</w:t>
      </w:r>
      <w:r w:rsidR="00B77670" w:rsidRPr="001A3046">
        <w:rPr>
          <w:rFonts w:cs="Helvetica"/>
          <w:szCs w:val="20"/>
        </w:rPr>
        <w:t>6</w:t>
      </w:r>
      <w:r w:rsidR="00920019" w:rsidRPr="001A3046">
        <w:rPr>
          <w:rFonts w:cs="Helvetica"/>
          <w:szCs w:val="20"/>
        </w:rPr>
        <w:t>:</w:t>
      </w:r>
      <w:r w:rsidR="00782139" w:rsidRPr="001A3046">
        <w:rPr>
          <w:rFonts w:cs="Helvetica"/>
          <w:szCs w:val="20"/>
        </w:rPr>
        <w:t xml:space="preserve"> </w:t>
      </w:r>
      <w:r w:rsidR="00B77670" w:rsidRPr="001A3046">
        <w:rPr>
          <w:rFonts w:cs="Helvetica"/>
          <w:szCs w:val="20"/>
        </w:rPr>
        <w:t>93-102.</w:t>
      </w:r>
    </w:p>
    <w:p w:rsidR="00B77670" w:rsidRPr="001A3046" w:rsidRDefault="00B77670" w:rsidP="00876AE7">
      <w:pPr>
        <w:pStyle w:val="NoteLevel11"/>
        <w:rPr>
          <w:rFonts w:cs="Helvetica"/>
          <w:szCs w:val="20"/>
        </w:rPr>
      </w:pPr>
    </w:p>
    <w:p w:rsidR="00B77670" w:rsidRPr="001A3046" w:rsidRDefault="00267BE5" w:rsidP="00876AE7">
      <w:pPr>
        <w:pStyle w:val="NoteLevel11"/>
        <w:rPr>
          <w:rFonts w:cs="Helvetica"/>
          <w:szCs w:val="20"/>
        </w:rPr>
      </w:pPr>
      <w:r w:rsidRPr="001A3046">
        <w:rPr>
          <w:rFonts w:cs="Helvetica"/>
          <w:szCs w:val="20"/>
        </w:rPr>
        <w:t>15</w:t>
      </w:r>
      <w:r w:rsidR="00782139" w:rsidRPr="001A3046">
        <w:rPr>
          <w:rFonts w:cs="Helvetica"/>
          <w:szCs w:val="20"/>
        </w:rPr>
        <w:t xml:space="preserve">. Ó Cróinín </w:t>
      </w:r>
      <w:r w:rsidR="00B77670" w:rsidRPr="001A3046">
        <w:rPr>
          <w:rFonts w:cs="Helvetica"/>
          <w:szCs w:val="20"/>
        </w:rPr>
        <w:t xml:space="preserve">D. Early Medieval Ireland 400-1200. </w:t>
      </w:r>
      <w:r w:rsidR="00782139" w:rsidRPr="001A3046">
        <w:rPr>
          <w:rFonts w:cs="Helvetica"/>
          <w:szCs w:val="20"/>
        </w:rPr>
        <w:t>2</w:t>
      </w:r>
      <w:r w:rsidR="00782139" w:rsidRPr="001A3046">
        <w:rPr>
          <w:rFonts w:cs="Helvetica"/>
          <w:szCs w:val="20"/>
          <w:vertAlign w:val="superscript"/>
        </w:rPr>
        <w:t>nd</w:t>
      </w:r>
      <w:r w:rsidR="00782139" w:rsidRPr="001A3046">
        <w:rPr>
          <w:rFonts w:cs="Helvetica"/>
          <w:szCs w:val="20"/>
        </w:rPr>
        <w:t xml:space="preserve"> ed. London: Routledge; </w:t>
      </w:r>
      <w:r w:rsidR="0040562D" w:rsidRPr="001A3046">
        <w:rPr>
          <w:rFonts w:cs="Helvetica"/>
          <w:szCs w:val="20"/>
        </w:rPr>
        <w:t>2017.</w:t>
      </w:r>
    </w:p>
    <w:p w:rsidR="00782139" w:rsidRPr="001A3046" w:rsidRDefault="00782139" w:rsidP="00876AE7">
      <w:pPr>
        <w:pStyle w:val="NoteLevel11"/>
        <w:rPr>
          <w:rFonts w:cs="Helvetica"/>
          <w:szCs w:val="20"/>
        </w:rPr>
      </w:pPr>
    </w:p>
    <w:p w:rsidR="00B77670" w:rsidRPr="001A3046" w:rsidRDefault="00267BE5" w:rsidP="00876AE7">
      <w:pPr>
        <w:pStyle w:val="NoteLevel11"/>
        <w:rPr>
          <w:rFonts w:cs="Helvetica"/>
          <w:szCs w:val="20"/>
        </w:rPr>
      </w:pPr>
      <w:r w:rsidRPr="001A3046">
        <w:rPr>
          <w:rFonts w:cs="Helvetica"/>
          <w:szCs w:val="20"/>
        </w:rPr>
        <w:t>16</w:t>
      </w:r>
      <w:r w:rsidR="00782139" w:rsidRPr="001A3046">
        <w:rPr>
          <w:rFonts w:cs="Helvetica"/>
          <w:szCs w:val="20"/>
        </w:rPr>
        <w:t xml:space="preserve">. O’Sullivan A, McCormick F, Kerr TR, </w:t>
      </w:r>
      <w:r w:rsidR="00B77670" w:rsidRPr="001A3046">
        <w:rPr>
          <w:rFonts w:cs="Helvetica"/>
          <w:szCs w:val="20"/>
        </w:rPr>
        <w:t xml:space="preserve">Harney </w:t>
      </w:r>
      <w:r w:rsidR="0040562D" w:rsidRPr="001A3046">
        <w:rPr>
          <w:rFonts w:cs="Helvetica"/>
          <w:szCs w:val="20"/>
        </w:rPr>
        <w:t>L</w:t>
      </w:r>
      <w:r w:rsidR="00B77670" w:rsidRPr="001A3046">
        <w:rPr>
          <w:rFonts w:cs="Helvetica"/>
          <w:szCs w:val="20"/>
        </w:rPr>
        <w:t>. Early M</w:t>
      </w:r>
      <w:r w:rsidR="00782139" w:rsidRPr="001A3046">
        <w:rPr>
          <w:rFonts w:cs="Helvetica"/>
          <w:szCs w:val="20"/>
        </w:rPr>
        <w:t>edieval Ireland AD 400 – 1100: the evidence from archaeological e</w:t>
      </w:r>
      <w:r w:rsidR="00B77670" w:rsidRPr="001A3046">
        <w:rPr>
          <w:rFonts w:cs="Helvetica"/>
          <w:szCs w:val="20"/>
        </w:rPr>
        <w:t>xcavations. Dublin: Royal Irish Academy</w:t>
      </w:r>
      <w:r w:rsidR="00782139" w:rsidRPr="001A3046">
        <w:rPr>
          <w:rFonts w:cs="Helvetica"/>
          <w:szCs w:val="20"/>
        </w:rPr>
        <w:t>;</w:t>
      </w:r>
      <w:r w:rsidR="0040562D" w:rsidRPr="001A3046">
        <w:rPr>
          <w:rFonts w:cs="Helvetica"/>
          <w:szCs w:val="20"/>
        </w:rPr>
        <w:t xml:space="preserve"> 2014.</w:t>
      </w:r>
    </w:p>
    <w:p w:rsidR="00B77670" w:rsidRPr="001A3046" w:rsidRDefault="00B77670" w:rsidP="00876AE7">
      <w:pPr>
        <w:pStyle w:val="NoteLevel11"/>
        <w:rPr>
          <w:rFonts w:cs="Helvetica"/>
          <w:szCs w:val="20"/>
        </w:rPr>
      </w:pPr>
    </w:p>
    <w:p w:rsidR="00B77670" w:rsidRPr="001A3046" w:rsidRDefault="00267BE5" w:rsidP="00876AE7">
      <w:pPr>
        <w:pStyle w:val="NoteLevel11"/>
        <w:rPr>
          <w:szCs w:val="27"/>
          <w:lang w:val="en-GB"/>
        </w:rPr>
      </w:pPr>
      <w:r w:rsidRPr="001A3046">
        <w:rPr>
          <w:szCs w:val="27"/>
          <w:lang w:val="en-GB"/>
        </w:rPr>
        <w:t>17</w:t>
      </w:r>
      <w:r w:rsidR="00782139" w:rsidRPr="001A3046">
        <w:rPr>
          <w:szCs w:val="27"/>
          <w:lang w:val="en-GB"/>
        </w:rPr>
        <w:t>. Harrison</w:t>
      </w:r>
      <w:r w:rsidR="00B77670" w:rsidRPr="001A3046">
        <w:rPr>
          <w:szCs w:val="27"/>
          <w:lang w:val="en-GB"/>
        </w:rPr>
        <w:t xml:space="preserve"> SH. 2001. Viking graves and grave-goods in Ireland</w:t>
      </w:r>
      <w:r w:rsidR="00782139" w:rsidRPr="001A3046">
        <w:rPr>
          <w:szCs w:val="27"/>
          <w:lang w:val="en-GB"/>
        </w:rPr>
        <w:t>.</w:t>
      </w:r>
      <w:r w:rsidR="00B77670" w:rsidRPr="001A3046">
        <w:rPr>
          <w:szCs w:val="27"/>
          <w:lang w:val="en-GB"/>
        </w:rPr>
        <w:t xml:space="preserve"> </w:t>
      </w:r>
      <w:r w:rsidR="0040562D" w:rsidRPr="001A3046">
        <w:rPr>
          <w:szCs w:val="27"/>
          <w:lang w:val="en-GB"/>
        </w:rPr>
        <w:t>I</w:t>
      </w:r>
      <w:r w:rsidR="00B77670" w:rsidRPr="001A3046">
        <w:rPr>
          <w:szCs w:val="27"/>
          <w:lang w:val="en-GB"/>
        </w:rPr>
        <w:t>n</w:t>
      </w:r>
      <w:r w:rsidR="0083160F" w:rsidRPr="001A3046">
        <w:rPr>
          <w:szCs w:val="27"/>
          <w:lang w:val="en-GB"/>
        </w:rPr>
        <w:t>:</w:t>
      </w:r>
      <w:r w:rsidR="00782139" w:rsidRPr="001A3046">
        <w:rPr>
          <w:szCs w:val="27"/>
          <w:lang w:val="en-GB"/>
        </w:rPr>
        <w:t xml:space="preserve"> Larsen A, editor</w:t>
      </w:r>
      <w:r w:rsidR="00B77670" w:rsidRPr="001A3046">
        <w:rPr>
          <w:szCs w:val="27"/>
          <w:lang w:val="en-GB"/>
        </w:rPr>
        <w:t>, The Vikings in Ireland. Roskilde: Viking Ship Museum</w:t>
      </w:r>
      <w:r w:rsidR="00782139" w:rsidRPr="001A3046">
        <w:rPr>
          <w:szCs w:val="27"/>
          <w:lang w:val="en-GB"/>
        </w:rPr>
        <w:t xml:space="preserve">; 2001. </w:t>
      </w:r>
      <w:r w:rsidR="0040562D" w:rsidRPr="001A3046">
        <w:rPr>
          <w:szCs w:val="27"/>
          <w:lang w:val="en-GB"/>
        </w:rPr>
        <w:t>pp</w:t>
      </w:r>
      <w:r w:rsidR="009155B0" w:rsidRPr="001A3046">
        <w:rPr>
          <w:szCs w:val="27"/>
          <w:lang w:val="en-GB"/>
        </w:rPr>
        <w:t>.</w:t>
      </w:r>
      <w:r w:rsidR="0040562D" w:rsidRPr="001A3046">
        <w:rPr>
          <w:szCs w:val="27"/>
          <w:lang w:val="en-GB"/>
        </w:rPr>
        <w:t xml:space="preserve"> 61-75.</w:t>
      </w:r>
    </w:p>
    <w:p w:rsidR="00B84342" w:rsidRPr="001A3046" w:rsidRDefault="00B84342" w:rsidP="00876AE7">
      <w:pPr>
        <w:pStyle w:val="NoteLevel11"/>
        <w:rPr>
          <w:szCs w:val="27"/>
          <w:lang w:val="en-GB"/>
        </w:rPr>
      </w:pPr>
    </w:p>
    <w:p w:rsidR="004B282C" w:rsidRPr="001A3046" w:rsidRDefault="00267BE5" w:rsidP="00876AE7">
      <w:pPr>
        <w:pStyle w:val="NoteLevel11"/>
        <w:rPr>
          <w:szCs w:val="27"/>
          <w:lang w:val="en-GB"/>
        </w:rPr>
      </w:pPr>
      <w:r w:rsidRPr="001A3046">
        <w:rPr>
          <w:szCs w:val="27"/>
          <w:lang w:val="en-GB"/>
        </w:rPr>
        <w:t>18</w:t>
      </w:r>
      <w:r w:rsidR="00782139" w:rsidRPr="001A3046">
        <w:rPr>
          <w:szCs w:val="27"/>
          <w:lang w:val="en-GB"/>
        </w:rPr>
        <w:t>. Flanagan</w:t>
      </w:r>
      <w:r w:rsidR="004B282C" w:rsidRPr="001A3046">
        <w:rPr>
          <w:szCs w:val="27"/>
          <w:lang w:val="en-GB"/>
        </w:rPr>
        <w:t xml:space="preserve"> MT. Anglo-Irish relations</w:t>
      </w:r>
      <w:r w:rsidR="0040562D" w:rsidRPr="001A3046">
        <w:rPr>
          <w:szCs w:val="27"/>
          <w:lang w:val="en-GB"/>
        </w:rPr>
        <w:t>. I</w:t>
      </w:r>
      <w:r w:rsidR="004B282C" w:rsidRPr="001A3046">
        <w:rPr>
          <w:szCs w:val="27"/>
          <w:lang w:val="en-GB"/>
        </w:rPr>
        <w:t>n</w:t>
      </w:r>
      <w:r w:rsidR="00782139" w:rsidRPr="001A3046">
        <w:rPr>
          <w:szCs w:val="27"/>
          <w:lang w:val="en-GB"/>
        </w:rPr>
        <w:t>: Duffy S, editor, Medieval Ireland: a</w:t>
      </w:r>
      <w:r w:rsidR="004B282C" w:rsidRPr="001A3046">
        <w:rPr>
          <w:szCs w:val="27"/>
          <w:lang w:val="en-GB"/>
        </w:rPr>
        <w:t>n Encyclopedia. London: Routledge</w:t>
      </w:r>
      <w:r w:rsidR="00782139" w:rsidRPr="001A3046">
        <w:rPr>
          <w:szCs w:val="27"/>
          <w:lang w:val="en-GB"/>
        </w:rPr>
        <w:t>; 2005. p</w:t>
      </w:r>
      <w:r w:rsidR="0040562D" w:rsidRPr="001A3046">
        <w:rPr>
          <w:szCs w:val="27"/>
          <w:lang w:val="en-GB"/>
        </w:rPr>
        <w:t>p</w:t>
      </w:r>
      <w:r w:rsidR="00782139" w:rsidRPr="001A3046">
        <w:rPr>
          <w:szCs w:val="27"/>
          <w:lang w:val="en-GB"/>
        </w:rPr>
        <w:t>.</w:t>
      </w:r>
      <w:r w:rsidR="0040562D" w:rsidRPr="001A3046">
        <w:rPr>
          <w:szCs w:val="27"/>
          <w:lang w:val="en-GB"/>
        </w:rPr>
        <w:t xml:space="preserve"> 15-17.</w:t>
      </w:r>
    </w:p>
    <w:p w:rsidR="004B282C" w:rsidRPr="001A3046" w:rsidRDefault="004B282C" w:rsidP="00876AE7">
      <w:pPr>
        <w:pStyle w:val="NoteLevel11"/>
      </w:pPr>
    </w:p>
    <w:p w:rsidR="004B282C" w:rsidRPr="001A3046" w:rsidRDefault="00267BE5" w:rsidP="00876AE7">
      <w:pPr>
        <w:pStyle w:val="NoteLevel11"/>
        <w:rPr>
          <w:rFonts w:cs="Arial"/>
          <w:bCs/>
          <w:szCs w:val="18"/>
          <w:lang w:eastAsia="en-GB"/>
        </w:rPr>
      </w:pPr>
      <w:r w:rsidRPr="001A3046">
        <w:rPr>
          <w:rFonts w:cs="Arial"/>
          <w:bCs/>
          <w:szCs w:val="18"/>
          <w:lang w:eastAsia="en-GB"/>
        </w:rPr>
        <w:t>19</w:t>
      </w:r>
      <w:r w:rsidR="004B282C" w:rsidRPr="001A3046">
        <w:rPr>
          <w:rFonts w:cs="Arial"/>
          <w:bCs/>
          <w:szCs w:val="18"/>
          <w:lang w:eastAsia="en-GB"/>
        </w:rPr>
        <w:t xml:space="preserve">. Monot M, Honoré N, Garnier T, Zidane N, Sherafi D, </w:t>
      </w:r>
      <w:r w:rsidR="00DC4092" w:rsidRPr="001A3046">
        <w:rPr>
          <w:rFonts w:cs="Arial"/>
          <w:bCs/>
          <w:szCs w:val="18"/>
          <w:lang w:eastAsia="en-GB"/>
        </w:rPr>
        <w:t xml:space="preserve">Paniz-Mondolfi A </w:t>
      </w:r>
      <w:r w:rsidR="004B282C" w:rsidRPr="001A3046">
        <w:rPr>
          <w:rFonts w:cs="Arial"/>
          <w:bCs/>
          <w:szCs w:val="18"/>
          <w:lang w:eastAsia="en-GB"/>
        </w:rPr>
        <w:t>et al. Phyl</w:t>
      </w:r>
      <w:r w:rsidR="00782139" w:rsidRPr="001A3046">
        <w:rPr>
          <w:rFonts w:cs="Arial"/>
          <w:bCs/>
          <w:szCs w:val="18"/>
          <w:lang w:eastAsia="en-GB"/>
        </w:rPr>
        <w:t>ogeography of l</w:t>
      </w:r>
      <w:r w:rsidR="004B282C" w:rsidRPr="001A3046">
        <w:rPr>
          <w:rFonts w:cs="Arial"/>
          <w:bCs/>
          <w:szCs w:val="18"/>
          <w:lang w:eastAsia="en-GB"/>
        </w:rPr>
        <w:t xml:space="preserve">eprosy.  </w:t>
      </w:r>
      <w:r w:rsidR="003C01BD" w:rsidRPr="001A3046">
        <w:rPr>
          <w:rFonts w:cs="Arial"/>
          <w:bCs/>
          <w:szCs w:val="18"/>
          <w:lang w:eastAsia="en-GB"/>
        </w:rPr>
        <w:t>Nat</w:t>
      </w:r>
      <w:r w:rsidR="00BB7280" w:rsidRPr="001A3046">
        <w:rPr>
          <w:rFonts w:cs="Arial"/>
          <w:bCs/>
          <w:szCs w:val="18"/>
          <w:lang w:eastAsia="en-GB"/>
        </w:rPr>
        <w:t xml:space="preserve"> Gene</w:t>
      </w:r>
      <w:r w:rsidR="007962D4" w:rsidRPr="001A3046">
        <w:rPr>
          <w:rFonts w:cs="Arial"/>
          <w:bCs/>
          <w:szCs w:val="18"/>
          <w:lang w:eastAsia="en-GB"/>
        </w:rPr>
        <w:t>t</w:t>
      </w:r>
      <w:r w:rsidR="007962D4" w:rsidRPr="001A3046">
        <w:rPr>
          <w:rFonts w:cs="Arial"/>
          <w:bCs/>
          <w:i/>
          <w:szCs w:val="18"/>
          <w:lang w:eastAsia="en-GB"/>
        </w:rPr>
        <w:t xml:space="preserve"> </w:t>
      </w:r>
      <w:r w:rsidR="00920019" w:rsidRPr="001A3046">
        <w:rPr>
          <w:rFonts w:cs="Arial"/>
          <w:bCs/>
          <w:szCs w:val="18"/>
          <w:lang w:eastAsia="en-GB"/>
        </w:rPr>
        <w:t>2009;</w:t>
      </w:r>
      <w:r w:rsidR="00BB7280" w:rsidRPr="001A3046">
        <w:rPr>
          <w:rFonts w:cs="Arial"/>
          <w:bCs/>
          <w:szCs w:val="18"/>
          <w:lang w:eastAsia="en-GB"/>
        </w:rPr>
        <w:t>41</w:t>
      </w:r>
      <w:r w:rsidR="00920019" w:rsidRPr="001A3046">
        <w:rPr>
          <w:rFonts w:cs="Arial"/>
          <w:b/>
          <w:bCs/>
          <w:szCs w:val="18"/>
          <w:lang w:eastAsia="en-GB"/>
        </w:rPr>
        <w:t>:</w:t>
      </w:r>
      <w:r w:rsidR="004B282C" w:rsidRPr="001A3046">
        <w:rPr>
          <w:rFonts w:cs="Arial"/>
          <w:bCs/>
          <w:szCs w:val="18"/>
          <w:lang w:eastAsia="en-GB"/>
        </w:rPr>
        <w:t xml:space="preserve"> 1282-1289.</w:t>
      </w:r>
      <w:r w:rsidR="00F92006" w:rsidRPr="001A3046">
        <w:rPr>
          <w:rFonts w:cs="Arial"/>
          <w:bCs/>
          <w:szCs w:val="18"/>
          <w:lang w:eastAsia="en-GB"/>
        </w:rPr>
        <w:t xml:space="preserve"> </w:t>
      </w:r>
      <w:r w:rsidR="00F92006" w:rsidRPr="001A3046">
        <w:rPr>
          <w:rFonts w:cs="Helvetica"/>
          <w:color w:val="000000"/>
          <w:szCs w:val="14"/>
        </w:rPr>
        <w:t>doi:10.1038/ng.477</w:t>
      </w:r>
    </w:p>
    <w:p w:rsidR="00AB4ECB" w:rsidRPr="001A3046" w:rsidRDefault="00AB4ECB" w:rsidP="00876AE7">
      <w:pPr>
        <w:pStyle w:val="NoteLevel11"/>
        <w:rPr>
          <w:rFonts w:cs="Arial"/>
          <w:bCs/>
          <w:szCs w:val="18"/>
          <w:lang w:eastAsia="en-GB"/>
        </w:rPr>
      </w:pPr>
    </w:p>
    <w:p w:rsidR="00AB4ECB" w:rsidRPr="001A3046" w:rsidRDefault="00267BE5" w:rsidP="00876AE7">
      <w:pPr>
        <w:pStyle w:val="NoteLevel11"/>
        <w:rPr>
          <w:rFonts w:cs="Helvetica"/>
          <w:szCs w:val="20"/>
        </w:rPr>
      </w:pPr>
      <w:r w:rsidRPr="001A3046">
        <w:rPr>
          <w:rFonts w:cs="Arial"/>
          <w:szCs w:val="28"/>
        </w:rPr>
        <w:t>20</w:t>
      </w:r>
      <w:r w:rsidR="00AB4ECB" w:rsidRPr="001A3046">
        <w:rPr>
          <w:rFonts w:cs="Arial"/>
          <w:szCs w:val="28"/>
        </w:rPr>
        <w:t xml:space="preserve">. Schuenemann VJ, Singh P, Mendum TA, Krause-Kyora B, Jäger G, </w:t>
      </w:r>
      <w:r w:rsidR="004E04B7" w:rsidRPr="001A3046">
        <w:rPr>
          <w:rFonts w:cs="Arial"/>
          <w:szCs w:val="28"/>
        </w:rPr>
        <w:t xml:space="preserve">Bos KI, </w:t>
      </w:r>
      <w:r w:rsidR="00AB4ECB" w:rsidRPr="001A3046">
        <w:rPr>
          <w:rFonts w:cs="Arial"/>
          <w:szCs w:val="28"/>
        </w:rPr>
        <w:t>et al.</w:t>
      </w:r>
      <w:r w:rsidR="00920019" w:rsidRPr="001A3046">
        <w:rPr>
          <w:rFonts w:cs="Arial"/>
          <w:szCs w:val="28"/>
        </w:rPr>
        <w:t xml:space="preserve"> </w:t>
      </w:r>
      <w:r w:rsidR="00AB4ECB" w:rsidRPr="001A3046">
        <w:rPr>
          <w:rFonts w:cs="Arial"/>
          <w:szCs w:val="28"/>
        </w:rPr>
        <w:t xml:space="preserve">Genome-wide comparison of Medieval and modern </w:t>
      </w:r>
      <w:r w:rsidR="00AB4ECB" w:rsidRPr="001A3046">
        <w:rPr>
          <w:rFonts w:cs="Arial"/>
          <w:i/>
          <w:szCs w:val="28"/>
        </w:rPr>
        <w:t>Mycobacterium leprae</w:t>
      </w:r>
      <w:r w:rsidR="00AB4ECB" w:rsidRPr="001A3046">
        <w:rPr>
          <w:rFonts w:cs="Arial"/>
          <w:szCs w:val="28"/>
        </w:rPr>
        <w:t xml:space="preserve">.  </w:t>
      </w:r>
      <w:r w:rsidR="00AB4ECB" w:rsidRPr="001A3046">
        <w:rPr>
          <w:rFonts w:cs="Arial"/>
          <w:bCs/>
        </w:rPr>
        <w:t>Science</w:t>
      </w:r>
      <w:r w:rsidR="00AB4ECB" w:rsidRPr="001A3046">
        <w:rPr>
          <w:rFonts w:cs="Arial"/>
        </w:rPr>
        <w:t xml:space="preserve"> </w:t>
      </w:r>
      <w:r w:rsidR="00920019" w:rsidRPr="001A3046">
        <w:rPr>
          <w:rFonts w:cs="Arial"/>
        </w:rPr>
        <w:t>2013;</w:t>
      </w:r>
      <w:r w:rsidR="00AB4ECB" w:rsidRPr="001A3046">
        <w:rPr>
          <w:rFonts w:cs="Arial"/>
        </w:rPr>
        <w:t>341</w:t>
      </w:r>
      <w:r w:rsidR="00920019" w:rsidRPr="001A3046">
        <w:rPr>
          <w:rFonts w:cs="Arial"/>
        </w:rPr>
        <w:t>:</w:t>
      </w:r>
      <w:r w:rsidR="00782139" w:rsidRPr="001A3046">
        <w:rPr>
          <w:rFonts w:cs="Arial"/>
        </w:rPr>
        <w:t xml:space="preserve"> </w:t>
      </w:r>
      <w:r w:rsidR="00AB4ECB" w:rsidRPr="001A3046">
        <w:rPr>
          <w:rFonts w:cs="Arial"/>
        </w:rPr>
        <w:t xml:space="preserve">179-183. </w:t>
      </w:r>
    </w:p>
    <w:p w:rsidR="004B282C" w:rsidRPr="001A3046" w:rsidRDefault="004B282C" w:rsidP="00876AE7">
      <w:pPr>
        <w:pStyle w:val="NoteLevel11"/>
        <w:rPr>
          <w:rFonts w:cs="Arial"/>
          <w:bCs/>
          <w:szCs w:val="18"/>
          <w:lang w:eastAsia="en-GB"/>
        </w:rPr>
      </w:pPr>
    </w:p>
    <w:p w:rsidR="002036BA" w:rsidRPr="001A3046" w:rsidRDefault="00267BE5" w:rsidP="00B2602A">
      <w:pPr>
        <w:pStyle w:val="NoteLevel11"/>
        <w:keepNext w:val="0"/>
        <w:widowControl w:val="0"/>
      </w:pPr>
      <w:r w:rsidRPr="001A3046">
        <w:t>21</w:t>
      </w:r>
      <w:r w:rsidR="004B282C" w:rsidRPr="001A3046">
        <w:t xml:space="preserve">. </w:t>
      </w:r>
      <w:hyperlink r:id="rId12" w:history="1">
        <w:r w:rsidR="004B282C" w:rsidRPr="001A3046">
          <w:rPr>
            <w:rFonts w:cs="Arial"/>
            <w:u w:color="262626"/>
          </w:rPr>
          <w:t>Mendum TA</w:t>
        </w:r>
      </w:hyperlink>
      <w:r w:rsidR="004B282C" w:rsidRPr="001A3046">
        <w:rPr>
          <w:rFonts w:cs="Arial"/>
        </w:rPr>
        <w:t xml:space="preserve">, </w:t>
      </w:r>
      <w:hyperlink r:id="rId13" w:history="1">
        <w:r w:rsidR="004B282C" w:rsidRPr="001A3046">
          <w:rPr>
            <w:rFonts w:cs="Arial"/>
            <w:u w:color="262626"/>
          </w:rPr>
          <w:t>Schuenemann VJ</w:t>
        </w:r>
      </w:hyperlink>
      <w:r w:rsidR="004B282C" w:rsidRPr="001A3046">
        <w:rPr>
          <w:rFonts w:cs="Arial"/>
        </w:rPr>
        <w:t xml:space="preserve">, </w:t>
      </w:r>
      <w:hyperlink r:id="rId14" w:history="1">
        <w:r w:rsidR="004B282C" w:rsidRPr="001A3046">
          <w:rPr>
            <w:rFonts w:cs="Arial"/>
            <w:u w:color="262626"/>
          </w:rPr>
          <w:t>Roffey S</w:t>
        </w:r>
      </w:hyperlink>
      <w:r w:rsidR="004B282C" w:rsidRPr="001A3046">
        <w:rPr>
          <w:rFonts w:cs="Arial"/>
        </w:rPr>
        <w:t xml:space="preserve">, </w:t>
      </w:r>
      <w:hyperlink r:id="rId15" w:history="1">
        <w:r w:rsidR="004B282C" w:rsidRPr="001A3046">
          <w:rPr>
            <w:rFonts w:cs="Arial"/>
            <w:u w:color="262626"/>
          </w:rPr>
          <w:t>Taylor GM</w:t>
        </w:r>
      </w:hyperlink>
      <w:r w:rsidR="004B282C" w:rsidRPr="001A3046">
        <w:rPr>
          <w:rFonts w:cs="Arial"/>
        </w:rPr>
        <w:t xml:space="preserve">, </w:t>
      </w:r>
      <w:hyperlink r:id="rId16" w:history="1">
        <w:r w:rsidR="004B282C" w:rsidRPr="001A3046">
          <w:rPr>
            <w:rFonts w:cs="Arial"/>
            <w:u w:color="262626"/>
          </w:rPr>
          <w:t>Wu H</w:t>
        </w:r>
      </w:hyperlink>
      <w:r w:rsidR="004B282C" w:rsidRPr="001A3046">
        <w:rPr>
          <w:rFonts w:cs="Arial"/>
        </w:rPr>
        <w:t xml:space="preserve">, </w:t>
      </w:r>
      <w:r w:rsidR="00F92006" w:rsidRPr="001A3046">
        <w:rPr>
          <w:rFonts w:cs="Arial"/>
        </w:rPr>
        <w:t xml:space="preserve">Singh P, </w:t>
      </w:r>
      <w:r w:rsidR="004B282C" w:rsidRPr="001A3046">
        <w:t>et al</w:t>
      </w:r>
      <w:r w:rsidR="003C01BD" w:rsidRPr="001A3046">
        <w:t xml:space="preserve">. </w:t>
      </w:r>
      <w:hyperlink r:id="rId17" w:history="1">
        <w:r w:rsidR="00BB7280" w:rsidRPr="001A3046">
          <w:rPr>
            <w:rFonts w:cs="Arial"/>
            <w:i/>
            <w:szCs w:val="28"/>
            <w:u w:color="0000CA"/>
          </w:rPr>
          <w:t>Mycbacterium leprae</w:t>
        </w:r>
        <w:r w:rsidR="004B282C" w:rsidRPr="001A3046">
          <w:rPr>
            <w:rFonts w:cs="Arial"/>
            <w:szCs w:val="28"/>
            <w:u w:color="0000CA"/>
          </w:rPr>
          <w:t xml:space="preserve"> genomes from a British medieval leprosy hospital: towards understanding an ancient epidemic.</w:t>
        </w:r>
      </w:hyperlink>
      <w:r w:rsidR="004B282C" w:rsidRPr="001A3046">
        <w:rPr>
          <w:rFonts w:cs="Times New Roman"/>
        </w:rPr>
        <w:t xml:space="preserve"> </w:t>
      </w:r>
      <w:r w:rsidR="004B282C" w:rsidRPr="001A3046">
        <w:rPr>
          <w:rFonts w:cs="Arial"/>
        </w:rPr>
        <w:t>BMC Genomics</w:t>
      </w:r>
      <w:r w:rsidR="00F92006" w:rsidRPr="001A3046">
        <w:rPr>
          <w:rFonts w:cs="Arial"/>
        </w:rPr>
        <w:t xml:space="preserve"> 2014;</w:t>
      </w:r>
      <w:r w:rsidR="004B282C" w:rsidRPr="001A3046">
        <w:rPr>
          <w:rFonts w:cs="Arial"/>
        </w:rPr>
        <w:t>15</w:t>
      </w:r>
      <w:r w:rsidR="007962D4" w:rsidRPr="001A3046">
        <w:rPr>
          <w:rFonts w:cs="Arial"/>
        </w:rPr>
        <w:t>:</w:t>
      </w:r>
      <w:r w:rsidR="004B282C" w:rsidRPr="001A3046">
        <w:rPr>
          <w:rFonts w:cs="Arial"/>
        </w:rPr>
        <w:t xml:space="preserve"> 270. </w:t>
      </w:r>
      <w:r w:rsidR="004B282C" w:rsidRPr="001A3046">
        <w:t>doi:10.1186/1471-2164-15-270.</w:t>
      </w:r>
    </w:p>
    <w:p w:rsidR="00B2602A" w:rsidRDefault="00B2602A" w:rsidP="00B2602A">
      <w:pPr>
        <w:pStyle w:val="NoteLevel11"/>
      </w:pPr>
    </w:p>
    <w:p w:rsidR="002D31D3" w:rsidRPr="00B2602A" w:rsidRDefault="00267BE5" w:rsidP="00B2602A">
      <w:pPr>
        <w:pStyle w:val="NoteLevel11"/>
      </w:pPr>
      <w:r w:rsidRPr="001A3046">
        <w:t>22</w:t>
      </w:r>
      <w:r w:rsidR="002036BA" w:rsidRPr="001A3046">
        <w:t>. Schuenneman VJ, Avanzi C, Krause-Kyora B, Seitz A</w:t>
      </w:r>
      <w:r w:rsidR="004E04B7" w:rsidRPr="001A3046">
        <w:t xml:space="preserve">, Herbig A, Inskip S, </w:t>
      </w:r>
      <w:r w:rsidR="002036BA" w:rsidRPr="001A3046">
        <w:t xml:space="preserve">et al. Ancient genomes reveal a high diversity of </w:t>
      </w:r>
      <w:r w:rsidR="002036BA" w:rsidRPr="00B2602A">
        <w:rPr>
          <w:i/>
        </w:rPr>
        <w:t>Mycobacterium leprae</w:t>
      </w:r>
      <w:r w:rsidR="002036BA" w:rsidRPr="00B2602A">
        <w:rPr>
          <w:color w:val="4F81BD" w:themeColor="accent1"/>
        </w:rPr>
        <w:t xml:space="preserve"> </w:t>
      </w:r>
      <w:r w:rsidR="002036BA" w:rsidRPr="001A3046">
        <w:t xml:space="preserve">in </w:t>
      </w:r>
      <w:r w:rsidR="00782139" w:rsidRPr="001A3046">
        <w:t>Medieval Europe.  PloS</w:t>
      </w:r>
      <w:r w:rsidR="002036BA" w:rsidRPr="001A3046">
        <w:t xml:space="preserve"> </w:t>
      </w:r>
      <w:r w:rsidR="002D31D3" w:rsidRPr="00B2602A">
        <w:rPr>
          <w:szCs w:val="22"/>
          <w:lang w:val="en-GB"/>
        </w:rPr>
        <w:t>Pathog 2018;14(5):</w:t>
      </w:r>
      <w:r w:rsidR="00782139" w:rsidRPr="00B2602A">
        <w:rPr>
          <w:szCs w:val="22"/>
          <w:lang w:val="en-GB"/>
        </w:rPr>
        <w:t xml:space="preserve"> </w:t>
      </w:r>
      <w:r w:rsidR="002D31D3" w:rsidRPr="00B2602A">
        <w:rPr>
          <w:szCs w:val="22"/>
          <w:lang w:val="en-GB"/>
        </w:rPr>
        <w:t>e1006997.</w:t>
      </w:r>
      <w:r w:rsidR="007632A0" w:rsidRPr="00B2602A">
        <w:rPr>
          <w:szCs w:val="22"/>
          <w:lang w:val="en-GB"/>
        </w:rPr>
        <w:t xml:space="preserve"> </w:t>
      </w:r>
      <w:r w:rsidR="007632A0" w:rsidRPr="001A3046">
        <w:t>doi: 10.1371/journal.ppat.1006997.</w:t>
      </w:r>
    </w:p>
    <w:p w:rsidR="002036BA" w:rsidRPr="001A3046" w:rsidRDefault="002036BA" w:rsidP="002D31D3">
      <w:pPr>
        <w:pStyle w:val="NoteLevel11"/>
      </w:pPr>
    </w:p>
    <w:p w:rsidR="002C0BCE" w:rsidRPr="001A3046" w:rsidRDefault="00267BE5" w:rsidP="00876AE7">
      <w:pPr>
        <w:pStyle w:val="NoteLevel11"/>
        <w:rPr>
          <w:rFonts w:cs="Helvetica"/>
          <w:szCs w:val="12"/>
        </w:rPr>
      </w:pPr>
      <w:r w:rsidRPr="001A3046">
        <w:rPr>
          <w:rFonts w:cs="Helvetica"/>
          <w:szCs w:val="12"/>
        </w:rPr>
        <w:t>23</w:t>
      </w:r>
      <w:r w:rsidR="002C0BCE" w:rsidRPr="001A3046">
        <w:rPr>
          <w:rFonts w:cs="Helvetica"/>
          <w:szCs w:val="12"/>
        </w:rPr>
        <w:t>. Meredith AL, Del Pozo J, Smith S, Milne E. Leprosy in red squirrels in Scotland. Ve</w:t>
      </w:r>
      <w:r w:rsidR="007962D4" w:rsidRPr="001A3046">
        <w:rPr>
          <w:rFonts w:cs="Helvetica"/>
          <w:szCs w:val="12"/>
        </w:rPr>
        <w:t>t</w:t>
      </w:r>
      <w:r w:rsidR="002C0BCE" w:rsidRPr="001A3046">
        <w:rPr>
          <w:rFonts w:cs="Helvetica"/>
          <w:szCs w:val="12"/>
        </w:rPr>
        <w:t xml:space="preserve"> Rec </w:t>
      </w:r>
      <w:r w:rsidR="00920019" w:rsidRPr="001A3046">
        <w:rPr>
          <w:rFonts w:cs="Helvetica"/>
          <w:szCs w:val="12"/>
        </w:rPr>
        <w:t>2014;</w:t>
      </w:r>
      <w:r w:rsidR="002C0BCE" w:rsidRPr="001A3046">
        <w:rPr>
          <w:rFonts w:cs="Helvetica"/>
          <w:szCs w:val="12"/>
        </w:rPr>
        <w:t>175</w:t>
      </w:r>
      <w:r w:rsidR="00920019" w:rsidRPr="001A3046">
        <w:rPr>
          <w:rFonts w:cs="Helvetica"/>
          <w:szCs w:val="12"/>
        </w:rPr>
        <w:t>:</w:t>
      </w:r>
      <w:r w:rsidR="00782139" w:rsidRPr="001A3046">
        <w:rPr>
          <w:rFonts w:cs="Helvetica"/>
          <w:szCs w:val="12"/>
        </w:rPr>
        <w:t xml:space="preserve"> 285-</w:t>
      </w:r>
      <w:r w:rsidR="002C0BCE" w:rsidRPr="001A3046">
        <w:rPr>
          <w:rFonts w:cs="Helvetica"/>
          <w:szCs w:val="12"/>
        </w:rPr>
        <w:t>286.</w:t>
      </w:r>
      <w:r w:rsidR="007E7137" w:rsidRPr="001A3046">
        <w:rPr>
          <w:rFonts w:cs="Helvetica"/>
          <w:szCs w:val="12"/>
        </w:rPr>
        <w:t xml:space="preserve"> </w:t>
      </w:r>
      <w:r w:rsidR="007E7137" w:rsidRPr="001A3046">
        <w:rPr>
          <w:rFonts w:cs="Helvetica"/>
          <w:color w:val="141413"/>
          <w:szCs w:val="18"/>
        </w:rPr>
        <w:t>doi: 10.1136/vr.g5680</w:t>
      </w:r>
    </w:p>
    <w:p w:rsidR="002C0BCE" w:rsidRPr="001A3046" w:rsidRDefault="002C0BCE" w:rsidP="00876AE7">
      <w:pPr>
        <w:pStyle w:val="NoteLevel11"/>
        <w:rPr>
          <w:rFonts w:cs="Helvetica"/>
          <w:szCs w:val="12"/>
        </w:rPr>
      </w:pPr>
    </w:p>
    <w:p w:rsidR="00D2756F" w:rsidRPr="001A3046" w:rsidRDefault="00267BE5" w:rsidP="00876AE7">
      <w:pPr>
        <w:pStyle w:val="NoteLevel11"/>
      </w:pPr>
      <w:r w:rsidRPr="001A3046">
        <w:t>24</w:t>
      </w:r>
      <w:r w:rsidR="002C0BCE" w:rsidRPr="001A3046">
        <w:t xml:space="preserve">. </w:t>
      </w:r>
      <w:r w:rsidR="00782139" w:rsidRPr="001A3046">
        <w:t xml:space="preserve">Avanzi C, Del </w:t>
      </w:r>
      <w:r w:rsidR="00BB7280" w:rsidRPr="001A3046">
        <w:t xml:space="preserve">Pozo J, Benjak A, Stevenson K, Simpson VR, </w:t>
      </w:r>
      <w:r w:rsidR="007E7137" w:rsidRPr="001A3046">
        <w:t xml:space="preserve"> Busso P, </w:t>
      </w:r>
      <w:r w:rsidR="002C0BCE" w:rsidRPr="001A3046">
        <w:t xml:space="preserve">et al. </w:t>
      </w:r>
      <w:r w:rsidR="00BB7280" w:rsidRPr="001A3046">
        <w:t xml:space="preserve">Red squirrels in the British Isles are infected with leprosy bacilli. Science </w:t>
      </w:r>
      <w:r w:rsidR="00920019" w:rsidRPr="001A3046">
        <w:t>2016</w:t>
      </w:r>
      <w:r w:rsidR="001048DE" w:rsidRPr="001A3046">
        <w:t>; 354:</w:t>
      </w:r>
      <w:r w:rsidR="00782139" w:rsidRPr="001A3046">
        <w:t xml:space="preserve"> </w:t>
      </w:r>
      <w:r w:rsidR="001048DE" w:rsidRPr="001A3046">
        <w:t>744</w:t>
      </w:r>
      <w:r w:rsidR="00BB7280" w:rsidRPr="001A3046">
        <w:t>-74</w:t>
      </w:r>
      <w:r w:rsidR="007E7137" w:rsidRPr="001A3046">
        <w:t>7</w:t>
      </w:r>
      <w:r w:rsidR="00BB7280" w:rsidRPr="001A3046">
        <w:t xml:space="preserve">. </w:t>
      </w:r>
      <w:r w:rsidR="007632A0" w:rsidRPr="001A3046">
        <w:t>d</w:t>
      </w:r>
      <w:r w:rsidR="001048DE" w:rsidRPr="001A3046">
        <w:t>oi</w:t>
      </w:r>
      <w:r w:rsidR="00BB7280" w:rsidRPr="001A3046">
        <w:t>: 10.1126/science.aah3783.</w:t>
      </w:r>
    </w:p>
    <w:p w:rsidR="00D2756F" w:rsidRPr="001A3046" w:rsidRDefault="00D2756F" w:rsidP="00876AE7">
      <w:pPr>
        <w:pStyle w:val="NoteLevel11"/>
      </w:pPr>
    </w:p>
    <w:p w:rsidR="00D2756F" w:rsidRPr="001A3046" w:rsidRDefault="00267BE5" w:rsidP="00D2756F">
      <w:pPr>
        <w:pStyle w:val="NoteLevel11"/>
        <w:rPr>
          <w:rFonts w:cs="Arial"/>
          <w:shd w:val="clear" w:color="auto" w:fill="FFFFFF"/>
        </w:rPr>
      </w:pPr>
      <w:r w:rsidRPr="001A3046">
        <w:t>25</w:t>
      </w:r>
      <w:r w:rsidR="00D2756F" w:rsidRPr="001A3046">
        <w:t xml:space="preserve">. </w:t>
      </w:r>
      <w:r w:rsidR="003C01BD" w:rsidRPr="001A3046">
        <w:rPr>
          <w:rFonts w:cs="Arial"/>
          <w:shd w:val="clear" w:color="auto" w:fill="FFFFFF"/>
        </w:rPr>
        <w:t>Clarke H</w:t>
      </w:r>
      <w:r w:rsidR="00782139" w:rsidRPr="001A3046">
        <w:rPr>
          <w:rFonts w:cs="Arial"/>
          <w:shd w:val="clear" w:color="auto" w:fill="FFFFFF"/>
        </w:rPr>
        <w:t>B</w:t>
      </w:r>
      <w:r w:rsidR="00D2756F" w:rsidRPr="001A3046">
        <w:rPr>
          <w:rFonts w:cs="Arial"/>
          <w:shd w:val="clear" w:color="auto" w:fill="FFFFFF"/>
        </w:rPr>
        <w:t>. Irish Historic Towns Atlas, no. 11, Dublin, Part I, to 1610.</w:t>
      </w:r>
    </w:p>
    <w:p w:rsidR="00D2756F" w:rsidRPr="0061294C" w:rsidRDefault="00782139" w:rsidP="00314633">
      <w:pPr>
        <w:pStyle w:val="NoteLevel11"/>
        <w:rPr>
          <w:rFonts w:cs="Arial"/>
          <w:shd w:val="clear" w:color="auto" w:fill="FFFFFF"/>
        </w:rPr>
      </w:pPr>
      <w:r w:rsidRPr="001A3046">
        <w:t xml:space="preserve">Dublin: Royal Irish Academy; </w:t>
      </w:r>
      <w:r w:rsidRPr="0061294C">
        <w:t>2002</w:t>
      </w:r>
      <w:r w:rsidR="00314633" w:rsidRPr="0061294C">
        <w:t xml:space="preserve"> (www.ihta.ie, accessed 14 April 2016)</w:t>
      </w:r>
      <w:r w:rsidRPr="0061294C">
        <w:t>.</w:t>
      </w:r>
    </w:p>
    <w:p w:rsidR="002C0BCE" w:rsidRPr="0061294C" w:rsidRDefault="002C0BCE" w:rsidP="00876AE7">
      <w:pPr>
        <w:pStyle w:val="NoteLevel11"/>
        <w:rPr>
          <w:lang w:val="en-GB"/>
        </w:rPr>
      </w:pPr>
    </w:p>
    <w:p w:rsidR="00AD552F" w:rsidRPr="001A3046" w:rsidRDefault="00267BE5" w:rsidP="001A3046">
      <w:pPr>
        <w:pStyle w:val="NoteLevel11"/>
      </w:pPr>
      <w:r w:rsidRPr="001A3046">
        <w:t>26</w:t>
      </w:r>
      <w:r w:rsidR="003C01BD" w:rsidRPr="001A3046">
        <w:t>. Murphy E, Manchester</w:t>
      </w:r>
      <w:r w:rsidR="00AD552F" w:rsidRPr="001A3046">
        <w:t xml:space="preserve"> K. </w:t>
      </w:r>
      <w:r w:rsidR="00782139" w:rsidRPr="001A3046">
        <w:t xml:space="preserve"> ‘Be Thou Dead To The World’ – p</w:t>
      </w:r>
      <w:r w:rsidR="00AD552F" w:rsidRPr="001A3046">
        <w:t>alaeopathological evidence for leprosy in Ireland fro</w:t>
      </w:r>
      <w:r w:rsidR="00782139" w:rsidRPr="001A3046">
        <w:t xml:space="preserve">m Armoy, Co. Antrim. Archaeol Ire </w:t>
      </w:r>
      <w:r w:rsidR="00920019" w:rsidRPr="001A3046">
        <w:t>1998;</w:t>
      </w:r>
      <w:r w:rsidR="00AD552F" w:rsidRPr="001A3046">
        <w:t>12</w:t>
      </w:r>
      <w:r w:rsidR="00920019" w:rsidRPr="001A3046">
        <w:t>:</w:t>
      </w:r>
      <w:r w:rsidR="00AD552F" w:rsidRPr="001A3046">
        <w:t xml:space="preserve"> 12-14.</w:t>
      </w:r>
    </w:p>
    <w:p w:rsidR="00B60A3C" w:rsidRPr="001A3046" w:rsidRDefault="00B60A3C" w:rsidP="00876AE7">
      <w:pPr>
        <w:pStyle w:val="NoteLevel11"/>
      </w:pPr>
    </w:p>
    <w:p w:rsidR="00AB77FD" w:rsidRDefault="00267BE5" w:rsidP="00AB77FD">
      <w:pPr>
        <w:pStyle w:val="NoteLevel11"/>
        <w:keepNext w:val="0"/>
        <w:widowControl w:val="0"/>
      </w:pPr>
      <w:bookmarkStart w:id="17" w:name="_Hlk517673977"/>
      <w:r w:rsidRPr="001A3046">
        <w:rPr>
          <w:caps/>
          <w:lang w:val="en-GB"/>
        </w:rPr>
        <w:t>27</w:t>
      </w:r>
      <w:r w:rsidR="00B60A3C" w:rsidRPr="001A3046">
        <w:rPr>
          <w:caps/>
          <w:lang w:val="en-GB"/>
        </w:rPr>
        <w:t xml:space="preserve">. </w:t>
      </w:r>
      <w:bookmarkStart w:id="18" w:name="_Hlk520814914"/>
      <w:r w:rsidR="00782139" w:rsidRPr="001A3046">
        <w:t>McKinley J</w:t>
      </w:r>
      <w:r w:rsidR="00B60A3C" w:rsidRPr="001A3046">
        <w:t>. Compiling a skeletal in</w:t>
      </w:r>
      <w:r w:rsidR="00782139" w:rsidRPr="001A3046">
        <w:t>ventory: d</w:t>
      </w:r>
      <w:r w:rsidR="00B60A3C" w:rsidRPr="001A3046">
        <w:t>isarticulated and co-mingled remains</w:t>
      </w:r>
      <w:r w:rsidR="00782139" w:rsidRPr="001A3046">
        <w:t>.</w:t>
      </w:r>
      <w:r w:rsidR="00B60A3C" w:rsidRPr="001A3046">
        <w:t xml:space="preserve"> </w:t>
      </w:r>
      <w:r w:rsidR="007E7137" w:rsidRPr="001A3046">
        <w:t>I</w:t>
      </w:r>
      <w:r w:rsidR="00B60A3C" w:rsidRPr="001A3046">
        <w:t>n</w:t>
      </w:r>
      <w:r w:rsidR="007E7137" w:rsidRPr="001A3046">
        <w:t>:</w:t>
      </w:r>
      <w:r w:rsidR="00782139" w:rsidRPr="001A3046">
        <w:t xml:space="preserve"> Brickley M, McKinley J, editors. Guidelines to the standards for recording human r</w:t>
      </w:r>
      <w:r w:rsidR="00B60A3C" w:rsidRPr="001A3046">
        <w:t>emains (BABAO and Institute of Field Archaeologists Paper No. 7). Reading: BABAO and IFA</w:t>
      </w:r>
      <w:r w:rsidR="002004BD" w:rsidRPr="001A3046">
        <w:t>; 2004. p</w:t>
      </w:r>
      <w:r w:rsidR="007E7137" w:rsidRPr="001A3046">
        <w:t>p</w:t>
      </w:r>
      <w:r w:rsidR="00782139" w:rsidRPr="001A3046">
        <w:t xml:space="preserve">. </w:t>
      </w:r>
      <w:r w:rsidR="007E7137" w:rsidRPr="001A3046">
        <w:t>14-17.</w:t>
      </w:r>
      <w:bookmarkEnd w:id="17"/>
      <w:bookmarkEnd w:id="18"/>
    </w:p>
    <w:p w:rsidR="00AB77FD" w:rsidRDefault="00AB77FD" w:rsidP="00AB77FD">
      <w:pPr>
        <w:pStyle w:val="ListParagraph"/>
      </w:pPr>
    </w:p>
    <w:p w:rsidR="00B60A3C" w:rsidRPr="00AB77FD" w:rsidRDefault="00267BE5" w:rsidP="00AB77FD">
      <w:pPr>
        <w:pStyle w:val="NoteLevel11"/>
        <w:keepNext w:val="0"/>
        <w:widowControl w:val="0"/>
      </w:pPr>
      <w:r w:rsidRPr="001A3046">
        <w:t>28</w:t>
      </w:r>
      <w:r w:rsidR="00B60A3C" w:rsidRPr="001A3046">
        <w:t xml:space="preserve">. Phenice TW. </w:t>
      </w:r>
      <w:r w:rsidR="00F27669" w:rsidRPr="001A3046">
        <w:t xml:space="preserve"> </w:t>
      </w:r>
      <w:r w:rsidR="00B60A3C" w:rsidRPr="001A3046">
        <w:t xml:space="preserve">A newly developed visual method of sexing the </w:t>
      </w:r>
      <w:r w:rsidR="00B60A3C" w:rsidRPr="00AB77FD">
        <w:rPr>
          <w:i/>
        </w:rPr>
        <w:t>os pubis</w:t>
      </w:r>
      <w:r w:rsidR="00B60A3C" w:rsidRPr="001A3046">
        <w:t xml:space="preserve">. Am J Phys Anthropol </w:t>
      </w:r>
      <w:r w:rsidR="00920019" w:rsidRPr="001A3046">
        <w:t>1969;</w:t>
      </w:r>
      <w:r w:rsidR="00B60A3C" w:rsidRPr="001A3046">
        <w:t>30</w:t>
      </w:r>
      <w:r w:rsidR="00920019" w:rsidRPr="001A3046">
        <w:t>:</w:t>
      </w:r>
      <w:r w:rsidR="00B60A3C" w:rsidRPr="001A3046">
        <w:t xml:space="preserve"> 297-301.</w:t>
      </w:r>
    </w:p>
    <w:p w:rsidR="008118DB" w:rsidRPr="001A3046" w:rsidRDefault="008118DB" w:rsidP="00AB77FD">
      <w:pPr>
        <w:pStyle w:val="NoteLevel11"/>
        <w:keepNext w:val="0"/>
        <w:widowControl w:val="0"/>
        <w:rPr>
          <w:caps/>
          <w:lang w:val="en-GB"/>
        </w:rPr>
      </w:pPr>
    </w:p>
    <w:p w:rsidR="00B60A3C" w:rsidRPr="001A3046" w:rsidRDefault="00267BE5" w:rsidP="00AB77FD">
      <w:pPr>
        <w:pStyle w:val="NoteLevel11"/>
        <w:keepNext w:val="0"/>
        <w:widowControl w:val="0"/>
      </w:pPr>
      <w:r w:rsidRPr="001A3046">
        <w:t>29</w:t>
      </w:r>
      <w:r w:rsidR="00B60A3C" w:rsidRPr="001A3046">
        <w:t xml:space="preserve">. Ferembach D, Schwidetzky I, Stloukal, M. Recommendations for age and sex diagnoses of skeletons.  J Hum Evol </w:t>
      </w:r>
      <w:r w:rsidR="00920019" w:rsidRPr="001A3046">
        <w:t>1980;</w:t>
      </w:r>
      <w:r w:rsidR="00B60A3C" w:rsidRPr="001A3046">
        <w:t>9</w:t>
      </w:r>
      <w:r w:rsidR="00920019" w:rsidRPr="001A3046">
        <w:t>:</w:t>
      </w:r>
      <w:r w:rsidR="00B60A3C" w:rsidRPr="001A3046">
        <w:t xml:space="preserve"> 517-</w:t>
      </w:r>
      <w:r w:rsidR="00920019" w:rsidRPr="001A3046">
        <w:t>5</w:t>
      </w:r>
      <w:r w:rsidR="00B60A3C" w:rsidRPr="001A3046">
        <w:t>49.</w:t>
      </w:r>
    </w:p>
    <w:p w:rsidR="00B60A3C" w:rsidRPr="001A3046" w:rsidRDefault="00B60A3C" w:rsidP="00AB77FD">
      <w:pPr>
        <w:pStyle w:val="NoteLevel11"/>
        <w:keepNext w:val="0"/>
        <w:widowControl w:val="0"/>
      </w:pPr>
    </w:p>
    <w:p w:rsidR="001A2738" w:rsidRPr="001A3046" w:rsidRDefault="00267BE5" w:rsidP="00AB77FD">
      <w:pPr>
        <w:pStyle w:val="NoteLevel11"/>
        <w:keepNext w:val="0"/>
        <w:widowControl w:val="0"/>
      </w:pPr>
      <w:r w:rsidRPr="001A3046">
        <w:t>30</w:t>
      </w:r>
      <w:r w:rsidR="001A2738" w:rsidRPr="001A3046">
        <w:t xml:space="preserve">. </w:t>
      </w:r>
      <w:r w:rsidR="008D035B" w:rsidRPr="001A3046">
        <w:t>Buikstra JE, Ubelaker D</w:t>
      </w:r>
      <w:r w:rsidR="00003BEB" w:rsidRPr="001A3046">
        <w:t>H, editors</w:t>
      </w:r>
      <w:r w:rsidR="00F27669" w:rsidRPr="001A3046">
        <w:t xml:space="preserve">. </w:t>
      </w:r>
      <w:r w:rsidR="00BB7280" w:rsidRPr="001A3046">
        <w:t xml:space="preserve"> Standards for Data Collection from Human Skeletal Remains (Arkansas Archeological Survey Research Series 44). Arkansas: Arkansas Archeological Survey</w:t>
      </w:r>
      <w:r w:rsidR="00003BEB" w:rsidRPr="001A3046">
        <w:t>;</w:t>
      </w:r>
      <w:r w:rsidR="00F27669" w:rsidRPr="001A3046">
        <w:t xml:space="preserve"> 1994.</w:t>
      </w:r>
    </w:p>
    <w:p w:rsidR="00B60A3C" w:rsidRPr="001A3046" w:rsidRDefault="00B60A3C" w:rsidP="00AB77FD">
      <w:pPr>
        <w:pStyle w:val="NoteLevel11"/>
        <w:keepNext w:val="0"/>
        <w:widowControl w:val="0"/>
        <w:rPr>
          <w:lang w:val="en-GB"/>
        </w:rPr>
      </w:pPr>
    </w:p>
    <w:p w:rsidR="001A2738" w:rsidRPr="001A3046" w:rsidRDefault="00267BE5" w:rsidP="00B2602A">
      <w:pPr>
        <w:pStyle w:val="NoteLevel11"/>
        <w:keepNext w:val="0"/>
        <w:widowControl w:val="0"/>
      </w:pPr>
      <w:r w:rsidRPr="001A3046">
        <w:t>31</w:t>
      </w:r>
      <w:r w:rsidR="001A2738" w:rsidRPr="001A3046">
        <w:t xml:space="preserve">. Schwartz JH. </w:t>
      </w:r>
      <w:r w:rsidR="00003BEB" w:rsidRPr="001A3046">
        <w:t>Skeleton keys: an introduction to human skeletal m</w:t>
      </w:r>
      <w:r w:rsidR="00BB7280" w:rsidRPr="001A3046">
        <w:t>orphology</w:t>
      </w:r>
      <w:r w:rsidR="00003BEB" w:rsidRPr="001A3046">
        <w:t>, development and a</w:t>
      </w:r>
      <w:r w:rsidR="00BB7280" w:rsidRPr="001A3046">
        <w:t xml:space="preserve">nalysis. </w:t>
      </w:r>
      <w:r w:rsidR="00003BEB" w:rsidRPr="001A3046">
        <w:t>Oxford: Oxford University Press;</w:t>
      </w:r>
      <w:r w:rsidR="001A2738" w:rsidRPr="001A3046">
        <w:t xml:space="preserve"> 1995.</w:t>
      </w:r>
    </w:p>
    <w:p w:rsidR="00B60A3C" w:rsidRPr="001A3046" w:rsidRDefault="00B60A3C" w:rsidP="00AB77FD">
      <w:pPr>
        <w:pStyle w:val="NoteLevel11"/>
        <w:keepNext w:val="0"/>
        <w:widowControl w:val="0"/>
      </w:pPr>
    </w:p>
    <w:p w:rsidR="001A2738" w:rsidRPr="001A3046" w:rsidRDefault="00267BE5" w:rsidP="00AB77FD">
      <w:pPr>
        <w:pStyle w:val="NoteLevel11"/>
        <w:keepNext w:val="0"/>
        <w:widowControl w:val="0"/>
      </w:pPr>
      <w:r w:rsidRPr="001A3046">
        <w:t>32</w:t>
      </w:r>
      <w:r w:rsidR="001A2738" w:rsidRPr="001A3046">
        <w:t>.</w:t>
      </w:r>
      <w:r w:rsidR="002036BA" w:rsidRPr="001A3046">
        <w:t xml:space="preserve"> </w:t>
      </w:r>
      <w:r w:rsidR="001A2738" w:rsidRPr="001A3046">
        <w:t xml:space="preserve"> Sch</w:t>
      </w:r>
      <w:r w:rsidR="00003BEB" w:rsidRPr="001A3046">
        <w:t>euer L, Black S. Developmental juvenile o</w:t>
      </w:r>
      <w:r w:rsidR="001A2738" w:rsidRPr="001A3046">
        <w:t>steology. London: Academic Press</w:t>
      </w:r>
      <w:r w:rsidR="00003BEB" w:rsidRPr="001A3046">
        <w:t>;</w:t>
      </w:r>
      <w:r w:rsidR="00F27669" w:rsidRPr="001A3046">
        <w:t xml:space="preserve"> 2000.</w:t>
      </w:r>
    </w:p>
    <w:p w:rsidR="00C6081F" w:rsidRPr="001A3046" w:rsidRDefault="00C6081F" w:rsidP="00AB77FD">
      <w:pPr>
        <w:pStyle w:val="NoteLevel11"/>
        <w:keepNext w:val="0"/>
        <w:widowControl w:val="0"/>
      </w:pPr>
    </w:p>
    <w:p w:rsidR="00C6081F" w:rsidRPr="001A3046" w:rsidRDefault="00267BE5" w:rsidP="00AB77FD">
      <w:pPr>
        <w:pStyle w:val="NoteLevel11"/>
        <w:keepNext w:val="0"/>
        <w:widowControl w:val="0"/>
      </w:pPr>
      <w:r w:rsidRPr="001A3046">
        <w:t>33</w:t>
      </w:r>
      <w:r w:rsidR="00C6081F" w:rsidRPr="001A3046">
        <w:t>. Smith BH. Standards of human tooth formation and dental age assessment</w:t>
      </w:r>
      <w:r w:rsidR="00F27669" w:rsidRPr="001A3046">
        <w:t>.</w:t>
      </w:r>
      <w:r w:rsidR="00C6081F" w:rsidRPr="001A3046">
        <w:t xml:space="preserve"> </w:t>
      </w:r>
      <w:r w:rsidR="00F27669" w:rsidRPr="001A3046">
        <w:t>I</w:t>
      </w:r>
      <w:r w:rsidR="00C6081F" w:rsidRPr="001A3046">
        <w:t>n</w:t>
      </w:r>
      <w:r w:rsidR="00F27669" w:rsidRPr="001A3046">
        <w:t>:</w:t>
      </w:r>
      <w:r w:rsidR="008D035B" w:rsidRPr="001A3046">
        <w:t xml:space="preserve"> Kelley MA and Larsen C</w:t>
      </w:r>
      <w:r w:rsidR="00003BEB" w:rsidRPr="001A3046">
        <w:t>S, editors. Advances in dental a</w:t>
      </w:r>
      <w:r w:rsidR="00C6081F" w:rsidRPr="001A3046">
        <w:t>nthropology. New York: Wiley-Liss Inc.</w:t>
      </w:r>
      <w:r w:rsidR="00003BEB" w:rsidRPr="001A3046">
        <w:t>; 1991. p</w:t>
      </w:r>
      <w:r w:rsidR="00F27669" w:rsidRPr="001A3046">
        <w:t>p</w:t>
      </w:r>
      <w:r w:rsidR="00003BEB" w:rsidRPr="001A3046">
        <w:t xml:space="preserve">. </w:t>
      </w:r>
      <w:r w:rsidR="00F27669" w:rsidRPr="001A3046">
        <w:t>143-168.</w:t>
      </w:r>
    </w:p>
    <w:p w:rsidR="009155DB" w:rsidRPr="001A3046" w:rsidRDefault="009155DB" w:rsidP="00AB77FD">
      <w:pPr>
        <w:pStyle w:val="NoteLevel11"/>
        <w:keepNext w:val="0"/>
        <w:widowControl w:val="0"/>
        <w:rPr>
          <w:lang w:val="en-GB"/>
        </w:rPr>
      </w:pPr>
    </w:p>
    <w:p w:rsidR="00AB77FD" w:rsidRDefault="00267BE5" w:rsidP="00AB77FD">
      <w:pPr>
        <w:pStyle w:val="NoteLevel11"/>
        <w:keepNext w:val="0"/>
        <w:widowControl w:val="0"/>
      </w:pPr>
      <w:r w:rsidRPr="001A3046">
        <w:t>34</w:t>
      </w:r>
      <w:r w:rsidR="00C9361D" w:rsidRPr="001A3046">
        <w:t xml:space="preserve">. </w:t>
      </w:r>
      <w:r w:rsidR="009155DB" w:rsidRPr="001A3046">
        <w:t>Lovejoy CO, Meindl RS, Pryzbeck TR, Mensforth RP. Chronological metamorphosis of the a</w:t>
      </w:r>
      <w:r w:rsidR="00003BEB" w:rsidRPr="001A3046">
        <w:t>uricular surface of the ilium: a</w:t>
      </w:r>
      <w:r w:rsidR="009155DB" w:rsidRPr="001A3046">
        <w:t xml:space="preserve"> new method for the determination of adult skeletal age at death</w:t>
      </w:r>
      <w:r w:rsidR="00F27669" w:rsidRPr="001A3046">
        <w:t xml:space="preserve">. </w:t>
      </w:r>
      <w:r w:rsidR="009155DB" w:rsidRPr="001A3046">
        <w:t xml:space="preserve"> Am J Phys Anthropol </w:t>
      </w:r>
      <w:r w:rsidR="00920019" w:rsidRPr="001A3046">
        <w:t>1985;</w:t>
      </w:r>
      <w:r w:rsidR="009155DB" w:rsidRPr="001A3046">
        <w:t>68</w:t>
      </w:r>
      <w:r w:rsidR="00920019" w:rsidRPr="001A3046">
        <w:t>:</w:t>
      </w:r>
      <w:r w:rsidR="00003BEB" w:rsidRPr="001A3046">
        <w:t xml:space="preserve"> </w:t>
      </w:r>
      <w:r w:rsidR="009155DB" w:rsidRPr="001A3046">
        <w:t xml:space="preserve">15-28. </w:t>
      </w:r>
    </w:p>
    <w:p w:rsidR="00AB77FD" w:rsidRDefault="00AB77FD" w:rsidP="00AB77FD">
      <w:pPr>
        <w:pStyle w:val="ListParagraph"/>
      </w:pPr>
    </w:p>
    <w:p w:rsidR="00B2602A" w:rsidRDefault="00267BE5" w:rsidP="00B2602A">
      <w:pPr>
        <w:pStyle w:val="NoteLevel11"/>
        <w:keepNext w:val="0"/>
        <w:widowControl w:val="0"/>
      </w:pPr>
      <w:r w:rsidRPr="001A3046">
        <w:t>35</w:t>
      </w:r>
      <w:r w:rsidR="009155DB" w:rsidRPr="001A3046">
        <w:t xml:space="preserve">. </w:t>
      </w:r>
      <w:r w:rsidR="00BB7280" w:rsidRPr="001A3046">
        <w:t xml:space="preserve">Brooks ST, Suchey JM. Skeletal age determination based on the </w:t>
      </w:r>
      <w:r w:rsidR="00BB7280" w:rsidRPr="00AB77FD">
        <w:rPr>
          <w:i/>
        </w:rPr>
        <w:t>os pubis</w:t>
      </w:r>
      <w:r w:rsidR="00003BEB" w:rsidRPr="001A3046">
        <w:t>: a</w:t>
      </w:r>
      <w:r w:rsidR="00BB7280" w:rsidRPr="001A3046">
        <w:t xml:space="preserve"> comparison of the Acsadi-Nemeskeri </w:t>
      </w:r>
      <w:r w:rsidR="00003BEB" w:rsidRPr="001A3046">
        <w:t>and Suchey-Brooks methods. Hum Evol</w:t>
      </w:r>
      <w:r w:rsidR="00BB7280" w:rsidRPr="001A3046">
        <w:t xml:space="preserve"> </w:t>
      </w:r>
      <w:r w:rsidR="00920019" w:rsidRPr="001A3046">
        <w:t>1990;</w:t>
      </w:r>
      <w:r w:rsidR="00BB7280" w:rsidRPr="001A3046">
        <w:t>5</w:t>
      </w:r>
      <w:r w:rsidR="00920019" w:rsidRPr="001A3046">
        <w:t>:</w:t>
      </w:r>
      <w:r w:rsidR="00BB7280" w:rsidRPr="001A3046">
        <w:t xml:space="preserve"> 227-</w:t>
      </w:r>
      <w:r w:rsidR="002D5037" w:rsidRPr="001A3046">
        <w:t>2</w:t>
      </w:r>
      <w:r w:rsidR="00BB7280" w:rsidRPr="001A3046">
        <w:t>38.</w:t>
      </w:r>
    </w:p>
    <w:p w:rsidR="00B2602A" w:rsidRDefault="00B2602A" w:rsidP="00B2602A">
      <w:pPr>
        <w:pStyle w:val="ListParagraph"/>
      </w:pPr>
    </w:p>
    <w:p w:rsidR="00B2602A" w:rsidRDefault="00267BE5" w:rsidP="00B2602A">
      <w:pPr>
        <w:pStyle w:val="NoteLevel11"/>
        <w:keepNext w:val="0"/>
        <w:widowControl w:val="0"/>
      </w:pPr>
      <w:r w:rsidRPr="001A3046">
        <w:t>36</w:t>
      </w:r>
      <w:r w:rsidR="00955356" w:rsidRPr="001A3046">
        <w:t xml:space="preserve">. </w:t>
      </w:r>
      <w:r w:rsidR="00BB7280" w:rsidRPr="001A3046">
        <w:t xml:space="preserve">Brothwell DR. </w:t>
      </w:r>
      <w:r w:rsidR="00003BEB" w:rsidRPr="001A3046">
        <w:t>Digging up b</w:t>
      </w:r>
      <w:r w:rsidR="00BB7280" w:rsidRPr="001A3046">
        <w:t>ones. New</w:t>
      </w:r>
      <w:r w:rsidR="00003BEB" w:rsidRPr="001A3046">
        <w:t xml:space="preserve"> York: Cornell University Press;</w:t>
      </w:r>
      <w:r w:rsidR="003C1ACD" w:rsidRPr="001A3046">
        <w:t xml:space="preserve"> 1981.</w:t>
      </w:r>
    </w:p>
    <w:p w:rsidR="00B2602A" w:rsidRDefault="00B2602A" w:rsidP="00B2602A">
      <w:pPr>
        <w:pStyle w:val="ListParagraph"/>
      </w:pPr>
    </w:p>
    <w:p w:rsidR="00B2602A" w:rsidRDefault="00267BE5" w:rsidP="00B2602A">
      <w:pPr>
        <w:pStyle w:val="NoteLevel11"/>
        <w:keepNext w:val="0"/>
        <w:widowControl w:val="0"/>
      </w:pPr>
      <w:r w:rsidRPr="001A3046">
        <w:t>37</w:t>
      </w:r>
      <w:r w:rsidR="009155DB" w:rsidRPr="001A3046">
        <w:t xml:space="preserve">. </w:t>
      </w:r>
      <w:r w:rsidR="00BB7280" w:rsidRPr="001A3046">
        <w:t>Aufderheide AC, Rod</w:t>
      </w:r>
      <w:r w:rsidR="00003BEB" w:rsidRPr="001A3046">
        <w:t>ríguez-Martín C. The Cambridge encyclopedia of human p</w:t>
      </w:r>
      <w:r w:rsidR="00BB7280" w:rsidRPr="001A3046">
        <w:t>alaeopathology. Cambridge: Cambridge University Press</w:t>
      </w:r>
      <w:r w:rsidR="00003BEB" w:rsidRPr="001A3046">
        <w:t>;</w:t>
      </w:r>
      <w:r w:rsidR="003C1ACD" w:rsidRPr="001A3046">
        <w:t xml:space="preserve"> 1998.</w:t>
      </w:r>
    </w:p>
    <w:p w:rsidR="00B2602A" w:rsidRDefault="00B2602A" w:rsidP="00B2602A">
      <w:pPr>
        <w:pStyle w:val="ListParagraph"/>
      </w:pPr>
    </w:p>
    <w:p w:rsidR="00B2602A" w:rsidRDefault="00267BE5" w:rsidP="00B2602A">
      <w:pPr>
        <w:pStyle w:val="NoteLevel11"/>
        <w:keepNext w:val="0"/>
        <w:widowControl w:val="0"/>
      </w:pPr>
      <w:r w:rsidRPr="001A3046">
        <w:t>38</w:t>
      </w:r>
      <w:r w:rsidR="003E2D8E" w:rsidRPr="001A3046">
        <w:t xml:space="preserve">. Møller-Christensen V. Leprosy and tuberculosis. In: </w:t>
      </w:r>
      <w:r w:rsidR="00003BEB" w:rsidRPr="001A3046">
        <w:t xml:space="preserve">Hart GD, Legg NJ, editors. </w:t>
      </w:r>
      <w:r w:rsidR="003E2D8E" w:rsidRPr="001A3046">
        <w:t>Dise</w:t>
      </w:r>
      <w:r w:rsidR="003E6EB4" w:rsidRPr="001A3046">
        <w:t>ase in ancient man</w:t>
      </w:r>
      <w:r w:rsidR="00771229" w:rsidRPr="001A3046">
        <w:t>; 1983.</w:t>
      </w:r>
      <w:r w:rsidR="00901AB2" w:rsidRPr="001A3046">
        <w:t xml:space="preserve"> </w:t>
      </w:r>
      <w:r w:rsidR="00771229" w:rsidRPr="001A3046">
        <w:t>p</w:t>
      </w:r>
      <w:r w:rsidR="00901AB2" w:rsidRPr="001A3046">
        <w:t>p</w:t>
      </w:r>
      <w:r w:rsidR="00771229" w:rsidRPr="001A3046">
        <w:t>. 129-</w:t>
      </w:r>
      <w:r w:rsidR="003E2D8E" w:rsidRPr="001A3046">
        <w:t>138.</w:t>
      </w:r>
    </w:p>
    <w:p w:rsidR="00B2602A" w:rsidRDefault="00B2602A" w:rsidP="00B2602A">
      <w:pPr>
        <w:pStyle w:val="ListParagraph"/>
      </w:pPr>
    </w:p>
    <w:p w:rsidR="00B2602A" w:rsidRDefault="00267BE5" w:rsidP="00B2602A">
      <w:pPr>
        <w:pStyle w:val="NoteLevel11"/>
        <w:keepNext w:val="0"/>
        <w:widowControl w:val="0"/>
      </w:pPr>
      <w:r w:rsidRPr="001A3046">
        <w:t>39</w:t>
      </w:r>
      <w:r w:rsidR="00A94CBD" w:rsidRPr="001A3046">
        <w:t xml:space="preserve">. </w:t>
      </w:r>
      <w:r w:rsidR="00BB7280" w:rsidRPr="001A3046">
        <w:t>Andersen JG, Manchester K. Dorsa</w:t>
      </w:r>
      <w:r w:rsidR="00771229" w:rsidRPr="001A3046">
        <w:t>l tarsal exostoses in leprosy: a</w:t>
      </w:r>
      <w:r w:rsidR="00BB7280" w:rsidRPr="001A3046">
        <w:t xml:space="preserve"> palaeopathological and radiological study. J Archaeol Sc</w:t>
      </w:r>
      <w:r w:rsidR="003E6EB4" w:rsidRPr="001A3046">
        <w:t>i</w:t>
      </w:r>
      <w:r w:rsidR="00BB7280" w:rsidRPr="001A3046">
        <w:t xml:space="preserve"> </w:t>
      </w:r>
      <w:r w:rsidR="002D5037" w:rsidRPr="001A3046">
        <w:t>1988;</w:t>
      </w:r>
      <w:r w:rsidR="00BB7280" w:rsidRPr="001A3046">
        <w:t>15:</w:t>
      </w:r>
      <w:r w:rsidR="00771229" w:rsidRPr="001A3046">
        <w:t xml:space="preserve"> </w:t>
      </w:r>
      <w:r w:rsidR="00BB7280" w:rsidRPr="001A3046">
        <w:t>51-56.</w:t>
      </w:r>
    </w:p>
    <w:p w:rsidR="00B2602A" w:rsidRDefault="00B2602A" w:rsidP="00B2602A">
      <w:pPr>
        <w:pStyle w:val="ListParagraph"/>
      </w:pPr>
    </w:p>
    <w:p w:rsidR="00B2602A" w:rsidRDefault="00267BE5" w:rsidP="00B2602A">
      <w:pPr>
        <w:pStyle w:val="NoteLevel11"/>
        <w:keepNext w:val="0"/>
        <w:widowControl w:val="0"/>
      </w:pPr>
      <w:r w:rsidRPr="001A3046">
        <w:t>40</w:t>
      </w:r>
      <w:r w:rsidR="00A94CBD" w:rsidRPr="001A3046">
        <w:t xml:space="preserve">. </w:t>
      </w:r>
      <w:r w:rsidR="008D035B" w:rsidRPr="001A3046">
        <w:t xml:space="preserve">Andersen </w:t>
      </w:r>
      <w:r w:rsidR="00BB7280" w:rsidRPr="001A3046">
        <w:t>JG, Manchester K, Shahzady Ali R.</w:t>
      </w:r>
      <w:r w:rsidR="002D5037" w:rsidRPr="001A3046">
        <w:t xml:space="preserve"> </w:t>
      </w:r>
      <w:r w:rsidR="00BB7280" w:rsidRPr="001A3046">
        <w:t>Diaphyseal remo</w:t>
      </w:r>
      <w:r w:rsidR="00771229" w:rsidRPr="001A3046">
        <w:t>delling in leprosy: a</w:t>
      </w:r>
      <w:r w:rsidR="00BB7280" w:rsidRPr="001A3046">
        <w:t xml:space="preserve"> radiological and palaeopathological study. Int J Osteoarchaeol </w:t>
      </w:r>
      <w:r w:rsidR="002D5037" w:rsidRPr="001A3046">
        <w:t>1992;</w:t>
      </w:r>
      <w:r w:rsidR="00BB7280" w:rsidRPr="001A3046">
        <w:t>2</w:t>
      </w:r>
      <w:r w:rsidR="002D5037" w:rsidRPr="001A3046">
        <w:t>:</w:t>
      </w:r>
      <w:r w:rsidR="00771229" w:rsidRPr="001A3046">
        <w:t xml:space="preserve"> </w:t>
      </w:r>
      <w:r w:rsidR="00BB7280" w:rsidRPr="001A3046">
        <w:t>211-219.</w:t>
      </w:r>
    </w:p>
    <w:p w:rsidR="00B2602A" w:rsidRDefault="00B2602A" w:rsidP="00B2602A">
      <w:pPr>
        <w:pStyle w:val="ListParagraph"/>
      </w:pPr>
    </w:p>
    <w:p w:rsidR="00B60A3C" w:rsidRPr="00B2602A" w:rsidRDefault="00267BE5" w:rsidP="00B2602A">
      <w:pPr>
        <w:pStyle w:val="NoteLevel11"/>
        <w:keepNext w:val="0"/>
        <w:widowControl w:val="0"/>
      </w:pPr>
      <w:r w:rsidRPr="001A3046">
        <w:t>41</w:t>
      </w:r>
      <w:r w:rsidR="00CB2473" w:rsidRPr="001A3046">
        <w:t xml:space="preserve">. </w:t>
      </w:r>
      <w:r w:rsidR="00BB7280" w:rsidRPr="001A3046">
        <w:t>Boom R, Sol CJ, Salimans MM, Jan</w:t>
      </w:r>
      <w:r w:rsidR="008D035B" w:rsidRPr="001A3046">
        <w:t>sen CL, Wertheim-van Dillen PM,</w:t>
      </w:r>
      <w:r w:rsidR="00771229" w:rsidRPr="001A3046">
        <w:t xml:space="preserve"> van der Noordaa J. </w:t>
      </w:r>
      <w:r w:rsidR="00BB7280" w:rsidRPr="001A3046">
        <w:t>Rapid and simple method for purification of nucleic acids. J Clin</w:t>
      </w:r>
      <w:r w:rsidR="00D757B1" w:rsidRPr="001A3046">
        <w:t xml:space="preserve"> </w:t>
      </w:r>
      <w:r w:rsidR="00BB7280" w:rsidRPr="001A3046">
        <w:t>Microbio</w:t>
      </w:r>
      <w:r w:rsidR="003E6EB4" w:rsidRPr="001A3046">
        <w:t>l</w:t>
      </w:r>
      <w:r w:rsidR="00BB7280" w:rsidRPr="001A3046">
        <w:t xml:space="preserve"> </w:t>
      </w:r>
      <w:r w:rsidR="002D5037" w:rsidRPr="001A3046">
        <w:t>1990;</w:t>
      </w:r>
      <w:r w:rsidR="00BB7280" w:rsidRPr="001A3046">
        <w:t>28</w:t>
      </w:r>
      <w:r w:rsidR="002D5037" w:rsidRPr="001A3046">
        <w:t>:</w:t>
      </w:r>
      <w:r w:rsidR="00771229" w:rsidRPr="001A3046">
        <w:t xml:space="preserve"> 495-</w:t>
      </w:r>
      <w:r w:rsidR="00BB7280" w:rsidRPr="001A3046">
        <w:t>503.</w:t>
      </w:r>
    </w:p>
    <w:p w:rsidR="00CB2473" w:rsidRPr="001A3046" w:rsidRDefault="00CB2473" w:rsidP="00876AE7">
      <w:pPr>
        <w:pStyle w:val="NoteLevel11"/>
      </w:pPr>
    </w:p>
    <w:p w:rsidR="00CB2473" w:rsidRPr="001A3046" w:rsidRDefault="00691B11" w:rsidP="00876AE7">
      <w:pPr>
        <w:pStyle w:val="NoteLevel11"/>
        <w:rPr>
          <w:rFonts w:cs="Helvetica"/>
          <w:szCs w:val="20"/>
        </w:rPr>
      </w:pPr>
      <w:r w:rsidRPr="001A3046">
        <w:rPr>
          <w:rFonts w:cs="Arial"/>
          <w:szCs w:val="26"/>
        </w:rPr>
        <w:t>42</w:t>
      </w:r>
      <w:r w:rsidR="00CB2473" w:rsidRPr="001A3046">
        <w:rPr>
          <w:rFonts w:cs="Arial"/>
          <w:szCs w:val="26"/>
        </w:rPr>
        <w:t xml:space="preserve">. Taylor GM, Tucker K, Butler R, Pike AWG, Lewis J, </w:t>
      </w:r>
      <w:r w:rsidR="008D7882" w:rsidRPr="001A3046">
        <w:rPr>
          <w:rFonts w:cs="Arial"/>
          <w:szCs w:val="26"/>
        </w:rPr>
        <w:t xml:space="preserve">Roffey S, </w:t>
      </w:r>
      <w:r w:rsidR="00CB2473" w:rsidRPr="001A3046">
        <w:t>et al.</w:t>
      </w:r>
      <w:r w:rsidR="00CB2473" w:rsidRPr="001A3046">
        <w:rPr>
          <w:rFonts w:cs="Arial"/>
          <w:szCs w:val="26"/>
        </w:rPr>
        <w:t xml:space="preserve"> Detection and</w:t>
      </w:r>
      <w:r w:rsidR="008D7882" w:rsidRPr="001A3046">
        <w:rPr>
          <w:rFonts w:cs="Helvetica"/>
          <w:szCs w:val="20"/>
        </w:rPr>
        <w:t xml:space="preserve"> </w:t>
      </w:r>
      <w:r w:rsidR="00771229" w:rsidRPr="001A3046">
        <w:rPr>
          <w:rFonts w:cs="Arial"/>
          <w:szCs w:val="26"/>
        </w:rPr>
        <w:t>strain typing of a</w:t>
      </w:r>
      <w:r w:rsidR="00CB2473" w:rsidRPr="001A3046">
        <w:rPr>
          <w:rFonts w:cs="Arial"/>
          <w:szCs w:val="26"/>
        </w:rPr>
        <w:t xml:space="preserve">ncient </w:t>
      </w:r>
      <w:r w:rsidR="00CB2473" w:rsidRPr="001A3046">
        <w:rPr>
          <w:rFonts w:cs="Arial"/>
          <w:i/>
          <w:iCs/>
          <w:szCs w:val="26"/>
        </w:rPr>
        <w:t>Mycobacterium leprae</w:t>
      </w:r>
      <w:r w:rsidR="00771229" w:rsidRPr="001A3046">
        <w:rPr>
          <w:rFonts w:cs="Arial"/>
          <w:szCs w:val="26"/>
        </w:rPr>
        <w:t xml:space="preserve"> from a Medieval leprosy h</w:t>
      </w:r>
      <w:r w:rsidR="00CB2473" w:rsidRPr="001A3046">
        <w:rPr>
          <w:rFonts w:cs="Arial"/>
          <w:szCs w:val="26"/>
        </w:rPr>
        <w:t xml:space="preserve">ospital. PLoS ONE </w:t>
      </w:r>
      <w:r w:rsidR="002D5037" w:rsidRPr="001A3046">
        <w:rPr>
          <w:rFonts w:cs="Arial"/>
          <w:szCs w:val="26"/>
        </w:rPr>
        <w:t>2013;</w:t>
      </w:r>
      <w:r w:rsidR="00CB2473" w:rsidRPr="001A3046">
        <w:rPr>
          <w:rFonts w:cs="Arial"/>
          <w:szCs w:val="26"/>
        </w:rPr>
        <w:t>8(4): e62406.</w:t>
      </w:r>
      <w:r w:rsidR="0055327B" w:rsidRPr="001A3046">
        <w:rPr>
          <w:rFonts w:cs="Arial"/>
          <w:szCs w:val="26"/>
        </w:rPr>
        <w:t xml:space="preserve"> </w:t>
      </w:r>
      <w:r w:rsidR="008D7882" w:rsidRPr="001A3046">
        <w:t>doi: 10.1371/journal.pone.0062406.</w:t>
      </w:r>
    </w:p>
    <w:p w:rsidR="0042585D" w:rsidRPr="001A3046" w:rsidRDefault="0042585D" w:rsidP="00876AE7">
      <w:pPr>
        <w:pStyle w:val="NoteLevel11"/>
        <w:rPr>
          <w:rFonts w:eastAsia="Times New Roman" w:cs="Arial"/>
        </w:rPr>
      </w:pPr>
    </w:p>
    <w:p w:rsidR="008118DB" w:rsidRPr="001A3046" w:rsidRDefault="00691B11" w:rsidP="00876AE7">
      <w:pPr>
        <w:pStyle w:val="NoteLevel11"/>
        <w:rPr>
          <w:rFonts w:eastAsia="Times New Roman" w:cs="Arial"/>
        </w:rPr>
      </w:pPr>
      <w:r w:rsidRPr="001A3046">
        <w:rPr>
          <w:rFonts w:eastAsia="Times New Roman" w:cs="Arial"/>
        </w:rPr>
        <w:t>43</w:t>
      </w:r>
      <w:r w:rsidR="008118DB" w:rsidRPr="001A3046">
        <w:rPr>
          <w:rFonts w:eastAsia="Times New Roman" w:cs="Arial"/>
        </w:rPr>
        <w:t>. Taylor GM,</w:t>
      </w:r>
      <w:r w:rsidR="008118DB" w:rsidRPr="001A3046">
        <w:rPr>
          <w:rFonts w:eastAsia="Times New Roman" w:cs="Arial"/>
          <w:vertAlign w:val="superscript"/>
        </w:rPr>
        <w:t xml:space="preserve"> </w:t>
      </w:r>
      <w:r w:rsidR="008118DB" w:rsidRPr="001A3046">
        <w:rPr>
          <w:rFonts w:eastAsia="Times New Roman" w:cs="Arial"/>
        </w:rPr>
        <w:t xml:space="preserve">Blau S, Mays SA, Monot M, Lee OY-C, </w:t>
      </w:r>
      <w:r w:rsidR="008D7882" w:rsidRPr="001A3046">
        <w:rPr>
          <w:rFonts w:eastAsia="Times New Roman" w:cs="Arial"/>
        </w:rPr>
        <w:t xml:space="preserve">Minnikin DE, </w:t>
      </w:r>
      <w:r w:rsidR="008118DB" w:rsidRPr="001A3046">
        <w:rPr>
          <w:rFonts w:eastAsia="Times New Roman" w:cs="Arial"/>
        </w:rPr>
        <w:t xml:space="preserve">et al. </w:t>
      </w:r>
      <w:r w:rsidR="00BB7280" w:rsidRPr="001A3046">
        <w:rPr>
          <w:rFonts w:eastAsia="Times New Roman" w:cs="Arial"/>
          <w:i/>
        </w:rPr>
        <w:t>Mycobacterium leprae</w:t>
      </w:r>
      <w:r w:rsidR="00771229" w:rsidRPr="001A3046">
        <w:rPr>
          <w:rFonts w:eastAsia="Times New Roman" w:cs="Arial"/>
        </w:rPr>
        <w:t xml:space="preserve"> genotype amplified from an archaeological case of lepromatous l</w:t>
      </w:r>
      <w:r w:rsidR="008118DB" w:rsidRPr="001A3046">
        <w:rPr>
          <w:rFonts w:eastAsia="Times New Roman" w:cs="Arial"/>
        </w:rPr>
        <w:t xml:space="preserve">eprosy in Central Asia. J Archaeol Sci </w:t>
      </w:r>
      <w:r w:rsidR="002D5037" w:rsidRPr="001A3046">
        <w:rPr>
          <w:rFonts w:eastAsia="Times New Roman" w:cs="Arial"/>
        </w:rPr>
        <w:t>2009</w:t>
      </w:r>
      <w:r w:rsidR="001048DE" w:rsidRPr="001A3046">
        <w:rPr>
          <w:rFonts w:eastAsia="Times New Roman" w:cs="Arial"/>
        </w:rPr>
        <w:t>; 36</w:t>
      </w:r>
      <w:r w:rsidR="002D5037" w:rsidRPr="001A3046">
        <w:rPr>
          <w:rFonts w:eastAsia="Times New Roman" w:cs="Arial"/>
        </w:rPr>
        <w:t>:</w:t>
      </w:r>
      <w:r w:rsidR="008118DB" w:rsidRPr="001A3046">
        <w:rPr>
          <w:rFonts w:eastAsia="Times New Roman" w:cs="Arial"/>
        </w:rPr>
        <w:t xml:space="preserve"> 2408-2414.</w:t>
      </w:r>
    </w:p>
    <w:p w:rsidR="008D7882" w:rsidRPr="001A3046" w:rsidRDefault="008D7882" w:rsidP="00876AE7">
      <w:pPr>
        <w:pStyle w:val="NoteLevel11"/>
        <w:rPr>
          <w:rFonts w:cs="Times"/>
          <w:szCs w:val="13"/>
        </w:rPr>
      </w:pPr>
      <w:r w:rsidRPr="001A3046">
        <w:rPr>
          <w:rFonts w:cs="Times"/>
          <w:szCs w:val="13"/>
        </w:rPr>
        <w:t>doi:10.1016/j.jas.2009.06.026.</w:t>
      </w:r>
    </w:p>
    <w:p w:rsidR="00CB2473" w:rsidRPr="001A3046" w:rsidRDefault="00CB2473" w:rsidP="00876AE7">
      <w:pPr>
        <w:pStyle w:val="NoteLevel11"/>
      </w:pPr>
    </w:p>
    <w:p w:rsidR="00EB2AC6" w:rsidRPr="001A3046" w:rsidRDefault="00691B11" w:rsidP="00876AE7">
      <w:pPr>
        <w:pStyle w:val="NoteLevel11"/>
      </w:pPr>
      <w:r w:rsidRPr="001A3046">
        <w:t>44</w:t>
      </w:r>
      <w:r w:rsidR="00EB2AC6" w:rsidRPr="001A3046">
        <w:t xml:space="preserve">. Taylor GM, Donoghue HD. Variable nucleotide tandem repeat  (VNTR) typing of </w:t>
      </w:r>
      <w:r w:rsidR="00EB2AC6" w:rsidRPr="001A3046">
        <w:rPr>
          <w:i/>
        </w:rPr>
        <w:t>Mycobacterium leprae</w:t>
      </w:r>
      <w:r w:rsidR="00EB2AC6" w:rsidRPr="001A3046">
        <w:t xml:space="preserve"> isolates amplified from European archaeological human remains with lepromatous leprosy. Microbes Infect </w:t>
      </w:r>
      <w:r w:rsidR="002D5037" w:rsidRPr="001A3046">
        <w:t>2011;</w:t>
      </w:r>
      <w:r w:rsidR="00EB2AC6" w:rsidRPr="001A3046">
        <w:t>13</w:t>
      </w:r>
      <w:r w:rsidR="002D5037" w:rsidRPr="001A3046">
        <w:t>:</w:t>
      </w:r>
      <w:r w:rsidR="00EB2AC6" w:rsidRPr="001A3046">
        <w:t xml:space="preserve"> 923-929.</w:t>
      </w:r>
    </w:p>
    <w:p w:rsidR="00145D9B" w:rsidRPr="001A3046" w:rsidRDefault="00145D9B" w:rsidP="00876AE7">
      <w:pPr>
        <w:pStyle w:val="NoteLevel11"/>
      </w:pPr>
    </w:p>
    <w:p w:rsidR="00145D9B" w:rsidRPr="001A3046" w:rsidRDefault="00691B11" w:rsidP="00876AE7">
      <w:pPr>
        <w:pStyle w:val="NoteLevel11"/>
        <w:rPr>
          <w:rFonts w:cs="Helvetica"/>
        </w:rPr>
      </w:pPr>
      <w:r w:rsidRPr="001A3046">
        <w:rPr>
          <w:rFonts w:cs="Helvetica"/>
        </w:rPr>
        <w:t>45</w:t>
      </w:r>
      <w:r w:rsidR="00145D9B" w:rsidRPr="001A3046">
        <w:rPr>
          <w:rFonts w:cs="Helvetica"/>
        </w:rPr>
        <w:t>. Singh P</w:t>
      </w:r>
      <w:r w:rsidR="00BB7280" w:rsidRPr="001A3046">
        <w:rPr>
          <w:rFonts w:cs="Helvetica"/>
        </w:rPr>
        <w:t>, Benjak</w:t>
      </w:r>
      <w:r w:rsidR="00145D9B" w:rsidRPr="001A3046">
        <w:rPr>
          <w:rFonts w:cs="Helvetica"/>
        </w:rPr>
        <w:t xml:space="preserve"> A</w:t>
      </w:r>
      <w:r w:rsidR="00BB7280" w:rsidRPr="001A3046">
        <w:rPr>
          <w:rFonts w:cs="Helvetica"/>
        </w:rPr>
        <w:t xml:space="preserve">, Schuenemann </w:t>
      </w:r>
      <w:r w:rsidR="00145D9B" w:rsidRPr="001A3046">
        <w:rPr>
          <w:rFonts w:cs="Helvetica"/>
        </w:rPr>
        <w:t>V</w:t>
      </w:r>
      <w:r w:rsidR="00BB7280" w:rsidRPr="001A3046">
        <w:rPr>
          <w:rFonts w:cs="Helvetica"/>
        </w:rPr>
        <w:t>J, Herbig</w:t>
      </w:r>
      <w:r w:rsidR="00145D9B" w:rsidRPr="001A3046">
        <w:rPr>
          <w:rFonts w:cs="Helvetica"/>
        </w:rPr>
        <w:t xml:space="preserve"> A</w:t>
      </w:r>
      <w:r w:rsidR="00BB7280" w:rsidRPr="001A3046">
        <w:rPr>
          <w:rFonts w:cs="Helvetica"/>
        </w:rPr>
        <w:t>, Avanzi</w:t>
      </w:r>
      <w:r w:rsidR="00145D9B" w:rsidRPr="001A3046">
        <w:rPr>
          <w:rFonts w:cs="Helvetica"/>
        </w:rPr>
        <w:t xml:space="preserve"> C</w:t>
      </w:r>
      <w:r w:rsidR="00BB7280" w:rsidRPr="001A3046">
        <w:rPr>
          <w:rFonts w:cs="Helvetica"/>
        </w:rPr>
        <w:t xml:space="preserve">, </w:t>
      </w:r>
      <w:r w:rsidR="00F20C49" w:rsidRPr="001A3046">
        <w:rPr>
          <w:rFonts w:cs="Helvetica"/>
        </w:rPr>
        <w:t xml:space="preserve">Busso P, </w:t>
      </w:r>
      <w:r w:rsidR="00145D9B" w:rsidRPr="001A3046">
        <w:rPr>
          <w:rFonts w:cs="Helvetica"/>
        </w:rPr>
        <w:t>et al</w:t>
      </w:r>
      <w:r w:rsidR="00BB7280" w:rsidRPr="001A3046">
        <w:rPr>
          <w:rFonts w:cs="Helvetica"/>
        </w:rPr>
        <w:t xml:space="preserve">. Insight into the evolution and origin of leprosy bacilli from the genome sequence of </w:t>
      </w:r>
      <w:r w:rsidR="00BB7280" w:rsidRPr="001A3046">
        <w:rPr>
          <w:rFonts w:cs="Helvetica"/>
          <w:i/>
        </w:rPr>
        <w:t>Mycobacterium lepromatosis</w:t>
      </w:r>
      <w:r w:rsidR="00BB7280" w:rsidRPr="001A3046">
        <w:rPr>
          <w:rFonts w:cs="Helvetica"/>
        </w:rPr>
        <w:t xml:space="preserve">. </w:t>
      </w:r>
      <w:r w:rsidR="00BB7280" w:rsidRPr="001A3046">
        <w:rPr>
          <w:rStyle w:val="jrnl"/>
          <w:rFonts w:cs="Helvetica"/>
        </w:rPr>
        <w:t>Proc Natl Acad Sci</w:t>
      </w:r>
      <w:r w:rsidR="00876AE7" w:rsidRPr="001A3046">
        <w:rPr>
          <w:rStyle w:val="jrnl"/>
          <w:rFonts w:cs="Helvetica"/>
        </w:rPr>
        <w:t xml:space="preserve"> </w:t>
      </w:r>
      <w:r w:rsidR="00BB7280" w:rsidRPr="001A3046">
        <w:rPr>
          <w:rStyle w:val="jrnl"/>
          <w:rFonts w:cs="Helvetica"/>
        </w:rPr>
        <w:t>USA</w:t>
      </w:r>
      <w:r w:rsidR="00BB7280" w:rsidRPr="001A3046">
        <w:rPr>
          <w:rFonts w:cs="Helvetica"/>
        </w:rPr>
        <w:t xml:space="preserve"> </w:t>
      </w:r>
      <w:r w:rsidR="002D5037" w:rsidRPr="001A3046">
        <w:rPr>
          <w:rFonts w:cs="Helvetica"/>
        </w:rPr>
        <w:t>2015;</w:t>
      </w:r>
      <w:r w:rsidR="00BB7280" w:rsidRPr="001A3046">
        <w:rPr>
          <w:rFonts w:cs="Helvetica"/>
        </w:rPr>
        <w:t>112(14), 4459-</w:t>
      </w:r>
      <w:r w:rsidR="00D757B1" w:rsidRPr="001A3046">
        <w:rPr>
          <w:rFonts w:cs="Helvetica"/>
        </w:rPr>
        <w:t>44</w:t>
      </w:r>
      <w:r w:rsidR="00BB7280" w:rsidRPr="001A3046">
        <w:rPr>
          <w:rFonts w:cs="Helvetica"/>
        </w:rPr>
        <w:t xml:space="preserve">64. </w:t>
      </w:r>
      <w:r w:rsidR="003E6EB4" w:rsidRPr="001A3046">
        <w:rPr>
          <w:rFonts w:cs="Helvetica"/>
        </w:rPr>
        <w:t>d</w:t>
      </w:r>
      <w:r w:rsidR="00BB7280" w:rsidRPr="001A3046">
        <w:rPr>
          <w:rFonts w:cs="Helvetica"/>
        </w:rPr>
        <w:t>oi: 10.1073/pnas.1421504112.</w:t>
      </w:r>
    </w:p>
    <w:p w:rsidR="00145D9B" w:rsidRPr="001A3046" w:rsidRDefault="00145D9B" w:rsidP="00876AE7">
      <w:pPr>
        <w:pStyle w:val="NoteLevel11"/>
      </w:pPr>
    </w:p>
    <w:p w:rsidR="00B2602A" w:rsidRDefault="00691B11" w:rsidP="00B2602A">
      <w:pPr>
        <w:pStyle w:val="NoteLevel11"/>
        <w:keepNext w:val="0"/>
        <w:widowControl w:val="0"/>
      </w:pPr>
      <w:r w:rsidRPr="001A3046">
        <w:t>46</w:t>
      </w:r>
      <w:r w:rsidR="00E37960" w:rsidRPr="001A3046">
        <w:t>. Mays S, Ogden A, Montgomery J, Vincent S, Battersby W, Taylor GM. New light on the personal identification of a skeleton of a crew member of</w:t>
      </w:r>
      <w:r w:rsidR="00B2602A">
        <w:t xml:space="preserve"> </w:t>
      </w:r>
      <w:r w:rsidR="00E37960" w:rsidRPr="001A3046">
        <w:t xml:space="preserve">Sir John Franklin’s last expedition to the arctic, 1845. J Archaeol Sci </w:t>
      </w:r>
      <w:r w:rsidR="002D5037" w:rsidRPr="001A3046">
        <w:t>2011;</w:t>
      </w:r>
      <w:r w:rsidR="00E37960" w:rsidRPr="001A3046">
        <w:t>38</w:t>
      </w:r>
      <w:r w:rsidR="002D5037" w:rsidRPr="001A3046">
        <w:t>:</w:t>
      </w:r>
      <w:r w:rsidR="00E37960" w:rsidRPr="001A3046">
        <w:t xml:space="preserve"> 1571-1582.</w:t>
      </w:r>
    </w:p>
    <w:p w:rsidR="00B2602A" w:rsidRDefault="00B2602A" w:rsidP="00B2602A">
      <w:pPr>
        <w:pStyle w:val="ListParagraph"/>
      </w:pPr>
    </w:p>
    <w:p w:rsidR="00B2602A" w:rsidRDefault="00691B11" w:rsidP="00B2602A">
      <w:pPr>
        <w:pStyle w:val="NoteLevel11"/>
        <w:keepNext w:val="0"/>
        <w:widowControl w:val="0"/>
      </w:pPr>
      <w:r w:rsidRPr="001A3046">
        <w:t>47</w:t>
      </w:r>
      <w:r w:rsidR="00E37960" w:rsidRPr="001A3046">
        <w:t>. Waldron, HA, Taylor GM, Rudling</w:t>
      </w:r>
      <w:r w:rsidR="00E16DAF" w:rsidRPr="001A3046">
        <w:t>, DR. Sexing of Romano-British baby burials from the Beddingham Roman v</w:t>
      </w:r>
      <w:r w:rsidR="00E37960" w:rsidRPr="001A3046">
        <w:t>illa, Ea</w:t>
      </w:r>
      <w:r w:rsidR="00E16DAF" w:rsidRPr="001A3046">
        <w:t>st Sussex. Sussex Archaeol Collect</w:t>
      </w:r>
      <w:r w:rsidR="00876AE7" w:rsidRPr="001A3046">
        <w:t xml:space="preserve"> </w:t>
      </w:r>
      <w:r w:rsidR="002D5037" w:rsidRPr="001A3046">
        <w:t>1999;</w:t>
      </w:r>
      <w:r w:rsidR="00E37960" w:rsidRPr="001A3046">
        <w:t>137</w:t>
      </w:r>
      <w:r w:rsidR="00F20C49" w:rsidRPr="001A3046">
        <w:t>:</w:t>
      </w:r>
      <w:r w:rsidR="00E37960" w:rsidRPr="001A3046">
        <w:t xml:space="preserve"> 71-79.</w:t>
      </w:r>
    </w:p>
    <w:p w:rsidR="00B2602A" w:rsidRDefault="00B2602A" w:rsidP="00B2602A">
      <w:pPr>
        <w:pStyle w:val="ListParagraph"/>
      </w:pPr>
    </w:p>
    <w:p w:rsidR="00B2602A" w:rsidRDefault="00691B11" w:rsidP="00B2602A">
      <w:pPr>
        <w:pStyle w:val="NoteLevel11"/>
        <w:keepNext w:val="0"/>
        <w:widowControl w:val="0"/>
      </w:pPr>
      <w:r w:rsidRPr="001A3046">
        <w:t>48</w:t>
      </w:r>
      <w:r w:rsidR="00E37960" w:rsidRPr="001A3046">
        <w:t>. Mannucci A, Sullivan KM, Ivanov PL, Gill P. Forensic application of a rapid and quantitative amplification of the homologous gene amelogenin. Int</w:t>
      </w:r>
      <w:r w:rsidR="00876AE7" w:rsidRPr="001A3046">
        <w:t xml:space="preserve"> </w:t>
      </w:r>
      <w:r w:rsidR="00E37960" w:rsidRPr="001A3046">
        <w:t>J Legal</w:t>
      </w:r>
      <w:r w:rsidR="00D757B1" w:rsidRPr="001A3046">
        <w:t xml:space="preserve"> </w:t>
      </w:r>
      <w:r w:rsidR="00E37960" w:rsidRPr="001A3046">
        <w:t xml:space="preserve">Med </w:t>
      </w:r>
      <w:r w:rsidR="00933FDC" w:rsidRPr="001A3046">
        <w:t>1994;</w:t>
      </w:r>
      <w:r w:rsidR="00E37960" w:rsidRPr="001A3046">
        <w:t>106</w:t>
      </w:r>
      <w:r w:rsidR="00933FDC" w:rsidRPr="001A3046">
        <w:t>:</w:t>
      </w:r>
      <w:r w:rsidR="00E37960" w:rsidRPr="001A3046">
        <w:t xml:space="preserve"> 190-193.</w:t>
      </w:r>
      <w:bookmarkStart w:id="19" w:name="_Hlk520810812"/>
    </w:p>
    <w:p w:rsidR="00B2602A" w:rsidRDefault="00B2602A" w:rsidP="00B2602A">
      <w:pPr>
        <w:pStyle w:val="ListParagraph"/>
        <w:rPr>
          <w:shd w:val="clear" w:color="auto" w:fill="FFFFFF"/>
        </w:rPr>
      </w:pPr>
    </w:p>
    <w:p w:rsidR="001969BB" w:rsidRPr="00B2602A" w:rsidRDefault="00691B11" w:rsidP="00B2602A">
      <w:pPr>
        <w:pStyle w:val="NoteLevel11"/>
        <w:keepNext w:val="0"/>
        <w:widowControl w:val="0"/>
      </w:pPr>
      <w:r w:rsidRPr="00B2602A">
        <w:rPr>
          <w:shd w:val="clear" w:color="auto" w:fill="FFFFFF"/>
        </w:rPr>
        <w:t>49</w:t>
      </w:r>
      <w:r w:rsidR="001969BB" w:rsidRPr="00B2602A">
        <w:rPr>
          <w:shd w:val="clear" w:color="auto" w:fill="FFFFFF"/>
        </w:rPr>
        <w:t xml:space="preserve">. </w:t>
      </w:r>
      <w:r w:rsidR="00B414BB" w:rsidRPr="00B2602A">
        <w:rPr>
          <w:shd w:val="clear" w:color="auto" w:fill="FFFFFF"/>
        </w:rPr>
        <w:t>De Jong H, Foster G, Heyd VM, Pike AW.</w:t>
      </w:r>
      <w:r w:rsidR="00BB7280" w:rsidRPr="00B2602A">
        <w:rPr>
          <w:shd w:val="clear" w:color="auto" w:fill="FFFFFF"/>
        </w:rPr>
        <w:t xml:space="preserve"> Further Sr isotopic </w:t>
      </w:r>
    </w:p>
    <w:p w:rsidR="001969BB" w:rsidRPr="00B2602A" w:rsidRDefault="001048DE" w:rsidP="00B2602A">
      <w:pPr>
        <w:pStyle w:val="NoteLevel11"/>
      </w:pPr>
      <w:r w:rsidRPr="001A3046">
        <w:rPr>
          <w:shd w:val="clear" w:color="auto" w:fill="FFFFFF"/>
        </w:rPr>
        <w:t>Studies</w:t>
      </w:r>
      <w:r w:rsidR="00BB7280" w:rsidRPr="001A3046">
        <w:rPr>
          <w:shd w:val="clear" w:color="auto" w:fill="FFFFFF"/>
        </w:rPr>
        <w:t xml:space="preserve"> on the Eulau multiple graves using laser ablation ICP-MS.</w:t>
      </w:r>
      <w:r w:rsidR="00BB7280" w:rsidRPr="001A3046">
        <w:rPr>
          <w:rStyle w:val="apple-converted-space"/>
          <w:rFonts w:cs="Arial"/>
          <w:shd w:val="clear" w:color="auto" w:fill="FFFFFF"/>
        </w:rPr>
        <w:t> In</w:t>
      </w:r>
      <w:r w:rsidR="00B414BB" w:rsidRPr="001A3046">
        <w:rPr>
          <w:rStyle w:val="apple-converted-space"/>
          <w:rFonts w:cs="Arial"/>
          <w:shd w:val="clear" w:color="auto" w:fill="FFFFFF"/>
        </w:rPr>
        <w:t>:</w:t>
      </w:r>
      <w:r w:rsidR="00B623AB" w:rsidRPr="001A3046">
        <w:rPr>
          <w:rStyle w:val="apple-converted-space"/>
          <w:rFonts w:cs="Arial"/>
          <w:shd w:val="clear" w:color="auto" w:fill="FFFFFF"/>
        </w:rPr>
        <w:t xml:space="preserve"> Meller H,</w:t>
      </w:r>
      <w:r w:rsidR="00BB7280" w:rsidRPr="001A3046">
        <w:rPr>
          <w:rStyle w:val="apple-converted-space"/>
          <w:rFonts w:cs="Arial"/>
          <w:shd w:val="clear" w:color="auto" w:fill="FFFFFF"/>
        </w:rPr>
        <w:t xml:space="preserve"> </w:t>
      </w:r>
      <w:r w:rsidR="00BB7280" w:rsidRPr="00B2602A">
        <w:rPr>
          <w:rStyle w:val="apple-converted-space"/>
          <w:rFonts w:cs="Arial"/>
          <w:shd w:val="clear" w:color="auto" w:fill="FFFFFF"/>
        </w:rPr>
        <w:t>Alt K</w:t>
      </w:r>
      <w:r w:rsidR="00B414BB" w:rsidRPr="00B2602A">
        <w:rPr>
          <w:rStyle w:val="apple-converted-space"/>
          <w:rFonts w:cs="Arial"/>
          <w:shd w:val="clear" w:color="auto" w:fill="FFFFFF"/>
        </w:rPr>
        <w:t>, editors</w:t>
      </w:r>
      <w:r w:rsidR="00BB7280" w:rsidRPr="00B2602A">
        <w:rPr>
          <w:rStyle w:val="apple-converted-space"/>
          <w:rFonts w:cs="Arial"/>
          <w:shd w:val="clear" w:color="auto" w:fill="FFFFFF"/>
        </w:rPr>
        <w:t xml:space="preserve">. </w:t>
      </w:r>
      <w:r w:rsidR="00B414BB" w:rsidRPr="00B2602A">
        <w:rPr>
          <w:iCs/>
          <w:shd w:val="clear" w:color="auto" w:fill="FFFFFF"/>
        </w:rPr>
        <w:t>Antrhopologie, i</w:t>
      </w:r>
      <w:r w:rsidR="00BB7280" w:rsidRPr="00B2602A">
        <w:rPr>
          <w:iCs/>
          <w:shd w:val="clear" w:color="auto" w:fill="FFFFFF"/>
        </w:rPr>
        <w:t>sotopie un</w:t>
      </w:r>
      <w:r w:rsidR="00B414BB" w:rsidRPr="00B2602A">
        <w:rPr>
          <w:iCs/>
          <w:shd w:val="clear" w:color="auto" w:fill="FFFFFF"/>
        </w:rPr>
        <w:t>d DNA–biografische a</w:t>
      </w:r>
      <w:r w:rsidR="00BB7280" w:rsidRPr="00B2602A">
        <w:rPr>
          <w:iCs/>
          <w:shd w:val="clear" w:color="auto" w:fill="FFFFFF"/>
        </w:rPr>
        <w:t xml:space="preserve">nnaherung an namenlose vorgesshichtliche Skelette? </w:t>
      </w:r>
      <w:r w:rsidR="00B414BB" w:rsidRPr="00B2602A">
        <w:rPr>
          <w:iCs/>
          <w:shd w:val="clear" w:color="auto" w:fill="FFFFFF"/>
        </w:rPr>
        <w:t xml:space="preserve">Halle: </w:t>
      </w:r>
      <w:r w:rsidR="00BB7280" w:rsidRPr="00B2602A">
        <w:rPr>
          <w:iCs/>
          <w:shd w:val="clear" w:color="auto" w:fill="FFFFFF"/>
        </w:rPr>
        <w:t>Tagungen des Landes</w:t>
      </w:r>
      <w:r w:rsidR="00B414BB" w:rsidRPr="00B2602A">
        <w:rPr>
          <w:iCs/>
          <w:shd w:val="clear" w:color="auto" w:fill="FFFFFF"/>
        </w:rPr>
        <w:t>museums fur Vorgeschichte;</w:t>
      </w:r>
      <w:r w:rsidR="00BB7280" w:rsidRPr="00B2602A">
        <w:rPr>
          <w:shd w:val="clear" w:color="auto" w:fill="FFFFFF"/>
        </w:rPr>
        <w:t xml:space="preserve"> </w:t>
      </w:r>
      <w:r w:rsidR="00B414BB" w:rsidRPr="00B2602A">
        <w:rPr>
          <w:shd w:val="clear" w:color="auto" w:fill="FFFFFF"/>
        </w:rPr>
        <w:t>2010.</w:t>
      </w:r>
      <w:r w:rsidR="00D757B1" w:rsidRPr="00B2602A">
        <w:rPr>
          <w:shd w:val="clear" w:color="auto" w:fill="FFFFFF"/>
        </w:rPr>
        <w:t xml:space="preserve"> </w:t>
      </w:r>
      <w:r w:rsidR="00BB7280" w:rsidRPr="00B2602A">
        <w:rPr>
          <w:shd w:val="clear" w:color="auto" w:fill="FFFFFF"/>
        </w:rPr>
        <w:t>pp.</w:t>
      </w:r>
      <w:r w:rsidR="00B414BB" w:rsidRPr="00B2602A">
        <w:rPr>
          <w:shd w:val="clear" w:color="auto" w:fill="FFFFFF"/>
        </w:rPr>
        <w:t xml:space="preserve"> </w:t>
      </w:r>
      <w:r w:rsidR="00BB7280" w:rsidRPr="00B2602A">
        <w:rPr>
          <w:shd w:val="clear" w:color="auto" w:fill="FFFFFF"/>
        </w:rPr>
        <w:t>53-62.</w:t>
      </w:r>
    </w:p>
    <w:bookmarkEnd w:id="19"/>
    <w:p w:rsidR="002C0BCE" w:rsidRPr="001A3046" w:rsidRDefault="002C0BCE" w:rsidP="00876AE7">
      <w:pPr>
        <w:pStyle w:val="NoteLevel11"/>
        <w:rPr>
          <w:lang w:val="en-GB"/>
        </w:rPr>
      </w:pPr>
    </w:p>
    <w:p w:rsidR="001969BB" w:rsidRPr="001A3046" w:rsidRDefault="00691B11" w:rsidP="00876AE7">
      <w:pPr>
        <w:pStyle w:val="NoteLevel11"/>
        <w:rPr>
          <w:shd w:val="clear" w:color="auto" w:fill="FFFFFF"/>
          <w:lang w:val="da-DK"/>
        </w:rPr>
      </w:pPr>
      <w:r w:rsidRPr="001A3046">
        <w:rPr>
          <w:shd w:val="clear" w:color="auto" w:fill="FFFFFF"/>
        </w:rPr>
        <w:t>50</w:t>
      </w:r>
      <w:r w:rsidR="001969BB" w:rsidRPr="001A3046">
        <w:rPr>
          <w:shd w:val="clear" w:color="auto" w:fill="FFFFFF"/>
        </w:rPr>
        <w:t xml:space="preserve">. </w:t>
      </w:r>
      <w:r w:rsidR="00BB7280" w:rsidRPr="001A3046">
        <w:rPr>
          <w:shd w:val="clear" w:color="auto" w:fill="FFFFFF"/>
        </w:rPr>
        <w:t>De Jo</w:t>
      </w:r>
      <w:r w:rsidR="00B414BB" w:rsidRPr="001A3046">
        <w:rPr>
          <w:shd w:val="clear" w:color="auto" w:fill="FFFFFF"/>
        </w:rPr>
        <w:t>ng, H. Subsistence plasticity: a</w:t>
      </w:r>
      <w:r w:rsidR="00BB7280" w:rsidRPr="001A3046">
        <w:rPr>
          <w:shd w:val="clear" w:color="auto" w:fill="FFFFFF"/>
        </w:rPr>
        <w:t xml:space="preserve"> strontium isotope perspective on subsistence through intra-tooth enamel and inter-site variation by LA-MC-ICPMS and TIMS. Ph.D</w:t>
      </w:r>
      <w:r w:rsidR="00B414BB" w:rsidRPr="001A3046">
        <w:rPr>
          <w:shd w:val="clear" w:color="auto" w:fill="FFFFFF"/>
        </w:rPr>
        <w:t>.</w:t>
      </w:r>
      <w:r w:rsidR="00BB7280" w:rsidRPr="001A3046">
        <w:rPr>
          <w:shd w:val="clear" w:color="auto" w:fill="FFFFFF"/>
        </w:rPr>
        <w:t xml:space="preserve"> thesis, University of Bristol</w:t>
      </w:r>
      <w:r w:rsidR="00B414BB" w:rsidRPr="001A3046">
        <w:rPr>
          <w:shd w:val="clear" w:color="auto" w:fill="FFFFFF"/>
        </w:rPr>
        <w:t>.</w:t>
      </w:r>
      <w:r w:rsidR="00F20C49" w:rsidRPr="001A3046">
        <w:rPr>
          <w:shd w:val="clear" w:color="auto" w:fill="FFFFFF"/>
        </w:rPr>
        <w:t xml:space="preserve"> </w:t>
      </w:r>
      <w:r w:rsidR="00F20C49" w:rsidRPr="001A3046">
        <w:rPr>
          <w:shd w:val="clear" w:color="auto" w:fill="FFFFFF"/>
          <w:lang w:val="da-DK"/>
        </w:rPr>
        <w:t>2013.</w:t>
      </w:r>
    </w:p>
    <w:p w:rsidR="001969BB" w:rsidRPr="001A3046" w:rsidRDefault="001969BB" w:rsidP="00876AE7">
      <w:pPr>
        <w:pStyle w:val="NoteLevel11"/>
        <w:rPr>
          <w:shd w:val="clear" w:color="auto" w:fill="FFFFFF"/>
          <w:lang w:val="da-DK"/>
        </w:rPr>
      </w:pPr>
    </w:p>
    <w:p w:rsidR="00507BDE" w:rsidRPr="001A3046" w:rsidRDefault="00691B11" w:rsidP="00876AE7">
      <w:pPr>
        <w:pStyle w:val="NoteLevel11"/>
        <w:rPr>
          <w:rFonts w:cs="Helvetica"/>
          <w:szCs w:val="15"/>
        </w:rPr>
      </w:pPr>
      <w:r w:rsidRPr="001A3046">
        <w:rPr>
          <w:rFonts w:cs="Helvetica"/>
          <w:szCs w:val="15"/>
          <w:lang w:val="da-DK"/>
        </w:rPr>
        <w:t>51</w:t>
      </w:r>
      <w:r w:rsidR="00507BDE" w:rsidRPr="001A3046">
        <w:rPr>
          <w:rFonts w:cs="Helvetica"/>
          <w:szCs w:val="15"/>
          <w:lang w:val="da-DK"/>
        </w:rPr>
        <w:t xml:space="preserve">. </w:t>
      </w:r>
      <w:r w:rsidR="00BB7280" w:rsidRPr="001A3046">
        <w:rPr>
          <w:rFonts w:cs="Helvetica"/>
          <w:szCs w:val="15"/>
          <w:lang w:val="da-DK"/>
        </w:rPr>
        <w:t xml:space="preserve">Daux V, Lécuyer C, Héran MA, Amiot R, Simon L, </w:t>
      </w:r>
      <w:r w:rsidR="00F20C49" w:rsidRPr="001A3046">
        <w:rPr>
          <w:rFonts w:cs="Helvetica"/>
          <w:szCs w:val="15"/>
          <w:lang w:val="da-DK"/>
        </w:rPr>
        <w:t>Fourel F</w:t>
      </w:r>
      <w:r w:rsidR="00F20C49" w:rsidRPr="001A3046">
        <w:rPr>
          <w:rFonts w:cs="Helvetica"/>
          <w:i/>
          <w:szCs w:val="15"/>
          <w:lang w:val="da-DK"/>
        </w:rPr>
        <w:t xml:space="preserve">, </w:t>
      </w:r>
      <w:r w:rsidR="00BB7280" w:rsidRPr="001A3046">
        <w:rPr>
          <w:rFonts w:cs="Helvetica"/>
          <w:szCs w:val="15"/>
          <w:lang w:val="da-DK"/>
        </w:rPr>
        <w:t xml:space="preserve">et al. </w:t>
      </w:r>
      <w:r w:rsidR="00BB7280" w:rsidRPr="001A3046">
        <w:rPr>
          <w:rFonts w:cs="Helvetica"/>
          <w:szCs w:val="15"/>
        </w:rPr>
        <w:t>Oxygen isotope fractionation between human phosphate and water revisited. J Hum Evol</w:t>
      </w:r>
      <w:r w:rsidR="00D757B1" w:rsidRPr="001A3046">
        <w:rPr>
          <w:rFonts w:cs="Helvetica"/>
          <w:szCs w:val="15"/>
        </w:rPr>
        <w:t xml:space="preserve"> </w:t>
      </w:r>
      <w:r w:rsidR="00933FDC" w:rsidRPr="001A3046">
        <w:rPr>
          <w:rFonts w:cs="Helvetica"/>
          <w:szCs w:val="15"/>
        </w:rPr>
        <w:t>2008;</w:t>
      </w:r>
      <w:r w:rsidR="00BB7280" w:rsidRPr="001A3046">
        <w:rPr>
          <w:rFonts w:cs="Helvetica"/>
          <w:szCs w:val="15"/>
        </w:rPr>
        <w:t>55</w:t>
      </w:r>
      <w:r w:rsidR="00B414BB" w:rsidRPr="001A3046">
        <w:rPr>
          <w:rFonts w:cs="Helvetica"/>
          <w:szCs w:val="15"/>
        </w:rPr>
        <w:t>(6): 1138-</w:t>
      </w:r>
      <w:r w:rsidR="00BB7280" w:rsidRPr="001A3046">
        <w:rPr>
          <w:rFonts w:cs="Helvetica"/>
          <w:szCs w:val="15"/>
        </w:rPr>
        <w:t xml:space="preserve">1147. </w:t>
      </w:r>
    </w:p>
    <w:p w:rsidR="00507BDE" w:rsidRPr="001A3046" w:rsidRDefault="00507BDE" w:rsidP="00876AE7">
      <w:pPr>
        <w:pStyle w:val="NoteLevel11"/>
        <w:rPr>
          <w:rFonts w:cs="Helvetica"/>
          <w:szCs w:val="15"/>
        </w:rPr>
      </w:pPr>
    </w:p>
    <w:p w:rsidR="00D2756F" w:rsidRPr="001A3046" w:rsidRDefault="00691B11" w:rsidP="00876AE7">
      <w:pPr>
        <w:pStyle w:val="NoteLevel11"/>
        <w:rPr>
          <w:rFonts w:cs="Helvetica"/>
          <w:szCs w:val="15"/>
        </w:rPr>
      </w:pPr>
      <w:r w:rsidRPr="001A3046">
        <w:rPr>
          <w:rFonts w:cs="Helvetica"/>
          <w:szCs w:val="15"/>
        </w:rPr>
        <w:t>52</w:t>
      </w:r>
      <w:r w:rsidR="00507BDE" w:rsidRPr="001A3046">
        <w:rPr>
          <w:rFonts w:cs="Helvetica"/>
          <w:szCs w:val="15"/>
        </w:rPr>
        <w:t xml:space="preserve">. </w:t>
      </w:r>
      <w:r w:rsidR="00BB7280" w:rsidRPr="001A3046">
        <w:rPr>
          <w:rFonts w:cs="Helvetica"/>
          <w:szCs w:val="15"/>
        </w:rPr>
        <w:t xml:space="preserve">Chenery CA, Pashley V, Lamb AL, Sloane HJ, Evans JA. The oxygen isotope relationship between the phosphate and structural carbonate fractions of human bioapatite. Rapid Commun Mass Spec </w:t>
      </w:r>
      <w:r w:rsidR="00D757B1" w:rsidRPr="001A3046">
        <w:rPr>
          <w:rFonts w:cs="Helvetica"/>
          <w:szCs w:val="15"/>
        </w:rPr>
        <w:t>2012;</w:t>
      </w:r>
      <w:r w:rsidR="00BB7280" w:rsidRPr="001A3046">
        <w:rPr>
          <w:rFonts w:cs="Helvetica"/>
          <w:szCs w:val="15"/>
        </w:rPr>
        <w:t>26</w:t>
      </w:r>
      <w:r w:rsidR="00D757B1" w:rsidRPr="001A3046">
        <w:rPr>
          <w:rFonts w:cs="Helvetica"/>
          <w:szCs w:val="15"/>
        </w:rPr>
        <w:t>:</w:t>
      </w:r>
      <w:r w:rsidR="00B414BB" w:rsidRPr="001A3046">
        <w:rPr>
          <w:rFonts w:cs="Helvetica"/>
          <w:szCs w:val="15"/>
        </w:rPr>
        <w:t xml:space="preserve"> 309-</w:t>
      </w:r>
      <w:r w:rsidR="00BB7280" w:rsidRPr="001A3046">
        <w:rPr>
          <w:rFonts w:cs="Helvetica"/>
          <w:szCs w:val="15"/>
        </w:rPr>
        <w:t>319.</w:t>
      </w:r>
    </w:p>
    <w:p w:rsidR="00D33D1B" w:rsidRPr="001A3046" w:rsidRDefault="00D33D1B" w:rsidP="00876AE7">
      <w:pPr>
        <w:pStyle w:val="NoteLevel11"/>
        <w:rPr>
          <w:rFonts w:cs="Helvetica"/>
          <w:szCs w:val="15"/>
        </w:rPr>
      </w:pPr>
    </w:p>
    <w:p w:rsidR="00D33D1B" w:rsidRPr="001A3046" w:rsidRDefault="00691B11" w:rsidP="00D33D1B">
      <w:pPr>
        <w:pStyle w:val="NoteLevel11"/>
      </w:pPr>
      <w:r w:rsidRPr="001A3046">
        <w:t>53</w:t>
      </w:r>
      <w:r w:rsidR="00D33D1B" w:rsidRPr="001A3046">
        <w:t xml:space="preserve">. International Commission on Radiological Protection (ICRP).  </w:t>
      </w:r>
      <w:r w:rsidR="00D33D1B" w:rsidRPr="001A3046">
        <w:rPr>
          <w:iCs/>
        </w:rPr>
        <w:t>Report of the Task Group of Reference Man</w:t>
      </w:r>
      <w:r w:rsidR="00D33D1B" w:rsidRPr="001A3046">
        <w:t>,</w:t>
      </w:r>
      <w:r w:rsidR="00B414BB" w:rsidRPr="001A3046">
        <w:t xml:space="preserve"> Pergamon Press, Oxford.</w:t>
      </w:r>
      <w:r w:rsidR="00D33D1B" w:rsidRPr="001A3046">
        <w:t xml:space="preserve"> 1975.</w:t>
      </w:r>
    </w:p>
    <w:p w:rsidR="00C95FB3" w:rsidRPr="001A3046" w:rsidRDefault="00C95FB3" w:rsidP="00876AE7">
      <w:pPr>
        <w:pStyle w:val="NoteLevel11"/>
      </w:pPr>
    </w:p>
    <w:p w:rsidR="001048DE" w:rsidRPr="001A3046" w:rsidRDefault="00691B11" w:rsidP="00876AE7">
      <w:pPr>
        <w:pStyle w:val="NoteLevel11"/>
      </w:pPr>
      <w:r w:rsidRPr="001A3046">
        <w:t>54</w:t>
      </w:r>
      <w:r w:rsidR="00255829" w:rsidRPr="001A3046">
        <w:t xml:space="preserve">. </w:t>
      </w:r>
      <w:r w:rsidR="00805D94" w:rsidRPr="001A3046">
        <w:t>Langmead B, Salzberg S. Fast gapped-read alignment with Bowtie 2. Nat</w:t>
      </w:r>
      <w:r w:rsidR="00F20C49" w:rsidRPr="001A3046">
        <w:t xml:space="preserve"> </w:t>
      </w:r>
      <w:r w:rsidR="00805D94" w:rsidRPr="001A3046">
        <w:t>Meth</w:t>
      </w:r>
      <w:r w:rsidR="00813605" w:rsidRPr="001A3046">
        <w:t>ods</w:t>
      </w:r>
      <w:r w:rsidR="00805D94" w:rsidRPr="001A3046">
        <w:t xml:space="preserve"> </w:t>
      </w:r>
      <w:r w:rsidR="00D757B1" w:rsidRPr="001A3046">
        <w:t>2012;</w:t>
      </w:r>
      <w:r w:rsidR="00805D94" w:rsidRPr="001A3046">
        <w:t>9:</w:t>
      </w:r>
      <w:r w:rsidR="00B414BB" w:rsidRPr="001A3046">
        <w:t xml:space="preserve"> 357-</w:t>
      </w:r>
      <w:r w:rsidR="00805D94" w:rsidRPr="001A3046">
        <w:t>359.</w:t>
      </w:r>
    </w:p>
    <w:p w:rsidR="003D03EF" w:rsidRPr="001A3046" w:rsidRDefault="003D03EF" w:rsidP="001048DE">
      <w:pPr>
        <w:pStyle w:val="NoteLevel11"/>
      </w:pPr>
    </w:p>
    <w:p w:rsidR="001048DE" w:rsidRPr="001A3046" w:rsidRDefault="00691B11" w:rsidP="001048DE">
      <w:pPr>
        <w:pStyle w:val="NoteLevel11"/>
        <w:rPr>
          <w:rFonts w:cs="Times"/>
          <w:szCs w:val="19"/>
        </w:rPr>
      </w:pPr>
      <w:r w:rsidRPr="001A3046">
        <w:rPr>
          <w:rFonts w:cs="Arial"/>
          <w:szCs w:val="20"/>
          <w:shd w:val="clear" w:color="auto" w:fill="FFFFFF"/>
        </w:rPr>
        <w:t>55</w:t>
      </w:r>
      <w:r w:rsidR="009C057D" w:rsidRPr="001A3046">
        <w:rPr>
          <w:rFonts w:cs="Arial"/>
          <w:szCs w:val="20"/>
          <w:shd w:val="clear" w:color="auto" w:fill="FFFFFF"/>
        </w:rPr>
        <w:t xml:space="preserve">. </w:t>
      </w:r>
      <w:r w:rsidR="00273530" w:rsidRPr="001A3046">
        <w:rPr>
          <w:rFonts w:cs="Arial"/>
          <w:szCs w:val="20"/>
          <w:shd w:val="clear" w:color="auto" w:fill="FFFFFF"/>
        </w:rPr>
        <w:t>Longinelli</w:t>
      </w:r>
      <w:r w:rsidR="00722D26" w:rsidRPr="001A3046">
        <w:rPr>
          <w:rFonts w:cs="Arial"/>
          <w:szCs w:val="20"/>
          <w:shd w:val="clear" w:color="auto" w:fill="FFFFFF"/>
        </w:rPr>
        <w:t xml:space="preserve"> A</w:t>
      </w:r>
      <w:r w:rsidR="001048DE" w:rsidRPr="001A3046">
        <w:rPr>
          <w:rFonts w:cs="Arial"/>
          <w:szCs w:val="20"/>
          <w:shd w:val="clear" w:color="auto" w:fill="FFFFFF"/>
        </w:rPr>
        <w:t>. Oxygen isotopes in mammal bone phosphate: a new tool for paleohydrological an</w:t>
      </w:r>
      <w:r w:rsidR="00B414BB" w:rsidRPr="001A3046">
        <w:rPr>
          <w:rFonts w:cs="Arial"/>
          <w:szCs w:val="20"/>
          <w:shd w:val="clear" w:color="auto" w:fill="FFFFFF"/>
        </w:rPr>
        <w:t>d paleoclimatological research?</w:t>
      </w:r>
      <w:r w:rsidR="001048DE" w:rsidRPr="001A3046">
        <w:rPr>
          <w:rFonts w:cs="Arial"/>
          <w:szCs w:val="20"/>
          <w:shd w:val="clear" w:color="auto" w:fill="FFFFFF"/>
        </w:rPr>
        <w:t> </w:t>
      </w:r>
      <w:r w:rsidR="001048DE" w:rsidRPr="001A3046">
        <w:rPr>
          <w:rFonts w:cs="Arial"/>
          <w:iCs/>
          <w:szCs w:val="20"/>
          <w:shd w:val="clear" w:color="auto" w:fill="FFFFFF"/>
        </w:rPr>
        <w:t>Geochim Cosmochim Acta</w:t>
      </w:r>
      <w:r w:rsidR="001048DE" w:rsidRPr="001A3046">
        <w:rPr>
          <w:rFonts w:cs="Arial"/>
          <w:szCs w:val="20"/>
          <w:shd w:val="clear" w:color="auto" w:fill="FFFFFF"/>
        </w:rPr>
        <w:t> </w:t>
      </w:r>
      <w:r w:rsidR="00722D26" w:rsidRPr="001A3046">
        <w:rPr>
          <w:rFonts w:cs="Arial"/>
          <w:szCs w:val="20"/>
          <w:shd w:val="clear" w:color="auto" w:fill="FFFFFF"/>
        </w:rPr>
        <w:t>1984;</w:t>
      </w:r>
      <w:r w:rsidR="001048DE" w:rsidRPr="001A3046">
        <w:rPr>
          <w:rFonts w:cs="Arial"/>
          <w:iCs/>
          <w:szCs w:val="20"/>
          <w:shd w:val="clear" w:color="auto" w:fill="FFFFFF"/>
        </w:rPr>
        <w:t>48</w:t>
      </w:r>
      <w:r w:rsidR="001048DE" w:rsidRPr="001A3046">
        <w:rPr>
          <w:rFonts w:cs="Arial"/>
          <w:szCs w:val="20"/>
          <w:shd w:val="clear" w:color="auto" w:fill="FFFFFF"/>
        </w:rPr>
        <w:t>(2), 385-390.</w:t>
      </w:r>
    </w:p>
    <w:p w:rsidR="00805D94" w:rsidRPr="001A3046" w:rsidRDefault="00805D94" w:rsidP="00876AE7">
      <w:pPr>
        <w:pStyle w:val="NoteLevel11"/>
      </w:pPr>
    </w:p>
    <w:p w:rsidR="00B2602A" w:rsidRDefault="00691B11" w:rsidP="00B2602A">
      <w:pPr>
        <w:pStyle w:val="NoteLevel11"/>
        <w:keepNext w:val="0"/>
        <w:widowControl w:val="0"/>
      </w:pPr>
      <w:r w:rsidRPr="001A3046">
        <w:t>56</w:t>
      </w:r>
      <w:r w:rsidR="001127F8" w:rsidRPr="001A3046">
        <w:t xml:space="preserve">. Economou C, Kjellström A, Lide ́n K, Panagopoulos I. Ancient-DNA reveals an Asian type of </w:t>
      </w:r>
      <w:r w:rsidR="00BB7280" w:rsidRPr="001A3046">
        <w:rPr>
          <w:i/>
        </w:rPr>
        <w:t>Mycobacterium leprae</w:t>
      </w:r>
      <w:r w:rsidR="001127F8" w:rsidRPr="001A3046">
        <w:t xml:space="preserve"> in medieval Scandinavia. J Archaeol Sci </w:t>
      </w:r>
      <w:r w:rsidR="008D035B" w:rsidRPr="001A3046">
        <w:t xml:space="preserve"> 2013</w:t>
      </w:r>
      <w:r w:rsidR="00D757B1" w:rsidRPr="001A3046">
        <w:t>;</w:t>
      </w:r>
      <w:r w:rsidR="001127F8" w:rsidRPr="001A3046">
        <w:t>40</w:t>
      </w:r>
      <w:r w:rsidR="00D757B1" w:rsidRPr="001A3046">
        <w:t>:</w:t>
      </w:r>
      <w:r w:rsidR="00B414BB" w:rsidRPr="001A3046">
        <w:t xml:space="preserve"> 465-</w:t>
      </w:r>
      <w:r w:rsidR="001127F8" w:rsidRPr="001A3046">
        <w:t>470.</w:t>
      </w:r>
      <w:r w:rsidR="00617417" w:rsidRPr="001A3046">
        <w:t xml:space="preserve"> Corrigendum appears in J Archaeol Sci 2013;40: 2867.</w:t>
      </w:r>
      <w:r w:rsidR="00A5209B" w:rsidRPr="001A3046">
        <w:t xml:space="preserve"> </w:t>
      </w:r>
    </w:p>
    <w:p w:rsidR="00B2602A" w:rsidRDefault="00B2602A" w:rsidP="00B2602A">
      <w:pPr>
        <w:pStyle w:val="ListParagraph"/>
      </w:pPr>
    </w:p>
    <w:p w:rsidR="00B2602A" w:rsidRDefault="00691B11" w:rsidP="00B2602A">
      <w:pPr>
        <w:pStyle w:val="NoteLevel11"/>
        <w:keepNext w:val="0"/>
        <w:widowControl w:val="0"/>
      </w:pPr>
      <w:r w:rsidRPr="001A3046">
        <w:t>57</w:t>
      </w:r>
      <w:r w:rsidR="00F11CDA" w:rsidRPr="001A3046">
        <w:t xml:space="preserve">. Truman RW, Singh P, Sharma R, Busso P, Rougemont J, Paniz-Mondolfi A, et al. Probable zoonotic leprosy in the southern United States. N Engl J Med </w:t>
      </w:r>
      <w:r w:rsidR="00D757B1" w:rsidRPr="001A3046">
        <w:t>2011;</w:t>
      </w:r>
      <w:r w:rsidR="00F11CDA" w:rsidRPr="001A3046">
        <w:t>364</w:t>
      </w:r>
      <w:r w:rsidR="00D757B1" w:rsidRPr="001A3046">
        <w:t>:</w:t>
      </w:r>
      <w:r w:rsidR="00B414BB" w:rsidRPr="001A3046">
        <w:t xml:space="preserve"> 1626-</w:t>
      </w:r>
      <w:r w:rsidR="00F11CDA" w:rsidRPr="001A3046">
        <w:t>1633.</w:t>
      </w:r>
    </w:p>
    <w:p w:rsidR="00B2602A" w:rsidRDefault="00B2602A" w:rsidP="00B2602A">
      <w:pPr>
        <w:pStyle w:val="ListParagraph"/>
      </w:pPr>
    </w:p>
    <w:p w:rsidR="008B266D" w:rsidRPr="00B2602A" w:rsidRDefault="00691B11" w:rsidP="00B2602A">
      <w:pPr>
        <w:pStyle w:val="NoteLevel11"/>
        <w:keepNext w:val="0"/>
        <w:widowControl w:val="0"/>
      </w:pPr>
      <w:r w:rsidRPr="001A3046">
        <w:t>58</w:t>
      </w:r>
      <w:r w:rsidR="00F20C49" w:rsidRPr="001A3046">
        <w:t xml:space="preserve">. </w:t>
      </w:r>
      <w:r w:rsidR="008B266D" w:rsidRPr="00B2602A">
        <w:rPr>
          <w:rFonts w:cs="Helvetica Neue"/>
          <w:szCs w:val="22"/>
        </w:rPr>
        <w:t>Veale</w:t>
      </w:r>
      <w:r w:rsidR="00BB7280" w:rsidRPr="00B2602A">
        <w:rPr>
          <w:rFonts w:cs="Helvetica Neue"/>
          <w:szCs w:val="22"/>
        </w:rPr>
        <w:t xml:space="preserve"> </w:t>
      </w:r>
      <w:r w:rsidR="008B266D" w:rsidRPr="00B2602A">
        <w:rPr>
          <w:rFonts w:cs="Helvetica Neue"/>
          <w:szCs w:val="22"/>
        </w:rPr>
        <w:t>E</w:t>
      </w:r>
      <w:r w:rsidR="00B414BB" w:rsidRPr="00B2602A">
        <w:rPr>
          <w:rFonts w:cs="Helvetica Neue"/>
          <w:szCs w:val="22"/>
        </w:rPr>
        <w:t xml:space="preserve">M. </w:t>
      </w:r>
      <w:r w:rsidR="00B414BB" w:rsidRPr="00B2602A">
        <w:rPr>
          <w:rFonts w:cs="Helvetica Neue"/>
          <w:iCs/>
          <w:szCs w:val="22"/>
        </w:rPr>
        <w:t>The English fur t</w:t>
      </w:r>
      <w:r w:rsidR="00BB7280" w:rsidRPr="00B2602A">
        <w:rPr>
          <w:rFonts w:cs="Helvetica Neue"/>
          <w:iCs/>
          <w:szCs w:val="22"/>
        </w:rPr>
        <w:t>rade in the Later Middle Ages</w:t>
      </w:r>
      <w:r w:rsidR="00F20C49" w:rsidRPr="00B2602A">
        <w:rPr>
          <w:rFonts w:cs="Helvetica Neue"/>
          <w:iCs/>
          <w:szCs w:val="22"/>
        </w:rPr>
        <w:t>.</w:t>
      </w:r>
      <w:r w:rsidR="00F20C49" w:rsidRPr="00B2602A">
        <w:rPr>
          <w:rFonts w:cs="Helvetica Neue"/>
          <w:szCs w:val="22"/>
        </w:rPr>
        <w:t xml:space="preserve">  </w:t>
      </w:r>
      <w:r w:rsidR="00BB7280" w:rsidRPr="00B2602A">
        <w:rPr>
          <w:rFonts w:cs="Helvetica Neue"/>
          <w:szCs w:val="22"/>
        </w:rPr>
        <w:t>London</w:t>
      </w:r>
      <w:r w:rsidR="00B414BB" w:rsidRPr="00B2602A">
        <w:rPr>
          <w:rFonts w:cs="Helvetica Neue"/>
          <w:szCs w:val="22"/>
        </w:rPr>
        <w:t>:</w:t>
      </w:r>
      <w:r w:rsidR="00F20C49" w:rsidRPr="00B2602A">
        <w:rPr>
          <w:rFonts w:cs="Helvetica Neue"/>
          <w:szCs w:val="22"/>
        </w:rPr>
        <w:t xml:space="preserve"> Record Society</w:t>
      </w:r>
      <w:r w:rsidR="00B414BB" w:rsidRPr="00B2602A">
        <w:rPr>
          <w:rFonts w:cs="Helvetica Neue"/>
          <w:szCs w:val="22"/>
        </w:rPr>
        <w:t>;</w:t>
      </w:r>
      <w:r w:rsidR="00F20C49" w:rsidRPr="00B2602A">
        <w:rPr>
          <w:rFonts w:cs="Helvetica Neue"/>
          <w:szCs w:val="22"/>
        </w:rPr>
        <w:t xml:space="preserve"> </w:t>
      </w:r>
      <w:r w:rsidR="00B414BB" w:rsidRPr="00B2602A">
        <w:rPr>
          <w:rFonts w:cs="Helvetica Neue"/>
          <w:szCs w:val="22"/>
        </w:rPr>
        <w:t>2003.</w:t>
      </w:r>
    </w:p>
    <w:p w:rsidR="00231EBF" w:rsidRPr="001A3046" w:rsidRDefault="00231EBF" w:rsidP="00B42D8D">
      <w:pPr>
        <w:pStyle w:val="NoteLevel11"/>
        <w:rPr>
          <w:rFonts w:cs="Arial"/>
          <w:color w:val="333333"/>
          <w:sz w:val="19"/>
          <w:szCs w:val="19"/>
        </w:rPr>
      </w:pPr>
    </w:p>
    <w:p w:rsidR="00B42D8D" w:rsidRPr="001A3046" w:rsidRDefault="00691B11" w:rsidP="00B42D8D">
      <w:pPr>
        <w:pStyle w:val="NoteLevel11"/>
        <w:rPr>
          <w:rFonts w:cs="Helvetica"/>
          <w:szCs w:val="15"/>
        </w:rPr>
      </w:pPr>
      <w:r w:rsidRPr="001A3046">
        <w:rPr>
          <w:rFonts w:cs="Helvetica"/>
          <w:szCs w:val="15"/>
        </w:rPr>
        <w:t>59</w:t>
      </w:r>
      <w:r w:rsidR="00B42D8D" w:rsidRPr="001A3046">
        <w:rPr>
          <w:rFonts w:cs="Helvetica"/>
          <w:szCs w:val="15"/>
        </w:rPr>
        <w:t xml:space="preserve">. </w:t>
      </w:r>
      <w:r w:rsidR="00B414BB" w:rsidRPr="001A3046">
        <w:rPr>
          <w:rFonts w:cs="Helvetica"/>
          <w:szCs w:val="15"/>
        </w:rPr>
        <w:t>Ortner D. Identification of pathological conditions in human skeletal remains. London: Academic Press; 2003</w:t>
      </w:r>
      <w:r w:rsidR="00B42D8D" w:rsidRPr="001A3046">
        <w:rPr>
          <w:rFonts w:cs="Helvetica"/>
          <w:szCs w:val="15"/>
        </w:rPr>
        <w:t xml:space="preserve">. </w:t>
      </w:r>
    </w:p>
    <w:p w:rsidR="00B42D8D" w:rsidRPr="001A3046" w:rsidRDefault="00B42D8D" w:rsidP="00B42D8D">
      <w:pPr>
        <w:pStyle w:val="NoteLevel11"/>
        <w:rPr>
          <w:rFonts w:cs="Arial"/>
          <w:color w:val="0000FF"/>
          <w:szCs w:val="20"/>
          <w:shd w:val="clear" w:color="auto" w:fill="FFFFFF"/>
        </w:rPr>
      </w:pPr>
    </w:p>
    <w:p w:rsidR="00B42D8D" w:rsidRPr="001A3046" w:rsidRDefault="00691B11" w:rsidP="00B42D8D">
      <w:pPr>
        <w:pStyle w:val="NoteLevel11"/>
        <w:rPr>
          <w:rFonts w:cs="Arial"/>
          <w:szCs w:val="20"/>
          <w:shd w:val="clear" w:color="auto" w:fill="FFFFFF"/>
        </w:rPr>
      </w:pPr>
      <w:r w:rsidRPr="001A3046">
        <w:rPr>
          <w:rFonts w:cs="Arial"/>
          <w:szCs w:val="20"/>
          <w:shd w:val="clear" w:color="auto" w:fill="FFFFFF"/>
        </w:rPr>
        <w:t>60</w:t>
      </w:r>
      <w:r w:rsidR="00B42D8D" w:rsidRPr="001A3046">
        <w:rPr>
          <w:rFonts w:cs="Arial"/>
          <w:szCs w:val="20"/>
          <w:shd w:val="clear" w:color="auto" w:fill="FFFFFF"/>
        </w:rPr>
        <w:t xml:space="preserve">. </w:t>
      </w:r>
      <w:r w:rsidR="00B17892" w:rsidRPr="001A3046">
        <w:rPr>
          <w:rFonts w:cs="Arial"/>
          <w:szCs w:val="20"/>
          <w:shd w:val="clear" w:color="auto" w:fill="FFFFFF"/>
        </w:rPr>
        <w:t>Blacksin MF, Acello AN</w:t>
      </w:r>
      <w:r w:rsidR="00B42D8D" w:rsidRPr="001A3046">
        <w:rPr>
          <w:rFonts w:cs="Arial"/>
          <w:szCs w:val="20"/>
          <w:shd w:val="clear" w:color="auto" w:fill="FFFFFF"/>
        </w:rPr>
        <w:t>, K</w:t>
      </w:r>
      <w:r w:rsidR="00722D26" w:rsidRPr="001A3046">
        <w:rPr>
          <w:rFonts w:cs="Arial"/>
          <w:szCs w:val="20"/>
          <w:shd w:val="clear" w:color="auto" w:fill="FFFFFF"/>
        </w:rPr>
        <w:t>owalec J, Lyons M</w:t>
      </w:r>
      <w:r w:rsidR="00B414BB" w:rsidRPr="001A3046">
        <w:rPr>
          <w:rFonts w:cs="Arial"/>
          <w:szCs w:val="20"/>
          <w:shd w:val="clear" w:color="auto" w:fill="FFFFFF"/>
        </w:rPr>
        <w:t>M.</w:t>
      </w:r>
      <w:r w:rsidR="00B42D8D" w:rsidRPr="001A3046">
        <w:rPr>
          <w:rFonts w:cs="Arial"/>
          <w:szCs w:val="20"/>
          <w:shd w:val="clear" w:color="auto" w:fill="FFFFFF"/>
        </w:rPr>
        <w:t xml:space="preserve"> Osseous sarcoidosis of the foot: de</w:t>
      </w:r>
      <w:r w:rsidR="00B17892" w:rsidRPr="001A3046">
        <w:rPr>
          <w:rFonts w:cs="Arial"/>
          <w:szCs w:val="20"/>
          <w:shd w:val="clear" w:color="auto" w:fill="FFFFFF"/>
        </w:rPr>
        <w:t>tection by MR imaging. Am J Roentgenol</w:t>
      </w:r>
      <w:r w:rsidR="00B42D8D" w:rsidRPr="001A3046">
        <w:rPr>
          <w:rFonts w:cs="Arial"/>
          <w:szCs w:val="20"/>
          <w:shd w:val="clear" w:color="auto" w:fill="FFFFFF"/>
        </w:rPr>
        <w:t xml:space="preserve"> </w:t>
      </w:r>
      <w:r w:rsidR="00B17892" w:rsidRPr="001A3046">
        <w:rPr>
          <w:rFonts w:cs="Arial"/>
          <w:szCs w:val="20"/>
          <w:shd w:val="clear" w:color="auto" w:fill="FFFFFF"/>
        </w:rPr>
        <w:t>1994;</w:t>
      </w:r>
      <w:r w:rsidR="00B414BB" w:rsidRPr="001A3046">
        <w:rPr>
          <w:rFonts w:cs="Arial"/>
          <w:szCs w:val="20"/>
          <w:shd w:val="clear" w:color="auto" w:fill="FFFFFF"/>
        </w:rPr>
        <w:t>163:</w:t>
      </w:r>
      <w:r w:rsidR="00B42D8D" w:rsidRPr="001A3046">
        <w:rPr>
          <w:rFonts w:cs="Arial"/>
          <w:szCs w:val="20"/>
          <w:shd w:val="clear" w:color="auto" w:fill="FFFFFF"/>
        </w:rPr>
        <w:t xml:space="preserve"> 1444-1445.</w:t>
      </w:r>
    </w:p>
    <w:p w:rsidR="00B42D8D" w:rsidRPr="001A3046" w:rsidRDefault="00B42D8D" w:rsidP="00B42D8D">
      <w:pPr>
        <w:pStyle w:val="NoteLevel11"/>
        <w:rPr>
          <w:rFonts w:cs="Arial"/>
          <w:color w:val="0000FF"/>
          <w:szCs w:val="20"/>
          <w:shd w:val="clear" w:color="auto" w:fill="FFFFFF"/>
        </w:rPr>
      </w:pPr>
    </w:p>
    <w:p w:rsidR="00B42D8D" w:rsidRPr="001A3046" w:rsidRDefault="00691B11" w:rsidP="00B42D8D">
      <w:pPr>
        <w:pStyle w:val="NoteLevel11"/>
        <w:rPr>
          <w:rFonts w:cs="Arial"/>
          <w:szCs w:val="20"/>
          <w:shd w:val="clear" w:color="auto" w:fill="FFFFFF"/>
        </w:rPr>
      </w:pPr>
      <w:r w:rsidRPr="001A3046">
        <w:rPr>
          <w:rFonts w:cs="Arial"/>
          <w:szCs w:val="20"/>
          <w:shd w:val="clear" w:color="auto" w:fill="FFFFFF"/>
        </w:rPr>
        <w:t>61</w:t>
      </w:r>
      <w:r w:rsidR="00B42D8D" w:rsidRPr="001A3046">
        <w:rPr>
          <w:rFonts w:cs="Arial"/>
          <w:szCs w:val="20"/>
          <w:shd w:val="clear" w:color="auto" w:fill="FFFFFF"/>
        </w:rPr>
        <w:t xml:space="preserve">. </w:t>
      </w:r>
      <w:r w:rsidR="00B17892" w:rsidRPr="001A3046">
        <w:rPr>
          <w:rFonts w:cs="Arial"/>
          <w:szCs w:val="20"/>
          <w:shd w:val="clear" w:color="auto" w:fill="FFFFFF"/>
        </w:rPr>
        <w:t>Jones EA</w:t>
      </w:r>
      <w:r w:rsidR="00B42D8D" w:rsidRPr="001A3046">
        <w:rPr>
          <w:rFonts w:cs="Arial"/>
          <w:szCs w:val="20"/>
          <w:shd w:val="clear" w:color="auto" w:fill="FFFFFF"/>
        </w:rPr>
        <w:t>, Manaste</w:t>
      </w:r>
      <w:r w:rsidR="00B17892" w:rsidRPr="001A3046">
        <w:rPr>
          <w:rFonts w:cs="Arial"/>
          <w:szCs w:val="20"/>
          <w:shd w:val="clear" w:color="auto" w:fill="FFFFFF"/>
        </w:rPr>
        <w:t>r BJ, May DA, Disler DG.</w:t>
      </w:r>
      <w:r w:rsidR="00B42D8D" w:rsidRPr="001A3046">
        <w:rPr>
          <w:rFonts w:cs="Arial"/>
          <w:szCs w:val="20"/>
          <w:shd w:val="clear" w:color="auto" w:fill="FFFFFF"/>
        </w:rPr>
        <w:t xml:space="preserve"> Neuropathic osteoarthropathy: diagnostic dilemmas and differential diagnosis.</w:t>
      </w:r>
      <w:r w:rsidR="004E04B7" w:rsidRPr="001A3046">
        <w:rPr>
          <w:rFonts w:cs="Arial"/>
          <w:szCs w:val="20"/>
          <w:shd w:val="clear" w:color="auto" w:fill="FFFFFF"/>
        </w:rPr>
        <w:t xml:space="preserve"> Radiographics </w:t>
      </w:r>
      <w:r w:rsidR="00B17892" w:rsidRPr="001A3046">
        <w:rPr>
          <w:rFonts w:cs="Arial"/>
          <w:szCs w:val="20"/>
          <w:shd w:val="clear" w:color="auto" w:fill="FFFFFF"/>
        </w:rPr>
        <w:t>2000;</w:t>
      </w:r>
      <w:r w:rsidR="004E04B7" w:rsidRPr="001A3046">
        <w:rPr>
          <w:rFonts w:cs="Arial"/>
          <w:szCs w:val="20"/>
          <w:shd w:val="clear" w:color="auto" w:fill="FFFFFF"/>
        </w:rPr>
        <w:t xml:space="preserve">20, Suppl </w:t>
      </w:r>
      <w:r w:rsidR="00B42D8D" w:rsidRPr="001A3046">
        <w:rPr>
          <w:rFonts w:cs="Arial"/>
          <w:szCs w:val="20"/>
          <w:shd w:val="clear" w:color="auto" w:fill="FFFFFF"/>
        </w:rPr>
        <w:t>1, S279-293.</w:t>
      </w:r>
    </w:p>
    <w:p w:rsidR="00B42D8D" w:rsidRPr="001A3046" w:rsidRDefault="00B42D8D" w:rsidP="00876AE7">
      <w:pPr>
        <w:pStyle w:val="NoteLevel11"/>
      </w:pPr>
    </w:p>
    <w:p w:rsidR="00B42D8D" w:rsidRPr="001A3046" w:rsidRDefault="00691B11" w:rsidP="00876AE7">
      <w:pPr>
        <w:pStyle w:val="NoteLevel11"/>
        <w:rPr>
          <w:lang w:val="en-GB"/>
        </w:rPr>
      </w:pPr>
      <w:r w:rsidRPr="001A3046">
        <w:t>62</w:t>
      </w:r>
      <w:r w:rsidR="00A3506B" w:rsidRPr="001A3046">
        <w:t xml:space="preserve">. </w:t>
      </w:r>
      <w:r w:rsidR="00BB7280" w:rsidRPr="001A3046">
        <w:rPr>
          <w:lang w:val="en-GB"/>
        </w:rPr>
        <w:t>Knudson KJ, O’Donnabhain B, Carv</w:t>
      </w:r>
      <w:r w:rsidR="00A3506B" w:rsidRPr="001A3046">
        <w:rPr>
          <w:lang w:val="en-GB"/>
        </w:rPr>
        <w:t xml:space="preserve">er C, Cleland R, Price TD. </w:t>
      </w:r>
      <w:r w:rsidR="00BB7280" w:rsidRPr="001A3046">
        <w:rPr>
          <w:lang w:val="en-GB"/>
        </w:rPr>
        <w:t xml:space="preserve">Migration and Viking Dublin: paleomobility and paleodiet through isotopic analyses. J Archaeol Sci </w:t>
      </w:r>
      <w:r w:rsidR="00D757B1" w:rsidRPr="001A3046">
        <w:rPr>
          <w:lang w:val="en-GB"/>
        </w:rPr>
        <w:t>2012;</w:t>
      </w:r>
      <w:r w:rsidR="00BB7280" w:rsidRPr="001A3046">
        <w:rPr>
          <w:lang w:val="en-GB"/>
        </w:rPr>
        <w:t>39(2)</w:t>
      </w:r>
      <w:r w:rsidR="00A3506B" w:rsidRPr="001A3046">
        <w:rPr>
          <w:lang w:val="en-GB"/>
        </w:rPr>
        <w:t xml:space="preserve">, </w:t>
      </w:r>
      <w:r w:rsidR="00B414BB" w:rsidRPr="001A3046">
        <w:rPr>
          <w:lang w:val="en-GB"/>
        </w:rPr>
        <w:t>308-</w:t>
      </w:r>
      <w:r w:rsidR="00D757B1" w:rsidRPr="001A3046">
        <w:rPr>
          <w:lang w:val="en-GB"/>
        </w:rPr>
        <w:t>3</w:t>
      </w:r>
      <w:r w:rsidR="00BB7280" w:rsidRPr="001A3046">
        <w:rPr>
          <w:lang w:val="en-GB"/>
        </w:rPr>
        <w:t>20.</w:t>
      </w:r>
    </w:p>
    <w:p w:rsidR="00152ECE" w:rsidRPr="001A3046" w:rsidRDefault="00152ECE" w:rsidP="00876AE7">
      <w:pPr>
        <w:pStyle w:val="NoteLevel11"/>
        <w:rPr>
          <w:lang w:val="en-GB"/>
        </w:rPr>
      </w:pPr>
    </w:p>
    <w:p w:rsidR="00152ECE" w:rsidRPr="001A3046" w:rsidRDefault="00691B11" w:rsidP="00152ECE">
      <w:pPr>
        <w:pStyle w:val="NoteLevel11"/>
      </w:pPr>
      <w:r w:rsidRPr="001A3046">
        <w:t>63</w:t>
      </w:r>
      <w:r w:rsidR="008D035B" w:rsidRPr="001A3046">
        <w:t>. Evans JA, Montgomery J</w:t>
      </w:r>
      <w:r w:rsidR="00152ECE" w:rsidRPr="001A3046">
        <w:t>, Wil</w:t>
      </w:r>
      <w:r w:rsidR="008D035B" w:rsidRPr="001A3046">
        <w:t>dman G, Boulton</w:t>
      </w:r>
      <w:r w:rsidR="00BA4F3D" w:rsidRPr="001A3046">
        <w:t xml:space="preserve"> N. </w:t>
      </w:r>
      <w:r w:rsidR="00152ECE" w:rsidRPr="001A3046">
        <w:t xml:space="preserve"> Spatial variations in biosphere 87Sr/86Sr in Britain. </w:t>
      </w:r>
      <w:r w:rsidR="004E04B7" w:rsidRPr="001A3046">
        <w:t xml:space="preserve"> </w:t>
      </w:r>
      <w:r w:rsidR="00BA4F3D" w:rsidRPr="001A3046">
        <w:rPr>
          <w:iCs/>
        </w:rPr>
        <w:t>J Geol Soc</w:t>
      </w:r>
      <w:r w:rsidR="00B414BB" w:rsidRPr="001A3046">
        <w:rPr>
          <w:iCs/>
        </w:rPr>
        <w:t xml:space="preserve"> </w:t>
      </w:r>
      <w:r w:rsidR="00BA4F3D" w:rsidRPr="001A3046">
        <w:rPr>
          <w:iCs/>
        </w:rPr>
        <w:t>London</w:t>
      </w:r>
      <w:r w:rsidR="00BA4F3D" w:rsidRPr="001A3046">
        <w:rPr>
          <w:i/>
          <w:iCs/>
        </w:rPr>
        <w:t xml:space="preserve"> </w:t>
      </w:r>
      <w:r w:rsidR="008D035B" w:rsidRPr="001A3046">
        <w:rPr>
          <w:iCs/>
        </w:rPr>
        <w:t>2010</w:t>
      </w:r>
      <w:r w:rsidR="00BA4F3D" w:rsidRPr="001A3046">
        <w:rPr>
          <w:iCs/>
        </w:rPr>
        <w:t>;</w:t>
      </w:r>
      <w:r w:rsidR="00152ECE" w:rsidRPr="001A3046">
        <w:t>167, 1-4</w:t>
      </w:r>
      <w:r w:rsidR="008D035B" w:rsidRPr="001A3046">
        <w:t>.</w:t>
      </w:r>
    </w:p>
    <w:p w:rsidR="00152ECE" w:rsidRPr="001A3046" w:rsidRDefault="00152ECE" w:rsidP="00876AE7">
      <w:pPr>
        <w:pStyle w:val="NoteLevel11"/>
        <w:rPr>
          <w:lang w:val="en-GB"/>
        </w:rPr>
      </w:pPr>
    </w:p>
    <w:p w:rsidR="00805D94" w:rsidRPr="001A3046" w:rsidRDefault="00691B11" w:rsidP="00876AE7">
      <w:pPr>
        <w:pStyle w:val="NoteLevel11"/>
      </w:pPr>
      <w:r w:rsidRPr="001A3046">
        <w:t>64</w:t>
      </w:r>
      <w:r w:rsidR="00955356" w:rsidRPr="001A3046">
        <w:t xml:space="preserve">. </w:t>
      </w:r>
      <w:r w:rsidR="00D757B1" w:rsidRPr="001A3046">
        <w:t>Voerkelius S, Lorenz GD, Rummel S,</w:t>
      </w:r>
      <w:r w:rsidR="00F20C49" w:rsidRPr="001A3046">
        <w:t xml:space="preserve"> Quétel CR, Heiss G, Baxter M, </w:t>
      </w:r>
      <w:r w:rsidR="00D757B1" w:rsidRPr="001A3046">
        <w:t>et al</w:t>
      </w:r>
      <w:r w:rsidR="00805D94" w:rsidRPr="001A3046">
        <w:t xml:space="preserve">. Strontium isotopic signatures of natural mineral waters, the reference to a simple geological map and its potential for authentication of food. </w:t>
      </w:r>
      <w:r w:rsidR="00BA4F3D" w:rsidRPr="001A3046">
        <w:rPr>
          <w:iCs/>
        </w:rPr>
        <w:t>Food C</w:t>
      </w:r>
      <w:r w:rsidR="00813605" w:rsidRPr="001A3046">
        <w:rPr>
          <w:iCs/>
        </w:rPr>
        <w:t>hem</w:t>
      </w:r>
      <w:r w:rsidR="00D757B1" w:rsidRPr="001A3046">
        <w:t xml:space="preserve"> 2010;118(4):</w:t>
      </w:r>
      <w:r w:rsidR="00B17892" w:rsidRPr="001A3046">
        <w:t xml:space="preserve"> </w:t>
      </w:r>
      <w:r w:rsidR="00805D94" w:rsidRPr="001A3046">
        <w:t>933-940.</w:t>
      </w:r>
    </w:p>
    <w:p w:rsidR="00955356" w:rsidRPr="001A3046" w:rsidRDefault="00955356" w:rsidP="00876AE7">
      <w:pPr>
        <w:pStyle w:val="NoteLevel11"/>
        <w:rPr>
          <w:color w:val="0000FF"/>
        </w:rPr>
      </w:pPr>
    </w:p>
    <w:p w:rsidR="00E048AD" w:rsidRPr="001A3046" w:rsidRDefault="00691B11" w:rsidP="00B17892">
      <w:pPr>
        <w:pStyle w:val="NoteLevel11"/>
      </w:pPr>
      <w:r w:rsidRPr="001A3046">
        <w:rPr>
          <w:rFonts w:cs="Helvetica"/>
          <w:szCs w:val="15"/>
        </w:rPr>
        <w:t>65</w:t>
      </w:r>
      <w:r w:rsidR="008E2634" w:rsidRPr="001A3046">
        <w:rPr>
          <w:rFonts w:cs="Helvetica"/>
          <w:szCs w:val="15"/>
        </w:rPr>
        <w:t>.</w:t>
      </w:r>
      <w:r w:rsidR="002E438A" w:rsidRPr="001A3046">
        <w:rPr>
          <w:color w:val="0000FF"/>
        </w:rPr>
        <w:t xml:space="preserve"> </w:t>
      </w:r>
      <w:r w:rsidR="00D757B1" w:rsidRPr="001A3046">
        <w:t xml:space="preserve">Price TD, Frei KM, Dobat AS, Lynnerup N, Bennike P. </w:t>
      </w:r>
      <w:r w:rsidR="00810372" w:rsidRPr="001A3046">
        <w:t xml:space="preserve"> Who was in Harold Bluetooth’</w:t>
      </w:r>
      <w:r w:rsidR="00805D94" w:rsidRPr="001A3046">
        <w:t>s army? Strontium isotope investigation of the cemetery at the Viking Age fortress at Trelleborg, Denma</w:t>
      </w:r>
      <w:r w:rsidR="00810372" w:rsidRPr="001A3046">
        <w:t>rk.</w:t>
      </w:r>
      <w:r w:rsidR="003E6EB4" w:rsidRPr="001A3046">
        <w:t xml:space="preserve"> </w:t>
      </w:r>
      <w:r w:rsidR="00805D94" w:rsidRPr="001A3046">
        <w:rPr>
          <w:iCs/>
        </w:rPr>
        <w:t>Antiquity</w:t>
      </w:r>
      <w:r w:rsidR="00D757B1" w:rsidRPr="001A3046">
        <w:t xml:space="preserve"> 2011;</w:t>
      </w:r>
      <w:r w:rsidR="00805D94" w:rsidRPr="001A3046">
        <w:t>85(328), pp.</w:t>
      </w:r>
      <w:r w:rsidR="00810372" w:rsidRPr="001A3046">
        <w:t xml:space="preserve"> </w:t>
      </w:r>
      <w:r w:rsidR="00805D94" w:rsidRPr="001A3046">
        <w:t>476-489.</w:t>
      </w:r>
    </w:p>
    <w:p w:rsidR="0042585D" w:rsidRPr="001A3046" w:rsidRDefault="0042585D" w:rsidP="00152ECE">
      <w:pPr>
        <w:pStyle w:val="NoteLevel11"/>
      </w:pPr>
    </w:p>
    <w:p w:rsidR="00E430DB" w:rsidRPr="00B2602A" w:rsidRDefault="00691B11" w:rsidP="00B2602A">
      <w:pPr>
        <w:pStyle w:val="NoteLevel11"/>
        <w:rPr>
          <w:rFonts w:cs="Arial"/>
          <w:szCs w:val="20"/>
          <w:shd w:val="clear" w:color="auto" w:fill="FFFFFF"/>
        </w:rPr>
      </w:pPr>
      <w:r w:rsidRPr="001A3046">
        <w:t>66</w:t>
      </w:r>
      <w:r w:rsidR="00985F22" w:rsidRPr="001A3046">
        <w:t xml:space="preserve">. </w:t>
      </w:r>
      <w:r w:rsidR="004E04B7" w:rsidRPr="001A3046">
        <w:rPr>
          <w:rFonts w:cs="Arial"/>
          <w:szCs w:val="20"/>
          <w:shd w:val="clear" w:color="auto" w:fill="FFFFFF"/>
        </w:rPr>
        <w:t>Lécolle P</w:t>
      </w:r>
      <w:r w:rsidR="00985F22" w:rsidRPr="001A3046">
        <w:rPr>
          <w:rFonts w:cs="Arial"/>
          <w:szCs w:val="20"/>
          <w:shd w:val="clear" w:color="auto" w:fill="FFFFFF"/>
        </w:rPr>
        <w:t xml:space="preserve">, 1985. The oxygen isotope composition of landsnail shells as a </w:t>
      </w:r>
      <w:r w:rsidR="00985F22" w:rsidRPr="00B2602A">
        <w:rPr>
          <w:rFonts w:cs="Arial"/>
          <w:szCs w:val="20"/>
          <w:shd w:val="clear" w:color="auto" w:fill="FFFFFF"/>
        </w:rPr>
        <w:t>climatic indicator: applications to hydrogeology and</w:t>
      </w:r>
      <w:r w:rsidR="00B2602A">
        <w:rPr>
          <w:rFonts w:cs="Arial"/>
          <w:szCs w:val="20"/>
          <w:shd w:val="clear" w:color="auto" w:fill="FFFFFF"/>
        </w:rPr>
        <w:t xml:space="preserve"> </w:t>
      </w:r>
      <w:r w:rsidR="00985F22" w:rsidRPr="00B2602A">
        <w:rPr>
          <w:rFonts w:cs="Arial"/>
          <w:szCs w:val="20"/>
          <w:shd w:val="clear" w:color="auto" w:fill="FFFFFF"/>
        </w:rPr>
        <w:t>paleoclimatology. </w:t>
      </w:r>
      <w:r w:rsidR="00B17892" w:rsidRPr="00B2602A">
        <w:rPr>
          <w:rFonts w:cs="Arial"/>
          <w:szCs w:val="20"/>
          <w:shd w:val="clear" w:color="auto" w:fill="FFFFFF"/>
        </w:rPr>
        <w:t xml:space="preserve">Chem </w:t>
      </w:r>
      <w:r w:rsidR="00BA4F3D" w:rsidRPr="00B2602A">
        <w:rPr>
          <w:rFonts w:cs="Arial"/>
          <w:szCs w:val="20"/>
          <w:shd w:val="clear" w:color="auto" w:fill="FFFFFF"/>
        </w:rPr>
        <w:t>Geol</w:t>
      </w:r>
      <w:r w:rsidR="00B17892" w:rsidRPr="00B2602A">
        <w:rPr>
          <w:rFonts w:cs="Arial"/>
          <w:szCs w:val="20"/>
          <w:shd w:val="clear" w:color="auto" w:fill="FFFFFF"/>
        </w:rPr>
        <w:t>:</w:t>
      </w:r>
      <w:r w:rsidR="00985F22" w:rsidRPr="00B2602A">
        <w:rPr>
          <w:rFonts w:cs="Arial"/>
          <w:i/>
          <w:szCs w:val="20"/>
          <w:shd w:val="clear" w:color="auto" w:fill="FFFFFF"/>
        </w:rPr>
        <w:t xml:space="preserve"> </w:t>
      </w:r>
      <w:r w:rsidR="00985F22" w:rsidRPr="00B2602A">
        <w:rPr>
          <w:rFonts w:cs="Arial"/>
          <w:szCs w:val="20"/>
          <w:shd w:val="clear" w:color="auto" w:fill="FFFFFF"/>
        </w:rPr>
        <w:t>Isotope Geoscience Section</w:t>
      </w:r>
      <w:r w:rsidR="00B17892" w:rsidRPr="00B2602A">
        <w:rPr>
          <w:rFonts w:cs="Arial"/>
          <w:szCs w:val="20"/>
          <w:shd w:val="clear" w:color="auto" w:fill="FFFFFF"/>
        </w:rPr>
        <w:t>,</w:t>
      </w:r>
      <w:r w:rsidR="00B17892" w:rsidRPr="00B2602A">
        <w:rPr>
          <w:rFonts w:cs="Arial"/>
          <w:i/>
          <w:szCs w:val="20"/>
          <w:shd w:val="clear" w:color="auto" w:fill="FFFFFF"/>
        </w:rPr>
        <w:t xml:space="preserve"> </w:t>
      </w:r>
      <w:r w:rsidR="00B17892" w:rsidRPr="00B2602A">
        <w:rPr>
          <w:rFonts w:cs="Arial"/>
          <w:szCs w:val="20"/>
          <w:shd w:val="clear" w:color="auto" w:fill="FFFFFF"/>
        </w:rPr>
        <w:t xml:space="preserve">1985;58(1-2), </w:t>
      </w:r>
      <w:r w:rsidR="00985F22" w:rsidRPr="00B2602A">
        <w:rPr>
          <w:rFonts w:cs="Arial"/>
          <w:szCs w:val="20"/>
          <w:shd w:val="clear" w:color="auto" w:fill="FFFFFF"/>
        </w:rPr>
        <w:t>157-181.</w:t>
      </w:r>
    </w:p>
    <w:p w:rsidR="00F16B50" w:rsidRPr="001A3046" w:rsidRDefault="00F16B50" w:rsidP="00B17892">
      <w:pPr>
        <w:pStyle w:val="NoteLevel11"/>
        <w:rPr>
          <w:rFonts w:cs="Arial"/>
          <w:szCs w:val="20"/>
          <w:shd w:val="clear" w:color="auto" w:fill="FFFFFF"/>
        </w:rPr>
      </w:pPr>
    </w:p>
    <w:p w:rsidR="00673890" w:rsidRPr="001A3046" w:rsidRDefault="00691B11" w:rsidP="00B73C3A">
      <w:pPr>
        <w:pStyle w:val="NoteLevel11"/>
      </w:pPr>
      <w:r w:rsidRPr="001A3046">
        <w:rPr>
          <w:rFonts w:cs="Arial"/>
          <w:szCs w:val="20"/>
          <w:shd w:val="clear" w:color="auto" w:fill="FFFFFF"/>
        </w:rPr>
        <w:t>67</w:t>
      </w:r>
      <w:r w:rsidR="00F16B50" w:rsidRPr="001A3046">
        <w:rPr>
          <w:rFonts w:cs="Arial"/>
          <w:szCs w:val="20"/>
          <w:shd w:val="clear" w:color="auto" w:fill="FFFFFF"/>
        </w:rPr>
        <w:t xml:space="preserve">. </w:t>
      </w:r>
      <w:r w:rsidR="00673890" w:rsidRPr="001A3046">
        <w:rPr>
          <w:rFonts w:cs="Arial"/>
          <w:szCs w:val="20"/>
          <w:shd w:val="clear" w:color="auto" w:fill="FFFFFF"/>
        </w:rPr>
        <w:t>Murphy, EM</w:t>
      </w:r>
      <w:r w:rsidR="00F16B50" w:rsidRPr="001A3046">
        <w:rPr>
          <w:rFonts w:cs="Arial"/>
          <w:szCs w:val="20"/>
          <w:shd w:val="clear" w:color="auto" w:fill="FFFFFF"/>
        </w:rPr>
        <w:t>. Atypical burial practice and juvenile age-at-death in later medieval Gaelic Ireland: The evidence from Ballyhanna, Co. D</w:t>
      </w:r>
      <w:r w:rsidR="00673890" w:rsidRPr="001A3046">
        <w:rPr>
          <w:rFonts w:cs="Arial"/>
          <w:szCs w:val="20"/>
          <w:shd w:val="clear" w:color="auto" w:fill="FFFFFF"/>
        </w:rPr>
        <w:t>onegal. In Murphy, E, Le Roy, M</w:t>
      </w:r>
      <w:r w:rsidR="00F16B50" w:rsidRPr="001A3046">
        <w:rPr>
          <w:rFonts w:cs="Arial"/>
          <w:szCs w:val="20"/>
          <w:shd w:val="clear" w:color="auto" w:fill="FFFFFF"/>
        </w:rPr>
        <w:t>,</w:t>
      </w:r>
      <w:r w:rsidR="00673890" w:rsidRPr="001A3046">
        <w:rPr>
          <w:rFonts w:cs="Arial"/>
          <w:szCs w:val="20"/>
          <w:shd w:val="clear" w:color="auto" w:fill="FFFFFF"/>
        </w:rPr>
        <w:t xml:space="preserve"> editors. Children, death and burial: Archaeological discourses. Oxford: Oxbow Books; 2017. pp. 227-248.</w:t>
      </w:r>
      <w:r w:rsidR="00673890" w:rsidRPr="001A3046">
        <w:t xml:space="preserve"> </w:t>
      </w:r>
    </w:p>
    <w:p w:rsidR="00673890" w:rsidRPr="001A3046" w:rsidRDefault="00673890" w:rsidP="00B73C3A">
      <w:pPr>
        <w:pStyle w:val="NoteLevel11"/>
      </w:pPr>
    </w:p>
    <w:p w:rsidR="00242AF9" w:rsidRPr="001A3046" w:rsidRDefault="00691B11" w:rsidP="00B73C3A">
      <w:pPr>
        <w:pStyle w:val="NoteLevel11"/>
        <w:rPr>
          <w:rFonts w:cs="Arial"/>
          <w:szCs w:val="20"/>
          <w:shd w:val="clear" w:color="auto" w:fill="FFFFFF"/>
        </w:rPr>
      </w:pPr>
      <w:r w:rsidRPr="001A3046">
        <w:t>68</w:t>
      </w:r>
      <w:r w:rsidR="004E04B7" w:rsidRPr="001A3046">
        <w:t>. Buckley</w:t>
      </w:r>
      <w:r w:rsidR="00A97074" w:rsidRPr="001A3046">
        <w:t xml:space="preserve"> L, Hayden </w:t>
      </w:r>
      <w:r w:rsidR="00B73C3A" w:rsidRPr="001A3046">
        <w:t>A. Excavations at St. Stephen's leper hospital, Dublin: a summary acc</w:t>
      </w:r>
      <w:r w:rsidR="00F93E83" w:rsidRPr="001A3046">
        <w:t>ount and an analysis of burials</w:t>
      </w:r>
      <w:r w:rsidR="00B73C3A" w:rsidRPr="001A3046">
        <w:t>. In:</w:t>
      </w:r>
      <w:r w:rsidR="00673890" w:rsidRPr="001A3046">
        <w:t xml:space="preserve"> Duffy </w:t>
      </w:r>
      <w:r w:rsidR="00F93E83" w:rsidRPr="001A3046">
        <w:t>S, editor. Medieval Dublin III</w:t>
      </w:r>
      <w:r w:rsidR="00B73C3A" w:rsidRPr="001A3046">
        <w:t>: proceedings of the Friends of Mediev</w:t>
      </w:r>
      <w:r w:rsidR="00F93E83" w:rsidRPr="001A3046">
        <w:t xml:space="preserve">al Dublin Symposium 2001. Dublin: Four Courts Press; </w:t>
      </w:r>
      <w:r w:rsidR="00B73C3A" w:rsidRPr="001A3046">
        <w:t xml:space="preserve">2002. </w:t>
      </w:r>
      <w:r w:rsidR="00144C74" w:rsidRPr="001A3046">
        <w:t>pp. 151-194.</w:t>
      </w:r>
    </w:p>
    <w:p w:rsidR="00F67C3A" w:rsidRPr="001A3046" w:rsidRDefault="00F67C3A" w:rsidP="00302743">
      <w:pPr>
        <w:pStyle w:val="NoteLevel11"/>
        <w:rPr>
          <w:b/>
          <w:sz w:val="36"/>
          <w:szCs w:val="36"/>
          <w:lang w:val="en-GB"/>
        </w:rPr>
      </w:pPr>
    </w:p>
    <w:p w:rsidR="009155B0" w:rsidRPr="001A3046" w:rsidRDefault="00302743" w:rsidP="00302743">
      <w:pPr>
        <w:pStyle w:val="NoteLevel11"/>
        <w:rPr>
          <w:b/>
          <w:sz w:val="36"/>
          <w:szCs w:val="36"/>
        </w:rPr>
      </w:pPr>
      <w:r w:rsidRPr="001A3046">
        <w:rPr>
          <w:b/>
          <w:sz w:val="36"/>
          <w:szCs w:val="36"/>
        </w:rPr>
        <w:t>Supporting information captions</w:t>
      </w:r>
    </w:p>
    <w:p w:rsidR="00112C7C" w:rsidRPr="001A3046" w:rsidRDefault="00383262" w:rsidP="00112C7C">
      <w:pPr>
        <w:pStyle w:val="NoteLevel11"/>
        <w:rPr>
          <w:rFonts w:eastAsia="Cambria" w:cs="Times New Roman"/>
        </w:rPr>
      </w:pPr>
      <w:r w:rsidRPr="001A3046">
        <w:rPr>
          <w:rFonts w:eastAsia="Cambria" w:cs="Times New Roman"/>
        </w:rPr>
        <w:t>S1 file – Osteoarchaeological characteristics.</w:t>
      </w:r>
    </w:p>
    <w:p w:rsidR="00383262" w:rsidRPr="001A3046" w:rsidRDefault="00383262" w:rsidP="00112C7C">
      <w:pPr>
        <w:pStyle w:val="NoteLevel11"/>
        <w:rPr>
          <w:rFonts w:eastAsia="Cambria" w:cs="Times New Roman"/>
        </w:rPr>
      </w:pPr>
      <w:r w:rsidRPr="001A3046">
        <w:rPr>
          <w:rFonts w:eastAsia="Cambria" w:cs="Times New Roman"/>
        </w:rPr>
        <w:t>S2 file – Sampling strategy.</w:t>
      </w:r>
    </w:p>
    <w:p w:rsidR="00383262" w:rsidRPr="001A3046" w:rsidRDefault="00383262" w:rsidP="00112C7C">
      <w:pPr>
        <w:pStyle w:val="NoteLevel11"/>
        <w:rPr>
          <w:rFonts w:eastAsia="Cambria" w:cs="Times New Roman"/>
        </w:rPr>
      </w:pPr>
      <w:r w:rsidRPr="001A3046">
        <w:rPr>
          <w:rFonts w:eastAsia="Cambria" w:cs="Times New Roman"/>
        </w:rPr>
        <w:t>S3 file – Stable isotopes.</w:t>
      </w:r>
    </w:p>
    <w:p w:rsidR="00383262" w:rsidRPr="001A3046" w:rsidRDefault="00383262" w:rsidP="00112C7C">
      <w:pPr>
        <w:pStyle w:val="NoteLevel11"/>
        <w:rPr>
          <w:rFonts w:eastAsia="Cambria" w:cs="Times New Roman"/>
          <w:lang w:val="en-GB"/>
        </w:rPr>
      </w:pPr>
      <w:r w:rsidRPr="001A3046">
        <w:rPr>
          <w:rFonts w:eastAsia="Cambria" w:cs="Times New Roman"/>
          <w:lang w:val="en-GB"/>
        </w:rPr>
        <w:t>S4 file – Radiocarbon dating.</w:t>
      </w:r>
    </w:p>
    <w:p w:rsidR="000347CA" w:rsidRPr="001A3046" w:rsidRDefault="000347CA" w:rsidP="000347CA">
      <w:pPr>
        <w:pStyle w:val="NoteLevel11"/>
        <w:rPr>
          <w:rFonts w:eastAsia="Cambria" w:cs="Times New Roman"/>
          <w:lang w:val="en-GB"/>
        </w:rPr>
      </w:pPr>
      <w:r w:rsidRPr="001A3046">
        <w:rPr>
          <w:rFonts w:eastAsia="Cambria" w:cs="Times New Roman"/>
          <w:lang w:val="en-GB"/>
        </w:rPr>
        <w:t>S5 file – Table of details of sites and studies referred to in Figure 5.</w:t>
      </w:r>
    </w:p>
    <w:p w:rsidR="00F93E83" w:rsidRPr="001A3046" w:rsidRDefault="00F93E83" w:rsidP="001B2B09">
      <w:pPr>
        <w:pStyle w:val="NoteLevel11"/>
      </w:pPr>
    </w:p>
    <w:sectPr w:rsidR="00F93E83" w:rsidRPr="001A3046" w:rsidSect="003069C1">
      <w:footerReference w:type="even" r:id="rId18"/>
      <w:footerReference w:type="default" r:id="rId19"/>
      <w:headerReference w:type="first" r:id="rId20"/>
      <w:pgSz w:w="11900" w:h="16840"/>
      <w:pgMar w:top="1440" w:right="1440" w:bottom="1440" w:left="1440" w:header="709" w:footer="709" w:gutter="0"/>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48" w:rsidRDefault="00152948" w:rsidP="00535819">
      <w:r>
        <w:separator/>
      </w:r>
    </w:p>
  </w:endnote>
  <w:endnote w:type="continuationSeparator" w:id="0">
    <w:p w:rsidR="00152948" w:rsidRDefault="00152948" w:rsidP="0053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Linotype-Roman">
    <w:altName w:val="Yu Gothic"/>
    <w:charset w:val="00"/>
    <w:family w:val="auto"/>
    <w:pitch w:val="variable"/>
    <w:sig w:usb0="00000003" w:usb1="08070000" w:usb2="00000010" w:usb3="00000000" w:csb0="00020001" w:csb1="00000000"/>
  </w:font>
  <w:font w:name="Helvetica Neu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DA" w:rsidRDefault="004941DA" w:rsidP="00DC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41DA" w:rsidRDefault="00494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DA" w:rsidRDefault="00494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48" w:rsidRDefault="00152948" w:rsidP="00535819">
      <w:r>
        <w:separator/>
      </w:r>
    </w:p>
  </w:footnote>
  <w:footnote w:type="continuationSeparator" w:id="0">
    <w:p w:rsidR="00152948" w:rsidRDefault="00152948" w:rsidP="00535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DA" w:rsidRDefault="004941DA">
    <w:pPr>
      <w:pStyle w:val="Header"/>
      <w:tabs>
        <w:tab w:val="clear" w:pos="4320"/>
        <w:tab w:val="clear" w:pos="8640"/>
        <w:tab w:val="right" w:pos="9380"/>
      </w:tabs>
      <w:ind w:left="-360"/>
      <w:rPr>
        <w:rFonts w:ascii="Verdana" w:eastAsia="MS Gothic" w:hAnsi="Verdana"/>
        <w:sz w:val="36"/>
        <w:szCs w:val="36"/>
      </w:rPr>
    </w:pPr>
    <w:bookmarkStart w:id="20" w:name="_WNSectionTitle"/>
    <w:bookmarkStart w:id="21" w:name="_WNTabType_0"/>
    <w:r>
      <w:rPr>
        <w:rFonts w:ascii="Verdana" w:eastAsia="MS Gothic" w:hAnsi="Verdana"/>
        <w:sz w:val="36"/>
        <w:szCs w:val="36"/>
      </w:rPr>
      <w:tab/>
    </w:r>
  </w:p>
  <w:bookmarkEnd w:id="20"/>
  <w:bookmarkEnd w:id="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EEFBA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defaultTabStop w:val="720"/>
  <w:drawingGridHorizontalSpacing w:val="360"/>
  <w:drawingGridVerticalSpacing w:val="360"/>
  <w:displayHorizontalDrawingGridEvery w:val="0"/>
  <w:doNotUseMarginsForDrawingGridOrigin/>
  <w:drawingGridHorizontalOrigin w:val="1797"/>
  <w:drawingGridVerticalOrigin w:val="0"/>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EnableWordNotes" w:val="0"/>
  </w:docVars>
  <w:rsids>
    <w:rsidRoot w:val="00D168E1"/>
    <w:rsid w:val="00001B66"/>
    <w:rsid w:val="00003343"/>
    <w:rsid w:val="00003BEB"/>
    <w:rsid w:val="00004E81"/>
    <w:rsid w:val="0000698A"/>
    <w:rsid w:val="00016DA8"/>
    <w:rsid w:val="000179C7"/>
    <w:rsid w:val="000202D9"/>
    <w:rsid w:val="00020338"/>
    <w:rsid w:val="00025B57"/>
    <w:rsid w:val="000307D3"/>
    <w:rsid w:val="00033273"/>
    <w:rsid w:val="000347CA"/>
    <w:rsid w:val="0003793C"/>
    <w:rsid w:val="00040480"/>
    <w:rsid w:val="00040E6D"/>
    <w:rsid w:val="000419B6"/>
    <w:rsid w:val="00044C07"/>
    <w:rsid w:val="00045658"/>
    <w:rsid w:val="00045D2D"/>
    <w:rsid w:val="00050D97"/>
    <w:rsid w:val="00051011"/>
    <w:rsid w:val="00051D90"/>
    <w:rsid w:val="00052A23"/>
    <w:rsid w:val="00054773"/>
    <w:rsid w:val="00055B75"/>
    <w:rsid w:val="00060ED1"/>
    <w:rsid w:val="00067EC4"/>
    <w:rsid w:val="000761F1"/>
    <w:rsid w:val="00076561"/>
    <w:rsid w:val="000776C7"/>
    <w:rsid w:val="000776E6"/>
    <w:rsid w:val="00081085"/>
    <w:rsid w:val="00081928"/>
    <w:rsid w:val="00081BDB"/>
    <w:rsid w:val="00082F00"/>
    <w:rsid w:val="00084608"/>
    <w:rsid w:val="0008575D"/>
    <w:rsid w:val="00087BC0"/>
    <w:rsid w:val="000904E7"/>
    <w:rsid w:val="00095C25"/>
    <w:rsid w:val="00096046"/>
    <w:rsid w:val="00097759"/>
    <w:rsid w:val="000A2B93"/>
    <w:rsid w:val="000A324A"/>
    <w:rsid w:val="000A3DE7"/>
    <w:rsid w:val="000A615E"/>
    <w:rsid w:val="000B420B"/>
    <w:rsid w:val="000C194C"/>
    <w:rsid w:val="000C39BC"/>
    <w:rsid w:val="000C3C2E"/>
    <w:rsid w:val="000C544F"/>
    <w:rsid w:val="000D0CCF"/>
    <w:rsid w:val="000D13F9"/>
    <w:rsid w:val="000D1B78"/>
    <w:rsid w:val="000D33DF"/>
    <w:rsid w:val="000D51DD"/>
    <w:rsid w:val="000D6579"/>
    <w:rsid w:val="000E2251"/>
    <w:rsid w:val="000E2CDC"/>
    <w:rsid w:val="000E544A"/>
    <w:rsid w:val="000E54E8"/>
    <w:rsid w:val="001002C8"/>
    <w:rsid w:val="00103760"/>
    <w:rsid w:val="001047E1"/>
    <w:rsid w:val="001048DE"/>
    <w:rsid w:val="00106E1B"/>
    <w:rsid w:val="00111797"/>
    <w:rsid w:val="001127F8"/>
    <w:rsid w:val="00112C7C"/>
    <w:rsid w:val="00115A03"/>
    <w:rsid w:val="00120A8A"/>
    <w:rsid w:val="001219EB"/>
    <w:rsid w:val="00122149"/>
    <w:rsid w:val="00122E91"/>
    <w:rsid w:val="0012313B"/>
    <w:rsid w:val="001231E9"/>
    <w:rsid w:val="00124AE6"/>
    <w:rsid w:val="00124BAD"/>
    <w:rsid w:val="00124BF8"/>
    <w:rsid w:val="0013077C"/>
    <w:rsid w:val="00134FE1"/>
    <w:rsid w:val="0013635F"/>
    <w:rsid w:val="001368C1"/>
    <w:rsid w:val="00144C74"/>
    <w:rsid w:val="00145311"/>
    <w:rsid w:val="001458FE"/>
    <w:rsid w:val="00145D9B"/>
    <w:rsid w:val="00146E72"/>
    <w:rsid w:val="00152948"/>
    <w:rsid w:val="00152ECE"/>
    <w:rsid w:val="001542D1"/>
    <w:rsid w:val="0015668F"/>
    <w:rsid w:val="001567BF"/>
    <w:rsid w:val="0015738C"/>
    <w:rsid w:val="00161C32"/>
    <w:rsid w:val="00164C6C"/>
    <w:rsid w:val="0016615A"/>
    <w:rsid w:val="00170B38"/>
    <w:rsid w:val="00173D9B"/>
    <w:rsid w:val="00175690"/>
    <w:rsid w:val="001805B2"/>
    <w:rsid w:val="0018073D"/>
    <w:rsid w:val="00180B43"/>
    <w:rsid w:val="00187D3B"/>
    <w:rsid w:val="00187E86"/>
    <w:rsid w:val="00190F11"/>
    <w:rsid w:val="001923DA"/>
    <w:rsid w:val="00194CC9"/>
    <w:rsid w:val="00195B79"/>
    <w:rsid w:val="00195C66"/>
    <w:rsid w:val="001966FE"/>
    <w:rsid w:val="001969BB"/>
    <w:rsid w:val="001A2738"/>
    <w:rsid w:val="001A27AD"/>
    <w:rsid w:val="001A3046"/>
    <w:rsid w:val="001A45CC"/>
    <w:rsid w:val="001A66A3"/>
    <w:rsid w:val="001B0FA1"/>
    <w:rsid w:val="001B11D0"/>
    <w:rsid w:val="001B2803"/>
    <w:rsid w:val="001B2B09"/>
    <w:rsid w:val="001B32F3"/>
    <w:rsid w:val="001B597B"/>
    <w:rsid w:val="001B61D7"/>
    <w:rsid w:val="001C7177"/>
    <w:rsid w:val="001D3B62"/>
    <w:rsid w:val="001D7CC3"/>
    <w:rsid w:val="001E0672"/>
    <w:rsid w:val="001E0D6A"/>
    <w:rsid w:val="001E1629"/>
    <w:rsid w:val="001E33E4"/>
    <w:rsid w:val="001E3EC8"/>
    <w:rsid w:val="002002A8"/>
    <w:rsid w:val="002004BD"/>
    <w:rsid w:val="00200691"/>
    <w:rsid w:val="002036BA"/>
    <w:rsid w:val="00206B69"/>
    <w:rsid w:val="002133B6"/>
    <w:rsid w:val="00217F83"/>
    <w:rsid w:val="0022210B"/>
    <w:rsid w:val="00225345"/>
    <w:rsid w:val="002274B3"/>
    <w:rsid w:val="00230582"/>
    <w:rsid w:val="00231391"/>
    <w:rsid w:val="00231EBF"/>
    <w:rsid w:val="002348A0"/>
    <w:rsid w:val="00234C90"/>
    <w:rsid w:val="00234E26"/>
    <w:rsid w:val="00237739"/>
    <w:rsid w:val="00242AF9"/>
    <w:rsid w:val="00242F12"/>
    <w:rsid w:val="0025038E"/>
    <w:rsid w:val="00250889"/>
    <w:rsid w:val="00250B79"/>
    <w:rsid w:val="00252D4C"/>
    <w:rsid w:val="0025512D"/>
    <w:rsid w:val="00255829"/>
    <w:rsid w:val="00256176"/>
    <w:rsid w:val="00256707"/>
    <w:rsid w:val="00260FFB"/>
    <w:rsid w:val="0026309A"/>
    <w:rsid w:val="00267BE5"/>
    <w:rsid w:val="002713D8"/>
    <w:rsid w:val="00271CF4"/>
    <w:rsid w:val="002730BD"/>
    <w:rsid w:val="00273530"/>
    <w:rsid w:val="00276608"/>
    <w:rsid w:val="00277BB9"/>
    <w:rsid w:val="00282731"/>
    <w:rsid w:val="00286099"/>
    <w:rsid w:val="0028616C"/>
    <w:rsid w:val="002942DD"/>
    <w:rsid w:val="00297E5D"/>
    <w:rsid w:val="002A1A4F"/>
    <w:rsid w:val="002A20D2"/>
    <w:rsid w:val="002A29B1"/>
    <w:rsid w:val="002A3926"/>
    <w:rsid w:val="002A4AD9"/>
    <w:rsid w:val="002A5E50"/>
    <w:rsid w:val="002A77E9"/>
    <w:rsid w:val="002B5C9A"/>
    <w:rsid w:val="002B6B6E"/>
    <w:rsid w:val="002B6E62"/>
    <w:rsid w:val="002B7FC0"/>
    <w:rsid w:val="002C0BCE"/>
    <w:rsid w:val="002C2F90"/>
    <w:rsid w:val="002C3318"/>
    <w:rsid w:val="002C5E77"/>
    <w:rsid w:val="002D1636"/>
    <w:rsid w:val="002D174D"/>
    <w:rsid w:val="002D31D3"/>
    <w:rsid w:val="002D5037"/>
    <w:rsid w:val="002D7456"/>
    <w:rsid w:val="002D7A92"/>
    <w:rsid w:val="002E0F88"/>
    <w:rsid w:val="002E154B"/>
    <w:rsid w:val="002E438A"/>
    <w:rsid w:val="002E7D89"/>
    <w:rsid w:val="00302743"/>
    <w:rsid w:val="003069C1"/>
    <w:rsid w:val="00307114"/>
    <w:rsid w:val="003105AB"/>
    <w:rsid w:val="00314633"/>
    <w:rsid w:val="003150B1"/>
    <w:rsid w:val="003152B7"/>
    <w:rsid w:val="0032742E"/>
    <w:rsid w:val="003303FF"/>
    <w:rsid w:val="00334306"/>
    <w:rsid w:val="003366B4"/>
    <w:rsid w:val="003413D1"/>
    <w:rsid w:val="003441E4"/>
    <w:rsid w:val="003444EE"/>
    <w:rsid w:val="003446C8"/>
    <w:rsid w:val="00350E99"/>
    <w:rsid w:val="00352DDD"/>
    <w:rsid w:val="003561DF"/>
    <w:rsid w:val="00360869"/>
    <w:rsid w:val="003608BD"/>
    <w:rsid w:val="00362931"/>
    <w:rsid w:val="00363427"/>
    <w:rsid w:val="00364166"/>
    <w:rsid w:val="003669BA"/>
    <w:rsid w:val="00370444"/>
    <w:rsid w:val="00371154"/>
    <w:rsid w:val="00371426"/>
    <w:rsid w:val="00374C16"/>
    <w:rsid w:val="00380AD6"/>
    <w:rsid w:val="00381B00"/>
    <w:rsid w:val="00383262"/>
    <w:rsid w:val="0038519E"/>
    <w:rsid w:val="00393F33"/>
    <w:rsid w:val="003972D5"/>
    <w:rsid w:val="003A0E2E"/>
    <w:rsid w:val="003A3C0D"/>
    <w:rsid w:val="003A51CF"/>
    <w:rsid w:val="003B056B"/>
    <w:rsid w:val="003B199E"/>
    <w:rsid w:val="003B49EB"/>
    <w:rsid w:val="003C01BD"/>
    <w:rsid w:val="003C02E1"/>
    <w:rsid w:val="003C1ACD"/>
    <w:rsid w:val="003C4DFB"/>
    <w:rsid w:val="003C6B91"/>
    <w:rsid w:val="003C7544"/>
    <w:rsid w:val="003D03EF"/>
    <w:rsid w:val="003D0B33"/>
    <w:rsid w:val="003D2039"/>
    <w:rsid w:val="003D2BEF"/>
    <w:rsid w:val="003D3C7B"/>
    <w:rsid w:val="003D55D8"/>
    <w:rsid w:val="003D69A4"/>
    <w:rsid w:val="003E103B"/>
    <w:rsid w:val="003E1BF2"/>
    <w:rsid w:val="003E2213"/>
    <w:rsid w:val="003E2D8E"/>
    <w:rsid w:val="003E354C"/>
    <w:rsid w:val="003E3A7E"/>
    <w:rsid w:val="003E619F"/>
    <w:rsid w:val="003E6EB4"/>
    <w:rsid w:val="003E7078"/>
    <w:rsid w:val="003F229E"/>
    <w:rsid w:val="003F7C87"/>
    <w:rsid w:val="0040079B"/>
    <w:rsid w:val="00400D61"/>
    <w:rsid w:val="004031E8"/>
    <w:rsid w:val="0040562D"/>
    <w:rsid w:val="00406FD6"/>
    <w:rsid w:val="004073AE"/>
    <w:rsid w:val="004109EF"/>
    <w:rsid w:val="0041134B"/>
    <w:rsid w:val="00412D68"/>
    <w:rsid w:val="00413AB4"/>
    <w:rsid w:val="00416C16"/>
    <w:rsid w:val="00420520"/>
    <w:rsid w:val="0042585D"/>
    <w:rsid w:val="00430342"/>
    <w:rsid w:val="00432433"/>
    <w:rsid w:val="00433F12"/>
    <w:rsid w:val="0043407A"/>
    <w:rsid w:val="00441462"/>
    <w:rsid w:val="004467D9"/>
    <w:rsid w:val="004468EA"/>
    <w:rsid w:val="00450DDE"/>
    <w:rsid w:val="004529AE"/>
    <w:rsid w:val="004531CE"/>
    <w:rsid w:val="004564E6"/>
    <w:rsid w:val="004579A3"/>
    <w:rsid w:val="00460D79"/>
    <w:rsid w:val="0046391B"/>
    <w:rsid w:val="00467296"/>
    <w:rsid w:val="00470B24"/>
    <w:rsid w:val="004713BF"/>
    <w:rsid w:val="00481D5D"/>
    <w:rsid w:val="004840BE"/>
    <w:rsid w:val="0049191A"/>
    <w:rsid w:val="00492130"/>
    <w:rsid w:val="00492C4D"/>
    <w:rsid w:val="004941DA"/>
    <w:rsid w:val="00494D89"/>
    <w:rsid w:val="00495F09"/>
    <w:rsid w:val="00496C89"/>
    <w:rsid w:val="00497B0E"/>
    <w:rsid w:val="004A0CCB"/>
    <w:rsid w:val="004A1F42"/>
    <w:rsid w:val="004A60FB"/>
    <w:rsid w:val="004A7C75"/>
    <w:rsid w:val="004B02CD"/>
    <w:rsid w:val="004B1356"/>
    <w:rsid w:val="004B282C"/>
    <w:rsid w:val="004B34DA"/>
    <w:rsid w:val="004B41B1"/>
    <w:rsid w:val="004C3169"/>
    <w:rsid w:val="004C4A44"/>
    <w:rsid w:val="004D1458"/>
    <w:rsid w:val="004D1A25"/>
    <w:rsid w:val="004D1B92"/>
    <w:rsid w:val="004D40F9"/>
    <w:rsid w:val="004D5B99"/>
    <w:rsid w:val="004E04B7"/>
    <w:rsid w:val="004E267E"/>
    <w:rsid w:val="004F0948"/>
    <w:rsid w:val="004F13B8"/>
    <w:rsid w:val="004F150A"/>
    <w:rsid w:val="004F2813"/>
    <w:rsid w:val="004F5696"/>
    <w:rsid w:val="004F658B"/>
    <w:rsid w:val="004F7477"/>
    <w:rsid w:val="004F7C8C"/>
    <w:rsid w:val="00500C98"/>
    <w:rsid w:val="005019BC"/>
    <w:rsid w:val="00502E53"/>
    <w:rsid w:val="00507BDE"/>
    <w:rsid w:val="00507FB9"/>
    <w:rsid w:val="00514A0A"/>
    <w:rsid w:val="00526EBD"/>
    <w:rsid w:val="00531870"/>
    <w:rsid w:val="00533E88"/>
    <w:rsid w:val="00534D9E"/>
    <w:rsid w:val="00535819"/>
    <w:rsid w:val="005414CA"/>
    <w:rsid w:val="005420D4"/>
    <w:rsid w:val="005432EA"/>
    <w:rsid w:val="005506B5"/>
    <w:rsid w:val="00551FC0"/>
    <w:rsid w:val="00553121"/>
    <w:rsid w:val="0055327B"/>
    <w:rsid w:val="005537B7"/>
    <w:rsid w:val="005554FB"/>
    <w:rsid w:val="00562198"/>
    <w:rsid w:val="005727F3"/>
    <w:rsid w:val="005760CD"/>
    <w:rsid w:val="00577543"/>
    <w:rsid w:val="00582755"/>
    <w:rsid w:val="00583796"/>
    <w:rsid w:val="00583D38"/>
    <w:rsid w:val="00584A54"/>
    <w:rsid w:val="0059162C"/>
    <w:rsid w:val="005926E3"/>
    <w:rsid w:val="00593A38"/>
    <w:rsid w:val="005A161C"/>
    <w:rsid w:val="005A2E37"/>
    <w:rsid w:val="005A2E41"/>
    <w:rsid w:val="005A73C1"/>
    <w:rsid w:val="005B23F7"/>
    <w:rsid w:val="005B706A"/>
    <w:rsid w:val="005C3DCD"/>
    <w:rsid w:val="005C50C8"/>
    <w:rsid w:val="005C5FB3"/>
    <w:rsid w:val="005D0950"/>
    <w:rsid w:val="005D3F3B"/>
    <w:rsid w:val="005E085A"/>
    <w:rsid w:val="005E4369"/>
    <w:rsid w:val="005E5D3D"/>
    <w:rsid w:val="005F3219"/>
    <w:rsid w:val="005F382F"/>
    <w:rsid w:val="005F612C"/>
    <w:rsid w:val="0060054F"/>
    <w:rsid w:val="00600647"/>
    <w:rsid w:val="00601916"/>
    <w:rsid w:val="00604934"/>
    <w:rsid w:val="00605B8E"/>
    <w:rsid w:val="00606539"/>
    <w:rsid w:val="006105A5"/>
    <w:rsid w:val="00610B40"/>
    <w:rsid w:val="0061294C"/>
    <w:rsid w:val="0061367B"/>
    <w:rsid w:val="0061399A"/>
    <w:rsid w:val="00614B62"/>
    <w:rsid w:val="00617417"/>
    <w:rsid w:val="006177D1"/>
    <w:rsid w:val="00623573"/>
    <w:rsid w:val="00623F3D"/>
    <w:rsid w:val="00624FD4"/>
    <w:rsid w:val="00630C3F"/>
    <w:rsid w:val="00633347"/>
    <w:rsid w:val="00636FAD"/>
    <w:rsid w:val="00642247"/>
    <w:rsid w:val="006448B2"/>
    <w:rsid w:val="006479DA"/>
    <w:rsid w:val="006501A1"/>
    <w:rsid w:val="0065042C"/>
    <w:rsid w:val="00650679"/>
    <w:rsid w:val="00651632"/>
    <w:rsid w:val="006550F3"/>
    <w:rsid w:val="00657269"/>
    <w:rsid w:val="00660031"/>
    <w:rsid w:val="0066003F"/>
    <w:rsid w:val="00661CDD"/>
    <w:rsid w:val="00663297"/>
    <w:rsid w:val="00663FEB"/>
    <w:rsid w:val="006643C9"/>
    <w:rsid w:val="00664B8E"/>
    <w:rsid w:val="00665EB1"/>
    <w:rsid w:val="00670AD1"/>
    <w:rsid w:val="00670BD0"/>
    <w:rsid w:val="00672489"/>
    <w:rsid w:val="00673890"/>
    <w:rsid w:val="00674690"/>
    <w:rsid w:val="00684D4F"/>
    <w:rsid w:val="00685C8F"/>
    <w:rsid w:val="0068725B"/>
    <w:rsid w:val="0069193E"/>
    <w:rsid w:val="00691B11"/>
    <w:rsid w:val="006952F3"/>
    <w:rsid w:val="00697940"/>
    <w:rsid w:val="006A21C5"/>
    <w:rsid w:val="006A21C7"/>
    <w:rsid w:val="006A261B"/>
    <w:rsid w:val="006A4A93"/>
    <w:rsid w:val="006A4D12"/>
    <w:rsid w:val="006B11CE"/>
    <w:rsid w:val="006B3B41"/>
    <w:rsid w:val="006B6171"/>
    <w:rsid w:val="006B6A09"/>
    <w:rsid w:val="006B6C92"/>
    <w:rsid w:val="006B771F"/>
    <w:rsid w:val="006C2E41"/>
    <w:rsid w:val="006D214F"/>
    <w:rsid w:val="006D38B6"/>
    <w:rsid w:val="006D63C8"/>
    <w:rsid w:val="006D63EC"/>
    <w:rsid w:val="006E7CC3"/>
    <w:rsid w:val="006F0E14"/>
    <w:rsid w:val="006F1895"/>
    <w:rsid w:val="00703E6B"/>
    <w:rsid w:val="0071062F"/>
    <w:rsid w:val="0071290D"/>
    <w:rsid w:val="00713538"/>
    <w:rsid w:val="007138FA"/>
    <w:rsid w:val="00714795"/>
    <w:rsid w:val="00717770"/>
    <w:rsid w:val="00722484"/>
    <w:rsid w:val="00722D26"/>
    <w:rsid w:val="00724806"/>
    <w:rsid w:val="00726391"/>
    <w:rsid w:val="00726BC5"/>
    <w:rsid w:val="00732C29"/>
    <w:rsid w:val="007361ED"/>
    <w:rsid w:val="0074345C"/>
    <w:rsid w:val="00743A14"/>
    <w:rsid w:val="00743E91"/>
    <w:rsid w:val="00743FD1"/>
    <w:rsid w:val="00747C39"/>
    <w:rsid w:val="00753ACE"/>
    <w:rsid w:val="00754CA6"/>
    <w:rsid w:val="00762F11"/>
    <w:rsid w:val="007632A0"/>
    <w:rsid w:val="00764B25"/>
    <w:rsid w:val="00765BA5"/>
    <w:rsid w:val="00766249"/>
    <w:rsid w:val="007674B0"/>
    <w:rsid w:val="00770EFA"/>
    <w:rsid w:val="00771229"/>
    <w:rsid w:val="0077409D"/>
    <w:rsid w:val="00775175"/>
    <w:rsid w:val="00781D63"/>
    <w:rsid w:val="00782108"/>
    <w:rsid w:val="00782139"/>
    <w:rsid w:val="007831AE"/>
    <w:rsid w:val="00786EEB"/>
    <w:rsid w:val="00786F77"/>
    <w:rsid w:val="00793DB6"/>
    <w:rsid w:val="00795E10"/>
    <w:rsid w:val="007962D4"/>
    <w:rsid w:val="007A1A1A"/>
    <w:rsid w:val="007A36A2"/>
    <w:rsid w:val="007A4A51"/>
    <w:rsid w:val="007C1D9B"/>
    <w:rsid w:val="007C28E2"/>
    <w:rsid w:val="007D0F39"/>
    <w:rsid w:val="007D28AE"/>
    <w:rsid w:val="007D459B"/>
    <w:rsid w:val="007D491E"/>
    <w:rsid w:val="007D5754"/>
    <w:rsid w:val="007D7D95"/>
    <w:rsid w:val="007E2EE8"/>
    <w:rsid w:val="007E4F48"/>
    <w:rsid w:val="007E55A2"/>
    <w:rsid w:val="007E7137"/>
    <w:rsid w:val="007E7524"/>
    <w:rsid w:val="007E7B3E"/>
    <w:rsid w:val="007F112F"/>
    <w:rsid w:val="007F3BD3"/>
    <w:rsid w:val="007F5310"/>
    <w:rsid w:val="007F66E0"/>
    <w:rsid w:val="00800754"/>
    <w:rsid w:val="00801A7B"/>
    <w:rsid w:val="008035DD"/>
    <w:rsid w:val="00803CCB"/>
    <w:rsid w:val="00804358"/>
    <w:rsid w:val="00805D94"/>
    <w:rsid w:val="008075C6"/>
    <w:rsid w:val="00810372"/>
    <w:rsid w:val="008118DB"/>
    <w:rsid w:val="00813605"/>
    <w:rsid w:val="00814CC4"/>
    <w:rsid w:val="00822470"/>
    <w:rsid w:val="00822EDF"/>
    <w:rsid w:val="00825189"/>
    <w:rsid w:val="00827515"/>
    <w:rsid w:val="0083160F"/>
    <w:rsid w:val="00832154"/>
    <w:rsid w:val="008365D5"/>
    <w:rsid w:val="00843674"/>
    <w:rsid w:val="00843F83"/>
    <w:rsid w:val="00850EAC"/>
    <w:rsid w:val="00853A36"/>
    <w:rsid w:val="00855B65"/>
    <w:rsid w:val="00856E0B"/>
    <w:rsid w:val="00860C82"/>
    <w:rsid w:val="00861071"/>
    <w:rsid w:val="00861BF7"/>
    <w:rsid w:val="00863D6D"/>
    <w:rsid w:val="00865BF3"/>
    <w:rsid w:val="00866DDC"/>
    <w:rsid w:val="008740BC"/>
    <w:rsid w:val="00876AE7"/>
    <w:rsid w:val="0087791F"/>
    <w:rsid w:val="00877F74"/>
    <w:rsid w:val="0088053B"/>
    <w:rsid w:val="00880553"/>
    <w:rsid w:val="00881FF3"/>
    <w:rsid w:val="00885743"/>
    <w:rsid w:val="00886232"/>
    <w:rsid w:val="00886C2C"/>
    <w:rsid w:val="00892225"/>
    <w:rsid w:val="00893632"/>
    <w:rsid w:val="008A0B02"/>
    <w:rsid w:val="008A79A3"/>
    <w:rsid w:val="008B0B0D"/>
    <w:rsid w:val="008B14BA"/>
    <w:rsid w:val="008B1EAE"/>
    <w:rsid w:val="008B266D"/>
    <w:rsid w:val="008B4D4A"/>
    <w:rsid w:val="008B66C6"/>
    <w:rsid w:val="008C0349"/>
    <w:rsid w:val="008C0A9D"/>
    <w:rsid w:val="008C1752"/>
    <w:rsid w:val="008C2289"/>
    <w:rsid w:val="008C4E9C"/>
    <w:rsid w:val="008D035B"/>
    <w:rsid w:val="008D0785"/>
    <w:rsid w:val="008D19C9"/>
    <w:rsid w:val="008D24D7"/>
    <w:rsid w:val="008D2CB9"/>
    <w:rsid w:val="008D2F35"/>
    <w:rsid w:val="008D433A"/>
    <w:rsid w:val="008D7327"/>
    <w:rsid w:val="008D7882"/>
    <w:rsid w:val="008E2634"/>
    <w:rsid w:val="008E2737"/>
    <w:rsid w:val="008E2799"/>
    <w:rsid w:val="008E3F42"/>
    <w:rsid w:val="008E4FD0"/>
    <w:rsid w:val="008E6405"/>
    <w:rsid w:val="008E69AD"/>
    <w:rsid w:val="008F1231"/>
    <w:rsid w:val="008F1D88"/>
    <w:rsid w:val="008F42C8"/>
    <w:rsid w:val="00901AB2"/>
    <w:rsid w:val="00902E98"/>
    <w:rsid w:val="00905115"/>
    <w:rsid w:val="009053B7"/>
    <w:rsid w:val="009064A1"/>
    <w:rsid w:val="00906564"/>
    <w:rsid w:val="009079F9"/>
    <w:rsid w:val="009108D9"/>
    <w:rsid w:val="00911C5D"/>
    <w:rsid w:val="00912268"/>
    <w:rsid w:val="0091393D"/>
    <w:rsid w:val="009155B0"/>
    <w:rsid w:val="009155DB"/>
    <w:rsid w:val="0091560D"/>
    <w:rsid w:val="00920019"/>
    <w:rsid w:val="00921B06"/>
    <w:rsid w:val="00927136"/>
    <w:rsid w:val="00927BDA"/>
    <w:rsid w:val="009310E1"/>
    <w:rsid w:val="00931A7C"/>
    <w:rsid w:val="00933FDC"/>
    <w:rsid w:val="00934533"/>
    <w:rsid w:val="00937250"/>
    <w:rsid w:val="00943459"/>
    <w:rsid w:val="009444FF"/>
    <w:rsid w:val="00945303"/>
    <w:rsid w:val="009471B4"/>
    <w:rsid w:val="009513A3"/>
    <w:rsid w:val="00952F87"/>
    <w:rsid w:val="009544C8"/>
    <w:rsid w:val="00954CE1"/>
    <w:rsid w:val="00955356"/>
    <w:rsid w:val="00955E07"/>
    <w:rsid w:val="00956C29"/>
    <w:rsid w:val="009576CF"/>
    <w:rsid w:val="00960984"/>
    <w:rsid w:val="009721F2"/>
    <w:rsid w:val="009725EE"/>
    <w:rsid w:val="00973D6A"/>
    <w:rsid w:val="009761EC"/>
    <w:rsid w:val="00976F90"/>
    <w:rsid w:val="00980F2F"/>
    <w:rsid w:val="009825B6"/>
    <w:rsid w:val="00985F22"/>
    <w:rsid w:val="00990031"/>
    <w:rsid w:val="00990597"/>
    <w:rsid w:val="00990F4B"/>
    <w:rsid w:val="009940DB"/>
    <w:rsid w:val="0099500F"/>
    <w:rsid w:val="00996124"/>
    <w:rsid w:val="009971FB"/>
    <w:rsid w:val="009A033C"/>
    <w:rsid w:val="009A6DF9"/>
    <w:rsid w:val="009B61EF"/>
    <w:rsid w:val="009B7971"/>
    <w:rsid w:val="009C057D"/>
    <w:rsid w:val="009C1003"/>
    <w:rsid w:val="009C533A"/>
    <w:rsid w:val="009D0905"/>
    <w:rsid w:val="009D0F3C"/>
    <w:rsid w:val="009D77F6"/>
    <w:rsid w:val="009E0EC8"/>
    <w:rsid w:val="009E2391"/>
    <w:rsid w:val="009F3523"/>
    <w:rsid w:val="009F4304"/>
    <w:rsid w:val="009F437A"/>
    <w:rsid w:val="009F47BD"/>
    <w:rsid w:val="00A00EF2"/>
    <w:rsid w:val="00A02227"/>
    <w:rsid w:val="00A0300E"/>
    <w:rsid w:val="00A047AD"/>
    <w:rsid w:val="00A06B9B"/>
    <w:rsid w:val="00A07228"/>
    <w:rsid w:val="00A11649"/>
    <w:rsid w:val="00A1505E"/>
    <w:rsid w:val="00A22F83"/>
    <w:rsid w:val="00A32CA2"/>
    <w:rsid w:val="00A3506B"/>
    <w:rsid w:val="00A364F3"/>
    <w:rsid w:val="00A37408"/>
    <w:rsid w:val="00A3756F"/>
    <w:rsid w:val="00A43EDE"/>
    <w:rsid w:val="00A45D75"/>
    <w:rsid w:val="00A4607B"/>
    <w:rsid w:val="00A46234"/>
    <w:rsid w:val="00A46B3E"/>
    <w:rsid w:val="00A47280"/>
    <w:rsid w:val="00A472FC"/>
    <w:rsid w:val="00A4773B"/>
    <w:rsid w:val="00A5209B"/>
    <w:rsid w:val="00A53074"/>
    <w:rsid w:val="00A56D98"/>
    <w:rsid w:val="00A56DBF"/>
    <w:rsid w:val="00A57FC9"/>
    <w:rsid w:val="00A621B5"/>
    <w:rsid w:val="00A65AAD"/>
    <w:rsid w:val="00A71212"/>
    <w:rsid w:val="00A71D44"/>
    <w:rsid w:val="00A74CA7"/>
    <w:rsid w:val="00A756EA"/>
    <w:rsid w:val="00A75FBB"/>
    <w:rsid w:val="00A778C2"/>
    <w:rsid w:val="00A80481"/>
    <w:rsid w:val="00A82B3B"/>
    <w:rsid w:val="00A833E7"/>
    <w:rsid w:val="00A84CB1"/>
    <w:rsid w:val="00A906A6"/>
    <w:rsid w:val="00A912C4"/>
    <w:rsid w:val="00A9413B"/>
    <w:rsid w:val="00A94CBD"/>
    <w:rsid w:val="00A97074"/>
    <w:rsid w:val="00AA37B7"/>
    <w:rsid w:val="00AA4428"/>
    <w:rsid w:val="00AA5AF2"/>
    <w:rsid w:val="00AA5E5B"/>
    <w:rsid w:val="00AB1EAB"/>
    <w:rsid w:val="00AB340C"/>
    <w:rsid w:val="00AB4ECB"/>
    <w:rsid w:val="00AB77FD"/>
    <w:rsid w:val="00AC0907"/>
    <w:rsid w:val="00AC1F80"/>
    <w:rsid w:val="00AC2102"/>
    <w:rsid w:val="00AC3F36"/>
    <w:rsid w:val="00AC5949"/>
    <w:rsid w:val="00AC5C19"/>
    <w:rsid w:val="00AC672C"/>
    <w:rsid w:val="00AC6CB9"/>
    <w:rsid w:val="00AD0D8C"/>
    <w:rsid w:val="00AD1388"/>
    <w:rsid w:val="00AD1D63"/>
    <w:rsid w:val="00AD2C96"/>
    <w:rsid w:val="00AD3C17"/>
    <w:rsid w:val="00AD552F"/>
    <w:rsid w:val="00AD5DBC"/>
    <w:rsid w:val="00AE176F"/>
    <w:rsid w:val="00AF2B4E"/>
    <w:rsid w:val="00AF306B"/>
    <w:rsid w:val="00AF31DB"/>
    <w:rsid w:val="00AF41E0"/>
    <w:rsid w:val="00AF5924"/>
    <w:rsid w:val="00AF5E24"/>
    <w:rsid w:val="00AF738D"/>
    <w:rsid w:val="00B00BCC"/>
    <w:rsid w:val="00B01474"/>
    <w:rsid w:val="00B045DF"/>
    <w:rsid w:val="00B05DB8"/>
    <w:rsid w:val="00B06F11"/>
    <w:rsid w:val="00B07E77"/>
    <w:rsid w:val="00B103FD"/>
    <w:rsid w:val="00B115C4"/>
    <w:rsid w:val="00B1193F"/>
    <w:rsid w:val="00B1665A"/>
    <w:rsid w:val="00B17430"/>
    <w:rsid w:val="00B17892"/>
    <w:rsid w:val="00B2005A"/>
    <w:rsid w:val="00B20AE3"/>
    <w:rsid w:val="00B23A5C"/>
    <w:rsid w:val="00B24493"/>
    <w:rsid w:val="00B2602A"/>
    <w:rsid w:val="00B262BA"/>
    <w:rsid w:val="00B344E0"/>
    <w:rsid w:val="00B34625"/>
    <w:rsid w:val="00B34673"/>
    <w:rsid w:val="00B408CB"/>
    <w:rsid w:val="00B414BB"/>
    <w:rsid w:val="00B4155B"/>
    <w:rsid w:val="00B42D8D"/>
    <w:rsid w:val="00B45675"/>
    <w:rsid w:val="00B45723"/>
    <w:rsid w:val="00B473D4"/>
    <w:rsid w:val="00B47BFD"/>
    <w:rsid w:val="00B5076B"/>
    <w:rsid w:val="00B526E2"/>
    <w:rsid w:val="00B53244"/>
    <w:rsid w:val="00B54C04"/>
    <w:rsid w:val="00B551E1"/>
    <w:rsid w:val="00B57EAC"/>
    <w:rsid w:val="00B60850"/>
    <w:rsid w:val="00B60A3C"/>
    <w:rsid w:val="00B61185"/>
    <w:rsid w:val="00B623AB"/>
    <w:rsid w:val="00B64B4D"/>
    <w:rsid w:val="00B72CDA"/>
    <w:rsid w:val="00B73C3A"/>
    <w:rsid w:val="00B77670"/>
    <w:rsid w:val="00B77DD5"/>
    <w:rsid w:val="00B80FD9"/>
    <w:rsid w:val="00B84342"/>
    <w:rsid w:val="00B866AD"/>
    <w:rsid w:val="00B874BA"/>
    <w:rsid w:val="00B91D89"/>
    <w:rsid w:val="00B91DB4"/>
    <w:rsid w:val="00BA0E91"/>
    <w:rsid w:val="00BA244C"/>
    <w:rsid w:val="00BA285B"/>
    <w:rsid w:val="00BA4F3D"/>
    <w:rsid w:val="00BB0984"/>
    <w:rsid w:val="00BB17CB"/>
    <w:rsid w:val="00BB5426"/>
    <w:rsid w:val="00BB686F"/>
    <w:rsid w:val="00BB7280"/>
    <w:rsid w:val="00BC198C"/>
    <w:rsid w:val="00BC5CA4"/>
    <w:rsid w:val="00BC6C93"/>
    <w:rsid w:val="00BD3D74"/>
    <w:rsid w:val="00BD431F"/>
    <w:rsid w:val="00BD4473"/>
    <w:rsid w:val="00BD5DB1"/>
    <w:rsid w:val="00BD7071"/>
    <w:rsid w:val="00BE1BE2"/>
    <w:rsid w:val="00BE705B"/>
    <w:rsid w:val="00BE764D"/>
    <w:rsid w:val="00BF1A96"/>
    <w:rsid w:val="00BF1E3B"/>
    <w:rsid w:val="00BF2F4B"/>
    <w:rsid w:val="00BF3706"/>
    <w:rsid w:val="00BF43D0"/>
    <w:rsid w:val="00BF6772"/>
    <w:rsid w:val="00BF7B50"/>
    <w:rsid w:val="00C02681"/>
    <w:rsid w:val="00C0363B"/>
    <w:rsid w:val="00C06DA1"/>
    <w:rsid w:val="00C113B9"/>
    <w:rsid w:val="00C1509D"/>
    <w:rsid w:val="00C253D4"/>
    <w:rsid w:val="00C25B55"/>
    <w:rsid w:val="00C3173A"/>
    <w:rsid w:val="00C33C63"/>
    <w:rsid w:val="00C3636E"/>
    <w:rsid w:val="00C41260"/>
    <w:rsid w:val="00C41A10"/>
    <w:rsid w:val="00C41ED7"/>
    <w:rsid w:val="00C4222C"/>
    <w:rsid w:val="00C43976"/>
    <w:rsid w:val="00C4550E"/>
    <w:rsid w:val="00C47466"/>
    <w:rsid w:val="00C506A0"/>
    <w:rsid w:val="00C50DC4"/>
    <w:rsid w:val="00C52E50"/>
    <w:rsid w:val="00C5432F"/>
    <w:rsid w:val="00C56CB1"/>
    <w:rsid w:val="00C6081F"/>
    <w:rsid w:val="00C65999"/>
    <w:rsid w:val="00C7112E"/>
    <w:rsid w:val="00C83008"/>
    <w:rsid w:val="00C8332D"/>
    <w:rsid w:val="00C8450F"/>
    <w:rsid w:val="00C84573"/>
    <w:rsid w:val="00C915F1"/>
    <w:rsid w:val="00C9361D"/>
    <w:rsid w:val="00C95FB3"/>
    <w:rsid w:val="00C9763D"/>
    <w:rsid w:val="00CA57F3"/>
    <w:rsid w:val="00CB2473"/>
    <w:rsid w:val="00CB7399"/>
    <w:rsid w:val="00CB7DB1"/>
    <w:rsid w:val="00CC241B"/>
    <w:rsid w:val="00CC3F73"/>
    <w:rsid w:val="00CC411E"/>
    <w:rsid w:val="00CC4E47"/>
    <w:rsid w:val="00CC565F"/>
    <w:rsid w:val="00CC5D4C"/>
    <w:rsid w:val="00CC64DA"/>
    <w:rsid w:val="00CC7FD9"/>
    <w:rsid w:val="00CD02F4"/>
    <w:rsid w:val="00CD082D"/>
    <w:rsid w:val="00CD2568"/>
    <w:rsid w:val="00CD7E8E"/>
    <w:rsid w:val="00CE6171"/>
    <w:rsid w:val="00CE6A7D"/>
    <w:rsid w:val="00CE6FE6"/>
    <w:rsid w:val="00CF19B2"/>
    <w:rsid w:val="00CF20B3"/>
    <w:rsid w:val="00CF3B63"/>
    <w:rsid w:val="00CF4389"/>
    <w:rsid w:val="00D00BE8"/>
    <w:rsid w:val="00D025FA"/>
    <w:rsid w:val="00D03B5B"/>
    <w:rsid w:val="00D07394"/>
    <w:rsid w:val="00D10310"/>
    <w:rsid w:val="00D131C2"/>
    <w:rsid w:val="00D16271"/>
    <w:rsid w:val="00D1670A"/>
    <w:rsid w:val="00D168E1"/>
    <w:rsid w:val="00D20BF4"/>
    <w:rsid w:val="00D22139"/>
    <w:rsid w:val="00D22901"/>
    <w:rsid w:val="00D22DD4"/>
    <w:rsid w:val="00D2314F"/>
    <w:rsid w:val="00D234C3"/>
    <w:rsid w:val="00D2579B"/>
    <w:rsid w:val="00D2756F"/>
    <w:rsid w:val="00D328B1"/>
    <w:rsid w:val="00D33D1B"/>
    <w:rsid w:val="00D3635B"/>
    <w:rsid w:val="00D36E30"/>
    <w:rsid w:val="00D36F2A"/>
    <w:rsid w:val="00D374C1"/>
    <w:rsid w:val="00D4033E"/>
    <w:rsid w:val="00D426AC"/>
    <w:rsid w:val="00D4341B"/>
    <w:rsid w:val="00D45D66"/>
    <w:rsid w:val="00D60241"/>
    <w:rsid w:val="00D649AB"/>
    <w:rsid w:val="00D64E8B"/>
    <w:rsid w:val="00D668B7"/>
    <w:rsid w:val="00D73C16"/>
    <w:rsid w:val="00D7451A"/>
    <w:rsid w:val="00D757B1"/>
    <w:rsid w:val="00D779D1"/>
    <w:rsid w:val="00D81FE8"/>
    <w:rsid w:val="00D830D1"/>
    <w:rsid w:val="00D866F2"/>
    <w:rsid w:val="00D925D5"/>
    <w:rsid w:val="00D92868"/>
    <w:rsid w:val="00D95105"/>
    <w:rsid w:val="00D951D6"/>
    <w:rsid w:val="00DA0054"/>
    <w:rsid w:val="00DA0E63"/>
    <w:rsid w:val="00DB06E1"/>
    <w:rsid w:val="00DB104B"/>
    <w:rsid w:val="00DB3ABC"/>
    <w:rsid w:val="00DC15E4"/>
    <w:rsid w:val="00DC18A9"/>
    <w:rsid w:val="00DC2FCC"/>
    <w:rsid w:val="00DC4092"/>
    <w:rsid w:val="00DC6CAA"/>
    <w:rsid w:val="00DD0E72"/>
    <w:rsid w:val="00DD15CB"/>
    <w:rsid w:val="00DD1889"/>
    <w:rsid w:val="00DE07A4"/>
    <w:rsid w:val="00DE0EEE"/>
    <w:rsid w:val="00DE3FE4"/>
    <w:rsid w:val="00DE56CE"/>
    <w:rsid w:val="00DE7195"/>
    <w:rsid w:val="00DF2B3D"/>
    <w:rsid w:val="00DF2B80"/>
    <w:rsid w:val="00DF54BD"/>
    <w:rsid w:val="00DF5A76"/>
    <w:rsid w:val="00DF63D8"/>
    <w:rsid w:val="00DF7620"/>
    <w:rsid w:val="00DF76B3"/>
    <w:rsid w:val="00E0282C"/>
    <w:rsid w:val="00E028FF"/>
    <w:rsid w:val="00E033D8"/>
    <w:rsid w:val="00E048AD"/>
    <w:rsid w:val="00E128DF"/>
    <w:rsid w:val="00E14793"/>
    <w:rsid w:val="00E167E3"/>
    <w:rsid w:val="00E16DAF"/>
    <w:rsid w:val="00E20B3E"/>
    <w:rsid w:val="00E2120A"/>
    <w:rsid w:val="00E238F4"/>
    <w:rsid w:val="00E270A9"/>
    <w:rsid w:val="00E27A6E"/>
    <w:rsid w:val="00E34B71"/>
    <w:rsid w:val="00E37236"/>
    <w:rsid w:val="00E37960"/>
    <w:rsid w:val="00E41969"/>
    <w:rsid w:val="00E430DB"/>
    <w:rsid w:val="00E47400"/>
    <w:rsid w:val="00E52569"/>
    <w:rsid w:val="00E5305C"/>
    <w:rsid w:val="00E5393B"/>
    <w:rsid w:val="00E55A9C"/>
    <w:rsid w:val="00E60011"/>
    <w:rsid w:val="00E6049C"/>
    <w:rsid w:val="00E6196B"/>
    <w:rsid w:val="00E62C31"/>
    <w:rsid w:val="00E6583C"/>
    <w:rsid w:val="00E666A7"/>
    <w:rsid w:val="00E70A5E"/>
    <w:rsid w:val="00E71312"/>
    <w:rsid w:val="00E75AD3"/>
    <w:rsid w:val="00E8167C"/>
    <w:rsid w:val="00E85097"/>
    <w:rsid w:val="00E85101"/>
    <w:rsid w:val="00E90636"/>
    <w:rsid w:val="00E931FE"/>
    <w:rsid w:val="00E93E2B"/>
    <w:rsid w:val="00EA0AA4"/>
    <w:rsid w:val="00EA1D6F"/>
    <w:rsid w:val="00EA33B4"/>
    <w:rsid w:val="00EA3960"/>
    <w:rsid w:val="00EA6C41"/>
    <w:rsid w:val="00EB2AC6"/>
    <w:rsid w:val="00EC086F"/>
    <w:rsid w:val="00EC1B68"/>
    <w:rsid w:val="00EC4489"/>
    <w:rsid w:val="00EC4B65"/>
    <w:rsid w:val="00ED1F57"/>
    <w:rsid w:val="00ED2AF8"/>
    <w:rsid w:val="00ED3F6C"/>
    <w:rsid w:val="00ED5024"/>
    <w:rsid w:val="00ED538E"/>
    <w:rsid w:val="00ED5E82"/>
    <w:rsid w:val="00ED6B50"/>
    <w:rsid w:val="00ED77B8"/>
    <w:rsid w:val="00EE3D42"/>
    <w:rsid w:val="00EE3D48"/>
    <w:rsid w:val="00EE76F0"/>
    <w:rsid w:val="00EE7FA1"/>
    <w:rsid w:val="00EF06F5"/>
    <w:rsid w:val="00EF39FD"/>
    <w:rsid w:val="00EF3EC6"/>
    <w:rsid w:val="00EF4F32"/>
    <w:rsid w:val="00EF5160"/>
    <w:rsid w:val="00F0221A"/>
    <w:rsid w:val="00F022B5"/>
    <w:rsid w:val="00F03116"/>
    <w:rsid w:val="00F03511"/>
    <w:rsid w:val="00F03B9C"/>
    <w:rsid w:val="00F040B3"/>
    <w:rsid w:val="00F10D6B"/>
    <w:rsid w:val="00F11CDA"/>
    <w:rsid w:val="00F16B50"/>
    <w:rsid w:val="00F17105"/>
    <w:rsid w:val="00F20C49"/>
    <w:rsid w:val="00F264C3"/>
    <w:rsid w:val="00F27669"/>
    <w:rsid w:val="00F35E57"/>
    <w:rsid w:val="00F41DA8"/>
    <w:rsid w:val="00F421C1"/>
    <w:rsid w:val="00F534AA"/>
    <w:rsid w:val="00F56354"/>
    <w:rsid w:val="00F6238C"/>
    <w:rsid w:val="00F67C3A"/>
    <w:rsid w:val="00F70229"/>
    <w:rsid w:val="00F721A7"/>
    <w:rsid w:val="00F75DD3"/>
    <w:rsid w:val="00F76623"/>
    <w:rsid w:val="00F82636"/>
    <w:rsid w:val="00F847B4"/>
    <w:rsid w:val="00F861E9"/>
    <w:rsid w:val="00F92006"/>
    <w:rsid w:val="00F936BC"/>
    <w:rsid w:val="00F93B37"/>
    <w:rsid w:val="00F93E83"/>
    <w:rsid w:val="00F94C86"/>
    <w:rsid w:val="00FA03CE"/>
    <w:rsid w:val="00FA1373"/>
    <w:rsid w:val="00FA265E"/>
    <w:rsid w:val="00FA3360"/>
    <w:rsid w:val="00FA4F02"/>
    <w:rsid w:val="00FB083E"/>
    <w:rsid w:val="00FB1732"/>
    <w:rsid w:val="00FB27A1"/>
    <w:rsid w:val="00FB2951"/>
    <w:rsid w:val="00FB2A32"/>
    <w:rsid w:val="00FC10AF"/>
    <w:rsid w:val="00FC21D3"/>
    <w:rsid w:val="00FC33D2"/>
    <w:rsid w:val="00FC7E48"/>
    <w:rsid w:val="00FD347C"/>
    <w:rsid w:val="00FD5F8F"/>
    <w:rsid w:val="00FE0BE3"/>
    <w:rsid w:val="00FE0CDC"/>
    <w:rsid w:val="00FE31F5"/>
    <w:rsid w:val="00FE60AB"/>
    <w:rsid w:val="00FE6875"/>
    <w:rsid w:val="00FF20BA"/>
    <w:rsid w:val="00FF3B41"/>
    <w:rsid w:val="00FF3EF0"/>
    <w:rsid w:val="00FF5086"/>
    <w:rsid w:val="00FF5A59"/>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annotation text" w:uiPriority="99"/>
    <w:lsdException w:name="annotation reference" w:uiPriority="99"/>
    <w:lsdException w:name="List Number 2" w:semiHidden="0" w:unhideWhenUsed="0"/>
    <w:lsdException w:name="Title"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B6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6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50EAC"/>
    <w:pPr>
      <w:spacing w:beforeLines="1" w:afterLines="1"/>
    </w:pPr>
    <w:rPr>
      <w:rFonts w:ascii="Times" w:hAnsi="Times" w:cs="Times New Roman"/>
      <w:sz w:val="20"/>
      <w:szCs w:val="20"/>
      <w:lang w:val="en-GB"/>
    </w:rPr>
  </w:style>
  <w:style w:type="paragraph" w:styleId="BalloonText">
    <w:name w:val="Balloon Text"/>
    <w:basedOn w:val="Normal"/>
    <w:link w:val="BalloonTextChar"/>
    <w:rsid w:val="00F03116"/>
    <w:rPr>
      <w:rFonts w:ascii="Tahoma" w:hAnsi="Tahoma" w:cs="Tahoma"/>
      <w:sz w:val="16"/>
      <w:szCs w:val="16"/>
    </w:rPr>
  </w:style>
  <w:style w:type="character" w:customStyle="1" w:styleId="BalloonTextChar">
    <w:name w:val="Balloon Text Char"/>
    <w:basedOn w:val="DefaultParagraphFont"/>
    <w:link w:val="BalloonText"/>
    <w:rsid w:val="00F03116"/>
    <w:rPr>
      <w:rFonts w:ascii="Tahoma" w:hAnsi="Tahoma" w:cs="Tahoma"/>
      <w:sz w:val="16"/>
      <w:szCs w:val="16"/>
    </w:rPr>
  </w:style>
  <w:style w:type="character" w:styleId="CommentReference">
    <w:name w:val="annotation reference"/>
    <w:basedOn w:val="DefaultParagraphFont"/>
    <w:uiPriority w:val="99"/>
    <w:rsid w:val="00F03116"/>
    <w:rPr>
      <w:sz w:val="16"/>
      <w:szCs w:val="16"/>
    </w:rPr>
  </w:style>
  <w:style w:type="paragraph" w:styleId="CommentText">
    <w:name w:val="annotation text"/>
    <w:basedOn w:val="Normal"/>
    <w:link w:val="CommentTextChar"/>
    <w:uiPriority w:val="99"/>
    <w:rsid w:val="00F03116"/>
    <w:rPr>
      <w:sz w:val="20"/>
      <w:szCs w:val="20"/>
    </w:rPr>
  </w:style>
  <w:style w:type="character" w:customStyle="1" w:styleId="CommentTextChar">
    <w:name w:val="Comment Text Char"/>
    <w:basedOn w:val="DefaultParagraphFont"/>
    <w:link w:val="CommentText"/>
    <w:uiPriority w:val="99"/>
    <w:rsid w:val="00F03116"/>
    <w:rPr>
      <w:sz w:val="20"/>
      <w:szCs w:val="20"/>
    </w:rPr>
  </w:style>
  <w:style w:type="paragraph" w:styleId="CommentSubject">
    <w:name w:val="annotation subject"/>
    <w:basedOn w:val="CommentText"/>
    <w:next w:val="CommentText"/>
    <w:link w:val="CommentSubjectChar"/>
    <w:rsid w:val="00F03116"/>
    <w:rPr>
      <w:b/>
      <w:bCs/>
    </w:rPr>
  </w:style>
  <w:style w:type="character" w:customStyle="1" w:styleId="CommentSubjectChar">
    <w:name w:val="Comment Subject Char"/>
    <w:basedOn w:val="CommentTextChar"/>
    <w:link w:val="CommentSubject"/>
    <w:rsid w:val="00F03116"/>
    <w:rPr>
      <w:b/>
      <w:bCs/>
      <w:sz w:val="20"/>
      <w:szCs w:val="20"/>
    </w:rPr>
  </w:style>
  <w:style w:type="paragraph" w:styleId="Revision">
    <w:name w:val="Revision"/>
    <w:hidden/>
    <w:rsid w:val="00863D6D"/>
  </w:style>
  <w:style w:type="character" w:customStyle="1" w:styleId="highlight">
    <w:name w:val="highlight"/>
    <w:basedOn w:val="DefaultParagraphFont"/>
    <w:rsid w:val="008035DD"/>
  </w:style>
  <w:style w:type="character" w:customStyle="1" w:styleId="publication-editor-affiliation">
    <w:name w:val="publication-editor-affiliation"/>
    <w:basedOn w:val="DefaultParagraphFont"/>
    <w:rsid w:val="00020338"/>
  </w:style>
  <w:style w:type="paragraph" w:styleId="Header">
    <w:name w:val="header"/>
    <w:basedOn w:val="Normal"/>
    <w:link w:val="HeaderChar"/>
    <w:rsid w:val="002C2F90"/>
    <w:pPr>
      <w:tabs>
        <w:tab w:val="center" w:pos="4320"/>
        <w:tab w:val="right" w:pos="8640"/>
      </w:tabs>
    </w:pPr>
  </w:style>
  <w:style w:type="character" w:customStyle="1" w:styleId="HeaderChar">
    <w:name w:val="Header Char"/>
    <w:basedOn w:val="DefaultParagraphFont"/>
    <w:link w:val="Header"/>
    <w:rsid w:val="002C2F90"/>
  </w:style>
  <w:style w:type="paragraph" w:styleId="Footer">
    <w:name w:val="footer"/>
    <w:basedOn w:val="Normal"/>
    <w:link w:val="FooterChar"/>
    <w:rsid w:val="002C2F90"/>
    <w:pPr>
      <w:tabs>
        <w:tab w:val="center" w:pos="4320"/>
        <w:tab w:val="right" w:pos="8640"/>
      </w:tabs>
    </w:pPr>
  </w:style>
  <w:style w:type="character" w:customStyle="1" w:styleId="FooterChar">
    <w:name w:val="Footer Char"/>
    <w:basedOn w:val="DefaultParagraphFont"/>
    <w:link w:val="Footer"/>
    <w:rsid w:val="002C2F90"/>
  </w:style>
  <w:style w:type="character" w:styleId="Emphasis">
    <w:name w:val="Emphasis"/>
    <w:basedOn w:val="DefaultParagraphFont"/>
    <w:uiPriority w:val="20"/>
    <w:rsid w:val="00A57FC9"/>
    <w:rPr>
      <w:i/>
    </w:rPr>
  </w:style>
  <w:style w:type="paragraph" w:styleId="NoSpacing">
    <w:name w:val="No Spacing"/>
    <w:uiPriority w:val="1"/>
    <w:qFormat/>
    <w:rsid w:val="006A21C5"/>
    <w:rPr>
      <w:sz w:val="22"/>
      <w:szCs w:val="22"/>
      <w:lang w:val="en-GB"/>
    </w:rPr>
  </w:style>
  <w:style w:type="character" w:customStyle="1" w:styleId="apple-converted-space">
    <w:name w:val="apple-converted-space"/>
    <w:basedOn w:val="DefaultParagraphFont"/>
    <w:rsid w:val="006A21C5"/>
  </w:style>
  <w:style w:type="character" w:customStyle="1" w:styleId="jrnl">
    <w:name w:val="jrnl"/>
    <w:basedOn w:val="DefaultParagraphFont"/>
    <w:rsid w:val="00106E1B"/>
  </w:style>
  <w:style w:type="character" w:styleId="Hyperlink">
    <w:name w:val="Hyperlink"/>
    <w:basedOn w:val="DefaultParagraphFont"/>
    <w:uiPriority w:val="99"/>
    <w:rsid w:val="00EF06F5"/>
    <w:rPr>
      <w:color w:val="0000FF" w:themeColor="hyperlink"/>
      <w:u w:val="single"/>
    </w:rPr>
  </w:style>
  <w:style w:type="character" w:styleId="LineNumber">
    <w:name w:val="line number"/>
    <w:basedOn w:val="DefaultParagraphFont"/>
    <w:semiHidden/>
    <w:unhideWhenUsed/>
    <w:rsid w:val="00876AE7"/>
  </w:style>
  <w:style w:type="character" w:styleId="PageNumber">
    <w:name w:val="page number"/>
    <w:basedOn w:val="DefaultParagraphFont"/>
    <w:semiHidden/>
    <w:unhideWhenUsed/>
    <w:rsid w:val="00B47BFD"/>
  </w:style>
  <w:style w:type="paragraph" w:customStyle="1" w:styleId="xmsonormal">
    <w:name w:val="x_msonormal"/>
    <w:basedOn w:val="Normal"/>
    <w:rsid w:val="00822EDF"/>
    <w:pPr>
      <w:spacing w:beforeLines="1" w:afterLines="1"/>
    </w:pPr>
    <w:rPr>
      <w:rFonts w:ascii="Times" w:hAnsi="Times"/>
      <w:sz w:val="20"/>
      <w:szCs w:val="20"/>
      <w:lang w:val="en-GB"/>
    </w:rPr>
  </w:style>
  <w:style w:type="character" w:styleId="FollowedHyperlink">
    <w:name w:val="FollowedHyperlink"/>
    <w:basedOn w:val="DefaultParagraphFont"/>
    <w:semiHidden/>
    <w:unhideWhenUsed/>
    <w:rsid w:val="00765BA5"/>
    <w:rPr>
      <w:color w:val="800080" w:themeColor="followedHyperlink"/>
      <w:u w:val="single"/>
    </w:rPr>
  </w:style>
  <w:style w:type="paragraph" w:customStyle="1" w:styleId="NoteLevel11">
    <w:name w:val="Note Level 11"/>
    <w:basedOn w:val="Normal"/>
    <w:rsid w:val="003069C1"/>
    <w:pPr>
      <w:keepNext/>
      <w:numPr>
        <w:numId w:val="1"/>
      </w:numPr>
      <w:contextualSpacing/>
      <w:outlineLvl w:val="0"/>
    </w:pPr>
    <w:rPr>
      <w:rFonts w:ascii="Verdana" w:eastAsia="MS Gothic" w:hAnsi="Verdana"/>
    </w:rPr>
  </w:style>
  <w:style w:type="paragraph" w:customStyle="1" w:styleId="NoteLevel21">
    <w:name w:val="Note Level 21"/>
    <w:basedOn w:val="Normal"/>
    <w:rsid w:val="003069C1"/>
    <w:pPr>
      <w:keepNext/>
      <w:numPr>
        <w:ilvl w:val="1"/>
        <w:numId w:val="1"/>
      </w:numPr>
      <w:contextualSpacing/>
      <w:outlineLvl w:val="1"/>
    </w:pPr>
    <w:rPr>
      <w:rFonts w:ascii="Verdana" w:eastAsia="MS Gothic" w:hAnsi="Verdana"/>
    </w:rPr>
  </w:style>
  <w:style w:type="paragraph" w:customStyle="1" w:styleId="NoteLevel31">
    <w:name w:val="Note Level 31"/>
    <w:basedOn w:val="Normal"/>
    <w:rsid w:val="003069C1"/>
    <w:pPr>
      <w:keepNext/>
      <w:numPr>
        <w:ilvl w:val="2"/>
        <w:numId w:val="1"/>
      </w:numPr>
      <w:contextualSpacing/>
      <w:outlineLvl w:val="2"/>
    </w:pPr>
    <w:rPr>
      <w:rFonts w:ascii="Verdana" w:eastAsia="MS Gothic" w:hAnsi="Verdana"/>
    </w:rPr>
  </w:style>
  <w:style w:type="paragraph" w:customStyle="1" w:styleId="NoteLevel41">
    <w:name w:val="Note Level 41"/>
    <w:basedOn w:val="Normal"/>
    <w:rsid w:val="003069C1"/>
    <w:pPr>
      <w:keepNext/>
      <w:numPr>
        <w:ilvl w:val="3"/>
        <w:numId w:val="1"/>
      </w:numPr>
      <w:contextualSpacing/>
      <w:outlineLvl w:val="3"/>
    </w:pPr>
    <w:rPr>
      <w:rFonts w:ascii="Verdana" w:eastAsia="MS Gothic" w:hAnsi="Verdana"/>
    </w:rPr>
  </w:style>
  <w:style w:type="paragraph" w:customStyle="1" w:styleId="NoteLevel51">
    <w:name w:val="Note Level 51"/>
    <w:basedOn w:val="Normal"/>
    <w:rsid w:val="003069C1"/>
    <w:pPr>
      <w:keepNext/>
      <w:numPr>
        <w:ilvl w:val="4"/>
        <w:numId w:val="1"/>
      </w:numPr>
      <w:contextualSpacing/>
      <w:outlineLvl w:val="4"/>
    </w:pPr>
    <w:rPr>
      <w:rFonts w:ascii="Verdana" w:eastAsia="MS Gothic" w:hAnsi="Verdana"/>
    </w:rPr>
  </w:style>
  <w:style w:type="paragraph" w:customStyle="1" w:styleId="NoteLevel61">
    <w:name w:val="Note Level 61"/>
    <w:basedOn w:val="Normal"/>
    <w:rsid w:val="003069C1"/>
    <w:pPr>
      <w:keepNext/>
      <w:numPr>
        <w:ilvl w:val="5"/>
        <w:numId w:val="1"/>
      </w:numPr>
      <w:contextualSpacing/>
      <w:outlineLvl w:val="5"/>
    </w:pPr>
    <w:rPr>
      <w:rFonts w:ascii="Verdana" w:eastAsia="MS Gothic" w:hAnsi="Verdana"/>
    </w:rPr>
  </w:style>
  <w:style w:type="paragraph" w:customStyle="1" w:styleId="NoteLevel71">
    <w:name w:val="Note Level 71"/>
    <w:basedOn w:val="Normal"/>
    <w:rsid w:val="003069C1"/>
    <w:pPr>
      <w:keepNext/>
      <w:numPr>
        <w:ilvl w:val="6"/>
        <w:numId w:val="1"/>
      </w:numPr>
      <w:contextualSpacing/>
      <w:outlineLvl w:val="6"/>
    </w:pPr>
    <w:rPr>
      <w:rFonts w:ascii="Verdana" w:eastAsia="MS Gothic" w:hAnsi="Verdana"/>
    </w:rPr>
  </w:style>
  <w:style w:type="paragraph" w:customStyle="1" w:styleId="NoteLevel81">
    <w:name w:val="Note Level 81"/>
    <w:basedOn w:val="Normal"/>
    <w:rsid w:val="003069C1"/>
    <w:pPr>
      <w:keepNext/>
      <w:numPr>
        <w:ilvl w:val="7"/>
        <w:numId w:val="1"/>
      </w:numPr>
      <w:contextualSpacing/>
      <w:outlineLvl w:val="7"/>
    </w:pPr>
    <w:rPr>
      <w:rFonts w:ascii="Verdana" w:eastAsia="MS Gothic" w:hAnsi="Verdana"/>
    </w:rPr>
  </w:style>
  <w:style w:type="paragraph" w:customStyle="1" w:styleId="NoteLevel91">
    <w:name w:val="Note Level 91"/>
    <w:basedOn w:val="Normal"/>
    <w:rsid w:val="003069C1"/>
    <w:pPr>
      <w:keepNext/>
      <w:numPr>
        <w:ilvl w:val="8"/>
        <w:numId w:val="1"/>
      </w:numPr>
      <w:contextualSpacing/>
      <w:outlineLvl w:val="8"/>
    </w:pPr>
    <w:rPr>
      <w:rFonts w:ascii="Verdana" w:eastAsia="MS Gothic" w:hAnsi="Verdana"/>
    </w:rPr>
  </w:style>
  <w:style w:type="paragraph" w:styleId="ListParagraph">
    <w:name w:val="List Paragraph"/>
    <w:basedOn w:val="Normal"/>
    <w:rsid w:val="00AB77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annotation text" w:uiPriority="99"/>
    <w:lsdException w:name="annotation reference" w:uiPriority="99"/>
    <w:lsdException w:name="List Number 2" w:semiHidden="0" w:unhideWhenUsed="0"/>
    <w:lsdException w:name="Title"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2B6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6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50EAC"/>
    <w:pPr>
      <w:spacing w:beforeLines="1" w:afterLines="1"/>
    </w:pPr>
    <w:rPr>
      <w:rFonts w:ascii="Times" w:hAnsi="Times" w:cs="Times New Roman"/>
      <w:sz w:val="20"/>
      <w:szCs w:val="20"/>
      <w:lang w:val="en-GB"/>
    </w:rPr>
  </w:style>
  <w:style w:type="paragraph" w:styleId="BalloonText">
    <w:name w:val="Balloon Text"/>
    <w:basedOn w:val="Normal"/>
    <w:link w:val="BalloonTextChar"/>
    <w:rsid w:val="00F03116"/>
    <w:rPr>
      <w:rFonts w:ascii="Tahoma" w:hAnsi="Tahoma" w:cs="Tahoma"/>
      <w:sz w:val="16"/>
      <w:szCs w:val="16"/>
    </w:rPr>
  </w:style>
  <w:style w:type="character" w:customStyle="1" w:styleId="BalloonTextChar">
    <w:name w:val="Balloon Text Char"/>
    <w:basedOn w:val="DefaultParagraphFont"/>
    <w:link w:val="BalloonText"/>
    <w:rsid w:val="00F03116"/>
    <w:rPr>
      <w:rFonts w:ascii="Tahoma" w:hAnsi="Tahoma" w:cs="Tahoma"/>
      <w:sz w:val="16"/>
      <w:szCs w:val="16"/>
    </w:rPr>
  </w:style>
  <w:style w:type="character" w:styleId="CommentReference">
    <w:name w:val="annotation reference"/>
    <w:basedOn w:val="DefaultParagraphFont"/>
    <w:uiPriority w:val="99"/>
    <w:rsid w:val="00F03116"/>
    <w:rPr>
      <w:sz w:val="16"/>
      <w:szCs w:val="16"/>
    </w:rPr>
  </w:style>
  <w:style w:type="paragraph" w:styleId="CommentText">
    <w:name w:val="annotation text"/>
    <w:basedOn w:val="Normal"/>
    <w:link w:val="CommentTextChar"/>
    <w:uiPriority w:val="99"/>
    <w:rsid w:val="00F03116"/>
    <w:rPr>
      <w:sz w:val="20"/>
      <w:szCs w:val="20"/>
    </w:rPr>
  </w:style>
  <w:style w:type="character" w:customStyle="1" w:styleId="CommentTextChar">
    <w:name w:val="Comment Text Char"/>
    <w:basedOn w:val="DefaultParagraphFont"/>
    <w:link w:val="CommentText"/>
    <w:uiPriority w:val="99"/>
    <w:rsid w:val="00F03116"/>
    <w:rPr>
      <w:sz w:val="20"/>
      <w:szCs w:val="20"/>
    </w:rPr>
  </w:style>
  <w:style w:type="paragraph" w:styleId="CommentSubject">
    <w:name w:val="annotation subject"/>
    <w:basedOn w:val="CommentText"/>
    <w:next w:val="CommentText"/>
    <w:link w:val="CommentSubjectChar"/>
    <w:rsid w:val="00F03116"/>
    <w:rPr>
      <w:b/>
      <w:bCs/>
    </w:rPr>
  </w:style>
  <w:style w:type="character" w:customStyle="1" w:styleId="CommentSubjectChar">
    <w:name w:val="Comment Subject Char"/>
    <w:basedOn w:val="CommentTextChar"/>
    <w:link w:val="CommentSubject"/>
    <w:rsid w:val="00F03116"/>
    <w:rPr>
      <w:b/>
      <w:bCs/>
      <w:sz w:val="20"/>
      <w:szCs w:val="20"/>
    </w:rPr>
  </w:style>
  <w:style w:type="paragraph" w:styleId="Revision">
    <w:name w:val="Revision"/>
    <w:hidden/>
    <w:rsid w:val="00863D6D"/>
  </w:style>
  <w:style w:type="character" w:customStyle="1" w:styleId="highlight">
    <w:name w:val="highlight"/>
    <w:basedOn w:val="DefaultParagraphFont"/>
    <w:rsid w:val="008035DD"/>
  </w:style>
  <w:style w:type="character" w:customStyle="1" w:styleId="publication-editor-affiliation">
    <w:name w:val="publication-editor-affiliation"/>
    <w:basedOn w:val="DefaultParagraphFont"/>
    <w:rsid w:val="00020338"/>
  </w:style>
  <w:style w:type="paragraph" w:styleId="Header">
    <w:name w:val="header"/>
    <w:basedOn w:val="Normal"/>
    <w:link w:val="HeaderChar"/>
    <w:rsid w:val="002C2F90"/>
    <w:pPr>
      <w:tabs>
        <w:tab w:val="center" w:pos="4320"/>
        <w:tab w:val="right" w:pos="8640"/>
      </w:tabs>
    </w:pPr>
  </w:style>
  <w:style w:type="character" w:customStyle="1" w:styleId="HeaderChar">
    <w:name w:val="Header Char"/>
    <w:basedOn w:val="DefaultParagraphFont"/>
    <w:link w:val="Header"/>
    <w:rsid w:val="002C2F90"/>
  </w:style>
  <w:style w:type="paragraph" w:styleId="Footer">
    <w:name w:val="footer"/>
    <w:basedOn w:val="Normal"/>
    <w:link w:val="FooterChar"/>
    <w:rsid w:val="002C2F90"/>
    <w:pPr>
      <w:tabs>
        <w:tab w:val="center" w:pos="4320"/>
        <w:tab w:val="right" w:pos="8640"/>
      </w:tabs>
    </w:pPr>
  </w:style>
  <w:style w:type="character" w:customStyle="1" w:styleId="FooterChar">
    <w:name w:val="Footer Char"/>
    <w:basedOn w:val="DefaultParagraphFont"/>
    <w:link w:val="Footer"/>
    <w:rsid w:val="002C2F90"/>
  </w:style>
  <w:style w:type="character" w:styleId="Emphasis">
    <w:name w:val="Emphasis"/>
    <w:basedOn w:val="DefaultParagraphFont"/>
    <w:uiPriority w:val="20"/>
    <w:rsid w:val="00A57FC9"/>
    <w:rPr>
      <w:i/>
    </w:rPr>
  </w:style>
  <w:style w:type="paragraph" w:styleId="NoSpacing">
    <w:name w:val="No Spacing"/>
    <w:uiPriority w:val="1"/>
    <w:qFormat/>
    <w:rsid w:val="006A21C5"/>
    <w:rPr>
      <w:sz w:val="22"/>
      <w:szCs w:val="22"/>
      <w:lang w:val="en-GB"/>
    </w:rPr>
  </w:style>
  <w:style w:type="character" w:customStyle="1" w:styleId="apple-converted-space">
    <w:name w:val="apple-converted-space"/>
    <w:basedOn w:val="DefaultParagraphFont"/>
    <w:rsid w:val="006A21C5"/>
  </w:style>
  <w:style w:type="character" w:customStyle="1" w:styleId="jrnl">
    <w:name w:val="jrnl"/>
    <w:basedOn w:val="DefaultParagraphFont"/>
    <w:rsid w:val="00106E1B"/>
  </w:style>
  <w:style w:type="character" w:styleId="Hyperlink">
    <w:name w:val="Hyperlink"/>
    <w:basedOn w:val="DefaultParagraphFont"/>
    <w:uiPriority w:val="99"/>
    <w:rsid w:val="00EF06F5"/>
    <w:rPr>
      <w:color w:val="0000FF" w:themeColor="hyperlink"/>
      <w:u w:val="single"/>
    </w:rPr>
  </w:style>
  <w:style w:type="character" w:styleId="LineNumber">
    <w:name w:val="line number"/>
    <w:basedOn w:val="DefaultParagraphFont"/>
    <w:semiHidden/>
    <w:unhideWhenUsed/>
    <w:rsid w:val="00876AE7"/>
  </w:style>
  <w:style w:type="character" w:styleId="PageNumber">
    <w:name w:val="page number"/>
    <w:basedOn w:val="DefaultParagraphFont"/>
    <w:semiHidden/>
    <w:unhideWhenUsed/>
    <w:rsid w:val="00B47BFD"/>
  </w:style>
  <w:style w:type="paragraph" w:customStyle="1" w:styleId="xmsonormal">
    <w:name w:val="x_msonormal"/>
    <w:basedOn w:val="Normal"/>
    <w:rsid w:val="00822EDF"/>
    <w:pPr>
      <w:spacing w:beforeLines="1" w:afterLines="1"/>
    </w:pPr>
    <w:rPr>
      <w:rFonts w:ascii="Times" w:hAnsi="Times"/>
      <w:sz w:val="20"/>
      <w:szCs w:val="20"/>
      <w:lang w:val="en-GB"/>
    </w:rPr>
  </w:style>
  <w:style w:type="character" w:styleId="FollowedHyperlink">
    <w:name w:val="FollowedHyperlink"/>
    <w:basedOn w:val="DefaultParagraphFont"/>
    <w:semiHidden/>
    <w:unhideWhenUsed/>
    <w:rsid w:val="00765BA5"/>
    <w:rPr>
      <w:color w:val="800080" w:themeColor="followedHyperlink"/>
      <w:u w:val="single"/>
    </w:rPr>
  </w:style>
  <w:style w:type="paragraph" w:customStyle="1" w:styleId="NoteLevel11">
    <w:name w:val="Note Level 11"/>
    <w:basedOn w:val="Normal"/>
    <w:rsid w:val="003069C1"/>
    <w:pPr>
      <w:keepNext/>
      <w:numPr>
        <w:numId w:val="1"/>
      </w:numPr>
      <w:contextualSpacing/>
      <w:outlineLvl w:val="0"/>
    </w:pPr>
    <w:rPr>
      <w:rFonts w:ascii="Verdana" w:eastAsia="MS Gothic" w:hAnsi="Verdana"/>
    </w:rPr>
  </w:style>
  <w:style w:type="paragraph" w:customStyle="1" w:styleId="NoteLevel21">
    <w:name w:val="Note Level 21"/>
    <w:basedOn w:val="Normal"/>
    <w:rsid w:val="003069C1"/>
    <w:pPr>
      <w:keepNext/>
      <w:numPr>
        <w:ilvl w:val="1"/>
        <w:numId w:val="1"/>
      </w:numPr>
      <w:contextualSpacing/>
      <w:outlineLvl w:val="1"/>
    </w:pPr>
    <w:rPr>
      <w:rFonts w:ascii="Verdana" w:eastAsia="MS Gothic" w:hAnsi="Verdana"/>
    </w:rPr>
  </w:style>
  <w:style w:type="paragraph" w:customStyle="1" w:styleId="NoteLevel31">
    <w:name w:val="Note Level 31"/>
    <w:basedOn w:val="Normal"/>
    <w:rsid w:val="003069C1"/>
    <w:pPr>
      <w:keepNext/>
      <w:numPr>
        <w:ilvl w:val="2"/>
        <w:numId w:val="1"/>
      </w:numPr>
      <w:contextualSpacing/>
      <w:outlineLvl w:val="2"/>
    </w:pPr>
    <w:rPr>
      <w:rFonts w:ascii="Verdana" w:eastAsia="MS Gothic" w:hAnsi="Verdana"/>
    </w:rPr>
  </w:style>
  <w:style w:type="paragraph" w:customStyle="1" w:styleId="NoteLevel41">
    <w:name w:val="Note Level 41"/>
    <w:basedOn w:val="Normal"/>
    <w:rsid w:val="003069C1"/>
    <w:pPr>
      <w:keepNext/>
      <w:numPr>
        <w:ilvl w:val="3"/>
        <w:numId w:val="1"/>
      </w:numPr>
      <w:contextualSpacing/>
      <w:outlineLvl w:val="3"/>
    </w:pPr>
    <w:rPr>
      <w:rFonts w:ascii="Verdana" w:eastAsia="MS Gothic" w:hAnsi="Verdana"/>
    </w:rPr>
  </w:style>
  <w:style w:type="paragraph" w:customStyle="1" w:styleId="NoteLevel51">
    <w:name w:val="Note Level 51"/>
    <w:basedOn w:val="Normal"/>
    <w:rsid w:val="003069C1"/>
    <w:pPr>
      <w:keepNext/>
      <w:numPr>
        <w:ilvl w:val="4"/>
        <w:numId w:val="1"/>
      </w:numPr>
      <w:contextualSpacing/>
      <w:outlineLvl w:val="4"/>
    </w:pPr>
    <w:rPr>
      <w:rFonts w:ascii="Verdana" w:eastAsia="MS Gothic" w:hAnsi="Verdana"/>
    </w:rPr>
  </w:style>
  <w:style w:type="paragraph" w:customStyle="1" w:styleId="NoteLevel61">
    <w:name w:val="Note Level 61"/>
    <w:basedOn w:val="Normal"/>
    <w:rsid w:val="003069C1"/>
    <w:pPr>
      <w:keepNext/>
      <w:numPr>
        <w:ilvl w:val="5"/>
        <w:numId w:val="1"/>
      </w:numPr>
      <w:contextualSpacing/>
      <w:outlineLvl w:val="5"/>
    </w:pPr>
    <w:rPr>
      <w:rFonts w:ascii="Verdana" w:eastAsia="MS Gothic" w:hAnsi="Verdana"/>
    </w:rPr>
  </w:style>
  <w:style w:type="paragraph" w:customStyle="1" w:styleId="NoteLevel71">
    <w:name w:val="Note Level 71"/>
    <w:basedOn w:val="Normal"/>
    <w:rsid w:val="003069C1"/>
    <w:pPr>
      <w:keepNext/>
      <w:numPr>
        <w:ilvl w:val="6"/>
        <w:numId w:val="1"/>
      </w:numPr>
      <w:contextualSpacing/>
      <w:outlineLvl w:val="6"/>
    </w:pPr>
    <w:rPr>
      <w:rFonts w:ascii="Verdana" w:eastAsia="MS Gothic" w:hAnsi="Verdana"/>
    </w:rPr>
  </w:style>
  <w:style w:type="paragraph" w:customStyle="1" w:styleId="NoteLevel81">
    <w:name w:val="Note Level 81"/>
    <w:basedOn w:val="Normal"/>
    <w:rsid w:val="003069C1"/>
    <w:pPr>
      <w:keepNext/>
      <w:numPr>
        <w:ilvl w:val="7"/>
        <w:numId w:val="1"/>
      </w:numPr>
      <w:contextualSpacing/>
      <w:outlineLvl w:val="7"/>
    </w:pPr>
    <w:rPr>
      <w:rFonts w:ascii="Verdana" w:eastAsia="MS Gothic" w:hAnsi="Verdana"/>
    </w:rPr>
  </w:style>
  <w:style w:type="paragraph" w:customStyle="1" w:styleId="NoteLevel91">
    <w:name w:val="Note Level 91"/>
    <w:basedOn w:val="Normal"/>
    <w:rsid w:val="003069C1"/>
    <w:pPr>
      <w:keepNext/>
      <w:numPr>
        <w:ilvl w:val="8"/>
        <w:numId w:val="1"/>
      </w:numPr>
      <w:contextualSpacing/>
      <w:outlineLvl w:val="8"/>
    </w:pPr>
    <w:rPr>
      <w:rFonts w:ascii="Verdana" w:eastAsia="MS Gothic" w:hAnsi="Verdana"/>
    </w:rPr>
  </w:style>
  <w:style w:type="paragraph" w:styleId="ListParagraph">
    <w:name w:val="List Paragraph"/>
    <w:basedOn w:val="Normal"/>
    <w:rsid w:val="00AB7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5465">
      <w:bodyDiv w:val="1"/>
      <w:marLeft w:val="0"/>
      <w:marRight w:val="0"/>
      <w:marTop w:val="0"/>
      <w:marBottom w:val="0"/>
      <w:divBdr>
        <w:top w:val="none" w:sz="0" w:space="0" w:color="auto"/>
        <w:left w:val="none" w:sz="0" w:space="0" w:color="auto"/>
        <w:bottom w:val="none" w:sz="0" w:space="0" w:color="auto"/>
        <w:right w:val="none" w:sz="0" w:space="0" w:color="auto"/>
      </w:divBdr>
    </w:div>
    <w:div w:id="98567361">
      <w:bodyDiv w:val="1"/>
      <w:marLeft w:val="0"/>
      <w:marRight w:val="0"/>
      <w:marTop w:val="0"/>
      <w:marBottom w:val="0"/>
      <w:divBdr>
        <w:top w:val="none" w:sz="0" w:space="0" w:color="auto"/>
        <w:left w:val="none" w:sz="0" w:space="0" w:color="auto"/>
        <w:bottom w:val="none" w:sz="0" w:space="0" w:color="auto"/>
        <w:right w:val="none" w:sz="0" w:space="0" w:color="auto"/>
      </w:divBdr>
    </w:div>
    <w:div w:id="102312131">
      <w:bodyDiv w:val="1"/>
      <w:marLeft w:val="0"/>
      <w:marRight w:val="0"/>
      <w:marTop w:val="0"/>
      <w:marBottom w:val="0"/>
      <w:divBdr>
        <w:top w:val="none" w:sz="0" w:space="0" w:color="auto"/>
        <w:left w:val="none" w:sz="0" w:space="0" w:color="auto"/>
        <w:bottom w:val="none" w:sz="0" w:space="0" w:color="auto"/>
        <w:right w:val="none" w:sz="0" w:space="0" w:color="auto"/>
      </w:divBdr>
    </w:div>
    <w:div w:id="193229699">
      <w:bodyDiv w:val="1"/>
      <w:marLeft w:val="0"/>
      <w:marRight w:val="0"/>
      <w:marTop w:val="0"/>
      <w:marBottom w:val="0"/>
      <w:divBdr>
        <w:top w:val="none" w:sz="0" w:space="0" w:color="auto"/>
        <w:left w:val="none" w:sz="0" w:space="0" w:color="auto"/>
        <w:bottom w:val="none" w:sz="0" w:space="0" w:color="auto"/>
        <w:right w:val="none" w:sz="0" w:space="0" w:color="auto"/>
      </w:divBdr>
    </w:div>
    <w:div w:id="229190746">
      <w:bodyDiv w:val="1"/>
      <w:marLeft w:val="0"/>
      <w:marRight w:val="0"/>
      <w:marTop w:val="0"/>
      <w:marBottom w:val="0"/>
      <w:divBdr>
        <w:top w:val="none" w:sz="0" w:space="0" w:color="auto"/>
        <w:left w:val="none" w:sz="0" w:space="0" w:color="auto"/>
        <w:bottom w:val="none" w:sz="0" w:space="0" w:color="auto"/>
        <w:right w:val="none" w:sz="0" w:space="0" w:color="auto"/>
      </w:divBdr>
      <w:divsChild>
        <w:div w:id="738870183">
          <w:marLeft w:val="0"/>
          <w:marRight w:val="0"/>
          <w:marTop w:val="0"/>
          <w:marBottom w:val="0"/>
          <w:divBdr>
            <w:top w:val="none" w:sz="0" w:space="0" w:color="auto"/>
            <w:left w:val="none" w:sz="0" w:space="0" w:color="auto"/>
            <w:bottom w:val="none" w:sz="0" w:space="0" w:color="auto"/>
            <w:right w:val="none" w:sz="0" w:space="0" w:color="auto"/>
          </w:divBdr>
        </w:div>
        <w:div w:id="185142148">
          <w:marLeft w:val="0"/>
          <w:marRight w:val="0"/>
          <w:marTop w:val="0"/>
          <w:marBottom w:val="0"/>
          <w:divBdr>
            <w:top w:val="none" w:sz="0" w:space="0" w:color="auto"/>
            <w:left w:val="none" w:sz="0" w:space="0" w:color="auto"/>
            <w:bottom w:val="none" w:sz="0" w:space="0" w:color="auto"/>
            <w:right w:val="none" w:sz="0" w:space="0" w:color="auto"/>
          </w:divBdr>
        </w:div>
        <w:div w:id="1294943460">
          <w:marLeft w:val="0"/>
          <w:marRight w:val="0"/>
          <w:marTop w:val="0"/>
          <w:marBottom w:val="0"/>
          <w:divBdr>
            <w:top w:val="none" w:sz="0" w:space="0" w:color="auto"/>
            <w:left w:val="none" w:sz="0" w:space="0" w:color="auto"/>
            <w:bottom w:val="none" w:sz="0" w:space="0" w:color="auto"/>
            <w:right w:val="none" w:sz="0" w:space="0" w:color="auto"/>
          </w:divBdr>
        </w:div>
        <w:div w:id="118568433">
          <w:marLeft w:val="0"/>
          <w:marRight w:val="0"/>
          <w:marTop w:val="0"/>
          <w:marBottom w:val="0"/>
          <w:divBdr>
            <w:top w:val="none" w:sz="0" w:space="0" w:color="auto"/>
            <w:left w:val="none" w:sz="0" w:space="0" w:color="auto"/>
            <w:bottom w:val="none" w:sz="0" w:space="0" w:color="auto"/>
            <w:right w:val="none" w:sz="0" w:space="0" w:color="auto"/>
          </w:divBdr>
        </w:div>
        <w:div w:id="2111199475">
          <w:marLeft w:val="0"/>
          <w:marRight w:val="0"/>
          <w:marTop w:val="0"/>
          <w:marBottom w:val="0"/>
          <w:divBdr>
            <w:top w:val="none" w:sz="0" w:space="0" w:color="auto"/>
            <w:left w:val="none" w:sz="0" w:space="0" w:color="auto"/>
            <w:bottom w:val="none" w:sz="0" w:space="0" w:color="auto"/>
            <w:right w:val="none" w:sz="0" w:space="0" w:color="auto"/>
          </w:divBdr>
        </w:div>
        <w:div w:id="2094549878">
          <w:marLeft w:val="0"/>
          <w:marRight w:val="0"/>
          <w:marTop w:val="0"/>
          <w:marBottom w:val="0"/>
          <w:divBdr>
            <w:top w:val="none" w:sz="0" w:space="0" w:color="auto"/>
            <w:left w:val="none" w:sz="0" w:space="0" w:color="auto"/>
            <w:bottom w:val="none" w:sz="0" w:space="0" w:color="auto"/>
            <w:right w:val="none" w:sz="0" w:space="0" w:color="auto"/>
          </w:divBdr>
        </w:div>
        <w:div w:id="464660450">
          <w:marLeft w:val="0"/>
          <w:marRight w:val="0"/>
          <w:marTop w:val="0"/>
          <w:marBottom w:val="0"/>
          <w:divBdr>
            <w:top w:val="none" w:sz="0" w:space="0" w:color="auto"/>
            <w:left w:val="none" w:sz="0" w:space="0" w:color="auto"/>
            <w:bottom w:val="none" w:sz="0" w:space="0" w:color="auto"/>
            <w:right w:val="none" w:sz="0" w:space="0" w:color="auto"/>
          </w:divBdr>
        </w:div>
        <w:div w:id="272521086">
          <w:marLeft w:val="0"/>
          <w:marRight w:val="0"/>
          <w:marTop w:val="0"/>
          <w:marBottom w:val="0"/>
          <w:divBdr>
            <w:top w:val="none" w:sz="0" w:space="0" w:color="auto"/>
            <w:left w:val="none" w:sz="0" w:space="0" w:color="auto"/>
            <w:bottom w:val="none" w:sz="0" w:space="0" w:color="auto"/>
            <w:right w:val="none" w:sz="0" w:space="0" w:color="auto"/>
          </w:divBdr>
        </w:div>
      </w:divsChild>
    </w:div>
    <w:div w:id="234166923">
      <w:bodyDiv w:val="1"/>
      <w:marLeft w:val="0"/>
      <w:marRight w:val="0"/>
      <w:marTop w:val="0"/>
      <w:marBottom w:val="0"/>
      <w:divBdr>
        <w:top w:val="none" w:sz="0" w:space="0" w:color="auto"/>
        <w:left w:val="none" w:sz="0" w:space="0" w:color="auto"/>
        <w:bottom w:val="none" w:sz="0" w:space="0" w:color="auto"/>
        <w:right w:val="none" w:sz="0" w:space="0" w:color="auto"/>
      </w:divBdr>
    </w:div>
    <w:div w:id="450511682">
      <w:bodyDiv w:val="1"/>
      <w:marLeft w:val="0"/>
      <w:marRight w:val="0"/>
      <w:marTop w:val="0"/>
      <w:marBottom w:val="0"/>
      <w:divBdr>
        <w:top w:val="none" w:sz="0" w:space="0" w:color="auto"/>
        <w:left w:val="none" w:sz="0" w:space="0" w:color="auto"/>
        <w:bottom w:val="none" w:sz="0" w:space="0" w:color="auto"/>
        <w:right w:val="none" w:sz="0" w:space="0" w:color="auto"/>
      </w:divBdr>
      <w:divsChild>
        <w:div w:id="1643727857">
          <w:marLeft w:val="0"/>
          <w:marRight w:val="0"/>
          <w:marTop w:val="0"/>
          <w:marBottom w:val="0"/>
          <w:divBdr>
            <w:top w:val="none" w:sz="0" w:space="0" w:color="auto"/>
            <w:left w:val="none" w:sz="0" w:space="0" w:color="auto"/>
            <w:bottom w:val="none" w:sz="0" w:space="0" w:color="auto"/>
            <w:right w:val="none" w:sz="0" w:space="0" w:color="auto"/>
          </w:divBdr>
        </w:div>
        <w:div w:id="1898740346">
          <w:marLeft w:val="0"/>
          <w:marRight w:val="0"/>
          <w:marTop w:val="0"/>
          <w:marBottom w:val="0"/>
          <w:divBdr>
            <w:top w:val="none" w:sz="0" w:space="0" w:color="auto"/>
            <w:left w:val="none" w:sz="0" w:space="0" w:color="auto"/>
            <w:bottom w:val="none" w:sz="0" w:space="0" w:color="auto"/>
            <w:right w:val="none" w:sz="0" w:space="0" w:color="auto"/>
          </w:divBdr>
        </w:div>
        <w:div w:id="1038159502">
          <w:marLeft w:val="0"/>
          <w:marRight w:val="0"/>
          <w:marTop w:val="0"/>
          <w:marBottom w:val="0"/>
          <w:divBdr>
            <w:top w:val="none" w:sz="0" w:space="0" w:color="auto"/>
            <w:left w:val="none" w:sz="0" w:space="0" w:color="auto"/>
            <w:bottom w:val="none" w:sz="0" w:space="0" w:color="auto"/>
            <w:right w:val="none" w:sz="0" w:space="0" w:color="auto"/>
          </w:divBdr>
        </w:div>
        <w:div w:id="1735005908">
          <w:marLeft w:val="0"/>
          <w:marRight w:val="0"/>
          <w:marTop w:val="0"/>
          <w:marBottom w:val="0"/>
          <w:divBdr>
            <w:top w:val="none" w:sz="0" w:space="0" w:color="auto"/>
            <w:left w:val="none" w:sz="0" w:space="0" w:color="auto"/>
            <w:bottom w:val="none" w:sz="0" w:space="0" w:color="auto"/>
            <w:right w:val="none" w:sz="0" w:space="0" w:color="auto"/>
          </w:divBdr>
        </w:div>
        <w:div w:id="1301111545">
          <w:marLeft w:val="0"/>
          <w:marRight w:val="0"/>
          <w:marTop w:val="0"/>
          <w:marBottom w:val="0"/>
          <w:divBdr>
            <w:top w:val="none" w:sz="0" w:space="0" w:color="auto"/>
            <w:left w:val="none" w:sz="0" w:space="0" w:color="auto"/>
            <w:bottom w:val="none" w:sz="0" w:space="0" w:color="auto"/>
            <w:right w:val="none" w:sz="0" w:space="0" w:color="auto"/>
          </w:divBdr>
        </w:div>
        <w:div w:id="53817012">
          <w:marLeft w:val="0"/>
          <w:marRight w:val="0"/>
          <w:marTop w:val="0"/>
          <w:marBottom w:val="0"/>
          <w:divBdr>
            <w:top w:val="none" w:sz="0" w:space="0" w:color="auto"/>
            <w:left w:val="none" w:sz="0" w:space="0" w:color="auto"/>
            <w:bottom w:val="none" w:sz="0" w:space="0" w:color="auto"/>
            <w:right w:val="none" w:sz="0" w:space="0" w:color="auto"/>
          </w:divBdr>
        </w:div>
        <w:div w:id="1465273407">
          <w:marLeft w:val="0"/>
          <w:marRight w:val="0"/>
          <w:marTop w:val="0"/>
          <w:marBottom w:val="0"/>
          <w:divBdr>
            <w:top w:val="none" w:sz="0" w:space="0" w:color="auto"/>
            <w:left w:val="none" w:sz="0" w:space="0" w:color="auto"/>
            <w:bottom w:val="none" w:sz="0" w:space="0" w:color="auto"/>
            <w:right w:val="none" w:sz="0" w:space="0" w:color="auto"/>
          </w:divBdr>
        </w:div>
        <w:div w:id="846797819">
          <w:marLeft w:val="0"/>
          <w:marRight w:val="0"/>
          <w:marTop w:val="0"/>
          <w:marBottom w:val="0"/>
          <w:divBdr>
            <w:top w:val="none" w:sz="0" w:space="0" w:color="auto"/>
            <w:left w:val="none" w:sz="0" w:space="0" w:color="auto"/>
            <w:bottom w:val="none" w:sz="0" w:space="0" w:color="auto"/>
            <w:right w:val="none" w:sz="0" w:space="0" w:color="auto"/>
          </w:divBdr>
        </w:div>
        <w:div w:id="1927879923">
          <w:marLeft w:val="0"/>
          <w:marRight w:val="0"/>
          <w:marTop w:val="0"/>
          <w:marBottom w:val="0"/>
          <w:divBdr>
            <w:top w:val="none" w:sz="0" w:space="0" w:color="auto"/>
            <w:left w:val="none" w:sz="0" w:space="0" w:color="auto"/>
            <w:bottom w:val="none" w:sz="0" w:space="0" w:color="auto"/>
            <w:right w:val="none" w:sz="0" w:space="0" w:color="auto"/>
          </w:divBdr>
        </w:div>
        <w:div w:id="782843751">
          <w:marLeft w:val="0"/>
          <w:marRight w:val="0"/>
          <w:marTop w:val="0"/>
          <w:marBottom w:val="0"/>
          <w:divBdr>
            <w:top w:val="none" w:sz="0" w:space="0" w:color="auto"/>
            <w:left w:val="none" w:sz="0" w:space="0" w:color="auto"/>
            <w:bottom w:val="none" w:sz="0" w:space="0" w:color="auto"/>
            <w:right w:val="none" w:sz="0" w:space="0" w:color="auto"/>
          </w:divBdr>
        </w:div>
        <w:div w:id="1678802382">
          <w:marLeft w:val="0"/>
          <w:marRight w:val="0"/>
          <w:marTop w:val="0"/>
          <w:marBottom w:val="0"/>
          <w:divBdr>
            <w:top w:val="none" w:sz="0" w:space="0" w:color="auto"/>
            <w:left w:val="none" w:sz="0" w:space="0" w:color="auto"/>
            <w:bottom w:val="none" w:sz="0" w:space="0" w:color="auto"/>
            <w:right w:val="none" w:sz="0" w:space="0" w:color="auto"/>
          </w:divBdr>
        </w:div>
        <w:div w:id="1799058979">
          <w:marLeft w:val="0"/>
          <w:marRight w:val="0"/>
          <w:marTop w:val="0"/>
          <w:marBottom w:val="0"/>
          <w:divBdr>
            <w:top w:val="none" w:sz="0" w:space="0" w:color="auto"/>
            <w:left w:val="none" w:sz="0" w:space="0" w:color="auto"/>
            <w:bottom w:val="none" w:sz="0" w:space="0" w:color="auto"/>
            <w:right w:val="none" w:sz="0" w:space="0" w:color="auto"/>
          </w:divBdr>
        </w:div>
        <w:div w:id="1088843009">
          <w:marLeft w:val="0"/>
          <w:marRight w:val="0"/>
          <w:marTop w:val="0"/>
          <w:marBottom w:val="0"/>
          <w:divBdr>
            <w:top w:val="none" w:sz="0" w:space="0" w:color="auto"/>
            <w:left w:val="none" w:sz="0" w:space="0" w:color="auto"/>
            <w:bottom w:val="none" w:sz="0" w:space="0" w:color="auto"/>
            <w:right w:val="none" w:sz="0" w:space="0" w:color="auto"/>
          </w:divBdr>
        </w:div>
        <w:div w:id="1548057344">
          <w:marLeft w:val="0"/>
          <w:marRight w:val="0"/>
          <w:marTop w:val="0"/>
          <w:marBottom w:val="0"/>
          <w:divBdr>
            <w:top w:val="none" w:sz="0" w:space="0" w:color="auto"/>
            <w:left w:val="none" w:sz="0" w:space="0" w:color="auto"/>
            <w:bottom w:val="none" w:sz="0" w:space="0" w:color="auto"/>
            <w:right w:val="none" w:sz="0" w:space="0" w:color="auto"/>
          </w:divBdr>
        </w:div>
        <w:div w:id="1622765822">
          <w:marLeft w:val="0"/>
          <w:marRight w:val="0"/>
          <w:marTop w:val="0"/>
          <w:marBottom w:val="0"/>
          <w:divBdr>
            <w:top w:val="none" w:sz="0" w:space="0" w:color="auto"/>
            <w:left w:val="none" w:sz="0" w:space="0" w:color="auto"/>
            <w:bottom w:val="none" w:sz="0" w:space="0" w:color="auto"/>
            <w:right w:val="none" w:sz="0" w:space="0" w:color="auto"/>
          </w:divBdr>
        </w:div>
        <w:div w:id="2065643639">
          <w:marLeft w:val="0"/>
          <w:marRight w:val="0"/>
          <w:marTop w:val="0"/>
          <w:marBottom w:val="0"/>
          <w:divBdr>
            <w:top w:val="none" w:sz="0" w:space="0" w:color="auto"/>
            <w:left w:val="none" w:sz="0" w:space="0" w:color="auto"/>
            <w:bottom w:val="none" w:sz="0" w:space="0" w:color="auto"/>
            <w:right w:val="none" w:sz="0" w:space="0" w:color="auto"/>
          </w:divBdr>
        </w:div>
        <w:div w:id="1113135130">
          <w:marLeft w:val="0"/>
          <w:marRight w:val="0"/>
          <w:marTop w:val="0"/>
          <w:marBottom w:val="0"/>
          <w:divBdr>
            <w:top w:val="none" w:sz="0" w:space="0" w:color="auto"/>
            <w:left w:val="none" w:sz="0" w:space="0" w:color="auto"/>
            <w:bottom w:val="none" w:sz="0" w:space="0" w:color="auto"/>
            <w:right w:val="none" w:sz="0" w:space="0" w:color="auto"/>
          </w:divBdr>
        </w:div>
        <w:div w:id="875655968">
          <w:marLeft w:val="0"/>
          <w:marRight w:val="0"/>
          <w:marTop w:val="0"/>
          <w:marBottom w:val="0"/>
          <w:divBdr>
            <w:top w:val="none" w:sz="0" w:space="0" w:color="auto"/>
            <w:left w:val="none" w:sz="0" w:space="0" w:color="auto"/>
            <w:bottom w:val="none" w:sz="0" w:space="0" w:color="auto"/>
            <w:right w:val="none" w:sz="0" w:space="0" w:color="auto"/>
          </w:divBdr>
        </w:div>
        <w:div w:id="1176648115">
          <w:marLeft w:val="0"/>
          <w:marRight w:val="0"/>
          <w:marTop w:val="0"/>
          <w:marBottom w:val="0"/>
          <w:divBdr>
            <w:top w:val="none" w:sz="0" w:space="0" w:color="auto"/>
            <w:left w:val="none" w:sz="0" w:space="0" w:color="auto"/>
            <w:bottom w:val="none" w:sz="0" w:space="0" w:color="auto"/>
            <w:right w:val="none" w:sz="0" w:space="0" w:color="auto"/>
          </w:divBdr>
        </w:div>
        <w:div w:id="629281606">
          <w:marLeft w:val="0"/>
          <w:marRight w:val="0"/>
          <w:marTop w:val="0"/>
          <w:marBottom w:val="0"/>
          <w:divBdr>
            <w:top w:val="none" w:sz="0" w:space="0" w:color="auto"/>
            <w:left w:val="none" w:sz="0" w:space="0" w:color="auto"/>
            <w:bottom w:val="none" w:sz="0" w:space="0" w:color="auto"/>
            <w:right w:val="none" w:sz="0" w:space="0" w:color="auto"/>
          </w:divBdr>
        </w:div>
        <w:div w:id="1900045456">
          <w:marLeft w:val="0"/>
          <w:marRight w:val="0"/>
          <w:marTop w:val="0"/>
          <w:marBottom w:val="0"/>
          <w:divBdr>
            <w:top w:val="none" w:sz="0" w:space="0" w:color="auto"/>
            <w:left w:val="none" w:sz="0" w:space="0" w:color="auto"/>
            <w:bottom w:val="none" w:sz="0" w:space="0" w:color="auto"/>
            <w:right w:val="none" w:sz="0" w:space="0" w:color="auto"/>
          </w:divBdr>
        </w:div>
      </w:divsChild>
    </w:div>
    <w:div w:id="676882956">
      <w:bodyDiv w:val="1"/>
      <w:marLeft w:val="0"/>
      <w:marRight w:val="0"/>
      <w:marTop w:val="0"/>
      <w:marBottom w:val="0"/>
      <w:divBdr>
        <w:top w:val="none" w:sz="0" w:space="0" w:color="auto"/>
        <w:left w:val="none" w:sz="0" w:space="0" w:color="auto"/>
        <w:bottom w:val="none" w:sz="0" w:space="0" w:color="auto"/>
        <w:right w:val="none" w:sz="0" w:space="0" w:color="auto"/>
      </w:divBdr>
    </w:div>
    <w:div w:id="819806195">
      <w:bodyDiv w:val="1"/>
      <w:marLeft w:val="0"/>
      <w:marRight w:val="0"/>
      <w:marTop w:val="0"/>
      <w:marBottom w:val="0"/>
      <w:divBdr>
        <w:top w:val="none" w:sz="0" w:space="0" w:color="auto"/>
        <w:left w:val="none" w:sz="0" w:space="0" w:color="auto"/>
        <w:bottom w:val="none" w:sz="0" w:space="0" w:color="auto"/>
        <w:right w:val="none" w:sz="0" w:space="0" w:color="auto"/>
      </w:divBdr>
    </w:div>
    <w:div w:id="908924562">
      <w:bodyDiv w:val="1"/>
      <w:marLeft w:val="0"/>
      <w:marRight w:val="0"/>
      <w:marTop w:val="0"/>
      <w:marBottom w:val="0"/>
      <w:divBdr>
        <w:top w:val="none" w:sz="0" w:space="0" w:color="auto"/>
        <w:left w:val="none" w:sz="0" w:space="0" w:color="auto"/>
        <w:bottom w:val="none" w:sz="0" w:space="0" w:color="auto"/>
        <w:right w:val="none" w:sz="0" w:space="0" w:color="auto"/>
      </w:divBdr>
    </w:div>
    <w:div w:id="967397404">
      <w:bodyDiv w:val="1"/>
      <w:marLeft w:val="0"/>
      <w:marRight w:val="0"/>
      <w:marTop w:val="0"/>
      <w:marBottom w:val="0"/>
      <w:divBdr>
        <w:top w:val="none" w:sz="0" w:space="0" w:color="auto"/>
        <w:left w:val="none" w:sz="0" w:space="0" w:color="auto"/>
        <w:bottom w:val="none" w:sz="0" w:space="0" w:color="auto"/>
        <w:right w:val="none" w:sz="0" w:space="0" w:color="auto"/>
      </w:divBdr>
      <w:divsChild>
        <w:div w:id="1946231815">
          <w:marLeft w:val="0"/>
          <w:marRight w:val="0"/>
          <w:marTop w:val="0"/>
          <w:marBottom w:val="0"/>
          <w:divBdr>
            <w:top w:val="none" w:sz="0" w:space="0" w:color="auto"/>
            <w:left w:val="none" w:sz="0" w:space="0" w:color="auto"/>
            <w:bottom w:val="none" w:sz="0" w:space="0" w:color="auto"/>
            <w:right w:val="none" w:sz="0" w:space="0" w:color="auto"/>
          </w:divBdr>
        </w:div>
        <w:div w:id="1073965167">
          <w:marLeft w:val="0"/>
          <w:marRight w:val="0"/>
          <w:marTop w:val="0"/>
          <w:marBottom w:val="0"/>
          <w:divBdr>
            <w:top w:val="none" w:sz="0" w:space="0" w:color="auto"/>
            <w:left w:val="none" w:sz="0" w:space="0" w:color="auto"/>
            <w:bottom w:val="none" w:sz="0" w:space="0" w:color="auto"/>
            <w:right w:val="none" w:sz="0" w:space="0" w:color="auto"/>
          </w:divBdr>
        </w:div>
        <w:div w:id="141192278">
          <w:marLeft w:val="0"/>
          <w:marRight w:val="0"/>
          <w:marTop w:val="0"/>
          <w:marBottom w:val="0"/>
          <w:divBdr>
            <w:top w:val="none" w:sz="0" w:space="0" w:color="auto"/>
            <w:left w:val="none" w:sz="0" w:space="0" w:color="auto"/>
            <w:bottom w:val="none" w:sz="0" w:space="0" w:color="auto"/>
            <w:right w:val="none" w:sz="0" w:space="0" w:color="auto"/>
          </w:divBdr>
        </w:div>
      </w:divsChild>
    </w:div>
    <w:div w:id="1037778212">
      <w:bodyDiv w:val="1"/>
      <w:marLeft w:val="0"/>
      <w:marRight w:val="0"/>
      <w:marTop w:val="0"/>
      <w:marBottom w:val="0"/>
      <w:divBdr>
        <w:top w:val="none" w:sz="0" w:space="0" w:color="auto"/>
        <w:left w:val="none" w:sz="0" w:space="0" w:color="auto"/>
        <w:bottom w:val="none" w:sz="0" w:space="0" w:color="auto"/>
        <w:right w:val="none" w:sz="0" w:space="0" w:color="auto"/>
      </w:divBdr>
    </w:div>
    <w:div w:id="1139764785">
      <w:bodyDiv w:val="1"/>
      <w:marLeft w:val="0"/>
      <w:marRight w:val="0"/>
      <w:marTop w:val="0"/>
      <w:marBottom w:val="0"/>
      <w:divBdr>
        <w:top w:val="none" w:sz="0" w:space="0" w:color="auto"/>
        <w:left w:val="none" w:sz="0" w:space="0" w:color="auto"/>
        <w:bottom w:val="none" w:sz="0" w:space="0" w:color="auto"/>
        <w:right w:val="none" w:sz="0" w:space="0" w:color="auto"/>
      </w:divBdr>
    </w:div>
    <w:div w:id="1145005798">
      <w:bodyDiv w:val="1"/>
      <w:marLeft w:val="0"/>
      <w:marRight w:val="0"/>
      <w:marTop w:val="0"/>
      <w:marBottom w:val="0"/>
      <w:divBdr>
        <w:top w:val="none" w:sz="0" w:space="0" w:color="auto"/>
        <w:left w:val="none" w:sz="0" w:space="0" w:color="auto"/>
        <w:bottom w:val="none" w:sz="0" w:space="0" w:color="auto"/>
        <w:right w:val="none" w:sz="0" w:space="0" w:color="auto"/>
      </w:divBdr>
    </w:div>
    <w:div w:id="1231623509">
      <w:bodyDiv w:val="1"/>
      <w:marLeft w:val="0"/>
      <w:marRight w:val="0"/>
      <w:marTop w:val="0"/>
      <w:marBottom w:val="0"/>
      <w:divBdr>
        <w:top w:val="none" w:sz="0" w:space="0" w:color="auto"/>
        <w:left w:val="none" w:sz="0" w:space="0" w:color="auto"/>
        <w:bottom w:val="none" w:sz="0" w:space="0" w:color="auto"/>
        <w:right w:val="none" w:sz="0" w:space="0" w:color="auto"/>
      </w:divBdr>
    </w:div>
    <w:div w:id="1438793369">
      <w:bodyDiv w:val="1"/>
      <w:marLeft w:val="0"/>
      <w:marRight w:val="0"/>
      <w:marTop w:val="0"/>
      <w:marBottom w:val="0"/>
      <w:divBdr>
        <w:top w:val="none" w:sz="0" w:space="0" w:color="auto"/>
        <w:left w:val="none" w:sz="0" w:space="0" w:color="auto"/>
        <w:bottom w:val="none" w:sz="0" w:space="0" w:color="auto"/>
        <w:right w:val="none" w:sz="0" w:space="0" w:color="auto"/>
      </w:divBdr>
    </w:div>
    <w:div w:id="1466048530">
      <w:bodyDiv w:val="1"/>
      <w:marLeft w:val="0"/>
      <w:marRight w:val="0"/>
      <w:marTop w:val="0"/>
      <w:marBottom w:val="0"/>
      <w:divBdr>
        <w:top w:val="none" w:sz="0" w:space="0" w:color="auto"/>
        <w:left w:val="none" w:sz="0" w:space="0" w:color="auto"/>
        <w:bottom w:val="none" w:sz="0" w:space="0" w:color="auto"/>
        <w:right w:val="none" w:sz="0" w:space="0" w:color="auto"/>
      </w:divBdr>
    </w:div>
    <w:div w:id="1533759384">
      <w:bodyDiv w:val="1"/>
      <w:marLeft w:val="0"/>
      <w:marRight w:val="0"/>
      <w:marTop w:val="0"/>
      <w:marBottom w:val="0"/>
      <w:divBdr>
        <w:top w:val="none" w:sz="0" w:space="0" w:color="auto"/>
        <w:left w:val="none" w:sz="0" w:space="0" w:color="auto"/>
        <w:bottom w:val="none" w:sz="0" w:space="0" w:color="auto"/>
        <w:right w:val="none" w:sz="0" w:space="0" w:color="auto"/>
      </w:divBdr>
    </w:div>
    <w:div w:id="1558592112">
      <w:bodyDiv w:val="1"/>
      <w:marLeft w:val="0"/>
      <w:marRight w:val="0"/>
      <w:marTop w:val="0"/>
      <w:marBottom w:val="0"/>
      <w:divBdr>
        <w:top w:val="none" w:sz="0" w:space="0" w:color="auto"/>
        <w:left w:val="none" w:sz="0" w:space="0" w:color="auto"/>
        <w:bottom w:val="none" w:sz="0" w:space="0" w:color="auto"/>
        <w:right w:val="none" w:sz="0" w:space="0" w:color="auto"/>
      </w:divBdr>
      <w:divsChild>
        <w:div w:id="1337078482">
          <w:marLeft w:val="0"/>
          <w:marRight w:val="0"/>
          <w:marTop w:val="0"/>
          <w:marBottom w:val="0"/>
          <w:divBdr>
            <w:top w:val="none" w:sz="0" w:space="0" w:color="auto"/>
            <w:left w:val="none" w:sz="0" w:space="0" w:color="auto"/>
            <w:bottom w:val="none" w:sz="0" w:space="0" w:color="auto"/>
            <w:right w:val="none" w:sz="0" w:space="0" w:color="auto"/>
          </w:divBdr>
        </w:div>
        <w:div w:id="1232084081">
          <w:marLeft w:val="0"/>
          <w:marRight w:val="0"/>
          <w:marTop w:val="0"/>
          <w:marBottom w:val="0"/>
          <w:divBdr>
            <w:top w:val="none" w:sz="0" w:space="0" w:color="auto"/>
            <w:left w:val="none" w:sz="0" w:space="0" w:color="auto"/>
            <w:bottom w:val="none" w:sz="0" w:space="0" w:color="auto"/>
            <w:right w:val="none" w:sz="0" w:space="0" w:color="auto"/>
          </w:divBdr>
        </w:div>
        <w:div w:id="427703556">
          <w:marLeft w:val="0"/>
          <w:marRight w:val="0"/>
          <w:marTop w:val="0"/>
          <w:marBottom w:val="0"/>
          <w:divBdr>
            <w:top w:val="none" w:sz="0" w:space="0" w:color="auto"/>
            <w:left w:val="none" w:sz="0" w:space="0" w:color="auto"/>
            <w:bottom w:val="none" w:sz="0" w:space="0" w:color="auto"/>
            <w:right w:val="none" w:sz="0" w:space="0" w:color="auto"/>
          </w:divBdr>
        </w:div>
      </w:divsChild>
    </w:div>
    <w:div w:id="1600793807">
      <w:bodyDiv w:val="1"/>
      <w:marLeft w:val="0"/>
      <w:marRight w:val="0"/>
      <w:marTop w:val="0"/>
      <w:marBottom w:val="0"/>
      <w:divBdr>
        <w:top w:val="none" w:sz="0" w:space="0" w:color="auto"/>
        <w:left w:val="none" w:sz="0" w:space="0" w:color="auto"/>
        <w:bottom w:val="none" w:sz="0" w:space="0" w:color="auto"/>
        <w:right w:val="none" w:sz="0" w:space="0" w:color="auto"/>
      </w:divBdr>
    </w:div>
    <w:div w:id="1696080767">
      <w:bodyDiv w:val="1"/>
      <w:marLeft w:val="0"/>
      <w:marRight w:val="0"/>
      <w:marTop w:val="0"/>
      <w:marBottom w:val="0"/>
      <w:divBdr>
        <w:top w:val="none" w:sz="0" w:space="0" w:color="auto"/>
        <w:left w:val="none" w:sz="0" w:space="0" w:color="auto"/>
        <w:bottom w:val="none" w:sz="0" w:space="0" w:color="auto"/>
        <w:right w:val="none" w:sz="0" w:space="0" w:color="auto"/>
      </w:divBdr>
    </w:div>
    <w:div w:id="1830056982">
      <w:bodyDiv w:val="1"/>
      <w:marLeft w:val="0"/>
      <w:marRight w:val="0"/>
      <w:marTop w:val="0"/>
      <w:marBottom w:val="0"/>
      <w:divBdr>
        <w:top w:val="none" w:sz="0" w:space="0" w:color="auto"/>
        <w:left w:val="none" w:sz="0" w:space="0" w:color="auto"/>
        <w:bottom w:val="none" w:sz="0" w:space="0" w:color="auto"/>
        <w:right w:val="none" w:sz="0" w:space="0" w:color="auto"/>
      </w:divBdr>
    </w:div>
    <w:div w:id="1843860412">
      <w:bodyDiv w:val="1"/>
      <w:marLeft w:val="0"/>
      <w:marRight w:val="0"/>
      <w:marTop w:val="0"/>
      <w:marBottom w:val="0"/>
      <w:divBdr>
        <w:top w:val="none" w:sz="0" w:space="0" w:color="auto"/>
        <w:left w:val="none" w:sz="0" w:space="0" w:color="auto"/>
        <w:bottom w:val="none" w:sz="0" w:space="0" w:color="auto"/>
        <w:right w:val="none" w:sz="0" w:space="0" w:color="auto"/>
      </w:divBdr>
    </w:div>
    <w:div w:id="1884058776">
      <w:bodyDiv w:val="1"/>
      <w:marLeft w:val="0"/>
      <w:marRight w:val="0"/>
      <w:marTop w:val="0"/>
      <w:marBottom w:val="0"/>
      <w:divBdr>
        <w:top w:val="none" w:sz="0" w:space="0" w:color="auto"/>
        <w:left w:val="none" w:sz="0" w:space="0" w:color="auto"/>
        <w:bottom w:val="none" w:sz="0" w:space="0" w:color="auto"/>
        <w:right w:val="none" w:sz="0" w:space="0" w:color="auto"/>
      </w:divBdr>
      <w:divsChild>
        <w:div w:id="76172770">
          <w:marLeft w:val="0"/>
          <w:marRight w:val="0"/>
          <w:marTop w:val="0"/>
          <w:marBottom w:val="0"/>
          <w:divBdr>
            <w:top w:val="none" w:sz="0" w:space="0" w:color="auto"/>
            <w:left w:val="none" w:sz="0" w:space="0" w:color="auto"/>
            <w:bottom w:val="none" w:sz="0" w:space="0" w:color="auto"/>
            <w:right w:val="none" w:sz="0" w:space="0" w:color="auto"/>
          </w:divBdr>
        </w:div>
        <w:div w:id="1957326170">
          <w:marLeft w:val="0"/>
          <w:marRight w:val="0"/>
          <w:marTop w:val="0"/>
          <w:marBottom w:val="0"/>
          <w:divBdr>
            <w:top w:val="none" w:sz="0" w:space="0" w:color="auto"/>
            <w:left w:val="none" w:sz="0" w:space="0" w:color="auto"/>
            <w:bottom w:val="none" w:sz="0" w:space="0" w:color="auto"/>
            <w:right w:val="none" w:sz="0" w:space="0" w:color="auto"/>
          </w:divBdr>
        </w:div>
        <w:div w:id="1177430188">
          <w:marLeft w:val="0"/>
          <w:marRight w:val="0"/>
          <w:marTop w:val="0"/>
          <w:marBottom w:val="0"/>
          <w:divBdr>
            <w:top w:val="none" w:sz="0" w:space="0" w:color="auto"/>
            <w:left w:val="none" w:sz="0" w:space="0" w:color="auto"/>
            <w:bottom w:val="none" w:sz="0" w:space="0" w:color="auto"/>
            <w:right w:val="none" w:sz="0" w:space="0" w:color="auto"/>
          </w:divBdr>
        </w:div>
      </w:divsChild>
    </w:div>
    <w:div w:id="1896771832">
      <w:bodyDiv w:val="1"/>
      <w:marLeft w:val="0"/>
      <w:marRight w:val="0"/>
      <w:marTop w:val="0"/>
      <w:marBottom w:val="0"/>
      <w:divBdr>
        <w:top w:val="none" w:sz="0" w:space="0" w:color="auto"/>
        <w:left w:val="none" w:sz="0" w:space="0" w:color="auto"/>
        <w:bottom w:val="none" w:sz="0" w:space="0" w:color="auto"/>
        <w:right w:val="none" w:sz="0" w:space="0" w:color="auto"/>
      </w:divBdr>
    </w:div>
    <w:div w:id="2017029486">
      <w:bodyDiv w:val="1"/>
      <w:marLeft w:val="0"/>
      <w:marRight w:val="0"/>
      <w:marTop w:val="0"/>
      <w:marBottom w:val="0"/>
      <w:divBdr>
        <w:top w:val="none" w:sz="0" w:space="0" w:color="auto"/>
        <w:left w:val="none" w:sz="0" w:space="0" w:color="auto"/>
        <w:bottom w:val="none" w:sz="0" w:space="0" w:color="auto"/>
        <w:right w:val="none" w:sz="0" w:space="0" w:color="auto"/>
      </w:divBdr>
    </w:div>
    <w:div w:id="203209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Schuenemann%20VJ%5BAuthor%5D&amp;cauthor=true&amp;cauthor_uid=2470836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bi.nlm.nih.gov/pubmed?term=Mendum%20TA%5BAuthor%5D&amp;cauthor=true&amp;cauthor_uid=24708363" TargetMode="External"/><Relationship Id="rId17" Type="http://schemas.openxmlformats.org/officeDocument/2006/relationships/hyperlink" Target="http://www.ncbi.nlm.nih.gov/pubmed/24708363" TargetMode="External"/><Relationship Id="rId2" Type="http://schemas.openxmlformats.org/officeDocument/2006/relationships/numbering" Target="numbering.xml"/><Relationship Id="rId16" Type="http://schemas.openxmlformats.org/officeDocument/2006/relationships/hyperlink" Target="http://www.ncbi.nlm.nih.gov/pubmed?term=Wu%20H%5BAuthor%5D&amp;cauthor=true&amp;cauthor_uid=247083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lep/mdt/regimens/en/" TargetMode="External"/><Relationship Id="rId5" Type="http://schemas.openxmlformats.org/officeDocument/2006/relationships/settings" Target="settings.xml"/><Relationship Id="rId15" Type="http://schemas.openxmlformats.org/officeDocument/2006/relationships/hyperlink" Target="http://www.ncbi.nlm.nih.gov/pubmed?term=Taylor%20GM%5BAuthor%5D&amp;cauthor=true&amp;cauthor_uid=24708363" TargetMode="External"/><Relationship Id="rId10" Type="http://schemas.openxmlformats.org/officeDocument/2006/relationships/hyperlink" Target="https://upload.wikimedia.org/wikipedia/commons/3/37/BlankMap-Europe-v3.pn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upload.wikimedia.org/wikipedia/commons/3/37/BlankMap-Europe-v3.png" TargetMode="External"/><Relationship Id="rId14" Type="http://schemas.openxmlformats.org/officeDocument/2006/relationships/hyperlink" Target="http://www.ncbi.nlm.nih.gov/pubmed?term=Roffey%20S%5BAuthor%5D&amp;cauthor=true&amp;cauthor_uid=2470836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5930-8389-43EF-81B1-EA4D9DBA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12362</Words>
  <Characters>70465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82662</CharactersWithSpaces>
  <SharedDoc>false</SharedDoc>
  <HyperlinkBase/>
  <HLinks>
    <vt:vector size="42" baseType="variant">
      <vt:variant>
        <vt:i4>3866642</vt:i4>
      </vt:variant>
      <vt:variant>
        <vt:i4>18</vt:i4>
      </vt:variant>
      <vt:variant>
        <vt:i4>0</vt:i4>
      </vt:variant>
      <vt:variant>
        <vt:i4>5</vt:i4>
      </vt:variant>
      <vt:variant>
        <vt:lpwstr>http://www.ncbi.nlm.nih.gov/pubmed/24708363</vt:lpwstr>
      </vt:variant>
      <vt:variant>
        <vt:lpwstr/>
      </vt:variant>
      <vt:variant>
        <vt:i4>4587556</vt:i4>
      </vt:variant>
      <vt:variant>
        <vt:i4>15</vt:i4>
      </vt:variant>
      <vt:variant>
        <vt:i4>0</vt:i4>
      </vt:variant>
      <vt:variant>
        <vt:i4>5</vt:i4>
      </vt:variant>
      <vt:variant>
        <vt:lpwstr>http://www.ncbi.nlm.nih.gov/pubmed?term=Wu H%5BAuthor%5D&amp;cauthor=true&amp;cauthor_uid=24708363</vt:lpwstr>
      </vt:variant>
      <vt:variant>
        <vt:lpwstr/>
      </vt:variant>
      <vt:variant>
        <vt:i4>7209073</vt:i4>
      </vt:variant>
      <vt:variant>
        <vt:i4>12</vt:i4>
      </vt:variant>
      <vt:variant>
        <vt:i4>0</vt:i4>
      </vt:variant>
      <vt:variant>
        <vt:i4>5</vt:i4>
      </vt:variant>
      <vt:variant>
        <vt:lpwstr>http://www.ncbi.nlm.nih.gov/pubmed?term=Taylor GM%5BAuthor%5D&amp;cauthor=true&amp;cauthor_uid=24708363</vt:lpwstr>
      </vt:variant>
      <vt:variant>
        <vt:lpwstr/>
      </vt:variant>
      <vt:variant>
        <vt:i4>5767202</vt:i4>
      </vt:variant>
      <vt:variant>
        <vt:i4>9</vt:i4>
      </vt:variant>
      <vt:variant>
        <vt:i4>0</vt:i4>
      </vt:variant>
      <vt:variant>
        <vt:i4>5</vt:i4>
      </vt:variant>
      <vt:variant>
        <vt:lpwstr>http://www.ncbi.nlm.nih.gov/pubmed?term=Roffey S%5BAuthor%5D&amp;cauthor=true&amp;cauthor_uid=24708363</vt:lpwstr>
      </vt:variant>
      <vt:variant>
        <vt:lpwstr/>
      </vt:variant>
      <vt:variant>
        <vt:i4>6946833</vt:i4>
      </vt:variant>
      <vt:variant>
        <vt:i4>6</vt:i4>
      </vt:variant>
      <vt:variant>
        <vt:i4>0</vt:i4>
      </vt:variant>
      <vt:variant>
        <vt:i4>5</vt:i4>
      </vt:variant>
      <vt:variant>
        <vt:lpwstr>http://www.ncbi.nlm.nih.gov/pubmed?term=Schuenemann VJ%5BAuthor%5D&amp;cauthor=true&amp;cauthor_uid=24708363</vt:lpwstr>
      </vt:variant>
      <vt:variant>
        <vt:lpwstr/>
      </vt:variant>
      <vt:variant>
        <vt:i4>7209065</vt:i4>
      </vt:variant>
      <vt:variant>
        <vt:i4>3</vt:i4>
      </vt:variant>
      <vt:variant>
        <vt:i4>0</vt:i4>
      </vt:variant>
      <vt:variant>
        <vt:i4>5</vt:i4>
      </vt:variant>
      <vt:variant>
        <vt:lpwstr>http://www.ncbi.nlm.nih.gov/pubmed?term=Mendum TA%5BAuthor%5D&amp;cauthor=true&amp;cauthor_uid=24708363</vt:lpwstr>
      </vt:variant>
      <vt:variant>
        <vt:lpwstr/>
      </vt:variant>
      <vt:variant>
        <vt:i4>8126470</vt:i4>
      </vt:variant>
      <vt:variant>
        <vt:i4>0</vt:i4>
      </vt:variant>
      <vt:variant>
        <vt:i4>0</vt:i4>
      </vt:variant>
      <vt:variant>
        <vt:i4>5</vt:i4>
      </vt:variant>
      <vt:variant>
        <vt:lpwstr>http://www.who.int/lep/mdt/regimens/en/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G.Michael Taylor</dc:creator>
  <cp:lastModifiedBy>AWGP</cp:lastModifiedBy>
  <cp:revision>2</cp:revision>
  <cp:lastPrinted>2018-01-21T10:00:00Z</cp:lastPrinted>
  <dcterms:created xsi:type="dcterms:W3CDTF">2018-12-18T11:20:00Z</dcterms:created>
  <dcterms:modified xsi:type="dcterms:W3CDTF">2018-12-18T11:20:00Z</dcterms:modified>
</cp:coreProperties>
</file>